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653"/>
        <w:gridCol w:w="518"/>
        <w:gridCol w:w="306"/>
        <w:gridCol w:w="493"/>
        <w:gridCol w:w="166"/>
        <w:gridCol w:w="1327"/>
        <w:gridCol w:w="159"/>
        <w:gridCol w:w="123"/>
        <w:gridCol w:w="1360"/>
        <w:gridCol w:w="162"/>
        <w:gridCol w:w="179"/>
        <w:gridCol w:w="44"/>
        <w:gridCol w:w="969"/>
        <w:gridCol w:w="130"/>
        <w:gridCol w:w="1483"/>
        <w:gridCol w:w="1484"/>
        <w:gridCol w:w="7"/>
      </w:tblGrid>
      <w:tr w:rsidR="009703D6" w:rsidRPr="00D035F3" w14:paraId="30EC971A" w14:textId="77777777" w:rsidTr="005923A9">
        <w:trPr>
          <w:gridAfter w:val="1"/>
          <w:wAfter w:w="7" w:type="dxa"/>
          <w:trHeight w:val="1611"/>
        </w:trPr>
        <w:tc>
          <w:tcPr>
            <w:tcW w:w="6768" w:type="dxa"/>
            <w:gridSpan w:val="11"/>
          </w:tcPr>
          <w:p w14:paraId="1B351349" w14:textId="77777777" w:rsidR="009703D6" w:rsidRPr="00D035F3" w:rsidRDefault="00AD4510" w:rsidP="00616511">
            <w:pPr>
              <w:spacing w:before="120" w:line="240" w:lineRule="auto"/>
              <w:ind w:hanging="45"/>
              <w:rPr>
                <w:rFonts w:ascii="Times New Roman" w:hAnsi="Times New Roman"/>
              </w:rPr>
            </w:pPr>
            <w:bookmarkStart w:id="0" w:name="t1"/>
            <w:r>
              <w:rPr>
                <w:rFonts w:ascii="Times New Roman" w:hAnsi="Times New Roman"/>
                <w:b/>
              </w:rPr>
              <w:t>Tytuł ocenianej</w:t>
            </w:r>
            <w:r w:rsidR="009703D6" w:rsidRPr="00D035F3">
              <w:rPr>
                <w:rFonts w:ascii="Times New Roman" w:hAnsi="Times New Roman"/>
                <w:b/>
              </w:rPr>
              <w:t xml:space="preserve"> </w:t>
            </w:r>
            <w:r w:rsidR="007035C1">
              <w:rPr>
                <w:rFonts w:ascii="Times New Roman" w:hAnsi="Times New Roman"/>
                <w:b/>
              </w:rPr>
              <w:t>ustawy</w:t>
            </w:r>
          </w:p>
          <w:p w14:paraId="5E31A0A6" w14:textId="77777777" w:rsidR="009703D6" w:rsidRPr="00D035F3" w:rsidRDefault="00F709E1" w:rsidP="00F709E1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Ustawa z dnia </w:t>
            </w:r>
            <w:r w:rsidR="001353C6">
              <w:rPr>
                <w:rFonts w:ascii="Times New Roman" w:hAnsi="Times New Roman"/>
                <w:color w:val="000000"/>
                <w:sz w:val="24"/>
                <w:szCs w:val="24"/>
              </w:rPr>
              <w:t>4 lipca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r.</w: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zmianie usta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 o</w:t>
            </w:r>
            <w:r w:rsidR="00FB0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postępowaniu egzekucyjnym </w: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Pr="00760EC5">
              <w:rPr>
                <w:rFonts w:ascii="Times New Roman" w:hAnsi="Times New Roman"/>
                <w:sz w:val="24"/>
                <w:szCs w:val="24"/>
              </w:rPr>
              <w:t>administracji oraz niektórych innych ustaw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(Dz.</w:t>
            </w:r>
            <w:r w:rsidR="00DE1E7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U. poz. </w:t>
            </w:r>
            <w:r w:rsidR="001353C6">
              <w:rPr>
                <w:rFonts w:ascii="Times New Roman" w:hAnsi="Times New Roman"/>
                <w:sz w:val="24"/>
                <w:szCs w:val="24"/>
              </w:rPr>
              <w:t>1553</w:t>
            </w:r>
            <w:r w:rsidR="00E603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późn. zm.)</w:t>
            </w:r>
          </w:p>
          <w:p w14:paraId="30ECE4EF" w14:textId="77777777" w:rsidR="009703D6" w:rsidRPr="00D035F3" w:rsidRDefault="009703D6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</w:rPr>
            </w:pPr>
            <w:r w:rsidRPr="00D035F3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bookmarkEnd w:id="0"/>
          <w:p w14:paraId="0B177C7E" w14:textId="77777777" w:rsidR="009703D6" w:rsidRPr="00786162" w:rsidRDefault="00F709E1" w:rsidP="00A52ADB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86162">
              <w:rPr>
                <w:rFonts w:ascii="Times New Roman" w:hAnsi="Times New Roman"/>
                <w:sz w:val="24"/>
                <w:szCs w:val="24"/>
              </w:rPr>
              <w:t>Ministerstwo Finansów</w:t>
            </w:r>
          </w:p>
          <w:p w14:paraId="1F0FB52F" w14:textId="77777777" w:rsidR="00F709E1" w:rsidRDefault="00F709E1" w:rsidP="00A52ADB">
            <w:pPr>
              <w:spacing w:line="240" w:lineRule="auto"/>
              <w:ind w:hanging="34"/>
              <w:rPr>
                <w:rFonts w:ascii="Times New Roman" w:hAnsi="Times New Roman"/>
              </w:rPr>
            </w:pPr>
          </w:p>
          <w:p w14:paraId="38A68386" w14:textId="77777777" w:rsidR="00F709E1" w:rsidRPr="00786162" w:rsidRDefault="00282C90" w:rsidP="00F709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86162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  <w:r w:rsidR="00F709E1" w:rsidRPr="00786162">
              <w:rPr>
                <w:rFonts w:ascii="Times New Roman" w:hAnsi="Times New Roman"/>
                <w:b/>
              </w:rPr>
              <w:t xml:space="preserve"> </w:t>
            </w:r>
          </w:p>
          <w:p w14:paraId="67106F0A" w14:textId="77777777" w:rsidR="00F709E1" w:rsidRPr="00786162" w:rsidRDefault="00F709E1" w:rsidP="00F709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162">
              <w:rPr>
                <w:rFonts w:ascii="Times New Roman" w:hAnsi="Times New Roman"/>
                <w:sz w:val="24"/>
                <w:szCs w:val="24"/>
              </w:rPr>
              <w:t xml:space="preserve">Artur Soboń Sekretarz Stanu </w:t>
            </w:r>
          </w:p>
          <w:p w14:paraId="7C80B7C8" w14:textId="77777777" w:rsidR="00F709E1" w:rsidRDefault="00F709E1" w:rsidP="00F709E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1177C19" w14:textId="77777777" w:rsidR="009703D6" w:rsidRPr="00D035F3" w:rsidRDefault="009703D6" w:rsidP="00F709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035F3">
              <w:rPr>
                <w:rFonts w:ascii="Times New Roman" w:hAnsi="Times New Roman"/>
                <w:b/>
              </w:rPr>
              <w:t>Kontakt do opiekuna merytorycznego projektu</w:t>
            </w:r>
          </w:p>
          <w:p w14:paraId="2D00C272" w14:textId="11555C4B" w:rsidR="00F709E1" w:rsidRPr="00786162" w:rsidRDefault="000F56B7" w:rsidP="00F709E1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bookmarkStart w:id="1" w:name="t3"/>
            <w:r>
              <w:rPr>
                <w:rFonts w:ascii="Times New Roman" w:hAnsi="Times New Roman"/>
                <w:sz w:val="24"/>
                <w:szCs w:val="24"/>
              </w:rPr>
              <w:t>Daniel Skoczyński</w:t>
            </w:r>
          </w:p>
          <w:p w14:paraId="11305088" w14:textId="0A8995D1" w:rsidR="00F709E1" w:rsidRPr="00883ACB" w:rsidRDefault="000F56B7" w:rsidP="00F709E1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Zastępca </w:t>
            </w:r>
            <w:r w:rsidR="00F709E1" w:rsidRPr="00883ACB">
              <w:rPr>
                <w:rFonts w:ascii="Times New Roman" w:hAnsi="Times New Roman"/>
                <w:sz w:val="24"/>
                <w:szCs w:val="24"/>
              </w:rPr>
              <w:t>Dyrektor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709E1" w:rsidRPr="00883ACB">
              <w:rPr>
                <w:rFonts w:ascii="Times New Roman" w:hAnsi="Times New Roman"/>
                <w:sz w:val="24"/>
                <w:szCs w:val="24"/>
              </w:rPr>
              <w:t xml:space="preserve"> Departamentu Polityki Podatkowej</w:t>
            </w:r>
          </w:p>
          <w:p w14:paraId="058E1EF7" w14:textId="77777777" w:rsidR="009703D6" w:rsidRPr="00037376" w:rsidRDefault="00F709E1" w:rsidP="00F709E1">
            <w:pPr>
              <w:spacing w:line="240" w:lineRule="auto"/>
              <w:ind w:hanging="34"/>
              <w:rPr>
                <w:rFonts w:ascii="Times New Roman" w:hAnsi="Times New Roman"/>
                <w:lang w:val="en-GB"/>
              </w:rPr>
            </w:pPr>
            <w:r w:rsidRPr="005A42E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tel. 22 694 38 86; </w:t>
            </w:r>
            <w:r w:rsidRPr="005A42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="00BC74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  <w:r w:rsidRPr="005A42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r w:rsidRPr="005A42E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sekretariat.dsp@mf.gov.pl</w:t>
            </w:r>
            <w:bookmarkEnd w:id="1"/>
          </w:p>
        </w:tc>
        <w:tc>
          <w:tcPr>
            <w:tcW w:w="4289" w:type="dxa"/>
            <w:gridSpan w:val="6"/>
            <w:shd w:val="clear" w:color="auto" w:fill="FFFFFF"/>
          </w:tcPr>
          <w:p w14:paraId="3846ADFE" w14:textId="77777777" w:rsidR="009703D6" w:rsidRPr="00786162" w:rsidRDefault="002275D7" w:rsidP="00616511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786162">
              <w:rPr>
                <w:rFonts w:ascii="Times New Roman" w:hAnsi="Times New Roman"/>
                <w:b/>
              </w:rPr>
              <w:t>Data sporządzenia</w:t>
            </w:r>
            <w:bookmarkStart w:id="2" w:name="Lista1"/>
          </w:p>
          <w:bookmarkEnd w:id="2"/>
          <w:p w14:paraId="0A8DAEF6" w14:textId="1FA181DB" w:rsidR="009703D6" w:rsidRPr="00786162" w:rsidRDefault="00D63036" w:rsidP="00A17C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0A8B">
              <w:rPr>
                <w:rFonts w:ascii="Times New Roman" w:hAnsi="Times New Roman"/>
                <w:sz w:val="24"/>
                <w:szCs w:val="24"/>
              </w:rPr>
              <w:t>6</w:t>
            </w:r>
            <w:r w:rsidR="00954D15">
              <w:rPr>
                <w:rFonts w:ascii="Times New Roman" w:hAnsi="Times New Roman"/>
                <w:sz w:val="24"/>
                <w:szCs w:val="24"/>
              </w:rPr>
              <w:t>.</w:t>
            </w:r>
            <w:r w:rsidR="00EE705D">
              <w:rPr>
                <w:rFonts w:ascii="Times New Roman" w:hAnsi="Times New Roman"/>
                <w:sz w:val="24"/>
                <w:szCs w:val="24"/>
              </w:rPr>
              <w:t>0</w:t>
            </w:r>
            <w:r w:rsidR="00040A8B">
              <w:rPr>
                <w:rFonts w:ascii="Times New Roman" w:hAnsi="Times New Roman"/>
                <w:sz w:val="24"/>
                <w:szCs w:val="24"/>
              </w:rPr>
              <w:t>2</w:t>
            </w:r>
            <w:r w:rsidR="00F709E1" w:rsidRPr="00786162">
              <w:rPr>
                <w:rFonts w:ascii="Times New Roman" w:hAnsi="Times New Roman"/>
                <w:sz w:val="24"/>
                <w:szCs w:val="24"/>
              </w:rPr>
              <w:t>.202</w:t>
            </w:r>
            <w:r w:rsidR="00EE705D">
              <w:rPr>
                <w:rFonts w:ascii="Times New Roman" w:hAnsi="Times New Roman"/>
                <w:sz w:val="24"/>
                <w:szCs w:val="24"/>
              </w:rPr>
              <w:t>3</w:t>
            </w:r>
            <w:r w:rsidR="00F709E1" w:rsidRPr="0078616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14:paraId="787DC3FE" w14:textId="77777777" w:rsidR="00AC7129" w:rsidRPr="00786162" w:rsidRDefault="00AC7129" w:rsidP="00AC7129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786162">
              <w:rPr>
                <w:rFonts w:ascii="Times New Roman" w:hAnsi="Times New Roman"/>
                <w:b/>
              </w:rPr>
              <w:t xml:space="preserve">Data wejścia w życie ocenianej ustawy </w:t>
            </w:r>
          </w:p>
          <w:p w14:paraId="0BD4E30F" w14:textId="77777777" w:rsidR="00AC7129" w:rsidRPr="00786162" w:rsidRDefault="00D81BCB" w:rsidP="00AC71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09E1" w:rsidRPr="00786162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09E1" w:rsidRPr="0078616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9E1" w:rsidRPr="0078616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14:paraId="01176CA0" w14:textId="77777777" w:rsidR="00282C90" w:rsidRDefault="00282C90" w:rsidP="00AC7129">
            <w:pPr>
              <w:tabs>
                <w:tab w:val="left" w:pos="772"/>
              </w:tabs>
              <w:spacing w:line="240" w:lineRule="auto"/>
              <w:rPr>
                <w:rFonts w:ascii="Times New Roman" w:hAnsi="Times New Roman"/>
              </w:rPr>
            </w:pPr>
          </w:p>
          <w:p w14:paraId="7AAEF61C" w14:textId="77777777" w:rsidR="00AC7129" w:rsidRDefault="00AC7129" w:rsidP="00A17CB2">
            <w:pPr>
              <w:spacing w:line="240" w:lineRule="auto"/>
              <w:rPr>
                <w:rFonts w:ascii="Times New Roman" w:hAnsi="Times New Roman"/>
              </w:rPr>
            </w:pPr>
          </w:p>
          <w:p w14:paraId="25249506" w14:textId="77777777" w:rsidR="00282C90" w:rsidRPr="00786162" w:rsidRDefault="00AC7129" w:rsidP="00A17CB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86162">
              <w:rPr>
                <w:rFonts w:ascii="Times New Roman" w:hAnsi="Times New Roman"/>
                <w:b/>
              </w:rPr>
              <w:t xml:space="preserve">Przygotowana z powodu </w:t>
            </w:r>
          </w:p>
          <w:p w14:paraId="0775C825" w14:textId="77777777" w:rsidR="00F709E1" w:rsidRPr="00786162" w:rsidRDefault="00F709E1" w:rsidP="00F709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162">
              <w:rPr>
                <w:rFonts w:ascii="Times New Roman" w:hAnsi="Times New Roman"/>
                <w:sz w:val="24"/>
                <w:szCs w:val="24"/>
              </w:rPr>
              <w:t>Ewaluacja OSR</w:t>
            </w:r>
          </w:p>
          <w:p w14:paraId="4C8BF96D" w14:textId="77777777" w:rsidR="007943E2" w:rsidRPr="00D035F3" w:rsidRDefault="007943E2" w:rsidP="002275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3D6" w:rsidRPr="000E0720" w14:paraId="27A2B846" w14:textId="77777777" w:rsidTr="005923A9">
        <w:trPr>
          <w:gridAfter w:val="1"/>
          <w:wAfter w:w="7" w:type="dxa"/>
          <w:trHeight w:val="142"/>
        </w:trPr>
        <w:tc>
          <w:tcPr>
            <w:tcW w:w="11057" w:type="dxa"/>
            <w:gridSpan w:val="17"/>
            <w:shd w:val="clear" w:color="auto" w:fill="53A824"/>
          </w:tcPr>
          <w:p w14:paraId="7F6D8560" w14:textId="77777777" w:rsidR="009703D6" w:rsidRPr="000E0720" w:rsidRDefault="00383FD8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FUNKCJONOWANIA USTAWY (OSR</w:t>
            </w:r>
            <w:r w:rsidR="002275D7" w:rsidRPr="000E0720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 xml:space="preserve"> EX</w:t>
            </w:r>
            <w:r w:rsidR="00BC7442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–</w:t>
            </w:r>
            <w:r w:rsidR="002275D7" w:rsidRPr="000E0720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POST</w:t>
            </w: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)</w:t>
            </w:r>
          </w:p>
        </w:tc>
      </w:tr>
      <w:tr w:rsidR="002275D7" w:rsidRPr="00D035F3" w14:paraId="71DCBE52" w14:textId="77777777" w:rsidTr="005923A9">
        <w:trPr>
          <w:gridAfter w:val="1"/>
          <w:wAfter w:w="7" w:type="dxa"/>
          <w:trHeight w:val="333"/>
        </w:trPr>
        <w:tc>
          <w:tcPr>
            <w:tcW w:w="11057" w:type="dxa"/>
            <w:gridSpan w:val="17"/>
            <w:shd w:val="clear" w:color="auto" w:fill="53A824"/>
            <w:vAlign w:val="center"/>
          </w:tcPr>
          <w:p w14:paraId="28842DC6" w14:textId="77777777" w:rsidR="002275D7" w:rsidRPr="00D035F3" w:rsidRDefault="002275D7" w:rsidP="005A06D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D035F3">
              <w:rPr>
                <w:rFonts w:ascii="Times New Roman" w:hAnsi="Times New Roman"/>
                <w:b/>
              </w:rPr>
              <w:t xml:space="preserve">Zakres przedmiotowy </w:t>
            </w:r>
            <w:r w:rsidR="00282C90">
              <w:rPr>
                <w:rFonts w:ascii="Times New Roman" w:hAnsi="Times New Roman"/>
                <w:b/>
              </w:rPr>
              <w:t>ustawy</w:t>
            </w:r>
          </w:p>
        </w:tc>
      </w:tr>
      <w:tr w:rsidR="002275D7" w:rsidRPr="00D035F3" w14:paraId="4DBE2A93" w14:textId="77777777" w:rsidTr="005923A9">
        <w:trPr>
          <w:gridAfter w:val="1"/>
          <w:wAfter w:w="7" w:type="dxa"/>
          <w:trHeight w:val="1047"/>
        </w:trPr>
        <w:tc>
          <w:tcPr>
            <w:tcW w:w="11057" w:type="dxa"/>
            <w:gridSpan w:val="17"/>
            <w:shd w:val="clear" w:color="auto" w:fill="FFFFFF"/>
            <w:vAlign w:val="center"/>
          </w:tcPr>
          <w:p w14:paraId="3C7E553D" w14:textId="752501BB" w:rsidR="00E06C10" w:rsidRDefault="00F709E1" w:rsidP="001353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Ustawa z dnia </w:t>
            </w:r>
            <w:r w:rsidR="001353C6" w:rsidRPr="00C42494">
              <w:rPr>
                <w:rFonts w:ascii="Times New Roman" w:hAnsi="Times New Roman"/>
                <w:color w:val="000000"/>
                <w:sz w:val="24"/>
                <w:szCs w:val="24"/>
              </w:rPr>
              <w:t>4 lipca</w:t>
            </w:r>
            <w:r w:rsidRPr="00C42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r. o zmianie ustawy o postępowaniu eg</w:t>
            </w:r>
            <w:r w:rsidR="000E1045" w:rsidRPr="00CD2CD0">
              <w:rPr>
                <w:rFonts w:ascii="Times New Roman" w:hAnsi="Times New Roman"/>
                <w:color w:val="000000"/>
                <w:sz w:val="24"/>
                <w:szCs w:val="24"/>
              </w:rPr>
              <w:t>zekucyjnym w administracji oraz </w:t>
            </w:r>
            <w:r w:rsidRPr="00CD2CD0">
              <w:rPr>
                <w:rFonts w:ascii="Times New Roman" w:hAnsi="Times New Roman"/>
                <w:color w:val="000000"/>
                <w:sz w:val="24"/>
                <w:szCs w:val="24"/>
              </w:rPr>
              <w:t>niektórych innych ustaw</w:t>
            </w:r>
            <w:r w:rsidR="00AD51E1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zwana dalej „ustawą z </w:t>
            </w:r>
            <w:r w:rsidR="001353C6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lipca </w:t>
            </w:r>
            <w:r w:rsidR="00AD51E1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>2019 r.”,</w:t>
            </w:r>
            <w:r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53C6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>stanowi wykonanie wyroku Trybunału Konstytucyjnego z</w:t>
            </w:r>
            <w:r w:rsidR="00DE1E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353C6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>dnia 28 czerwca 2016 r.</w:t>
            </w:r>
            <w:r w:rsidR="00DD45DF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353C6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sygn. akt SK 31/14 (Dz. U. poz. 1244)</w:t>
            </w:r>
            <w:r w:rsidR="00B12155">
              <w:rPr>
                <w:rFonts w:ascii="Times New Roman" w:hAnsi="Times New Roman"/>
                <w:color w:val="000000"/>
                <w:sz w:val="24"/>
                <w:szCs w:val="24"/>
              </w:rPr>
              <w:t>, zwanego dalej „wyrokiem TK”</w:t>
            </w:r>
            <w:r w:rsidR="001353C6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>. W tym wyroku Trybunał Konstytucyjny orzekł o niezgodności z art. 2 Konstytucji RP przepis</w:t>
            </w:r>
            <w:r w:rsidR="00E06C10"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 w:rsidR="001353C6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art. 64 § 1 pkt 4 i § 6 ustawy z</w:t>
            </w:r>
            <w:r w:rsidR="00E06C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353C6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>dnia 17 czerwca 1966 r. o postępowaniu egzekucyjnym w administracji (Dz. U. z 2</w:t>
            </w:r>
            <w:r w:rsidR="00DD45DF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>022</w:t>
            </w:r>
            <w:r w:rsidR="001353C6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 poz.</w:t>
            </w:r>
            <w:r w:rsidR="00DD45DF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479</w:t>
            </w:r>
            <w:r w:rsidR="001353C6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>, z</w:t>
            </w:r>
            <w:r w:rsidR="00DE1E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353C6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>późn. zm.), zwanej dalej „u.p.e.a.”, w zakresie, w jakim nie określa</w:t>
            </w:r>
            <w:r w:rsidR="005E4EFF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r w:rsidR="001353C6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maksymalnej wysokości odpowiednio opłaty za</w:t>
            </w:r>
            <w:r w:rsidR="000F5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353C6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>czynności egzekucyjne oraz opłaty manipulacyjnej, a także art. 64 § 8 u.p.e.a. w zakresie, w jakim nie</w:t>
            </w:r>
            <w:r w:rsidR="000F5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353C6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>przewid</w:t>
            </w:r>
            <w:r w:rsidR="005E4EFF">
              <w:rPr>
                <w:rFonts w:ascii="Times New Roman" w:hAnsi="Times New Roman"/>
                <w:color w:val="000000"/>
                <w:sz w:val="24"/>
                <w:szCs w:val="24"/>
              </w:rPr>
              <w:t>ywał</w:t>
            </w:r>
            <w:r w:rsidR="001353C6" w:rsidRPr="00B12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możliwości obniżenia opłaty za czynności egzekucyjne oraz opłaty manipulacyjnej w razie umorzenia postępowania z uwagi na dobrowolną zapłatę egzekwowanej należności po dokonaniu czynności egzekucyjnych</w:t>
            </w:r>
            <w:r w:rsidR="001D14C8" w:rsidRPr="00574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47FC" w:rsidRPr="005748CC">
              <w:rPr>
                <w:rFonts w:ascii="Times New Roman" w:hAnsi="Times New Roman"/>
                <w:color w:val="000000"/>
                <w:sz w:val="24"/>
                <w:szCs w:val="24"/>
              </w:rPr>
              <w:t>Trybunał Konstytucyjny wskazał, że dla właściwej realizacji wyroku konieczna jest interwencja ustawodawcy, który powinien, w granicac</w:t>
            </w:r>
            <w:r w:rsidR="003847FC" w:rsidRPr="005E3591">
              <w:rPr>
                <w:rFonts w:ascii="Times New Roman" w:hAnsi="Times New Roman"/>
                <w:color w:val="000000"/>
                <w:sz w:val="24"/>
                <w:szCs w:val="24"/>
              </w:rPr>
              <w:t>h norm konstytucyjnych i z uwzględnieniem wniosków wynikających z wyroku, określić nie tylko maksymalną wysokość opłaty egzekucyjnej, o której mowa w art. 64 § 1 pkt 4 u.p.e.a., oraz opłaty manipulacyjnej, o której mowa w art. 64 § 6 u.p.e.a., al</w:t>
            </w:r>
            <w:r w:rsidR="003847FC" w:rsidRPr="002C1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 także maksymalną wysokość innych opłat egzekucyjnych. </w:t>
            </w:r>
            <w:r w:rsidR="00E06C10">
              <w:rPr>
                <w:rFonts w:ascii="Times New Roman" w:hAnsi="Times New Roman"/>
                <w:color w:val="000000"/>
                <w:sz w:val="24"/>
                <w:szCs w:val="24"/>
              </w:rPr>
              <w:t>W opinii Trybunału u</w:t>
            </w:r>
            <w:r w:rsidR="003847FC" w:rsidRPr="002C1637">
              <w:rPr>
                <w:rFonts w:ascii="Times New Roman" w:hAnsi="Times New Roman"/>
                <w:color w:val="000000"/>
                <w:sz w:val="24"/>
                <w:szCs w:val="24"/>
              </w:rPr>
              <w:t>stawodawca powinien nadto określić sposób obliczania wysokości tych opłat w</w:t>
            </w:r>
            <w:r w:rsidR="00DE1E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47FC" w:rsidRPr="002C1637">
              <w:rPr>
                <w:rFonts w:ascii="Times New Roman" w:hAnsi="Times New Roman"/>
                <w:color w:val="000000"/>
                <w:sz w:val="24"/>
                <w:szCs w:val="24"/>
              </w:rPr>
              <w:t>razie umorzenia postępowania w związku z dobrowolną zapłatą egzekwowanej należności po dokonaniu czynności egzekucyjnych. J</w:t>
            </w:r>
            <w:r w:rsidR="003847FC" w:rsidRPr="0075018E">
              <w:rPr>
                <w:rFonts w:ascii="Times New Roman" w:hAnsi="Times New Roman"/>
                <w:color w:val="000000"/>
                <w:sz w:val="24"/>
                <w:szCs w:val="24"/>
              </w:rPr>
              <w:t>ednocześnie podkreślono, że konieczność podjęcia przez ustawodawcę odpowiednich kroków w celu wykonania niniejszego wyroku powinna stanowić okazję do szerszego spojrzenia na przyjęty model opłat w egzekucji w administracji</w:t>
            </w:r>
            <w:r w:rsidR="00D967E0" w:rsidRPr="00582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5598CBF7" w14:textId="77777777" w:rsidR="00F709E1" w:rsidRPr="00DD3CFD" w:rsidRDefault="001D14C8" w:rsidP="001353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5D8">
              <w:rPr>
                <w:rFonts w:ascii="Times New Roman" w:hAnsi="Times New Roman"/>
                <w:color w:val="000000"/>
                <w:sz w:val="24"/>
                <w:szCs w:val="24"/>
              </w:rPr>
              <w:t>Ustawa z 4 lipca 2019 r</w:t>
            </w:r>
            <w:r w:rsidR="0053245A" w:rsidRPr="00BD05AE">
              <w:rPr>
                <w:rFonts w:ascii="Times New Roman" w:hAnsi="Times New Roman"/>
                <w:color w:val="000000"/>
                <w:sz w:val="24"/>
                <w:szCs w:val="24"/>
              </w:rPr>
              <w:t>. wprowad</w:t>
            </w:r>
            <w:r w:rsidR="0053245A" w:rsidRPr="00DE1E78">
              <w:rPr>
                <w:rFonts w:ascii="Times New Roman" w:hAnsi="Times New Roman"/>
                <w:color w:val="000000"/>
                <w:sz w:val="24"/>
                <w:szCs w:val="24"/>
              </w:rPr>
              <w:t>ziła:</w:t>
            </w:r>
          </w:p>
          <w:p w14:paraId="61D5B585" w14:textId="4FE1D48B" w:rsidR="00D967E0" w:rsidRPr="00E93604" w:rsidRDefault="00BC7442" w:rsidP="00D967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3245A" w:rsidRPr="00DD3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67E0" w:rsidRPr="00DD3CFD">
              <w:rPr>
                <w:rFonts w:ascii="Times New Roman" w:hAnsi="Times New Roman"/>
                <w:color w:val="000000"/>
                <w:sz w:val="24"/>
                <w:szCs w:val="24"/>
              </w:rPr>
              <w:t>dw</w:t>
            </w:r>
            <w:r w:rsidR="00881BE8" w:rsidRPr="00DD3CFD"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="00D967E0" w:rsidRPr="00DD3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kwoto</w:t>
            </w:r>
            <w:r w:rsidR="00881BE8" w:rsidRPr="00DD3CFD">
              <w:rPr>
                <w:rFonts w:ascii="Times New Roman" w:hAnsi="Times New Roman"/>
                <w:color w:val="000000"/>
                <w:sz w:val="24"/>
                <w:szCs w:val="24"/>
              </w:rPr>
              <w:t>we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staw</w:t>
            </w:r>
            <w:r w:rsidR="00881BE8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>ki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opłaty manipulacyjnej, bez względu na wysokość należności objętej tytułem wykonawczym, pobieran</w:t>
            </w:r>
            <w:r w:rsidR="009F377A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oddzielnie od każdego tytułu wykonawczego: </w:t>
            </w:r>
            <w:r w:rsidR="00E06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wysokości 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>40 zł za wszczęcie postępowania egzekucyjne</w:t>
            </w:r>
            <w:r w:rsidR="00D967E0" w:rsidRPr="00E9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go, </w:t>
            </w:r>
            <w:r w:rsidR="00E06C10">
              <w:rPr>
                <w:rFonts w:ascii="Times New Roman" w:hAnsi="Times New Roman"/>
                <w:color w:val="000000"/>
                <w:sz w:val="24"/>
                <w:szCs w:val="24"/>
              </w:rPr>
              <w:t>podwyższanej</w:t>
            </w:r>
            <w:r w:rsidR="00D967E0" w:rsidRPr="00E9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100 zł z chwilą wszczęcia egzekucji administracyjnej;</w:t>
            </w:r>
          </w:p>
          <w:p w14:paraId="5EA193A5" w14:textId="58648E07" w:rsidR="00D967E0" w:rsidRPr="00DD3CFD" w:rsidRDefault="00BC7442" w:rsidP="00D967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3245A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>opłat</w:t>
            </w:r>
            <w:r w:rsidR="00881BE8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>ę</w:t>
            </w:r>
            <w:r w:rsidR="00D967E0" w:rsidRPr="00E9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egzekucyjn</w:t>
            </w:r>
            <w:r w:rsidR="00881BE8" w:rsidRPr="00E9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ą </w:t>
            </w:r>
            <w:r w:rsidR="00D967E0" w:rsidRPr="00E93604">
              <w:rPr>
                <w:rFonts w:ascii="Times New Roman" w:hAnsi="Times New Roman"/>
                <w:color w:val="000000"/>
                <w:sz w:val="24"/>
                <w:szCs w:val="24"/>
              </w:rPr>
              <w:t>(w miejsce opłat za czynności egzekucyjne) pobieran</w:t>
            </w:r>
            <w:r w:rsidR="00881BE8" w:rsidRPr="00CD7FF9">
              <w:rPr>
                <w:rFonts w:ascii="Times New Roman" w:hAnsi="Times New Roman"/>
                <w:color w:val="000000"/>
                <w:sz w:val="24"/>
                <w:szCs w:val="24"/>
              </w:rPr>
              <w:t>ą</w:t>
            </w:r>
            <w:r w:rsidR="00D967E0" w:rsidRPr="00CD7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proporcjonalnie do</w:t>
            </w:r>
            <w:r w:rsidR="00DE1E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967E0" w:rsidRPr="00DD3CFD">
              <w:rPr>
                <w:rFonts w:ascii="Times New Roman" w:hAnsi="Times New Roman"/>
                <w:color w:val="000000"/>
                <w:sz w:val="24"/>
                <w:szCs w:val="24"/>
              </w:rPr>
              <w:t>wyegzekwowanych środków pieniężnych</w:t>
            </w:r>
            <w:r w:rsidR="00881BE8" w:rsidRPr="00DD3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67E0" w:rsidRPr="00DD3CFD">
              <w:rPr>
                <w:rFonts w:ascii="Times New Roman" w:hAnsi="Times New Roman"/>
                <w:color w:val="000000"/>
                <w:sz w:val="24"/>
                <w:szCs w:val="24"/>
              </w:rPr>
              <w:t>(10%</w:t>
            </w:r>
            <w:r w:rsidR="009F377A" w:rsidRPr="00DD3CF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967E0" w:rsidRPr="00DD3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więcej niż 40 000 zł</w:t>
            </w:r>
            <w:r w:rsidR="00E06C1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967E0" w:rsidRPr="00DD3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77AA0318" w14:textId="77777777" w:rsidR="00D967E0" w:rsidRPr="00E93604" w:rsidRDefault="00BC7442" w:rsidP="00D967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3245A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>obniżenie wysokości opłaty egzekucyjnej w przypadku dobrowolnej zapłaty egzekwowanej należności (5% uzyskan</w:t>
            </w:r>
            <w:r w:rsidR="009F377A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środków pieniężnych</w:t>
            </w:r>
            <w:r w:rsidR="009F377A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967E0" w:rsidRPr="00E9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więcej niż 20 000 zł);</w:t>
            </w:r>
          </w:p>
          <w:p w14:paraId="5045ADF9" w14:textId="77777777" w:rsidR="00D967E0" w:rsidRPr="00BC7442" w:rsidRDefault="00BC7442" w:rsidP="00D967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nieobciążanie kosztami egzekucyjnymi wierzyciela działającego w ramach państwowej jednostki budżetowej lub będącego państwową jednostką budżetową;</w:t>
            </w:r>
          </w:p>
          <w:p w14:paraId="1C3005D9" w14:textId="77777777" w:rsidR="00D967E0" w:rsidRPr="00BC7442" w:rsidRDefault="00BC7442" w:rsidP="00D967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rozszerzenie katalogu wydatków egzekucyjnych;</w:t>
            </w:r>
          </w:p>
          <w:p w14:paraId="795D07E2" w14:textId="24A98959" w:rsidR="00D967E0" w:rsidRPr="00E93604" w:rsidRDefault="00BC7442" w:rsidP="00D967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zmian</w:t>
            </w:r>
            <w:r w:rsidR="009F377A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>ę</w:t>
            </w:r>
            <w:r w:rsidR="00D967E0" w:rsidRPr="00E9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przesłanek umorzenia kosztów egzekucyjnych i rozłożenia na rat</w:t>
            </w:r>
            <w:r w:rsidR="009F377A" w:rsidRPr="00E93604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D967E0" w:rsidRPr="00E9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spłaty tych kosztów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oraz</w:t>
            </w:r>
            <w:r w:rsidR="00D967E0" w:rsidRPr="00DD3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>przepi</w:t>
            </w:r>
            <w:r w:rsidR="009F377A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>sy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regulując</w:t>
            </w:r>
            <w:r w:rsidR="009F377A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D967E0" w:rsidRPr="00E93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pomoc publiczną w procedurze udzielania ulg</w:t>
            </w:r>
            <w:r w:rsidR="00E06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spłacie kosztów</w:t>
            </w:r>
            <w:r w:rsidR="00D967E0" w:rsidRPr="00E936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1044FD5" w14:textId="77777777" w:rsidR="00D967E0" w:rsidRPr="00820740" w:rsidRDefault="00BC7442" w:rsidP="00D967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67E0" w:rsidRPr="00E93604">
              <w:rPr>
                <w:rFonts w:ascii="Times New Roman" w:hAnsi="Times New Roman"/>
                <w:color w:val="000000"/>
                <w:sz w:val="24"/>
                <w:szCs w:val="24"/>
              </w:rPr>
              <w:t>regul</w:t>
            </w:r>
            <w:r w:rsidR="00DA5B7B" w:rsidRPr="00E93604">
              <w:rPr>
                <w:rFonts w:ascii="Times New Roman" w:hAnsi="Times New Roman"/>
                <w:color w:val="000000"/>
                <w:sz w:val="24"/>
                <w:szCs w:val="24"/>
              </w:rPr>
              <w:t>acje</w:t>
            </w:r>
            <w:r w:rsidR="00D967E0" w:rsidRPr="00AE2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5B7B" w:rsidRPr="00AE2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zakresie </w:t>
            </w:r>
            <w:r w:rsidR="00D967E0" w:rsidRPr="00077D7B">
              <w:rPr>
                <w:rFonts w:ascii="Times New Roman" w:hAnsi="Times New Roman"/>
                <w:color w:val="000000"/>
                <w:sz w:val="24"/>
                <w:szCs w:val="24"/>
              </w:rPr>
              <w:t>przedawnieni</w:t>
            </w:r>
            <w:r w:rsidR="00DA5B7B" w:rsidRPr="00077D7B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D967E0" w:rsidRPr="00820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kosztów egzekucyjnych i kosztów upomnienia;</w:t>
            </w:r>
          </w:p>
          <w:p w14:paraId="1D77530E" w14:textId="77777777" w:rsidR="00D967E0" w:rsidRPr="00BC7442" w:rsidRDefault="00BC7442" w:rsidP="00D967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rezygnacj</w:t>
            </w:r>
            <w:r w:rsidR="0053245A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>ę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opłaty komorniczej;</w:t>
            </w:r>
          </w:p>
          <w:p w14:paraId="05BA0E2B" w14:textId="77777777" w:rsidR="00764354" w:rsidRPr="000E1045" w:rsidRDefault="00BC7442" w:rsidP="00C424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zmian</w:t>
            </w:r>
            <w:r w:rsidR="0053245A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>ę</w:t>
            </w:r>
            <w:r w:rsidR="00D967E0" w:rsidRPr="00BC7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procedury związanej z ponownym wszc</w:t>
            </w:r>
            <w:r w:rsidR="00D967E0" w:rsidRPr="00E93604">
              <w:rPr>
                <w:rFonts w:ascii="Times New Roman" w:hAnsi="Times New Roman"/>
                <w:color w:val="000000"/>
                <w:sz w:val="24"/>
                <w:szCs w:val="24"/>
              </w:rPr>
              <w:t>zęciem egzekucji administracyjnej</w:t>
            </w:r>
            <w:r w:rsidR="00D967E0" w:rsidRPr="00AE20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703D6" w:rsidRPr="00D035F3" w14:paraId="6AD33392" w14:textId="77777777" w:rsidTr="005923A9">
        <w:trPr>
          <w:gridAfter w:val="1"/>
          <w:wAfter w:w="7" w:type="dxa"/>
          <w:trHeight w:val="333"/>
        </w:trPr>
        <w:tc>
          <w:tcPr>
            <w:tcW w:w="11057" w:type="dxa"/>
            <w:gridSpan w:val="17"/>
            <w:shd w:val="clear" w:color="auto" w:fill="53A824"/>
            <w:vAlign w:val="center"/>
          </w:tcPr>
          <w:p w14:paraId="13742C46" w14:textId="77777777" w:rsidR="009703D6" w:rsidRPr="00D035F3" w:rsidRDefault="00D418B9" w:rsidP="005A06D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D035F3">
              <w:rPr>
                <w:rFonts w:ascii="Times New Roman" w:hAnsi="Times New Roman"/>
                <w:b/>
              </w:rPr>
              <w:t xml:space="preserve">Podmioty, na które oddziałuje </w:t>
            </w:r>
            <w:r w:rsidR="00282C90">
              <w:rPr>
                <w:rFonts w:ascii="Times New Roman" w:hAnsi="Times New Roman"/>
                <w:b/>
              </w:rPr>
              <w:t>ustawa</w:t>
            </w:r>
          </w:p>
        </w:tc>
      </w:tr>
      <w:tr w:rsidR="00282C90" w:rsidRPr="008B4FE6" w14:paraId="74663A7A" w14:textId="77777777" w:rsidTr="005923A9">
        <w:trPr>
          <w:trHeight w:val="142"/>
        </w:trPr>
        <w:tc>
          <w:tcPr>
            <w:tcW w:w="2672" w:type="dxa"/>
            <w:gridSpan w:val="3"/>
            <w:shd w:val="clear" w:color="auto" w:fill="auto"/>
          </w:tcPr>
          <w:p w14:paraId="436E6671" w14:textId="77777777" w:rsidR="00282C90" w:rsidRPr="00EC0E83" w:rsidRDefault="00282C90" w:rsidP="00A70F60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C0E8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Grupa</w:t>
            </w:r>
          </w:p>
        </w:tc>
        <w:tc>
          <w:tcPr>
            <w:tcW w:w="2292" w:type="dxa"/>
            <w:gridSpan w:val="4"/>
            <w:shd w:val="clear" w:color="auto" w:fill="auto"/>
          </w:tcPr>
          <w:p w14:paraId="7D5CE75F" w14:textId="77777777" w:rsidR="00282C90" w:rsidRPr="00EC0E83" w:rsidRDefault="00282C90" w:rsidP="00A70F60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C0E8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Wielkość</w:t>
            </w:r>
          </w:p>
        </w:tc>
        <w:tc>
          <w:tcPr>
            <w:tcW w:w="2996" w:type="dxa"/>
            <w:gridSpan w:val="7"/>
            <w:shd w:val="clear" w:color="auto" w:fill="auto"/>
          </w:tcPr>
          <w:p w14:paraId="70251E0C" w14:textId="77777777" w:rsidR="00282C90" w:rsidRPr="00EC0E83" w:rsidRDefault="00282C90" w:rsidP="00A70F60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C0E8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Źródło danych</w:t>
            </w:r>
            <w:r w:rsidRPr="00EC0E83" w:rsidDel="00260F3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gridSpan w:val="4"/>
            <w:shd w:val="clear" w:color="auto" w:fill="auto"/>
          </w:tcPr>
          <w:p w14:paraId="5AFE99FC" w14:textId="77777777" w:rsidR="00282C90" w:rsidRPr="00EC0E83" w:rsidRDefault="00282C90" w:rsidP="00A70F60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C0E8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Oddziaływanie</w:t>
            </w:r>
          </w:p>
        </w:tc>
      </w:tr>
      <w:tr w:rsidR="00282C90" w:rsidRPr="008B4FE6" w14:paraId="733E7C19" w14:textId="77777777" w:rsidTr="005923A9">
        <w:trPr>
          <w:trHeight w:val="142"/>
        </w:trPr>
        <w:tc>
          <w:tcPr>
            <w:tcW w:w="2672" w:type="dxa"/>
            <w:gridSpan w:val="3"/>
            <w:shd w:val="clear" w:color="auto" w:fill="auto"/>
          </w:tcPr>
          <w:p w14:paraId="10DE43AC" w14:textId="77777777" w:rsidR="00F709E1" w:rsidRDefault="00A3360E" w:rsidP="00F709E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Administracyjne organy egzekucyjne</w:t>
            </w:r>
          </w:p>
          <w:p w14:paraId="39D6DFF2" w14:textId="77777777" w:rsidR="00F709E1" w:rsidRDefault="00F709E1" w:rsidP="00F709E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035A252E" w14:textId="77777777" w:rsidR="00F709E1" w:rsidRPr="008B4FE6" w:rsidRDefault="00F709E1" w:rsidP="00F709E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4"/>
            <w:shd w:val="clear" w:color="auto" w:fill="auto"/>
          </w:tcPr>
          <w:p w14:paraId="3450F628" w14:textId="1706D6E7" w:rsidR="00510790" w:rsidRPr="00435915" w:rsidRDefault="00510790" w:rsidP="0051079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– 3</w:t>
            </w:r>
            <w:r w:rsidR="00E019E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 naczelników urzędów skarbowych,</w:t>
            </w:r>
          </w:p>
          <w:p w14:paraId="210028F6" w14:textId="77777777" w:rsidR="00510790" w:rsidRPr="00435915" w:rsidRDefault="00510790" w:rsidP="0051079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– 47 właściwych organów gminy o</w:t>
            </w:r>
            <w:r w:rsidR="00691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statusie miasta, </w:t>
            </w:r>
          </w:p>
          <w:p w14:paraId="1E302356" w14:textId="77777777" w:rsidR="0069134F" w:rsidRDefault="00510790" w:rsidP="0051079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– właściwe organy gminy prowadzące postępowanie egzekucyjne </w:t>
            </w:r>
          </w:p>
          <w:p w14:paraId="37C85609" w14:textId="77777777" w:rsidR="00510790" w:rsidRPr="00435915" w:rsidRDefault="0069134F" w:rsidP="0051079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="00510790"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="007840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10790"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podstawie porozumień, </w:t>
            </w:r>
          </w:p>
          <w:p w14:paraId="1B996F2A" w14:textId="77777777" w:rsidR="00510790" w:rsidRPr="00435915" w:rsidRDefault="00510790" w:rsidP="0051079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43 dyrektorów oddział</w:t>
            </w:r>
            <w:r w:rsidR="00E0384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ów</w:t>
            </w: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ZUS, </w:t>
            </w:r>
          </w:p>
          <w:p w14:paraId="684A5434" w14:textId="77777777" w:rsidR="00510790" w:rsidRPr="00435915" w:rsidRDefault="00510790" w:rsidP="0051079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– 10 dyrektorów oddziałów regionalnych Agencji Mienia Wojskowego, </w:t>
            </w:r>
          </w:p>
          <w:p w14:paraId="068D46B4" w14:textId="77777777" w:rsidR="00282C90" w:rsidRPr="008B4FE6" w:rsidRDefault="00510790" w:rsidP="00510790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16 marszałków województw</w:t>
            </w:r>
          </w:p>
        </w:tc>
        <w:tc>
          <w:tcPr>
            <w:tcW w:w="2996" w:type="dxa"/>
            <w:gridSpan w:val="7"/>
            <w:shd w:val="clear" w:color="auto" w:fill="auto"/>
          </w:tcPr>
          <w:p w14:paraId="74DE2BDF" w14:textId="77777777" w:rsidR="00510790" w:rsidRPr="00435915" w:rsidRDefault="00510790" w:rsidP="0051079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– art. 19 ustawy </w:t>
            </w:r>
          </w:p>
          <w:p w14:paraId="0A460AF8" w14:textId="77777777" w:rsidR="00510790" w:rsidRPr="00435915" w:rsidRDefault="00510790" w:rsidP="0051079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oraz:</w:t>
            </w:r>
          </w:p>
          <w:p w14:paraId="3C1F706F" w14:textId="77777777" w:rsidR="00510790" w:rsidRPr="00435915" w:rsidRDefault="00510790" w:rsidP="004359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– rozporządzenie Ministra Rozwoju i Finansów z dnia 24 lutego 2017 r. w sprawie terytorialnego zasięgu działania oraz siedzib dyrektorów izb administracji skarbowej, naczelników urzędów skarbowych i</w:t>
            </w:r>
            <w:r w:rsidR="00E52F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naczelników urzędów celno</w:t>
            </w:r>
            <w:r w:rsidR="00BC74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skarbowych oraz siedziby dyrektora Krajowej Informacji Skarbowej </w:t>
            </w:r>
            <w:hyperlink r:id="rId8" w:history="1">
              <w:r w:rsidRPr="00435915"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(Dz.</w:t>
              </w:r>
              <w:r w:rsidR="00E52F6B"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 </w:t>
              </w:r>
              <w:r w:rsidRPr="00435915"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 xml:space="preserve">U. z 2022 r. </w:t>
              </w:r>
            </w:hyperlink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poz. </w:t>
            </w:r>
            <w:hyperlink r:id="rId9" w:history="1">
              <w:r w:rsidRPr="00435915"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361)</w:t>
              </w:r>
            </w:hyperlink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</w:p>
          <w:p w14:paraId="1D292FD6" w14:textId="77777777" w:rsidR="00510790" w:rsidRPr="00435915" w:rsidRDefault="00510790" w:rsidP="0051079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rozporządzenie Ministra Finansów</w:t>
            </w:r>
            <w:r w:rsidR="002255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Funduszy i</w:t>
            </w:r>
            <w:r w:rsidR="00DE1E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="002255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Polityki Regionalnej</w:t>
            </w: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 dnia 28 grudnia 2020 r. w sprawie niektórych podatników i</w:t>
            </w:r>
            <w:r w:rsidR="00E52F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płatników, w odniesieniu do których zadania są</w:t>
            </w:r>
            <w:r w:rsidR="006913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wykonywane przez naczelnika urzędu skarbowego innego niż właściwy miejscowo (Dz. U. 2456),</w:t>
            </w:r>
          </w:p>
          <w:p w14:paraId="501CF298" w14:textId="77777777" w:rsidR="00510790" w:rsidRPr="00435915" w:rsidRDefault="00510790" w:rsidP="0051079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rozporządzenie Ministra Rozwoju i Finansów z dnia 27 lutego 2017 r. w sprawie wyznaczenia organów Krajowej Administracji Skarbowej do wykonywania niektórych zadań Krajowej Administracji Skarbowej oraz określenia terytorialnego zasięgu ich działania (Dz. U. z 2019 r. poz. 2055, z późn. zm.),</w:t>
            </w:r>
          </w:p>
          <w:p w14:paraId="0193807F" w14:textId="162D2629" w:rsidR="00510790" w:rsidRPr="00435915" w:rsidRDefault="00510790" w:rsidP="0051079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załącznik do ustaw</w:t>
            </w:r>
            <w:r w:rsidR="004626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 z dnia 24 listopada 1995 r. o </w:t>
            </w: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zmianie zakresu działania niektórych miast oraz miejskich strefach usług publicznych (Dz.</w:t>
            </w:r>
            <w:r w:rsidR="003C63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U. z</w:t>
            </w:r>
            <w:r w:rsidR="003C63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1997</w:t>
            </w:r>
            <w:r w:rsidR="003C63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r. poz. 224) oraz ustawa z dnia 15 marca 2002</w:t>
            </w:r>
            <w:r w:rsidR="003C63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r. o ustroju miasta stołecznego Warszawy (Dz.</w:t>
            </w:r>
            <w:r w:rsidR="003C63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4359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U. z 2018 r. poz. 1817),</w:t>
            </w:r>
          </w:p>
          <w:p w14:paraId="12B5425C" w14:textId="491DCB58" w:rsidR="00510790" w:rsidRPr="00435915" w:rsidRDefault="00510790" w:rsidP="005107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t>– ustawa z dnia 3 lutego 1995 r. o ochronie gruntów rolnych i leśnych (Dz. U. z</w:t>
            </w:r>
            <w:r w:rsidR="00E52F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E06C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t xml:space="preserve"> r. poz. </w:t>
            </w:r>
            <w:r w:rsidR="00E06C10">
              <w:rPr>
                <w:rFonts w:ascii="Times New Roman" w:hAnsi="Times New Roman"/>
                <w:bCs/>
                <w:sz w:val="24"/>
                <w:szCs w:val="24"/>
              </w:rPr>
              <w:t>2409</w:t>
            </w: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DE1E7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EBF7C11" w14:textId="5D5DD453" w:rsidR="00282C90" w:rsidRPr="008B4FE6" w:rsidRDefault="00510790" w:rsidP="00E06C10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t>– ustawa z dnia 13 września 1996 r. o utrzymaniu czystości</w:t>
            </w:r>
            <w:r w:rsidR="00B610A9">
              <w:rPr>
                <w:rFonts w:ascii="Times New Roman" w:hAnsi="Times New Roman"/>
                <w:bCs/>
                <w:sz w:val="24"/>
                <w:szCs w:val="24"/>
              </w:rPr>
              <w:t xml:space="preserve"> i porządku</w:t>
            </w: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</w:t>
            </w:r>
            <w:r w:rsidR="00DE1E7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t>gminach (Dz. U. z 202</w:t>
            </w:r>
            <w:r w:rsidR="00E603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t xml:space="preserve"> r. poz. </w:t>
            </w:r>
            <w:r w:rsidR="00E06C10">
              <w:rPr>
                <w:rFonts w:ascii="Times New Roman" w:hAnsi="Times New Roman"/>
                <w:bCs/>
                <w:sz w:val="24"/>
                <w:szCs w:val="24"/>
              </w:rPr>
              <w:t>2519</w:t>
            </w:r>
            <w:r w:rsidRPr="00435915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3104" w:type="dxa"/>
            <w:gridSpan w:val="4"/>
            <w:shd w:val="clear" w:color="auto" w:fill="auto"/>
          </w:tcPr>
          <w:p w14:paraId="230789CE" w14:textId="77777777" w:rsidR="00282C90" w:rsidRPr="00C42494" w:rsidRDefault="00FC3E2D" w:rsidP="00A70F60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C424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Pobieranie kosztów egzekucyjnych </w:t>
            </w:r>
            <w:r w:rsidRPr="00C424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od</w:t>
            </w:r>
            <w:r w:rsidR="00DE1E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C424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zobowiązanych w</w:t>
            </w:r>
            <w:r w:rsidR="00DE1E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C424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wysokości zgodnej z</w:t>
            </w:r>
            <w:r w:rsidR="00DE1E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C424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wymogami określonymi w</w:t>
            </w:r>
            <w:r w:rsidR="00DE1E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C424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wyroku TK</w:t>
            </w:r>
          </w:p>
        </w:tc>
      </w:tr>
      <w:tr w:rsidR="00282C90" w:rsidRPr="008B4FE6" w14:paraId="5E002D55" w14:textId="77777777" w:rsidTr="005923A9">
        <w:trPr>
          <w:trHeight w:val="142"/>
        </w:trPr>
        <w:tc>
          <w:tcPr>
            <w:tcW w:w="2672" w:type="dxa"/>
            <w:gridSpan w:val="3"/>
            <w:shd w:val="clear" w:color="auto" w:fill="auto"/>
          </w:tcPr>
          <w:p w14:paraId="3F2BCA3C" w14:textId="77777777" w:rsidR="00F709E1" w:rsidRPr="008B4FE6" w:rsidRDefault="006F79A7" w:rsidP="00A70F6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Zobowiązani</w:t>
            </w:r>
          </w:p>
        </w:tc>
        <w:tc>
          <w:tcPr>
            <w:tcW w:w="2292" w:type="dxa"/>
            <w:gridSpan w:val="4"/>
            <w:shd w:val="clear" w:color="auto" w:fill="auto"/>
          </w:tcPr>
          <w:p w14:paraId="0DFA4315" w14:textId="77777777" w:rsidR="00282C90" w:rsidRPr="008B4FE6" w:rsidRDefault="006F79A7" w:rsidP="007B3B4B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ok. </w:t>
            </w:r>
            <w:r w:rsidR="007B3B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mln zobowiązanych</w:t>
            </w:r>
          </w:p>
        </w:tc>
        <w:tc>
          <w:tcPr>
            <w:tcW w:w="2996" w:type="dxa"/>
            <w:gridSpan w:val="7"/>
            <w:shd w:val="clear" w:color="auto" w:fill="auto"/>
          </w:tcPr>
          <w:p w14:paraId="54EC2397" w14:textId="77777777" w:rsidR="00282C90" w:rsidRPr="008B4FE6" w:rsidRDefault="00282C90" w:rsidP="00A70F60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3104" w:type="dxa"/>
            <w:gridSpan w:val="4"/>
            <w:shd w:val="clear" w:color="auto" w:fill="auto"/>
          </w:tcPr>
          <w:p w14:paraId="021E4315" w14:textId="413C6437" w:rsidR="00282C90" w:rsidRPr="00CD2CD0" w:rsidRDefault="00E06C10" w:rsidP="006F79A7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Ponoszenie kosztów egzekucyjnych</w:t>
            </w:r>
            <w:r w:rsidR="00FC3E2D" w:rsidRPr="00CD2C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</w:t>
            </w:r>
            <w:r w:rsidR="00DE1E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="00FC3E2D" w:rsidRPr="00CD2C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wysokości zgodnej z</w:t>
            </w:r>
            <w:r w:rsidR="00DE1E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="00FC3E2D" w:rsidRPr="00CD2C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wymogami określonymi w</w:t>
            </w:r>
            <w:r w:rsidR="00DE1E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="00FC3E2D" w:rsidRPr="00CD2C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wyroku TK</w:t>
            </w:r>
          </w:p>
        </w:tc>
      </w:tr>
      <w:tr w:rsidR="006F79A7" w:rsidRPr="008B4FE6" w14:paraId="2BD72B73" w14:textId="77777777" w:rsidTr="005923A9">
        <w:trPr>
          <w:trHeight w:val="142"/>
        </w:trPr>
        <w:tc>
          <w:tcPr>
            <w:tcW w:w="2672" w:type="dxa"/>
            <w:gridSpan w:val="3"/>
            <w:shd w:val="clear" w:color="auto" w:fill="auto"/>
          </w:tcPr>
          <w:p w14:paraId="47D7F245" w14:textId="77777777" w:rsidR="006F79A7" w:rsidRDefault="006F79A7" w:rsidP="00A70F6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Wierzyciele należności pieniężnych podlegających egzekucji administracyjnej</w:t>
            </w:r>
          </w:p>
        </w:tc>
        <w:tc>
          <w:tcPr>
            <w:tcW w:w="2292" w:type="dxa"/>
            <w:gridSpan w:val="4"/>
            <w:shd w:val="clear" w:color="auto" w:fill="auto"/>
          </w:tcPr>
          <w:p w14:paraId="42760A1F" w14:textId="77777777" w:rsidR="006F79A7" w:rsidRPr="00760EC5" w:rsidRDefault="006F79A7" w:rsidP="00A70F6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danych</w:t>
            </w:r>
          </w:p>
        </w:tc>
        <w:tc>
          <w:tcPr>
            <w:tcW w:w="2996" w:type="dxa"/>
            <w:gridSpan w:val="7"/>
            <w:shd w:val="clear" w:color="auto" w:fill="auto"/>
          </w:tcPr>
          <w:p w14:paraId="456F24EC" w14:textId="77777777" w:rsidR="006F79A7" w:rsidRPr="008B4FE6" w:rsidRDefault="006F79A7" w:rsidP="00A70F60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3104" w:type="dxa"/>
            <w:gridSpan w:val="4"/>
            <w:shd w:val="clear" w:color="auto" w:fill="auto"/>
          </w:tcPr>
          <w:p w14:paraId="53E84D85" w14:textId="77777777" w:rsidR="00FC3E2D" w:rsidRPr="00CD2CD0" w:rsidRDefault="00CD2CD0" w:rsidP="00FC3E2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BC7442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FC3E2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C3E2D" w:rsidRPr="00CD2C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Zwolnienie </w:t>
            </w:r>
            <w:r w:rsidR="00FC3E2D" w:rsidRPr="00CD2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wierzycieli działających w ramach państwowej jednostki budżetowej lub będących państwową jednostką budżetową </w:t>
            </w:r>
            <w:r w:rsidR="00FC3E2D" w:rsidRPr="00CD2C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 obowiązku ponoszenia </w:t>
            </w:r>
            <w:r w:rsidR="00FC3E2D" w:rsidRPr="00CD2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kosztów egzekucyjnych, </w:t>
            </w:r>
          </w:p>
          <w:p w14:paraId="11F2D4B7" w14:textId="76719F72" w:rsidR="006F79A7" w:rsidRPr="00760EC5" w:rsidRDefault="00CD2CD0" w:rsidP="00E06C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C744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FC3E2D" w:rsidRPr="00CD2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6C10">
              <w:rPr>
                <w:rFonts w:ascii="Times New Roman" w:hAnsi="Times New Roman"/>
                <w:color w:val="000000"/>
                <w:sz w:val="24"/>
                <w:szCs w:val="24"/>
              </w:rPr>
              <w:t>Brak konieczności ponoszenia</w:t>
            </w:r>
            <w:r w:rsidR="00E06C10" w:rsidRPr="00CD2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3E2D" w:rsidRPr="00CD2CD0">
              <w:rPr>
                <w:rFonts w:ascii="Times New Roman" w:hAnsi="Times New Roman"/>
                <w:color w:val="000000"/>
                <w:sz w:val="24"/>
                <w:szCs w:val="24"/>
              </w:rPr>
              <w:t>opłaty komorniczej</w:t>
            </w:r>
          </w:p>
        </w:tc>
      </w:tr>
      <w:tr w:rsidR="009703D6" w:rsidRPr="00D035F3" w14:paraId="4798064E" w14:textId="77777777" w:rsidTr="005923A9">
        <w:trPr>
          <w:gridAfter w:val="1"/>
          <w:wAfter w:w="7" w:type="dxa"/>
          <w:trHeight w:val="482"/>
        </w:trPr>
        <w:tc>
          <w:tcPr>
            <w:tcW w:w="11057" w:type="dxa"/>
            <w:gridSpan w:val="17"/>
            <w:shd w:val="clear" w:color="auto" w:fill="53A824"/>
            <w:vAlign w:val="center"/>
          </w:tcPr>
          <w:p w14:paraId="78AAB2BD" w14:textId="77777777" w:rsidR="009703D6" w:rsidRPr="00D035F3" w:rsidRDefault="002275D7" w:rsidP="005A06D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D035F3">
              <w:rPr>
                <w:rFonts w:ascii="Times New Roman" w:hAnsi="Times New Roman"/>
                <w:b/>
              </w:rPr>
              <w:t xml:space="preserve">Celowość wprowadzenia </w:t>
            </w:r>
            <w:r w:rsidR="00282C90">
              <w:rPr>
                <w:rFonts w:ascii="Times New Roman" w:hAnsi="Times New Roman"/>
                <w:b/>
              </w:rPr>
              <w:t>ustawy</w:t>
            </w:r>
            <w:r w:rsidRPr="00D035F3">
              <w:rPr>
                <w:rFonts w:ascii="Times New Roman" w:hAnsi="Times New Roman"/>
                <w:b/>
              </w:rPr>
              <w:t xml:space="preserve"> – zestawienie porównawcze </w:t>
            </w:r>
            <w:r w:rsidR="00966104" w:rsidRPr="00D035F3">
              <w:rPr>
                <w:rFonts w:ascii="Times New Roman" w:hAnsi="Times New Roman"/>
                <w:b/>
              </w:rPr>
              <w:t>w odniesieniu do sytuacji sprzed zmiany</w:t>
            </w:r>
          </w:p>
        </w:tc>
      </w:tr>
      <w:tr w:rsidR="002275D7" w:rsidRPr="00D035F3" w14:paraId="4DAEB75B" w14:textId="77777777" w:rsidTr="005923A9">
        <w:trPr>
          <w:gridAfter w:val="1"/>
          <w:wAfter w:w="7" w:type="dxa"/>
          <w:trHeight w:val="142"/>
        </w:trPr>
        <w:tc>
          <w:tcPr>
            <w:tcW w:w="5246" w:type="dxa"/>
            <w:gridSpan w:val="9"/>
            <w:shd w:val="clear" w:color="auto" w:fill="53A824"/>
          </w:tcPr>
          <w:p w14:paraId="2E36ABBD" w14:textId="77777777" w:rsidR="002275D7" w:rsidRPr="00D035F3" w:rsidRDefault="002275D7" w:rsidP="00AD451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035F3">
              <w:rPr>
                <w:rFonts w:ascii="Times New Roman" w:hAnsi="Times New Roman"/>
                <w:b/>
                <w:bCs/>
              </w:rPr>
              <w:t xml:space="preserve">Ocena </w:t>
            </w:r>
            <w:r w:rsidRPr="00D035F3">
              <w:rPr>
                <w:rFonts w:ascii="Times New Roman" w:hAnsi="Times New Roman"/>
                <w:b/>
                <w:bCs/>
                <w:i/>
              </w:rPr>
              <w:t>ex</w:t>
            </w:r>
            <w:r w:rsidR="00BC7442">
              <w:rPr>
                <w:rFonts w:ascii="Times New Roman" w:hAnsi="Times New Roman"/>
                <w:b/>
                <w:bCs/>
                <w:i/>
              </w:rPr>
              <w:t>–</w:t>
            </w:r>
            <w:r w:rsidRPr="00D035F3">
              <w:rPr>
                <w:rFonts w:ascii="Times New Roman" w:hAnsi="Times New Roman"/>
                <w:b/>
                <w:bCs/>
                <w:i/>
              </w:rPr>
              <w:t>ante</w:t>
            </w:r>
            <w:r w:rsidR="00C113A0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811" w:type="dxa"/>
            <w:gridSpan w:val="8"/>
            <w:shd w:val="clear" w:color="auto" w:fill="53A824"/>
          </w:tcPr>
          <w:p w14:paraId="02673D7E" w14:textId="77777777" w:rsidR="002275D7" w:rsidRPr="00D035F3" w:rsidRDefault="002275D7" w:rsidP="002275D7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035F3">
              <w:rPr>
                <w:rFonts w:ascii="Times New Roman" w:hAnsi="Times New Roman"/>
                <w:b/>
                <w:bCs/>
              </w:rPr>
              <w:t xml:space="preserve">Ocena </w:t>
            </w:r>
            <w:r w:rsidRPr="00D035F3">
              <w:rPr>
                <w:rFonts w:ascii="Times New Roman" w:hAnsi="Times New Roman"/>
                <w:b/>
                <w:bCs/>
                <w:i/>
              </w:rPr>
              <w:t>ex</w:t>
            </w:r>
            <w:r w:rsidR="00BC7442">
              <w:rPr>
                <w:rFonts w:ascii="Times New Roman" w:hAnsi="Times New Roman"/>
                <w:b/>
                <w:bCs/>
                <w:i/>
              </w:rPr>
              <w:t>–</w:t>
            </w:r>
            <w:r w:rsidRPr="00D035F3">
              <w:rPr>
                <w:rFonts w:ascii="Times New Roman" w:hAnsi="Times New Roman"/>
                <w:b/>
                <w:bCs/>
                <w:i/>
              </w:rPr>
              <w:t>post</w:t>
            </w:r>
          </w:p>
        </w:tc>
      </w:tr>
      <w:tr w:rsidR="002275D7" w:rsidRPr="00D035F3" w14:paraId="01FE987F" w14:textId="77777777" w:rsidTr="005923A9">
        <w:trPr>
          <w:gridAfter w:val="1"/>
          <w:wAfter w:w="7" w:type="dxa"/>
          <w:trHeight w:val="142"/>
        </w:trPr>
        <w:tc>
          <w:tcPr>
            <w:tcW w:w="5246" w:type="dxa"/>
            <w:gridSpan w:val="9"/>
            <w:shd w:val="clear" w:color="auto" w:fill="53A824"/>
            <w:vAlign w:val="center"/>
          </w:tcPr>
          <w:p w14:paraId="42BCFAD3" w14:textId="77777777" w:rsidR="002275D7" w:rsidRPr="00D035F3" w:rsidRDefault="002275D7" w:rsidP="00764354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D035F3">
              <w:rPr>
                <w:rFonts w:ascii="Times New Roman" w:hAnsi="Times New Roman"/>
                <w:bCs/>
              </w:rPr>
              <w:t>3.1 Zakładane cele</w:t>
            </w:r>
            <w:r w:rsidR="00A4468F" w:rsidRPr="00D035F3">
              <w:rPr>
                <w:rFonts w:ascii="Times New Roman" w:hAnsi="Times New Roman"/>
                <w:bCs/>
              </w:rPr>
              <w:t xml:space="preserve"> (oczekiwany efekt)</w:t>
            </w:r>
            <w:r w:rsidRPr="00D035F3">
              <w:rPr>
                <w:rFonts w:ascii="Times New Roman" w:hAnsi="Times New Roman"/>
                <w:bCs/>
              </w:rPr>
              <w:t xml:space="preserve"> wprowadzenia </w:t>
            </w:r>
            <w:r w:rsidR="00383FD8">
              <w:rPr>
                <w:rFonts w:ascii="Times New Roman" w:hAnsi="Times New Roman"/>
                <w:bCs/>
              </w:rPr>
              <w:t>ustawy</w:t>
            </w:r>
          </w:p>
        </w:tc>
        <w:tc>
          <w:tcPr>
            <w:tcW w:w="5811" w:type="dxa"/>
            <w:gridSpan w:val="8"/>
            <w:shd w:val="clear" w:color="auto" w:fill="53A824"/>
            <w:vAlign w:val="center"/>
          </w:tcPr>
          <w:p w14:paraId="66EF362F" w14:textId="77777777" w:rsidR="002275D7" w:rsidRPr="00D035F3" w:rsidRDefault="002275D7" w:rsidP="0076435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035F3">
              <w:rPr>
                <w:rFonts w:ascii="Times New Roman" w:hAnsi="Times New Roman"/>
                <w:bCs/>
              </w:rPr>
              <w:t>3.3</w:t>
            </w:r>
            <w:r w:rsidR="00FB0638">
              <w:rPr>
                <w:rFonts w:ascii="Times New Roman" w:hAnsi="Times New Roman"/>
                <w:bCs/>
              </w:rPr>
              <w:t xml:space="preserve"> </w:t>
            </w:r>
            <w:r w:rsidRPr="00D035F3">
              <w:rPr>
                <w:rFonts w:ascii="Times New Roman" w:hAnsi="Times New Roman"/>
                <w:bCs/>
              </w:rPr>
              <w:t xml:space="preserve">Stopień realizacji celów </w:t>
            </w:r>
            <w:r w:rsidR="00383FD8">
              <w:rPr>
                <w:rFonts w:ascii="Times New Roman" w:hAnsi="Times New Roman"/>
                <w:bCs/>
              </w:rPr>
              <w:t>ustawy</w:t>
            </w:r>
          </w:p>
        </w:tc>
      </w:tr>
      <w:tr w:rsidR="002275D7" w:rsidRPr="0029194C" w14:paraId="4E054A91" w14:textId="77777777" w:rsidTr="005923A9">
        <w:trPr>
          <w:gridAfter w:val="1"/>
          <w:wAfter w:w="7" w:type="dxa"/>
          <w:trHeight w:val="142"/>
        </w:trPr>
        <w:tc>
          <w:tcPr>
            <w:tcW w:w="5246" w:type="dxa"/>
            <w:gridSpan w:val="9"/>
            <w:shd w:val="clear" w:color="auto" w:fill="auto"/>
          </w:tcPr>
          <w:p w14:paraId="1F2CF770" w14:textId="7FFEBF10" w:rsidR="00EA3AB6" w:rsidRPr="00EA3AB6" w:rsidRDefault="00EA3AB6" w:rsidP="00EA3AB6">
            <w:pPr>
              <w:pStyle w:val="Default"/>
              <w:jc w:val="both"/>
            </w:pPr>
            <w:r w:rsidRPr="00EA3AB6">
              <w:t>Wprow</w:t>
            </w:r>
            <w:r w:rsidR="000E1045">
              <w:t>adzenie uregulowań zawartych w</w:t>
            </w:r>
            <w:r w:rsidR="0069134F">
              <w:t xml:space="preserve"> </w:t>
            </w:r>
            <w:r w:rsidR="00E775FA">
              <w:t>ustawie z</w:t>
            </w:r>
            <w:r w:rsidR="0069134F">
              <w:t> </w:t>
            </w:r>
            <w:r w:rsidR="00A63B20">
              <w:t>4 lipca</w:t>
            </w:r>
            <w:r w:rsidR="00E775FA">
              <w:t xml:space="preserve"> 2019 r. </w:t>
            </w:r>
            <w:r w:rsidRPr="00EA3AB6">
              <w:t>miało na celu</w:t>
            </w:r>
            <w:r w:rsidR="00405CC2">
              <w:t xml:space="preserve"> wykonanie wyroku </w:t>
            </w:r>
            <w:r w:rsidR="00B12155">
              <w:t xml:space="preserve">TK </w:t>
            </w:r>
            <w:r w:rsidR="00405CC2">
              <w:t>i</w:t>
            </w:r>
            <w:r w:rsidR="00945D47">
              <w:t> </w:t>
            </w:r>
            <w:r w:rsidR="00405CC2">
              <w:t xml:space="preserve">tym samym wprowadzenie do postępowania egzekucyjnego w administracji nowego systemu naliczania i poboru kosztów egzekucyjnych w tym postępowaniu. </w:t>
            </w:r>
          </w:p>
          <w:p w14:paraId="1B1D391E" w14:textId="77777777" w:rsidR="009C30D9" w:rsidRPr="009C30D9" w:rsidRDefault="009C30D9" w:rsidP="009C30D9">
            <w:pPr>
              <w:pStyle w:val="Default"/>
              <w:jc w:val="both"/>
            </w:pPr>
            <w:r w:rsidRPr="009C30D9">
              <w:t>Trybunał Konstytucyjny uznał za niezgodny:</w:t>
            </w:r>
          </w:p>
          <w:p w14:paraId="4B24EB92" w14:textId="77777777" w:rsidR="009C30D9" w:rsidRPr="009C30D9" w:rsidRDefault="00BC7442" w:rsidP="009C30D9">
            <w:pPr>
              <w:pStyle w:val="Default"/>
              <w:jc w:val="both"/>
            </w:pPr>
            <w:r>
              <w:t>–</w:t>
            </w:r>
            <w:r w:rsidR="009C30D9">
              <w:t xml:space="preserve"> art. 64 § 1 pkt 4 i § 6 u.p.e.a.</w:t>
            </w:r>
            <w:r>
              <w:t>–</w:t>
            </w:r>
            <w:r w:rsidR="009C30D9" w:rsidRPr="009C30D9">
              <w:t xml:space="preserve"> z wynikającą z art. 2 Konstytucji Rzeczypospolitej Polskiej zasadą zakazu nadmiernej ingerencji w związku z art. 64 ust. 1 i art. 84 Konstytucji,</w:t>
            </w:r>
          </w:p>
          <w:p w14:paraId="34A74121" w14:textId="6AF4C351" w:rsidR="002275D7" w:rsidRPr="00EF457A" w:rsidRDefault="00BC7442" w:rsidP="009C30D9">
            <w:pPr>
              <w:pStyle w:val="Default"/>
              <w:jc w:val="both"/>
            </w:pPr>
            <w:r>
              <w:t>–</w:t>
            </w:r>
            <w:r w:rsidR="009C30D9">
              <w:t xml:space="preserve"> art. 64 § 8 u.p.e.a.</w:t>
            </w:r>
            <w:r w:rsidR="009C30D9" w:rsidRPr="009C30D9">
              <w:t xml:space="preserve"> </w:t>
            </w:r>
            <w:r w:rsidR="00206AA9" w:rsidRPr="009C30D9">
              <w:t>z wynikającą z art. 2 Konstytucji zasadą zakazu nadmiernej ingerencji w związku z</w:t>
            </w:r>
            <w:r w:rsidR="00206AA9">
              <w:t> </w:t>
            </w:r>
            <w:r w:rsidR="00206AA9" w:rsidRPr="009C30D9">
              <w:t>art. 64 ust. 1 i</w:t>
            </w:r>
            <w:r w:rsidR="00206AA9">
              <w:t xml:space="preserve"> art. 84 Konstytucji, </w:t>
            </w:r>
            <w:r w:rsidR="009C30D9" w:rsidRPr="009C30D9">
              <w:t>w zakresie, w</w:t>
            </w:r>
            <w:r w:rsidR="00206AA9">
              <w:t> </w:t>
            </w:r>
            <w:r w:rsidR="009C30D9" w:rsidRPr="009C30D9">
              <w:t>jakim nie przewid</w:t>
            </w:r>
            <w:r w:rsidR="00945D47">
              <w:t>ywał</w:t>
            </w:r>
            <w:r w:rsidR="009C30D9" w:rsidRPr="009C30D9">
              <w:t xml:space="preserve"> możliwości obniżenia opłaty, o której mow</w:t>
            </w:r>
            <w:r w:rsidR="009C30D9">
              <w:t>a w art. 64 § 1 pkt 4 u.p.e.a.</w:t>
            </w:r>
            <w:r w:rsidR="009C30D9" w:rsidRPr="009C30D9">
              <w:t>, i</w:t>
            </w:r>
            <w:r w:rsidR="00206AA9">
              <w:t> </w:t>
            </w:r>
            <w:r w:rsidR="009C30D9" w:rsidRPr="009C30D9">
              <w:t>opłaty manipulacyjnej w razie umorzenia postępowania z</w:t>
            </w:r>
            <w:r w:rsidR="00DE1E78">
              <w:t> </w:t>
            </w:r>
            <w:r w:rsidR="009C30D9" w:rsidRPr="009C30D9">
              <w:t>uwagi na dobrowolną zapłatę egzekwowanej należności po dokonaniu czynności egzekucyjnych</w:t>
            </w:r>
            <w:r w:rsidR="00945D47">
              <w:t xml:space="preserve">. </w:t>
            </w:r>
            <w:r w:rsidR="009C30D9">
              <w:t>Wykonując wyro</w:t>
            </w:r>
            <w:r w:rsidR="00942CE2">
              <w:t xml:space="preserve">k </w:t>
            </w:r>
            <w:r w:rsidR="00206AA9">
              <w:t>TK</w:t>
            </w:r>
            <w:r w:rsidR="009C30D9">
              <w:t xml:space="preserve"> ustawodawca </w:t>
            </w:r>
            <w:r w:rsidR="00942CE2">
              <w:t xml:space="preserve">miał </w:t>
            </w:r>
            <w:r w:rsidR="009C30D9" w:rsidRPr="009C30D9">
              <w:t>określić nie tylko maksymalną wysokość opłaty egzekucyjnej, o której mowa w</w:t>
            </w:r>
            <w:r w:rsidR="00DE1E78">
              <w:t> </w:t>
            </w:r>
            <w:r w:rsidR="009C30D9" w:rsidRPr="009C30D9">
              <w:t xml:space="preserve">art. 64 § 1 pkt 4 </w:t>
            </w:r>
            <w:r w:rsidR="009C30D9">
              <w:t>u.p.e.a.</w:t>
            </w:r>
            <w:r w:rsidR="009C30D9" w:rsidRPr="009C30D9">
              <w:t xml:space="preserve">, oraz opłaty manipulacyjnej, o której mowa w </w:t>
            </w:r>
            <w:bookmarkStart w:id="3" w:name="#hiperlinkText.rpc?hiperlink=type=tresc:"/>
            <w:r w:rsidR="009C30D9" w:rsidRPr="009C30D9">
              <w:t>art. 64 § 6</w:t>
            </w:r>
            <w:bookmarkEnd w:id="3"/>
            <w:r w:rsidR="009C30D9" w:rsidRPr="009C30D9">
              <w:t xml:space="preserve"> </w:t>
            </w:r>
            <w:r w:rsidR="009C30D9">
              <w:t>u.p.e.a.</w:t>
            </w:r>
            <w:r w:rsidR="009C30D9" w:rsidRPr="009C30D9">
              <w:t xml:space="preserve">, ale także maksymalną wysokość innych opłat egzekucyjnych. </w:t>
            </w:r>
            <w:r w:rsidR="00942CE2">
              <w:t>Trybunał podkreślił, że</w:t>
            </w:r>
            <w:r w:rsidR="00DE1E78">
              <w:t> </w:t>
            </w:r>
            <w:r w:rsidR="00942CE2">
              <w:t>u</w:t>
            </w:r>
            <w:r w:rsidR="009C30D9" w:rsidRPr="009C30D9">
              <w:t xml:space="preserve">stawodawca powinien </w:t>
            </w:r>
            <w:r w:rsidR="00942CE2">
              <w:t xml:space="preserve">również </w:t>
            </w:r>
            <w:r w:rsidR="009C30D9" w:rsidRPr="009C30D9">
              <w:t>określić sposób obliczania wysokości tych opłat w</w:t>
            </w:r>
            <w:r w:rsidR="00945D47">
              <w:t> </w:t>
            </w:r>
            <w:r w:rsidR="009C30D9" w:rsidRPr="009C30D9">
              <w:t>razie umorzenia postępowania w związku z</w:t>
            </w:r>
            <w:r w:rsidR="00206AA9">
              <w:t> </w:t>
            </w:r>
            <w:r w:rsidR="009C30D9" w:rsidRPr="009C30D9">
              <w:t xml:space="preserve">dobrowolną zapłatą egzekwowanej należności po dokonaniu czynności egzekucyjnych. </w:t>
            </w:r>
            <w:r w:rsidR="00942CE2">
              <w:t>Wykonanie wyroku</w:t>
            </w:r>
            <w:r w:rsidR="00206AA9">
              <w:t>, w ocenie TK,</w:t>
            </w:r>
            <w:r w:rsidR="00942CE2">
              <w:t xml:space="preserve"> </w:t>
            </w:r>
            <w:r w:rsidR="005707D5">
              <w:t xml:space="preserve">powinno stanowić </w:t>
            </w:r>
            <w:r w:rsidR="009C30D9" w:rsidRPr="009C30D9">
              <w:t>okazję do szerszego spojrzenia na</w:t>
            </w:r>
            <w:r w:rsidR="00DE1E78">
              <w:t> </w:t>
            </w:r>
            <w:r w:rsidR="009C30D9" w:rsidRPr="009C30D9">
              <w:t>przyjęty model opłat w</w:t>
            </w:r>
            <w:r w:rsidR="00206AA9">
              <w:t> </w:t>
            </w:r>
            <w:r w:rsidR="009C30D9" w:rsidRPr="00EF457A">
              <w:t>egzekucji w</w:t>
            </w:r>
            <w:r w:rsidR="00DE1E78">
              <w:t> </w:t>
            </w:r>
            <w:r w:rsidR="009C30D9" w:rsidRPr="00EF457A">
              <w:t>administracji.</w:t>
            </w:r>
          </w:p>
          <w:p w14:paraId="0F7A4BD5" w14:textId="3A7CEFD1" w:rsidR="00EF457A" w:rsidRDefault="00EF457A" w:rsidP="009C30D9">
            <w:pPr>
              <w:pStyle w:val="Default"/>
              <w:jc w:val="both"/>
            </w:pPr>
            <w:r w:rsidRPr="00EF457A">
              <w:lastRenderedPageBreak/>
              <w:t>Wykonując wyrok T</w:t>
            </w:r>
            <w:r w:rsidR="00B12155">
              <w:t>K</w:t>
            </w:r>
            <w:r w:rsidRPr="00EF457A">
              <w:t xml:space="preserve"> wzięto pod uwagę, że</w:t>
            </w:r>
            <w:r w:rsidR="00DE1E78">
              <w:t> </w:t>
            </w:r>
            <w:r w:rsidRPr="00EF457A">
              <w:t>dotychczasowa minimalna wysokość opłaty za</w:t>
            </w:r>
            <w:r w:rsidR="00DE1E78">
              <w:t> </w:t>
            </w:r>
            <w:r w:rsidRPr="00EF457A">
              <w:t>czynności egzekucyjne oraz minimalna wysokość opłaty manipulacyjnej nie pokrywała ponoszonych przez organ</w:t>
            </w:r>
            <w:r w:rsidR="00206AA9">
              <w:t>y</w:t>
            </w:r>
            <w:r w:rsidRPr="00EF457A">
              <w:t xml:space="preserve"> egzekucyjn</w:t>
            </w:r>
            <w:r w:rsidR="00206AA9">
              <w:t>e</w:t>
            </w:r>
            <w:r w:rsidRPr="00EF457A">
              <w:t xml:space="preserve"> wydatków związanych z</w:t>
            </w:r>
            <w:r w:rsidR="00206AA9">
              <w:t> </w:t>
            </w:r>
            <w:r w:rsidRPr="00EF457A">
              <w:t>przeprowadzeniem egzekucji należności pieniężnych w niskiej wysokości.</w:t>
            </w:r>
          </w:p>
          <w:p w14:paraId="61BBF0BC" w14:textId="550E817C" w:rsidR="000B3EF4" w:rsidRPr="009C30D9" w:rsidRDefault="00346DD3" w:rsidP="009C30D9">
            <w:pPr>
              <w:pStyle w:val="Default"/>
              <w:jc w:val="both"/>
            </w:pPr>
            <w:r>
              <w:t>Zakład</w:t>
            </w:r>
            <w:r w:rsidR="00A6253A">
              <w:t>a</w:t>
            </w:r>
            <w:r>
              <w:t>no</w:t>
            </w:r>
            <w:r w:rsidR="000B3EF4">
              <w:t xml:space="preserve">, że projektowane przepisy będą prospołeczne ze względu na motywowanie obywateli do pożądanych społecznie zachowań,  spełnią </w:t>
            </w:r>
            <w:r w:rsidR="00945D47">
              <w:t xml:space="preserve">również </w:t>
            </w:r>
            <w:r w:rsidR="000B3EF4">
              <w:t>funkcję prewencyjną i</w:t>
            </w:r>
            <w:r w:rsidR="00DE1E78">
              <w:t> </w:t>
            </w:r>
            <w:r w:rsidR="000B3EF4">
              <w:t>wychowawczą.</w:t>
            </w:r>
          </w:p>
          <w:p w14:paraId="020F4BA5" w14:textId="5ECFDB24" w:rsidR="002E26E6" w:rsidRDefault="00346DD3" w:rsidP="000B3EF4">
            <w:pPr>
              <w:pStyle w:val="Default"/>
              <w:jc w:val="both"/>
            </w:pPr>
            <w:r>
              <w:t>Uznano</w:t>
            </w:r>
            <w:r w:rsidR="002E26E6" w:rsidRPr="002E26E6">
              <w:t>, że podniesienie wysokości kosztów egzekucyjnych, które mogą być naliczone w toku postępowania egzekucyjnego przyczyni się do regulowania zaległości jeszcze przed wszczęciem tego postępowania</w:t>
            </w:r>
            <w:r w:rsidR="006F1A03">
              <w:t>.</w:t>
            </w:r>
          </w:p>
          <w:p w14:paraId="1FD5A946" w14:textId="732E07C9" w:rsidR="002275D7" w:rsidRPr="00AD09B2" w:rsidRDefault="002E26E6">
            <w:pPr>
              <w:pStyle w:val="Default"/>
              <w:jc w:val="both"/>
              <w:rPr>
                <w:spacing w:val="-2"/>
              </w:rPr>
            </w:pPr>
            <w:r>
              <w:t>Zarówno dolegliwość finansowa związana z</w:t>
            </w:r>
            <w:r w:rsidR="00DE1E78">
              <w:t> </w:t>
            </w:r>
            <w:r>
              <w:t>przymusowym egzekwowaniem obowiązków</w:t>
            </w:r>
            <w:r w:rsidR="00683204">
              <w:t xml:space="preserve"> w</w:t>
            </w:r>
            <w:r w:rsidR="00945D47">
              <w:t> </w:t>
            </w:r>
            <w:r w:rsidR="00683204">
              <w:t>drodze egzekucji administracyjnej</w:t>
            </w:r>
            <w:r>
              <w:t xml:space="preserve">, jak również informacja o wysokości kosztów </w:t>
            </w:r>
            <w:r w:rsidR="00683204">
              <w:t xml:space="preserve">tej </w:t>
            </w:r>
            <w:r>
              <w:t xml:space="preserve">egzekucji zawarta w upomnieniu skierowanym do zobowiązanego, </w:t>
            </w:r>
            <w:r w:rsidR="00683204">
              <w:t xml:space="preserve">powinny </w:t>
            </w:r>
            <w:r>
              <w:t xml:space="preserve">podnosić świadomość nieopłacalności uchylania się od </w:t>
            </w:r>
            <w:r w:rsidR="00B12155">
              <w:t xml:space="preserve">wykonywania </w:t>
            </w:r>
            <w:r>
              <w:t xml:space="preserve">obowiązków publicznoprawnych. </w:t>
            </w:r>
            <w:r w:rsidR="00683204">
              <w:t>Przy wdrażaniu wyroku TK w u.p.e.a.</w:t>
            </w:r>
            <w:r w:rsidR="007725F3">
              <w:t xml:space="preserve"> </w:t>
            </w:r>
            <w:r w:rsidR="00683204">
              <w:t>w</w:t>
            </w:r>
            <w:r w:rsidR="00383AC8">
              <w:t>zięto również pod uwagę fiskalną funkcję opłat,</w:t>
            </w:r>
            <w:r w:rsidR="008F3BDE">
              <w:t xml:space="preserve"> któr</w:t>
            </w:r>
            <w:r w:rsidR="007C4BAB">
              <w:t>ej celem jest</w:t>
            </w:r>
            <w:r w:rsidR="00383AC8">
              <w:t xml:space="preserve"> </w:t>
            </w:r>
            <w:r w:rsidR="00346DD3">
              <w:t>zapewni</w:t>
            </w:r>
            <w:r w:rsidR="007C4BAB">
              <w:t>enie</w:t>
            </w:r>
            <w:r w:rsidR="00346DD3">
              <w:t xml:space="preserve"> finansowani</w:t>
            </w:r>
            <w:r w:rsidR="007C4BAB">
              <w:t>a</w:t>
            </w:r>
            <w:r w:rsidR="00346DD3">
              <w:t xml:space="preserve"> aparatu egzekucyjnego. </w:t>
            </w:r>
          </w:p>
        </w:tc>
        <w:tc>
          <w:tcPr>
            <w:tcW w:w="5811" w:type="dxa"/>
            <w:gridSpan w:val="8"/>
            <w:shd w:val="clear" w:color="auto" w:fill="auto"/>
          </w:tcPr>
          <w:p w14:paraId="62CB9BFA" w14:textId="77777777" w:rsidR="002275D7" w:rsidRDefault="00A93047" w:rsidP="00B727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Cele ustawy zostały osiągnięte.</w:t>
            </w:r>
          </w:p>
          <w:p w14:paraId="382BA37B" w14:textId="77777777" w:rsidR="001908C2" w:rsidRPr="00A30850" w:rsidRDefault="001908C2" w:rsidP="00B727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Ustawą z 4 lipca 2019 r. </w:t>
            </w:r>
            <w:r w:rsidRPr="001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zmieniono przepisy regulujące koszty egzekucyjne w sposób kompleksowy, ustalając nowe zasady </w:t>
            </w:r>
            <w:r w:rsidR="0081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ich </w:t>
            </w:r>
            <w:r w:rsidRPr="001908C2">
              <w:rPr>
                <w:rFonts w:ascii="Times New Roman" w:hAnsi="Times New Roman"/>
                <w:color w:val="000000"/>
                <w:sz w:val="24"/>
                <w:szCs w:val="24"/>
              </w:rPr>
              <w:t>naliczania i poboru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9F0256F" w14:textId="11DE46AC" w:rsidR="00250747" w:rsidRDefault="00A30850" w:rsidP="002A26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 </w:t>
            </w:r>
            <w:r w:rsidR="00AF7DDF">
              <w:rPr>
                <w:rFonts w:ascii="Times New Roman" w:hAnsi="Times New Roman"/>
                <w:color w:val="000000"/>
                <w:sz w:val="24"/>
                <w:szCs w:val="24"/>
              </w:rPr>
              <w:t>20 lutego 2021</w:t>
            </w:r>
            <w:r w:rsidRPr="006A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, tj. od dnia wejścia w życie ww. ustawy,</w:t>
            </w:r>
            <w:r w:rsidR="00AF7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postępowaniu egzekucyjnym w</w:t>
            </w:r>
            <w:r w:rsidR="00DE1E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F7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administracji obowiązuje </w:t>
            </w:r>
            <w:r w:rsidR="00BE1A58">
              <w:rPr>
                <w:rFonts w:ascii="Times New Roman" w:hAnsi="Times New Roman"/>
                <w:color w:val="000000"/>
                <w:sz w:val="24"/>
                <w:szCs w:val="24"/>
              </w:rPr>
              <w:t>nowy system</w:t>
            </w:r>
            <w:r w:rsidR="00AF7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naliczania i</w:t>
            </w:r>
            <w:r w:rsidR="00DE1E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F7DDF">
              <w:rPr>
                <w:rFonts w:ascii="Times New Roman" w:hAnsi="Times New Roman"/>
                <w:color w:val="000000"/>
                <w:sz w:val="24"/>
                <w:szCs w:val="24"/>
              </w:rPr>
              <w:t>poboru kosztów</w:t>
            </w:r>
            <w:r w:rsidR="0083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F7DD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E1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tym systemie </w:t>
            </w:r>
            <w:r w:rsidR="00AF7DDF" w:rsidRPr="00AE459D">
              <w:rPr>
                <w:rFonts w:ascii="Times New Roman" w:hAnsi="Times New Roman"/>
                <w:color w:val="000000"/>
                <w:sz w:val="24"/>
                <w:szCs w:val="24"/>
              </w:rPr>
              <w:t>uwzględniono wytyczne zawarte w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F7DDF" w:rsidRPr="00AE4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wyroku </w:t>
            </w:r>
            <w:r w:rsidR="005E3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TK </w:t>
            </w:r>
            <w:r w:rsidR="00506EAD">
              <w:rPr>
                <w:rFonts w:ascii="Times New Roman" w:hAnsi="Times New Roman"/>
                <w:color w:val="000000"/>
                <w:sz w:val="24"/>
                <w:szCs w:val="24"/>
              </w:rPr>
              <w:t>m. in.</w:t>
            </w:r>
            <w:r w:rsidR="00AE459D" w:rsidRPr="00AE4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zachowanie </w:t>
            </w:r>
            <w:r w:rsidR="00AE459D" w:rsidRPr="00AE459D">
              <w:rPr>
                <w:rFonts w:ascii="Times New Roman" w:hAnsi="Times New Roman"/>
                <w:color w:val="000000"/>
                <w:sz w:val="24"/>
                <w:szCs w:val="24"/>
              </w:rPr>
              <w:t>racjonalnej zależności między wysokością opłat w</w:t>
            </w:r>
            <w:r w:rsidR="00DE1E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E459D" w:rsidRPr="00AE459D">
              <w:rPr>
                <w:rFonts w:ascii="Times New Roman" w:hAnsi="Times New Roman"/>
                <w:color w:val="000000"/>
                <w:sz w:val="24"/>
                <w:szCs w:val="24"/>
              </w:rPr>
              <w:t>egzekucji a czynnościami organów, za podjęcie których opłaty te zostały naliczone.</w:t>
            </w:r>
            <w:r w:rsidR="00AE4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konsekwencji </w:t>
            </w:r>
            <w:r w:rsidR="00AF7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odstąpiono od </w:t>
            </w:r>
            <w:r w:rsidR="00ED3EBC">
              <w:rPr>
                <w:rFonts w:ascii="Times New Roman" w:hAnsi="Times New Roman"/>
                <w:color w:val="000000"/>
                <w:sz w:val="24"/>
                <w:szCs w:val="24"/>
              </w:rPr>
              <w:t>powiązania</w:t>
            </w:r>
            <w:r w:rsidR="00AF7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naliczania </w:t>
            </w:r>
            <w:r w:rsidR="00AF7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kosztów egzekucyjnych </w:t>
            </w:r>
            <w:r w:rsidR="00ED3EBC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="00DE1E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D3EBC">
              <w:rPr>
                <w:rFonts w:ascii="Times New Roman" w:hAnsi="Times New Roman"/>
                <w:color w:val="000000"/>
                <w:sz w:val="24"/>
                <w:szCs w:val="24"/>
              </w:rPr>
              <w:t>samym zastosowaniem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D3EBC">
              <w:rPr>
                <w:rFonts w:ascii="Times New Roman" w:hAnsi="Times New Roman"/>
                <w:color w:val="000000"/>
                <w:sz w:val="24"/>
                <w:szCs w:val="24"/>
              </w:rPr>
              <w:t>środka egzekucyjnego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(szczególnie w sytuacji gdy nie był on efektywny)</w:t>
            </w:r>
            <w:r w:rsidR="00ED3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Naliczenie i pobór opłaty egzekucyjnej (zastępującej opłatę za czynności egzekucyjne) powiązano z wyegzekwowaniem bądź uzyskaniem 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>środków</w:t>
            </w:r>
            <w:r w:rsidR="00ED3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pieniężn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r w:rsidR="00ED3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Określono maksymalne stawki opłaty egzekucyjnej pobieranej </w:t>
            </w:r>
            <w:r w:rsid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5E3591">
              <w:rPr>
                <w:rFonts w:ascii="Times New Roman" w:hAnsi="Times New Roman"/>
                <w:color w:val="000000"/>
                <w:sz w:val="24"/>
                <w:szCs w:val="24"/>
              </w:rPr>
              <w:t>egzekucji administracyjnej</w:t>
            </w:r>
            <w:r w:rsid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>przez organ egzekucyjny w wysokości 40 000 zł – w</w:t>
            </w:r>
            <w:r w:rsidR="00945D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>przypadku wyegzekwowania środków pieniężnych i</w:t>
            </w:r>
            <w:r w:rsidR="00945D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>20 000 zł – w przypadku uzyskania tych środk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</w:t>
            </w:r>
            <w:r w:rsidR="00945D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wyniku zapłaty. Oszacowano i określono wysokość opłaty manipulacyjnej mającej zrefundować organowi egzekucyjnemu koszty </w:t>
            </w:r>
            <w:r w:rsidR="00272538">
              <w:rPr>
                <w:rFonts w:ascii="Times New Roman" w:hAnsi="Times New Roman"/>
                <w:color w:val="000000"/>
                <w:sz w:val="24"/>
                <w:szCs w:val="24"/>
              </w:rPr>
              <w:t>ponoszone przez ten organ na etapie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wszczęci</w:t>
            </w:r>
            <w:r w:rsidR="00272538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postępowania egzekucyjnego</w:t>
            </w:r>
            <w:r w:rsidR="00506EA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następnie 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prowadzenia 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egzekucji administracyjnej. </w:t>
            </w:r>
            <w:r w:rsidR="00A36951" w:rsidRPr="00DD3CFD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36951" w:rsidRPr="00DD3CFD">
              <w:rPr>
                <w:rFonts w:ascii="Times New Roman" w:hAnsi="Times New Roman"/>
                <w:color w:val="000000"/>
                <w:sz w:val="24"/>
                <w:szCs w:val="24"/>
              </w:rPr>
              <w:t>związku z tym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wysokość opłaty manipulacyjnej powiązano z etapem wszczęcia postępowania egzekucyjnego</w:t>
            </w:r>
            <w:r w:rsidR="00CB5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(40</w:t>
            </w:r>
            <w:r w:rsidR="00945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5EC9">
              <w:rPr>
                <w:rFonts w:ascii="Times New Roman" w:hAnsi="Times New Roman"/>
                <w:color w:val="000000"/>
                <w:sz w:val="24"/>
                <w:szCs w:val="24"/>
              </w:rPr>
              <w:t>zł)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>egzekucji administracyjnej</w:t>
            </w:r>
            <w:r w:rsidR="00CB5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(podwyższenie opłaty do</w:t>
            </w:r>
            <w:r w:rsidR="00DE1E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B5E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E1E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B5EC9">
              <w:rPr>
                <w:rFonts w:ascii="Times New Roman" w:hAnsi="Times New Roman"/>
                <w:color w:val="000000"/>
                <w:sz w:val="24"/>
                <w:szCs w:val="24"/>
              </w:rPr>
              <w:t>zł)</w:t>
            </w:r>
            <w:r w:rsidR="00A3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21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Przyjęte </w:t>
            </w:r>
            <w:r w:rsidR="002E26E6" w:rsidRP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rozwiązania </w:t>
            </w:r>
            <w:r w:rsidR="00221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są </w:t>
            </w:r>
            <w:r w:rsidR="002E26E6" w:rsidRPr="00506EAD">
              <w:rPr>
                <w:rFonts w:ascii="Times New Roman" w:hAnsi="Times New Roman"/>
                <w:color w:val="000000"/>
                <w:sz w:val="24"/>
                <w:szCs w:val="24"/>
              </w:rPr>
              <w:t>korzystn</w:t>
            </w:r>
            <w:r w:rsidR="00221015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2E26E6" w:rsidRP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1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dla </w:t>
            </w:r>
            <w:r w:rsidR="002E26E6" w:rsidRP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zobowiązanych, ponieważ </w:t>
            </w:r>
            <w:r w:rsidR="00506EAD" w:rsidRP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gwarantują </w:t>
            </w:r>
            <w:r w:rsidR="00506EAD">
              <w:rPr>
                <w:rFonts w:ascii="Times New Roman" w:hAnsi="Times New Roman"/>
                <w:color w:val="000000"/>
                <w:sz w:val="24"/>
                <w:szCs w:val="24"/>
              </w:rPr>
              <w:t>transparentny system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naliczania</w:t>
            </w:r>
            <w:r w:rsid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kosztów egzekucyjnych</w:t>
            </w:r>
            <w:r w:rsidR="00DE1E7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6E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niez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wiązany z </w:t>
            </w:r>
            <w:r w:rsidR="00506EAD">
              <w:rPr>
                <w:rFonts w:ascii="Times New Roman" w:hAnsi="Times New Roman"/>
                <w:color w:val="000000"/>
                <w:sz w:val="24"/>
                <w:szCs w:val="24"/>
              </w:rPr>
              <w:t>nieefektywny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r w:rsid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czynności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ami</w:t>
            </w:r>
            <w:r w:rsid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podejmowany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r w:rsid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 organ egzekucyjny. </w:t>
            </w:r>
            <w:r w:rsidR="00AC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Jednocześnie 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przyjęte zasady </w:t>
            </w:r>
            <w:r w:rsidR="00AC2FA0">
              <w:rPr>
                <w:rFonts w:ascii="Times New Roman" w:hAnsi="Times New Roman"/>
                <w:color w:val="000000"/>
                <w:sz w:val="24"/>
                <w:szCs w:val="24"/>
              </w:rPr>
              <w:t>pełnią funkcję prewencyjną i</w:t>
            </w:r>
            <w:r w:rsidR="00945D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C2FA0">
              <w:rPr>
                <w:rFonts w:ascii="Times New Roman" w:hAnsi="Times New Roman"/>
                <w:color w:val="000000"/>
                <w:sz w:val="24"/>
                <w:szCs w:val="24"/>
              </w:rPr>
              <w:t>wychowawczą w zakresie świadomości o</w:t>
            </w:r>
            <w:r w:rsidR="00DE1E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C2FA0">
              <w:rPr>
                <w:rFonts w:ascii="Times New Roman" w:hAnsi="Times New Roman"/>
                <w:color w:val="000000"/>
                <w:sz w:val="24"/>
                <w:szCs w:val="24"/>
              </w:rPr>
              <w:t>opłacalności terminowego regulowania zobowiązań publiczno</w:t>
            </w:r>
            <w:r w:rsidR="00C83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C2FA0">
              <w:rPr>
                <w:rFonts w:ascii="Times New Roman" w:hAnsi="Times New Roman"/>
                <w:color w:val="000000"/>
                <w:sz w:val="24"/>
                <w:szCs w:val="24"/>
              </w:rPr>
              <w:t>prawnych</w:t>
            </w:r>
            <w:r w:rsidR="00DD3CFD">
              <w:rPr>
                <w:rFonts w:ascii="Times New Roman" w:hAnsi="Times New Roman"/>
                <w:color w:val="000000"/>
                <w:sz w:val="24"/>
                <w:szCs w:val="24"/>
              </w:rPr>
              <w:t>. I</w:t>
            </w:r>
            <w:r w:rsidR="002A2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nformacja o mogących powstać kosztach egzekucyjnych </w:t>
            </w:r>
            <w:r w:rsidR="00FD7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jest </w:t>
            </w:r>
            <w:r w:rsidR="002A2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zawarta 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już</w:t>
            </w:r>
            <w:r w:rsidR="002A2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upomnieniu skierowanym do zobowiązanego</w:t>
            </w:r>
            <w:r w:rsidR="00AC2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2652">
              <w:rPr>
                <w:rFonts w:ascii="Times New Roman" w:hAnsi="Times New Roman"/>
                <w:color w:val="000000"/>
                <w:sz w:val="24"/>
                <w:szCs w:val="24"/>
              </w:rPr>
              <w:t>Funkcja fiskalna opłat pobieranych w postępowaniu egzekucyjnym została potwierdzona poprzez wzrost dochod</w:t>
            </w:r>
            <w:r w:rsidR="00DE1E78"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 w:rsidR="002A2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jednostek sektora finansów publicznych z tytułu kosztów egzekucyjnych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odpowiadający faktycznym wydatkom ponoszonym na</w:t>
            </w:r>
            <w:r w:rsidR="00655F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prowadzenie postępowań egzekucyjnych</w:t>
            </w:r>
            <w:r w:rsidR="002A2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30425C3E" w14:textId="77777777" w:rsidR="009A3513" w:rsidRDefault="00870A73" w:rsidP="00870A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Ustawa z 4 lipca 2019 r. wprowadziła do systemu kosztów egzekucyjnych w egzekucji administracyjnej</w:t>
            </w:r>
            <w:r w:rsidR="009A351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7CD98E7C" w14:textId="1DAF4DCF" w:rsidR="00C1687C" w:rsidRPr="007F3AFA" w:rsidRDefault="00C1687C" w:rsidP="00C168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dwie kwotowe stawki opłaty manipulacyjnej, 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których wysokość jest niezależna od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wysokoś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ci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należności objętej tytułem wykonawczym, pobieran</w:t>
            </w:r>
            <w:r w:rsidR="00DD3CF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oddzielnie od każdego tytułu wykonawczego: 40 zł za wszczęcie postępowania egzekucyjnego, podwyższon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wysokości 100 zł z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chwilą wszczęcia egzekucji;</w:t>
            </w:r>
          </w:p>
          <w:p w14:paraId="413C34B1" w14:textId="40D96339" w:rsidR="00C1687C" w:rsidRPr="007F3AFA" w:rsidRDefault="00FE2440" w:rsidP="00C168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C744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1687C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opłatę egzekucyjną (w miejsce opłat za czynności egzekucyjne) pobieraną proporcjonalnie do</w:t>
            </w:r>
            <w:r w:rsidR="00FD7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687C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wyegzekwo</w:t>
            </w:r>
            <w:r w:rsidR="00FD71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1687C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wanych środków pieniężnych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687C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(10% kwoty wyegzekwowanych środków pieniężnych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1687C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więcej niż</w:t>
            </w:r>
            <w:r w:rsidR="00655F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1687C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40 000 zł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1687C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3DBE37B4" w14:textId="5D0BED10" w:rsidR="00C1687C" w:rsidRPr="007F3AFA" w:rsidRDefault="00A57579" w:rsidP="00C168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1687C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obniż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enie</w:t>
            </w:r>
            <w:r w:rsidR="00C1687C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opłat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C1687C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2440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egzekucyjn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ej</w:t>
            </w:r>
            <w:r w:rsidR="00FE2440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687C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w przypadku dobrowolnej zapłaty egzekwowanej należności (5% uzyskan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r w:rsidR="00C1687C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środków pieniężnych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1687C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więcej niż 20 000 zł);</w:t>
            </w:r>
          </w:p>
          <w:p w14:paraId="456BC038" w14:textId="09A31B52" w:rsidR="00C1687C" w:rsidRDefault="00C1687C" w:rsidP="00C168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rozszerzony katalog wydatków egzekucyjnych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uzupełniony w zakresie kosztów faktycznie ponoszonych przez organy egzekucyjne jak np. </w:t>
            </w:r>
            <w:r w:rsidR="002677C6" w:rsidRPr="002677C6">
              <w:rPr>
                <w:rFonts w:ascii="Times New Roman" w:hAnsi="Times New Roman"/>
                <w:color w:val="000000"/>
                <w:sz w:val="24"/>
                <w:szCs w:val="24"/>
              </w:rPr>
              <w:t>koszt</w:t>
            </w:r>
            <w:r w:rsidR="00FD7169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2677C6" w:rsidRPr="00267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pokrycia opłaty sądowej od wniosku o wpis w księdze wieczystej</w:t>
            </w:r>
            <w:r w:rsidR="00267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 w:rsidR="00655F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677C6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2677C6" w:rsidRPr="002677C6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655F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677C6" w:rsidRPr="002677C6">
              <w:rPr>
                <w:rFonts w:ascii="Times New Roman" w:hAnsi="Times New Roman"/>
                <w:color w:val="000000"/>
                <w:sz w:val="24"/>
                <w:szCs w:val="24"/>
              </w:rPr>
              <w:t>wniosku o wpis w Krajowym Rejestrze Sądowym</w:t>
            </w:r>
            <w:r w:rsidR="002677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677C6">
              <w:t xml:space="preserve"> </w:t>
            </w:r>
            <w:r w:rsidR="002677C6" w:rsidRPr="002677C6">
              <w:rPr>
                <w:rFonts w:ascii="Times New Roman" w:hAnsi="Times New Roman"/>
                <w:color w:val="000000"/>
                <w:sz w:val="24"/>
                <w:szCs w:val="24"/>
              </w:rPr>
              <w:t>kosztów przesłania pism organu egzekucyjnego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1B9F74A" w14:textId="77777777" w:rsidR="007F3AFA" w:rsidRPr="007F3AFA" w:rsidRDefault="007F3AFA" w:rsidP="007F3A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57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zasadę 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nieobciążani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kosztami egzekucyjnymi wierzyciela działającego w ramach państwowej jednostki budżetowej lub będącego państwową jednostką budżetową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 organ egzekucyjny działający w ramach takiej jednostki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650AEA4" w14:textId="5520C06A" w:rsidR="007F3AFA" w:rsidRPr="007F3AFA" w:rsidRDefault="00BC7442" w:rsidP="007F3A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zmian</w:t>
            </w:r>
            <w:r w:rsidR="00A57579">
              <w:rPr>
                <w:rFonts w:ascii="Times New Roman" w:hAnsi="Times New Roman"/>
                <w:color w:val="000000"/>
                <w:sz w:val="24"/>
                <w:szCs w:val="24"/>
              </w:rPr>
              <w:t>ę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przesłanek umorzenia kosztów egzekucyjnych i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rozłożenia na rat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spłaty tych kosztów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oraz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wprowadzenie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przepis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2440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regulując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r w:rsidR="00FE2440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pomoc publiczną w procedurze udzielania ulg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spłacie kosztów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048C4D6" w14:textId="77777777" w:rsidR="007F3AFA" w:rsidRPr="007F3AFA" w:rsidRDefault="00BC7442" w:rsidP="007F3A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precyzyjne 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regulacje w zakresie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przedawnieni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kosztów egzekucyjnych i kosztów upomnienia;</w:t>
            </w:r>
          </w:p>
          <w:p w14:paraId="42B417DD" w14:textId="77777777" w:rsidR="007F3AFA" w:rsidRPr="007F3AFA" w:rsidRDefault="00BC7442" w:rsidP="007F3A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rezygnacj</w:t>
            </w:r>
            <w:r w:rsidR="00A57579">
              <w:rPr>
                <w:rFonts w:ascii="Times New Roman" w:hAnsi="Times New Roman"/>
                <w:color w:val="000000"/>
                <w:sz w:val="24"/>
                <w:szCs w:val="24"/>
              </w:rPr>
              <w:t>ę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opłaty komorniczej;</w:t>
            </w:r>
          </w:p>
          <w:p w14:paraId="12045620" w14:textId="77777777" w:rsidR="00DF7292" w:rsidRDefault="00BC7442" w:rsidP="007F3A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zmia</w:t>
            </w:r>
            <w:r w:rsidR="00A57579">
              <w:rPr>
                <w:rFonts w:ascii="Times New Roman" w:hAnsi="Times New Roman"/>
                <w:color w:val="000000"/>
                <w:sz w:val="24"/>
                <w:szCs w:val="24"/>
              </w:rPr>
              <w:t>nę</w:t>
            </w:r>
            <w:r w:rsidR="007F3AFA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procedury związanej z ponownym wszczęciem egzekucji administracyjnej.</w:t>
            </w:r>
          </w:p>
          <w:p w14:paraId="4B68BF20" w14:textId="77777777" w:rsidR="00A86508" w:rsidRDefault="00A86508" w:rsidP="00B727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78FCA1" w14:textId="77777777" w:rsidR="009A3513" w:rsidRDefault="007737EB" w:rsidP="00B727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Organy egzekucyjne 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na podstawie</w:t>
            </w:r>
            <w:r w:rsidR="00426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7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ustawy 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>4 lipca</w:t>
            </w:r>
            <w:r w:rsidR="00E77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77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r. </w:t>
            </w:r>
            <w:r w:rsidRPr="00ED34A1">
              <w:rPr>
                <w:rFonts w:ascii="Times New Roman" w:hAnsi="Times New Roman"/>
                <w:color w:val="000000"/>
                <w:sz w:val="24"/>
                <w:szCs w:val="24"/>
              </w:rPr>
              <w:t>stosują</w:t>
            </w:r>
            <w:r w:rsidR="009A351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8806357" w14:textId="7E592372" w:rsidR="00A57579" w:rsidRDefault="00523207" w:rsidP="005232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="00A57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 </w:t>
            </w:r>
            <w:r w:rsidR="00FA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zasady naliczania i pobierania </w:t>
            </w:r>
            <w:r w:rsidR="00A57579">
              <w:rPr>
                <w:rFonts w:ascii="Times New Roman" w:hAnsi="Times New Roman"/>
                <w:color w:val="000000"/>
                <w:sz w:val="24"/>
                <w:szCs w:val="24"/>
              </w:rPr>
              <w:t>koszt</w:t>
            </w:r>
            <w:r w:rsidR="00FA6AE0"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 w:rsidR="00A57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egzekucyjn</w:t>
            </w:r>
            <w:r w:rsidR="00FA6AE0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r w:rsidR="00A57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postępowaniach wszczętych po wejściu w życie ustawy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57579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7579">
              <w:rPr>
                <w:rFonts w:ascii="Times New Roman" w:hAnsi="Times New Roman"/>
                <w:color w:val="000000"/>
                <w:sz w:val="24"/>
                <w:szCs w:val="24"/>
              </w:rPr>
              <w:t>tj.:</w:t>
            </w:r>
          </w:p>
          <w:p w14:paraId="106FB296" w14:textId="3CB1D5C2" w:rsidR="00523207" w:rsidRPr="007F3AFA" w:rsidRDefault="00523207" w:rsidP="007E39F0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dwie kwotowe stawki opłaty manipulacyjnej, bez względu na wysokość należności objętej tytułem wykonawczym, </w:t>
            </w:r>
            <w:r w:rsidR="00FE2440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pobieran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FE2440"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oddzielnie od każdego tytułu wykonawczego: 40 zł za wszczęcie postępowania egzekucyjnego, podwyższ</w:t>
            </w:r>
            <w:r w:rsidR="00D81DF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wysokości 100 zł z chwilą wszczęcia egzekucji;</w:t>
            </w:r>
          </w:p>
          <w:p w14:paraId="2822DDE4" w14:textId="77777777" w:rsidR="00523207" w:rsidRPr="007F3AFA" w:rsidRDefault="00523207" w:rsidP="007E39F0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opłatę egzekucyjną (w miejsce opłat za czynności egzekucyjne) pobieraną proporcjonalnie do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wyegzekwowanych środków pieniężnych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(10% kwoty wyegzekwowanych środków pieniężnych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więcej niż 40 000 zł</w:t>
            </w:r>
            <w:r w:rsidR="00BC744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5CA72C8C" w14:textId="77777777" w:rsidR="00523207" w:rsidRDefault="00523207" w:rsidP="007E39F0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>obniżoną opłat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ę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egzekucyjn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ą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przypadku dobrowolnej zapłaty egzekwowanej należności (5% uzyskan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środków pieniężnych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więcej niż 20 000 zł);</w:t>
            </w:r>
          </w:p>
          <w:p w14:paraId="1464E3F5" w14:textId="77777777" w:rsidR="00523207" w:rsidRDefault="00523207" w:rsidP="007E39F0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>rozszerzony katalog wydatków egzekucyjnych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7D89F376" w14:textId="49E84E55" w:rsidR="00AD09B2" w:rsidRDefault="007737EB" w:rsidP="00870A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9A35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postępowaniach egzekucyjnych wszczętych 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przed</w:t>
            </w:r>
            <w:r w:rsidR="009A35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wejściem </w:t>
            </w:r>
            <w:r w:rsidR="009A3513">
              <w:rPr>
                <w:rFonts w:ascii="Times New Roman" w:hAnsi="Times New Roman"/>
                <w:color w:val="000000"/>
                <w:sz w:val="24"/>
                <w:szCs w:val="24"/>
              </w:rPr>
              <w:t>w życie ustawy z 4 lipca 2019 r. organy egzekucyjne pobierają koszty egzekucyjne z tytułu opłaty manipulacyjnej i opłaty za czynności egzekucyjne w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A3513">
              <w:rPr>
                <w:rFonts w:ascii="Times New Roman" w:hAnsi="Times New Roman"/>
                <w:color w:val="000000"/>
                <w:sz w:val="24"/>
                <w:szCs w:val="24"/>
              </w:rPr>
              <w:t>wysokości ustalonej w przepisach art. 7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C744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9A3513">
              <w:rPr>
                <w:rFonts w:ascii="Times New Roman" w:hAnsi="Times New Roman"/>
                <w:color w:val="000000"/>
                <w:sz w:val="24"/>
                <w:szCs w:val="24"/>
              </w:rPr>
              <w:t>9 ustawy z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A35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A3513">
              <w:rPr>
                <w:rFonts w:ascii="Times New Roman" w:hAnsi="Times New Roman"/>
                <w:color w:val="000000"/>
                <w:sz w:val="24"/>
                <w:szCs w:val="24"/>
              </w:rPr>
              <w:t>lipca 2019 r.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, tj. z o</w:t>
            </w:r>
            <w:r w:rsidR="009A3513">
              <w:rPr>
                <w:rFonts w:ascii="Times New Roman" w:hAnsi="Times New Roman"/>
                <w:color w:val="000000"/>
                <w:sz w:val="24"/>
                <w:szCs w:val="24"/>
              </w:rPr>
              <w:t>graniczenie</w:t>
            </w:r>
            <w:r w:rsidR="00FE2440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9A35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wysokości dotychczasowych kosztów egzekucyjnych do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A3513">
              <w:rPr>
                <w:rFonts w:ascii="Times New Roman" w:hAnsi="Times New Roman"/>
                <w:color w:val="000000"/>
                <w:sz w:val="24"/>
                <w:szCs w:val="24"/>
              </w:rPr>
              <w:t>maksymal</w:t>
            </w:r>
            <w:r w:rsidR="003939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A3513">
              <w:rPr>
                <w:rFonts w:ascii="Times New Roman" w:hAnsi="Times New Roman"/>
                <w:color w:val="000000"/>
                <w:sz w:val="24"/>
                <w:szCs w:val="24"/>
              </w:rPr>
              <w:t>nych wysokości tych kosztów wprowadzonych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35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ustawą z 4 lipca 2019 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r.,</w:t>
            </w:r>
          </w:p>
          <w:p w14:paraId="304DDE52" w14:textId="2E86EA8C" w:rsidR="009A3513" w:rsidRDefault="009A3513" w:rsidP="00870A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nowe regulacje w zakresie 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obciążania </w:t>
            </w:r>
            <w:r w:rsidR="00945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kosztami egzekucyjnymi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wierzycieli będących państwowymi jednostkami budżetowymi </w:t>
            </w:r>
            <w:r w:rsidR="00994D9F">
              <w:rPr>
                <w:rFonts w:ascii="Times New Roman" w:hAnsi="Times New Roman"/>
                <w:color w:val="000000"/>
                <w:sz w:val="24"/>
                <w:szCs w:val="24"/>
              </w:rPr>
              <w:t>lub działających w ramach państwowej jednostki budżetowej</w:t>
            </w:r>
            <w:r w:rsidR="00A3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 organy egzekucyjne działające w ramach takich jednostek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656AB5C" w14:textId="0D624B5F" w:rsidR="009A3513" w:rsidRDefault="009A3513" w:rsidP="00870A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nowe regulacje w zakresie </w:t>
            </w:r>
            <w:r w:rsidR="00A3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udzielania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ulg</w:t>
            </w:r>
            <w:r w:rsidR="00A3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spłacie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kosztów egzekucyjnych,</w:t>
            </w:r>
          </w:p>
          <w:p w14:paraId="35F8AB69" w14:textId="77777777" w:rsidR="009A3513" w:rsidRDefault="009A3513" w:rsidP="00870A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nowe regulacje w zakresie przedawnienia kosztów upomnienia i kosztów egzekucyjnych</w:t>
            </w:r>
            <w:r w:rsidR="00BC7442">
              <w:rPr>
                <w:rFonts w:ascii="Times New Roman" w:hAnsi="Times New Roman"/>
                <w:color w:val="000000"/>
                <w:sz w:val="24"/>
                <w:szCs w:val="24"/>
              </w:rPr>
              <w:t>, o ile są korzystniejsze dla zobowiązanego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FD49D75" w14:textId="7011E8BE" w:rsidR="004D6AFF" w:rsidRDefault="009A3513" w:rsidP="004D6AF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 regulacje </w:t>
            </w:r>
            <w:r w:rsidR="009C34C5"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>umożliwiające dokonanie zapłaty</w:t>
            </w:r>
            <w:r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zobowiązanego </w:t>
            </w:r>
            <w:r w:rsidR="009C34C5"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>przez określone podmioty (dłużnik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9C34C5"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rzeczow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ego</w:t>
            </w:r>
            <w:r w:rsidR="009C34C5"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C34C5">
              <w:rPr>
                <w:rFonts w:ascii="Times New Roman" w:hAnsi="Times New Roman"/>
                <w:color w:val="000000"/>
                <w:sz w:val="24"/>
                <w:szCs w:val="24"/>
              </w:rPr>
              <w:t>osoby najbliższe, osob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ę</w:t>
            </w:r>
            <w:r w:rsidR="009C3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trzeci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ą</w:t>
            </w:r>
            <w:r w:rsidR="009C3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9C34C5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C34C5">
              <w:rPr>
                <w:rFonts w:ascii="Times New Roman" w:hAnsi="Times New Roman"/>
                <w:color w:val="000000"/>
                <w:sz w:val="24"/>
                <w:szCs w:val="24"/>
              </w:rPr>
              <w:t>wysokości 5</w:t>
            </w:r>
            <w:r w:rsidR="003939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C34C5">
              <w:rPr>
                <w:rFonts w:ascii="Times New Roman" w:hAnsi="Times New Roman"/>
                <w:color w:val="000000"/>
                <w:sz w:val="24"/>
                <w:szCs w:val="24"/>
              </w:rPr>
              <w:t>000 zł)</w:t>
            </w:r>
            <w:r w:rsidR="00BC579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3AA961D4" w14:textId="77777777" w:rsidR="00FF3A55" w:rsidRDefault="00BC579A" w:rsidP="004D6A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  <w:r w:rsidR="00BC7442">
              <w:rPr>
                <w:rFonts w:ascii="Times New Roman" w:hAnsi="Times New Roman"/>
                <w:color w:val="000000"/>
              </w:rPr>
              <w:t>–</w:t>
            </w:r>
            <w:r w:rsidR="004D6AFF">
              <w:rPr>
                <w:rFonts w:ascii="Times New Roman" w:hAnsi="Times New Roman"/>
                <w:color w:val="000000"/>
              </w:rPr>
              <w:t xml:space="preserve"> </w:t>
            </w:r>
            <w:r w:rsidR="004D6AFF"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>zmi</w:t>
            </w:r>
            <w:r w:rsidR="00055A60"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enioną </w:t>
            </w:r>
            <w:r w:rsidR="004D6AFF"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>procedur</w:t>
            </w:r>
            <w:r w:rsidR="00055A60"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>ę</w:t>
            </w:r>
            <w:r w:rsidR="004D6AFF"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ponown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ego</w:t>
            </w:r>
            <w:r w:rsidR="004D6AFF"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>wszczęci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6AFF" w:rsidRPr="007E39F0">
              <w:rPr>
                <w:rFonts w:ascii="Times New Roman" w:hAnsi="Times New Roman"/>
                <w:color w:val="000000"/>
                <w:sz w:val="24"/>
                <w:szCs w:val="24"/>
              </w:rPr>
              <w:t>egzekucji administracyjnej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F1AD111" w14:textId="77777777" w:rsidR="007475AB" w:rsidRDefault="007475AB" w:rsidP="005813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Ocena funkcjonowania ustawy </w:t>
            </w:r>
            <w:r w:rsidR="00CB2890" w:rsidRPr="00CB2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>4 lipca</w:t>
            </w:r>
            <w:r w:rsidR="00CB2890" w:rsidRPr="00CB2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  <w:r w:rsidR="00FB0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0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r. </w:t>
            </w:r>
            <w:r w:rsidRPr="00A93047">
              <w:rPr>
                <w:rFonts w:ascii="Times New Roman" w:hAnsi="Times New Roman"/>
                <w:color w:val="000000"/>
                <w:sz w:val="24"/>
                <w:szCs w:val="24"/>
              </w:rPr>
              <w:t>wskazuje, że udało się osiągnąć zakładane cele.</w:t>
            </w:r>
          </w:p>
          <w:p w14:paraId="12D344DB" w14:textId="77777777" w:rsidR="00FF3A55" w:rsidRPr="000E1045" w:rsidRDefault="007475AB" w:rsidP="005813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D04">
              <w:rPr>
                <w:rFonts w:ascii="Times New Roman" w:hAnsi="Times New Roman"/>
                <w:color w:val="000000"/>
                <w:sz w:val="24"/>
                <w:szCs w:val="24"/>
              </w:rPr>
              <w:t>Szczegółowa ocena została przedstawiona w kolejnych</w:t>
            </w:r>
            <w:r w:rsidRPr="00A9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punktach OSR ex post.</w:t>
            </w:r>
          </w:p>
        </w:tc>
      </w:tr>
      <w:tr w:rsidR="002275D7" w:rsidRPr="00D035F3" w14:paraId="6302B039" w14:textId="77777777" w:rsidTr="005923A9">
        <w:trPr>
          <w:gridAfter w:val="1"/>
          <w:wAfter w:w="7" w:type="dxa"/>
          <w:trHeight w:val="142"/>
        </w:trPr>
        <w:tc>
          <w:tcPr>
            <w:tcW w:w="5246" w:type="dxa"/>
            <w:gridSpan w:val="9"/>
            <w:shd w:val="clear" w:color="auto" w:fill="53A824"/>
            <w:vAlign w:val="center"/>
          </w:tcPr>
          <w:p w14:paraId="3C0A81AE" w14:textId="77777777" w:rsidR="002275D7" w:rsidRPr="00D035F3" w:rsidRDefault="002275D7" w:rsidP="0076435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035F3">
              <w:rPr>
                <w:rFonts w:ascii="Times New Roman" w:hAnsi="Times New Roman"/>
                <w:bCs/>
              </w:rPr>
              <w:lastRenderedPageBreak/>
              <w:t xml:space="preserve">3.2 Planowane środki realizacji celów </w:t>
            </w:r>
            <w:r w:rsidR="00383FD8">
              <w:rPr>
                <w:rFonts w:ascii="Times New Roman" w:hAnsi="Times New Roman"/>
                <w:bCs/>
              </w:rPr>
              <w:t>ustawy</w:t>
            </w:r>
            <w:r w:rsidR="00383FD8" w:rsidRPr="00D035F3" w:rsidDel="00383FD8">
              <w:rPr>
                <w:rFonts w:ascii="Times New Roman" w:hAnsi="Times New Roman"/>
                <w:bCs/>
              </w:rPr>
              <w:t xml:space="preserve"> </w:t>
            </w:r>
            <w:r w:rsidR="00A4468F" w:rsidRPr="00D035F3">
              <w:rPr>
                <w:rFonts w:ascii="Times New Roman" w:hAnsi="Times New Roman"/>
                <w:bCs/>
              </w:rPr>
              <w:t>(planowane narzędzia interwencji)</w:t>
            </w:r>
          </w:p>
        </w:tc>
        <w:tc>
          <w:tcPr>
            <w:tcW w:w="5811" w:type="dxa"/>
            <w:gridSpan w:val="8"/>
            <w:shd w:val="clear" w:color="auto" w:fill="53A824"/>
            <w:vAlign w:val="center"/>
          </w:tcPr>
          <w:p w14:paraId="7A1DC45A" w14:textId="77777777" w:rsidR="002275D7" w:rsidRPr="00D035F3" w:rsidRDefault="002275D7" w:rsidP="00764354">
            <w:pPr>
              <w:spacing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D035F3">
              <w:rPr>
                <w:rFonts w:ascii="Times New Roman" w:hAnsi="Times New Roman"/>
                <w:bCs/>
              </w:rPr>
              <w:t>3.4 Ocena funkcjonowania środków realizacji celów</w:t>
            </w:r>
            <w:r w:rsidR="00383FD8">
              <w:rPr>
                <w:rFonts w:ascii="Times New Roman" w:hAnsi="Times New Roman"/>
                <w:bCs/>
              </w:rPr>
              <w:t xml:space="preserve"> ustawy</w:t>
            </w:r>
          </w:p>
        </w:tc>
      </w:tr>
      <w:tr w:rsidR="002275D7" w:rsidRPr="00D035F3" w14:paraId="51A44969" w14:textId="77777777" w:rsidTr="005923A9">
        <w:trPr>
          <w:gridAfter w:val="1"/>
          <w:wAfter w:w="7" w:type="dxa"/>
          <w:trHeight w:val="142"/>
        </w:trPr>
        <w:tc>
          <w:tcPr>
            <w:tcW w:w="5246" w:type="dxa"/>
            <w:gridSpan w:val="9"/>
            <w:shd w:val="clear" w:color="auto" w:fill="auto"/>
          </w:tcPr>
          <w:p w14:paraId="69DCE0D2" w14:textId="77777777" w:rsidR="00105F36" w:rsidRDefault="00960C82" w:rsidP="00AD09B2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0C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Cele ustawy </w:t>
            </w:r>
            <w:r w:rsidR="00B95BA0" w:rsidRPr="00B95B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</w:t>
            </w:r>
            <w:r w:rsidR="00870A73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="00B95BA0" w:rsidRPr="00B95B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70A73">
              <w:rPr>
                <w:rFonts w:ascii="Times New Roman" w:hAnsi="Times New Roman"/>
                <w:spacing w:val="-2"/>
                <w:sz w:val="24"/>
                <w:szCs w:val="24"/>
              </w:rPr>
              <w:t>lipca</w:t>
            </w:r>
            <w:r w:rsidR="00B95BA0" w:rsidRPr="00B95B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2019 </w:t>
            </w:r>
            <w:r w:rsidR="00B95B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r. </w:t>
            </w:r>
            <w:r w:rsidRPr="00960C82">
              <w:rPr>
                <w:rFonts w:ascii="Times New Roman" w:hAnsi="Times New Roman"/>
                <w:spacing w:val="-2"/>
                <w:sz w:val="24"/>
                <w:szCs w:val="24"/>
              </w:rPr>
              <w:t>miały zostać osiągnięte poprzez</w:t>
            </w:r>
            <w:r w:rsidR="00EB13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wprowadzenie maksymaln</w:t>
            </w:r>
            <w:r w:rsidR="00FC0A4E">
              <w:rPr>
                <w:rFonts w:ascii="Times New Roman" w:hAnsi="Times New Roman"/>
                <w:spacing w:val="-2"/>
                <w:sz w:val="24"/>
                <w:szCs w:val="24"/>
              </w:rPr>
              <w:t>ych</w:t>
            </w:r>
            <w:r w:rsidR="00EB13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wysokości opłat pobieranych w egzekucji administracyjnej</w:t>
            </w:r>
            <w:r w:rsidR="005B10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oraz </w:t>
            </w:r>
            <w:r w:rsidR="000E75CB">
              <w:rPr>
                <w:rFonts w:ascii="Times New Roman" w:hAnsi="Times New Roman"/>
                <w:spacing w:val="-2"/>
                <w:sz w:val="24"/>
                <w:szCs w:val="24"/>
              </w:rPr>
              <w:t>uzależnienie ich wysokości od efektywności zastosowanych środków egzekucyjnych przy uwzględnieniu możliwości dokonania zapłaty przez zobowiązanego w toku egzekucji</w:t>
            </w:r>
            <w:r w:rsidR="00FC0A4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="000619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28B14630" w14:textId="7C604D50" w:rsidR="00960C82" w:rsidRDefault="00995E09" w:rsidP="00AD09B2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 kontekście powyższego celem było stworzenie bardziej racjonalnego systemu pokrywania kosztów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w egzekucji i zwiększenie stopnia dobrowolnego regulowania należności. </w:t>
            </w:r>
          </w:p>
          <w:p w14:paraId="7D2194C3" w14:textId="396EF4CD" w:rsidR="00A33C1F" w:rsidRDefault="00A33C1F" w:rsidP="00E038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6A124B" w14:textId="77777777" w:rsidR="00E0384A" w:rsidRPr="00AD09B2" w:rsidRDefault="00E0384A" w:rsidP="0059061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811" w:type="dxa"/>
            <w:gridSpan w:val="8"/>
            <w:shd w:val="clear" w:color="auto" w:fill="auto"/>
          </w:tcPr>
          <w:p w14:paraId="014CCA4D" w14:textId="77777777" w:rsidR="001F5FA6" w:rsidRDefault="009C0117" w:rsidP="00AD09B2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011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Cele ustawy zostały osiągnięte</w:t>
            </w:r>
            <w:r w:rsidR="00D7439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9C01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16859329" w14:textId="1D6B4990" w:rsidR="00250747" w:rsidRDefault="00477B9E" w:rsidP="00AD09B2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Od</w:t>
            </w:r>
            <w:r w:rsidR="00E52F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70A73">
              <w:rPr>
                <w:rFonts w:ascii="Times New Roman" w:hAnsi="Times New Roman"/>
                <w:spacing w:val="-2"/>
                <w:sz w:val="24"/>
                <w:szCs w:val="24"/>
              </w:rPr>
              <w:t>20 lutego</w:t>
            </w:r>
            <w:r w:rsidR="009C0117" w:rsidRPr="009C01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2021 r. </w:t>
            </w:r>
            <w:r w:rsidR="00870A73">
              <w:rPr>
                <w:rFonts w:ascii="Times New Roman" w:hAnsi="Times New Roman"/>
                <w:spacing w:val="-2"/>
                <w:sz w:val="24"/>
                <w:szCs w:val="24"/>
              </w:rPr>
              <w:t>w postępowaniu egzekucyjnym obowiązuje nowy system naliczania i poboru kosztów egzekucyjnych. W systemie tym funkcjonują maksymalne wysokości opłat pobieranych przez organy egzekucyjne (maksymalna opłata egzekucyjna w wysokości 40 000 zł i</w:t>
            </w:r>
            <w:r w:rsidR="008501AB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870A73">
              <w:rPr>
                <w:rFonts w:ascii="Times New Roman" w:hAnsi="Times New Roman"/>
                <w:spacing w:val="-2"/>
                <w:sz w:val="24"/>
                <w:szCs w:val="24"/>
              </w:rPr>
              <w:t>20 000 zł)</w:t>
            </w:r>
            <w:r w:rsidR="003719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oraz </w:t>
            </w:r>
            <w:r w:rsidR="003719E4">
              <w:rPr>
                <w:rFonts w:ascii="Times New Roman" w:hAnsi="Times New Roman"/>
                <w:spacing w:val="-2"/>
                <w:sz w:val="24"/>
                <w:szCs w:val="24"/>
              </w:rPr>
              <w:t>dwie stawki opłaty manipulacyjnej powiązane z wszczęciem postępowania egzekucyjnego a</w:t>
            </w:r>
            <w:r w:rsidR="008501AB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3719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następnie egzekucji </w:t>
            </w:r>
            <w:r w:rsidR="005C5034">
              <w:rPr>
                <w:rFonts w:ascii="Times New Roman" w:hAnsi="Times New Roman"/>
                <w:spacing w:val="-2"/>
                <w:sz w:val="24"/>
                <w:szCs w:val="24"/>
              </w:rPr>
              <w:t>administracyjnej</w:t>
            </w:r>
            <w:r w:rsidR="00870A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="008501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Nowy </w:t>
            </w:r>
            <w:r w:rsidR="00B1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system </w:t>
            </w:r>
            <w:r w:rsidR="00B135D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kosztów egzekucyjnych </w:t>
            </w:r>
            <w:r w:rsidR="008501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zapewnia </w:t>
            </w:r>
            <w:r w:rsidR="004628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również </w:t>
            </w:r>
            <w:r w:rsidR="00B135D5">
              <w:rPr>
                <w:rFonts w:ascii="Times New Roman" w:hAnsi="Times New Roman"/>
                <w:spacing w:val="-2"/>
                <w:sz w:val="24"/>
                <w:szCs w:val="24"/>
              </w:rPr>
              <w:t>refundacj</w:t>
            </w:r>
            <w:r w:rsidR="008501AB">
              <w:rPr>
                <w:rFonts w:ascii="Times New Roman" w:hAnsi="Times New Roman"/>
                <w:spacing w:val="-2"/>
                <w:sz w:val="24"/>
                <w:szCs w:val="24"/>
              </w:rPr>
              <w:t>ę</w:t>
            </w:r>
            <w:r w:rsidR="00B1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kosztów funkcjonowania aparatu egzekucyjnego</w:t>
            </w:r>
            <w:r w:rsidR="008501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oraz</w:t>
            </w:r>
            <w:r w:rsidR="00B1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pełni funkcję prewencyjną i wychowawczą dla </w:t>
            </w:r>
            <w:r w:rsidR="006122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obywateli, </w:t>
            </w:r>
            <w:r w:rsidR="008501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uświadamiając </w:t>
            </w:r>
            <w:r w:rsidR="00B135D5">
              <w:rPr>
                <w:rFonts w:ascii="Times New Roman" w:hAnsi="Times New Roman"/>
                <w:spacing w:val="-2"/>
                <w:sz w:val="24"/>
                <w:szCs w:val="24"/>
              </w:rPr>
              <w:t>opłacalnoś</w:t>
            </w:r>
            <w:r w:rsidR="008501AB">
              <w:rPr>
                <w:rFonts w:ascii="Times New Roman" w:hAnsi="Times New Roman"/>
                <w:spacing w:val="-2"/>
                <w:sz w:val="24"/>
                <w:szCs w:val="24"/>
              </w:rPr>
              <w:t>ć</w:t>
            </w:r>
            <w:r w:rsidR="00B135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501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terminowego i dobrowolnego </w:t>
            </w:r>
            <w:r w:rsidR="00B135D5">
              <w:rPr>
                <w:rFonts w:ascii="Times New Roman" w:hAnsi="Times New Roman"/>
                <w:spacing w:val="-2"/>
                <w:sz w:val="24"/>
                <w:szCs w:val="24"/>
              </w:rPr>
              <w:t>wykonywania obowiązków publicznoprawnych.</w:t>
            </w:r>
          </w:p>
          <w:p w14:paraId="76A0A4E1" w14:textId="367858AA" w:rsidR="006122A4" w:rsidRDefault="006122A4" w:rsidP="006122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Nowy system naliczania i poboru kosztów uwzględnił wytyczne </w:t>
            </w:r>
            <w:r w:rsidRPr="00AE4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zawarte w wyroku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TK, m. in.</w:t>
            </w:r>
            <w:r w:rsidRPr="00AE4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wprowadził</w:t>
            </w:r>
            <w:r w:rsidRPr="00AE4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racjonalną zależność</w:t>
            </w:r>
            <w:r w:rsidRPr="00AE4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między wysokością opłat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E459D">
              <w:rPr>
                <w:rFonts w:ascii="Times New Roman" w:hAnsi="Times New Roman"/>
                <w:color w:val="000000"/>
                <w:sz w:val="24"/>
                <w:szCs w:val="24"/>
              </w:rPr>
              <w:t>egzekucji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czynnościami organów,</w:t>
            </w:r>
            <w:r w:rsidRPr="00AE4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podjęcie któr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ych opłaty te zostały naliczone</w:t>
            </w:r>
            <w:r w:rsidR="00EC0A39">
              <w:rPr>
                <w:rFonts w:ascii="Times New Roman" w:hAnsi="Times New Roman"/>
                <w:color w:val="000000"/>
                <w:sz w:val="24"/>
                <w:szCs w:val="24"/>
              </w:rPr>
              <w:t>, oraz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odstąpił od powiązania kosztów egzekucyjnych z samym zastosowaniem nawet nieefektywnego środka egzekucyjnego. Naliczenie i pobór opłaty egzekucyjnej powiązano z wyegzekwowaniem bądź uzyskaniem środków pieniężnych. Przyjęte </w:t>
            </w:r>
            <w:r w:rsidRP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rozwiązania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są </w:t>
            </w:r>
            <w:r w:rsidRPr="00506EAD">
              <w:rPr>
                <w:rFonts w:ascii="Times New Roman" w:hAnsi="Times New Roman"/>
                <w:color w:val="000000"/>
                <w:sz w:val="24"/>
                <w:szCs w:val="24"/>
              </w:rPr>
              <w:t>korzystn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dla </w:t>
            </w:r>
            <w:r w:rsidRPr="0050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zobowiązanych, ponieważ gwarantują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transparentny system kosztów egzekucyjnych, niezależny od nieefektywnych czynności podejmowanych przez organ egzekucyjny. Jednocześnie pełnią funkcję prewencyjną i wychowawczą w zakresie świadomości opłacalności terminowego regulowania zobowiązań publicznoprawnych. Informacja o mogących powstać kosztach egzekucyjnych zawarta jest w upomnieniu skierowanym do zobowiązanego. </w:t>
            </w:r>
          </w:p>
          <w:p w14:paraId="0BE255FC" w14:textId="77777777" w:rsidR="002275D7" w:rsidRPr="001F5FA6" w:rsidRDefault="006122A4" w:rsidP="00AD09B2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Powyższe wskazuje na wykonanie wyroku TK, a zatem osiągnięcie celu ustawy z 4 lipca 2019 roku.</w:t>
            </w:r>
          </w:p>
          <w:p w14:paraId="05095CF9" w14:textId="77777777" w:rsidR="00387763" w:rsidRDefault="00387763" w:rsidP="008E7D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406751" w14:textId="4461524B" w:rsidR="00E20D04" w:rsidRDefault="00EC0A39" w:rsidP="00883CE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Dodatkowo o</w:t>
            </w:r>
            <w:r w:rsidR="00387763" w:rsidRPr="00883CE9">
              <w:rPr>
                <w:rFonts w:ascii="Times New Roman" w:hAnsi="Times New Roman"/>
                <w:color w:val="000000"/>
                <w:sz w:val="24"/>
                <w:szCs w:val="24"/>
              </w:rPr>
              <w:t>cena funkcjonowania ustawy z</w:t>
            </w:r>
            <w:r w:rsidR="00AD5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>4 lipca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3FC0" w:rsidRPr="00883CE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="007009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E02B6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  <w:r w:rsidR="0078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7763" w:rsidRPr="00883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została przeprowadzona na podstawie analizy danych 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uzyskanych </w:t>
            </w:r>
            <w:r w:rsidR="00387763" w:rsidRPr="00883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przez </w:t>
            </w:r>
            <w:r w:rsidR="00883CE9" w:rsidRPr="00883CE9">
              <w:rPr>
                <w:rFonts w:ascii="Times New Roman" w:hAnsi="Times New Roman"/>
                <w:color w:val="000000"/>
                <w:sz w:val="24"/>
                <w:szCs w:val="24"/>
              </w:rPr>
              <w:t>Ministerstwo Finansów</w:t>
            </w:r>
            <w:r w:rsidR="00387763" w:rsidRPr="00883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r w:rsidR="00596EA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F6700">
              <w:rPr>
                <w:rFonts w:ascii="Times New Roman" w:hAnsi="Times New Roman"/>
                <w:color w:val="000000"/>
                <w:sz w:val="24"/>
                <w:szCs w:val="24"/>
              </w:rPr>
              <w:t>samorządowych organów egzekucyjnych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r w:rsidR="009F6700">
              <w:rPr>
                <w:rFonts w:ascii="Times New Roman" w:hAnsi="Times New Roman"/>
                <w:color w:val="000000"/>
                <w:sz w:val="24"/>
                <w:szCs w:val="24"/>
              </w:rPr>
              <w:t>organów egzekucyjnych</w:t>
            </w:r>
            <w:r w:rsidR="00E03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Zakładu U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bezpieczeń </w:t>
            </w:r>
            <w:r w:rsidR="00E0384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połecznych . 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rgany 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 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wskazały </w:t>
            </w:r>
            <w:r w:rsidR="00B449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udział 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>nowych składników kosztów egzekucyjnych (opłat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egzekucyjn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>ej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opłat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manipulacyjn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>ej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B44998">
              <w:rPr>
                <w:rFonts w:ascii="Times New Roman" w:hAnsi="Times New Roman"/>
                <w:color w:val="000000"/>
                <w:sz w:val="24"/>
                <w:szCs w:val="24"/>
              </w:rPr>
              <w:t>w dochodach z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449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tytułu kosztów egzekucyjnych </w:t>
            </w:r>
            <w:r w:rsidR="0087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roku wejścia w życie ustawy. </w:t>
            </w:r>
            <w:r w:rsidR="0014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Pozwoliło to ocenić szacunkowe wpływy z tytułu wdrożonych regulacji w stosunku do ogólnego </w:t>
            </w:r>
            <w:r w:rsidR="00893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wzrostu </w:t>
            </w:r>
            <w:r w:rsidR="001428B6">
              <w:rPr>
                <w:rFonts w:ascii="Times New Roman" w:hAnsi="Times New Roman"/>
                <w:color w:val="000000"/>
                <w:sz w:val="24"/>
                <w:szCs w:val="24"/>
              </w:rPr>
              <w:t>dochodu z</w:t>
            </w:r>
            <w:r w:rsidR="00596EA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4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tytułu kosztów egzekucyjnych już w 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pierwszym </w:t>
            </w:r>
            <w:r w:rsidR="0014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roku obowiązywania nowych przepisów. 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1428B6">
              <w:rPr>
                <w:rFonts w:ascii="Times New Roman" w:hAnsi="Times New Roman"/>
                <w:color w:val="000000"/>
                <w:sz w:val="24"/>
                <w:szCs w:val="24"/>
              </w:rPr>
              <w:t>naliz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14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takich danych 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>w przypadku</w:t>
            </w:r>
            <w:r w:rsidR="0013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28B6">
              <w:rPr>
                <w:rFonts w:ascii="Times New Roman" w:hAnsi="Times New Roman"/>
                <w:color w:val="000000"/>
                <w:sz w:val="24"/>
                <w:szCs w:val="24"/>
              </w:rPr>
              <w:t>organ</w:t>
            </w:r>
            <w:r w:rsidR="0013419A"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 w:rsidR="0014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egzekucyjn</w:t>
            </w:r>
            <w:r w:rsidR="0013419A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r w:rsidR="0014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3C1F">
              <w:rPr>
                <w:rFonts w:ascii="Times New Roman" w:hAnsi="Times New Roman"/>
                <w:color w:val="000000"/>
                <w:sz w:val="24"/>
                <w:szCs w:val="24"/>
              </w:rPr>
              <w:t>Krajowej Administracji Skarbowej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4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tj.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428B6">
              <w:rPr>
                <w:rFonts w:ascii="Times New Roman" w:hAnsi="Times New Roman"/>
                <w:color w:val="000000"/>
                <w:sz w:val="24"/>
                <w:szCs w:val="24"/>
              </w:rPr>
              <w:t>naczelników urzędów skarbowych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nie była możliwa, ponieważ </w:t>
            </w:r>
            <w:r w:rsidR="0014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 dysponują 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 w:rsidR="003C633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850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danymi w tym zakresie. </w:t>
            </w:r>
          </w:p>
          <w:p w14:paraId="68C8645E" w14:textId="77777777" w:rsidR="003404A9" w:rsidRPr="000109B6" w:rsidRDefault="003404A9" w:rsidP="000109B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BF5119" w14:textId="0C7C81BA" w:rsidR="003404A9" w:rsidRDefault="003404A9" w:rsidP="00883CE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Ocena</w:t>
            </w:r>
            <w:r w:rsidR="006A3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średniego</w:t>
            </w:r>
            <w:r w:rsidRPr="001E0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A3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udziału</w:t>
            </w:r>
            <w:r w:rsidR="00F249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nowych składników kosztów egzekucyjnych</w:t>
            </w:r>
            <w:r w:rsidR="00F66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wprowadzonych</w:t>
            </w:r>
            <w:r w:rsidR="002F31A4" w:rsidRPr="001E0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0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ustaw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ą</w:t>
            </w:r>
            <w:r w:rsidRPr="001E0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038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lipca</w:t>
            </w:r>
            <w:r w:rsidRPr="001E0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2019</w:t>
            </w:r>
            <w:r w:rsidR="00E038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1E0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r.</w:t>
            </w:r>
            <w:r w:rsidR="00F66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F249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A3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</w:t>
            </w:r>
            <w:r w:rsidR="00F249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ogóln</w:t>
            </w:r>
            <w:r w:rsidR="006A3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ych</w:t>
            </w:r>
            <w:r w:rsidR="00F249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dochod</w:t>
            </w:r>
            <w:r w:rsidR="006A36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ach</w:t>
            </w:r>
            <w:r w:rsidR="00F249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 tytułu kosztów egzekucyjnych</w:t>
            </w:r>
            <w:r w:rsidRPr="001E0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na podstawie analizy danych 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uzyskanych</w:t>
            </w:r>
            <w:r w:rsidR="002F31A4" w:rsidRPr="001E0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0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przez Ministerstwo Finansów 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</w:t>
            </w:r>
            <w:r w:rsidR="00E038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9F6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samorządowych organów egzekucyjnych </w:t>
            </w:r>
            <w:r w:rsidR="006468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</w:t>
            </w:r>
            <w:r w:rsidR="006076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F67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organów egzekucyjnych </w:t>
            </w:r>
            <w:r w:rsidR="0063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akładu </w:t>
            </w:r>
            <w:r w:rsidR="0063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bezpieczeń </w:t>
            </w:r>
            <w:r w:rsidR="0063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połecznych</w:t>
            </w:r>
            <w:r w:rsidRPr="001E00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48971BF3" w14:textId="77777777" w:rsidR="00387763" w:rsidRDefault="00387763" w:rsidP="00883CE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181A62" w14:textId="40521D7C" w:rsidR="002F31A4" w:rsidRDefault="00EA25FA" w:rsidP="00883CE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25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Opłata egzekucyjna naliczona na podstawie art. 64 § 4</w:t>
            </w:r>
            <w:r w:rsidR="002516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 5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468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u.p.e.a. 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wprowadzonego ustawą z 4 lipca 2019</w:t>
            </w:r>
            <w:r w:rsidR="00F51B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r.  </w:t>
            </w:r>
          </w:p>
          <w:p w14:paraId="7FB90B06" w14:textId="6E25580F" w:rsidR="00B16E4B" w:rsidRDefault="00B16E4B" w:rsidP="002F31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E8D4D2" w14:textId="75BC181E" w:rsidR="00813570" w:rsidRDefault="002F31A4" w:rsidP="008135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Udział opłaty</w:t>
            </w:r>
            <w:r w:rsidR="00A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egzekucyjnej pobranej na podstawie art. 64 § 4 </w:t>
            </w:r>
            <w:r w:rsidR="00251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5 </w:t>
            </w:r>
            <w:r w:rsidR="00AC33B5">
              <w:rPr>
                <w:rFonts w:ascii="Times New Roman" w:hAnsi="Times New Roman"/>
                <w:color w:val="000000"/>
                <w:sz w:val="24"/>
                <w:szCs w:val="24"/>
              </w:rPr>
              <w:t>u.p.e.a</w:t>
            </w:r>
            <w:r w:rsidR="00E038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>kwocie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wyegzekwowanych w</w:t>
            </w:r>
            <w:r w:rsidR="00B23C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B23C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r. przez </w:t>
            </w:r>
            <w:r w:rsidR="00F6674C">
              <w:rPr>
                <w:rFonts w:ascii="Times New Roman" w:hAnsi="Times New Roman"/>
                <w:color w:val="000000"/>
                <w:sz w:val="24"/>
                <w:szCs w:val="24"/>
              </w:rPr>
              <w:t>samorządowe organy egzekucyjne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kosztów egzekucyjnych wynosi </w:t>
            </w:r>
            <w:r w:rsidR="00AC33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516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C33B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516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A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%. </w:t>
            </w:r>
          </w:p>
          <w:p w14:paraId="5162BD5B" w14:textId="4BF61ED3" w:rsidR="006A36A7" w:rsidRDefault="006A36A7" w:rsidP="006A36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Udział opłaty egzekucyjnej pobranej na podstawie art. 64 § 4 </w:t>
            </w:r>
            <w:r w:rsidR="005C7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u.p.e.a</w:t>
            </w:r>
            <w:r w:rsidR="006365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kwocie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wyegzekwowanych w</w:t>
            </w:r>
            <w:r w:rsidR="002274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2274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r. przez organy egzekucyjne</w:t>
            </w:r>
            <w:r w:rsidR="00F66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Zakładu Ubezpieczeń Społecznych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kosztów egzekucyjnych wynosi </w:t>
            </w:r>
            <w:r w:rsidR="00491A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C7A47">
              <w:rPr>
                <w:rFonts w:ascii="Times New Roman" w:hAnsi="Times New Roman"/>
                <w:color w:val="000000"/>
                <w:sz w:val="24"/>
                <w:szCs w:val="24"/>
              </w:rPr>
              <w:t>6,40</w:t>
            </w:r>
            <w:r w:rsidR="00491A0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54071F74" w14:textId="77777777" w:rsidR="00BB35B9" w:rsidRDefault="00BB35B9" w:rsidP="00491A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CBD634" w14:textId="29B03C60" w:rsidR="00471368" w:rsidRDefault="005C7A47" w:rsidP="004713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B35B9" w:rsidRPr="00BB35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Opłata manipulacyjna naliczona na podstawie art.</w:t>
            </w:r>
            <w:r w:rsidR="009826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64 § 1 </w:t>
            </w:r>
            <w:r w:rsidR="009826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u.p.e.a.</w:t>
            </w:r>
            <w:r w:rsidR="002F31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wprowadzonego ustawą z 4 lipca 2019 r.  </w:t>
            </w:r>
          </w:p>
          <w:p w14:paraId="4F5E89DD" w14:textId="77777777" w:rsidR="00EF2151" w:rsidRDefault="00EF2151" w:rsidP="00EF21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DBB7A7" w14:textId="4E743E65" w:rsidR="00EF2151" w:rsidRDefault="00EF2151" w:rsidP="00EF21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Udział opłaty </w:t>
            </w:r>
            <w:r w:rsidR="00CB4E7C">
              <w:rPr>
                <w:rFonts w:ascii="Times New Roman" w:hAnsi="Times New Roman"/>
                <w:color w:val="000000"/>
                <w:sz w:val="24"/>
                <w:szCs w:val="24"/>
              </w:rPr>
              <w:t>manipulacyjnej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pobranej na podstawie art.</w:t>
            </w:r>
            <w:r w:rsidR="009826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§ </w:t>
            </w:r>
            <w:r w:rsidR="00CB4E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u.p.e.a</w:t>
            </w:r>
            <w:r w:rsidR="0098266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70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>kwocie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wyegzekwowanych w</w:t>
            </w:r>
            <w:r w:rsidR="009826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92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r. przez </w:t>
            </w:r>
            <w:r w:rsidR="00F66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samorządowe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organy egzekucyjne kosztów egzekucyjnych wynosi </w:t>
            </w:r>
            <w:r w:rsidR="00CB4E7C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%. </w:t>
            </w:r>
            <w:r w:rsidR="00CB4E7C">
              <w:rPr>
                <w:rFonts w:ascii="Times New Roman" w:hAnsi="Times New Roman"/>
                <w:color w:val="000000"/>
                <w:sz w:val="24"/>
                <w:szCs w:val="24"/>
              </w:rPr>
              <w:t>Opłata manipulacyjna pobrana na</w:t>
            </w:r>
            <w:r w:rsidR="009826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B4E7C">
              <w:rPr>
                <w:rFonts w:ascii="Times New Roman" w:hAnsi="Times New Roman"/>
                <w:color w:val="000000"/>
                <w:sz w:val="24"/>
                <w:szCs w:val="24"/>
              </w:rPr>
              <w:t>podstawie nowych przepisów stanowi prawie połowę dochod</w:t>
            </w:r>
            <w:r w:rsidR="00982664"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 w:rsidR="00CB4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jednostek samorządu terytorialnego z tytułu kosztów egzekucyjnych.</w:t>
            </w:r>
          </w:p>
          <w:p w14:paraId="20216FBD" w14:textId="77777777" w:rsidR="00EF2151" w:rsidRDefault="00EF2151" w:rsidP="00EF21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D8EE4B" w14:textId="1127874E" w:rsidR="00EF2151" w:rsidRDefault="00EF2151" w:rsidP="00EF21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Udział opłaty </w:t>
            </w:r>
            <w:r w:rsidR="00CB4E7C">
              <w:rPr>
                <w:rFonts w:ascii="Times New Roman" w:hAnsi="Times New Roman"/>
                <w:color w:val="000000"/>
                <w:sz w:val="24"/>
                <w:szCs w:val="24"/>
              </w:rPr>
              <w:t>manipulacyjnej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pobranej na podstawie art.</w:t>
            </w:r>
            <w:r w:rsidR="009416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§ </w:t>
            </w:r>
            <w:r w:rsidR="00CB4E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u.p.e.a</w:t>
            </w:r>
            <w:r w:rsidR="009416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>kwocie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wyegzekwowanych w</w:t>
            </w:r>
            <w:r w:rsidR="009416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r. przez organy egzekucyjne </w:t>
            </w:r>
            <w:r w:rsidR="00834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ZUS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kosztów egzekucyjnych wynosi </w:t>
            </w:r>
            <w:r w:rsidR="00CB4E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%.</w:t>
            </w:r>
          </w:p>
          <w:p w14:paraId="733A95C6" w14:textId="77777777" w:rsidR="00135B20" w:rsidRDefault="00135B20" w:rsidP="0085325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990C7AA" w14:textId="77777777" w:rsidR="00491A06" w:rsidRDefault="00491A06" w:rsidP="0085325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Ogólna ocena</w:t>
            </w:r>
          </w:p>
          <w:p w14:paraId="32488C9D" w14:textId="77777777" w:rsidR="006F0C61" w:rsidRDefault="006F0C61" w:rsidP="0085325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Jednostki samorządu terytorialnego</w:t>
            </w:r>
          </w:p>
          <w:p w14:paraId="5D13C23E" w14:textId="719DC78B" w:rsidR="006F0C61" w:rsidRDefault="006F0C61" w:rsidP="00AC33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A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OSR ex</w:t>
            </w:r>
            <w:r w:rsidR="00BC744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C33B5">
              <w:rPr>
                <w:rFonts w:ascii="Times New Roman" w:hAnsi="Times New Roman"/>
                <w:color w:val="000000"/>
                <w:sz w:val="24"/>
                <w:szCs w:val="24"/>
              </w:rPr>
              <w:t>ante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uwagi na </w:t>
            </w:r>
            <w:r w:rsidR="00AC33B5"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średni czas trwania postępowania egzekucyjnego </w:t>
            </w:r>
            <w:r w:rsidR="009416A8">
              <w:rPr>
                <w:rFonts w:ascii="Times New Roman" w:hAnsi="Times New Roman"/>
                <w:color w:val="000000"/>
                <w:sz w:val="24"/>
                <w:szCs w:val="24"/>
              </w:rPr>
              <w:t>założono</w:t>
            </w:r>
            <w:r w:rsidR="00AC33B5"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C5869">
              <w:rPr>
                <w:rFonts w:ascii="Times New Roman" w:hAnsi="Times New Roman"/>
                <w:color w:val="000000"/>
                <w:sz w:val="24"/>
                <w:szCs w:val="24"/>
              </w:rPr>
              <w:t>że</w:t>
            </w:r>
            <w:r w:rsidR="00AC33B5"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roku wejścia w życie ustawy koszty egzekucyjne naliczane według nowych zasad będą dotyczyły jedynie 30% wszystkich postępowań egzekucyjnych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Powyższa</w:t>
            </w:r>
            <w:r w:rsidR="00AC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1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analiza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pozwala</w:t>
            </w:r>
            <w:r w:rsidR="00AC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przyjąć, że w jednostkach samorządu terytorialnego w</w:t>
            </w:r>
            <w:r w:rsidR="009416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C5869">
              <w:rPr>
                <w:rFonts w:ascii="Times New Roman" w:hAnsi="Times New Roman"/>
                <w:color w:val="000000"/>
                <w:sz w:val="24"/>
                <w:szCs w:val="24"/>
              </w:rPr>
              <w:t>roku wejścia w życie ustawy udział wskazanych, nowych składników kosztów egzekucyjnych w</w:t>
            </w:r>
            <w:r w:rsidR="00941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dochodach </w:t>
            </w:r>
            <w:r w:rsidR="00AC5869">
              <w:rPr>
                <w:rFonts w:ascii="Times New Roman" w:hAnsi="Times New Roman"/>
                <w:color w:val="000000"/>
                <w:sz w:val="24"/>
                <w:szCs w:val="24"/>
              </w:rPr>
              <w:t>z tytułu kosztów egzekucyjnych</w:t>
            </w:r>
            <w:r w:rsidR="0004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5869">
              <w:rPr>
                <w:rFonts w:ascii="Times New Roman" w:hAnsi="Times New Roman"/>
                <w:color w:val="000000"/>
                <w:sz w:val="24"/>
                <w:szCs w:val="24"/>
              </w:rPr>
              <w:t>wyniósł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prawie 70%</w:t>
            </w:r>
            <w:r w:rsidR="0004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tych dochodów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>Samorządowe o</w:t>
            </w:r>
            <w:r w:rsidR="00AA2680" w:rsidRPr="00C75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rgany 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>egzekucyjne wskazały, że w 2021 r. wyegzekwowały opłatę egzekucyjną w wysokości 6 627 tys. zł. Dochód z tytułu kosztów egzekucyjnych w 2021 r. wynosił w tych organach 27 271,20 tys. zł. Dochód ten wzrósł w stosunku do 2020 r. o 127%. Świadczy to o osiągnięciu celu nowych regulacji, jakim był również wzrost dochodów z tytułu kosztów egzekucyjnych</w:t>
            </w:r>
            <w:r w:rsidR="007079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A0FABEC" w14:textId="77777777" w:rsidR="006F0C61" w:rsidRPr="003319CB" w:rsidRDefault="006F0C61" w:rsidP="00AC33B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Zakład Ubezpieczeń Społecznych</w:t>
            </w:r>
          </w:p>
          <w:p w14:paraId="48288A9C" w14:textId="7E489AA5" w:rsidR="00AA2680" w:rsidRDefault="006F0C61" w:rsidP="00AA26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OSR ex</w:t>
            </w:r>
            <w:r w:rsidR="00BC744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z uwagi na 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średni czas trwania postępowania egzekucyjnego </w:t>
            </w:r>
            <w:r w:rsidR="009416A8">
              <w:rPr>
                <w:rFonts w:ascii="Times New Roman" w:hAnsi="Times New Roman"/>
                <w:color w:val="000000"/>
                <w:sz w:val="24"/>
                <w:szCs w:val="24"/>
              </w:rPr>
              <w:t>założono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że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roku wejścia w życie ustawy koszty egzekucyjne naliczane według nowyc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 zasad będą dotyczyły jedynie 2</w:t>
            </w:r>
            <w:r w:rsidRPr="00AC33B5">
              <w:rPr>
                <w:rFonts w:ascii="Times New Roman" w:hAnsi="Times New Roman"/>
                <w:color w:val="000000"/>
                <w:sz w:val="24"/>
                <w:szCs w:val="24"/>
              </w:rPr>
              <w:t>0% wszystkich postępowań egzekucyjnych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Powyższa </w:t>
            </w:r>
            <w:r w:rsidR="00941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analiza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pozwala przyjąć, że w Zakładzie Ubezpieczeń Społecznych w</w:t>
            </w:r>
            <w:r w:rsidR="009416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roku wejścia w życie ustawy udział wskazanych nowych składników kosztów egzekucyjnych </w:t>
            </w:r>
            <w:r w:rsidR="009E3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941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dochodach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 tytułu kosztów egzekucyjnych wyniósł prawie 66%</w:t>
            </w:r>
            <w:r w:rsidR="0004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tych dochodów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F6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Organy egzekucyjne 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>ZUS wskaza</w:t>
            </w:r>
            <w:r w:rsidR="009F6700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>, że w</w:t>
            </w:r>
            <w:r w:rsidR="007079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r. wyegzekwowa</w:t>
            </w:r>
            <w:r w:rsidR="009F6700">
              <w:rPr>
                <w:rFonts w:ascii="Times New Roman" w:hAnsi="Times New Roman"/>
                <w:color w:val="000000"/>
                <w:sz w:val="24"/>
                <w:szCs w:val="24"/>
              </w:rPr>
              <w:t>ły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opłatę egzekucyjną w wysokości 68 442 tys. zł. Dochód z tytułu kosztów egzekucyjnych w 2021 r. wynosił w tych organach 188</w:t>
            </w:r>
            <w:r w:rsidR="007079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>808 tys. zł. Dochód ten wzrósł w stosunku do 2020 r. o 68%. Świadczy to o osiągnięciu celu nowych regulacji, jakim był również wzrost dochodów z tytułu kosztów egzekucyjnych.</w:t>
            </w:r>
          </w:p>
          <w:p w14:paraId="042E6B1B" w14:textId="77777777" w:rsidR="00AC5869" w:rsidRDefault="00AC5869" w:rsidP="00AC33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CFB01F" w14:textId="77777777" w:rsidR="00B3125B" w:rsidRPr="00590BCF" w:rsidRDefault="00D56F62" w:rsidP="00077D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Należy przy tym podkreślić</w:t>
            </w:r>
            <w:r w:rsidR="00AC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że nowe składniki kosztów pobierane były przez organy egzekucyjne nie przez pełny rok. Ustawa weszła </w:t>
            </w:r>
            <w:r w:rsidR="00941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bowiem </w:t>
            </w:r>
            <w:r w:rsidR="00AC5869">
              <w:rPr>
                <w:rFonts w:ascii="Times New Roman" w:hAnsi="Times New Roman"/>
                <w:color w:val="000000"/>
                <w:sz w:val="24"/>
                <w:szCs w:val="24"/>
              </w:rPr>
              <w:t>w życie 20 lutego 2021 r.,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C5869">
              <w:rPr>
                <w:rFonts w:ascii="Times New Roman" w:hAnsi="Times New Roman"/>
                <w:color w:val="000000"/>
                <w:sz w:val="24"/>
                <w:szCs w:val="24"/>
              </w:rPr>
              <w:t>więc pobór</w:t>
            </w:r>
            <w:r w:rsidR="006F0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nowych</w:t>
            </w:r>
            <w:r w:rsidR="00AC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opłat mieścił się w</w:t>
            </w:r>
            <w:r w:rsidR="009416A8">
              <w:rPr>
                <w:rFonts w:ascii="Times New Roman" w:hAnsi="Times New Roman"/>
                <w:color w:val="000000"/>
                <w:sz w:val="24"/>
                <w:szCs w:val="24"/>
              </w:rPr>
              <w:t> dziesięcio</w:t>
            </w:r>
            <w:r w:rsidR="00AC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miesięcznym horyzoncie czasowym. </w:t>
            </w:r>
            <w:r w:rsidR="00E05C4C">
              <w:rPr>
                <w:rFonts w:ascii="Times New Roman" w:hAnsi="Times New Roman"/>
                <w:color w:val="000000"/>
                <w:sz w:val="24"/>
                <w:szCs w:val="24"/>
              </w:rPr>
              <w:t>Dochód osiągnięty</w:t>
            </w:r>
            <w:r w:rsidR="00AC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</w:t>
            </w:r>
            <w:r w:rsidR="00BC7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tytułu nowych </w:t>
            </w:r>
            <w:r w:rsidR="00AC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kosztów </w:t>
            </w:r>
            <w:r w:rsidR="00BC7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egzekucyjnych </w:t>
            </w:r>
            <w:r w:rsidR="006F0C61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BC70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F0C61">
              <w:rPr>
                <w:rFonts w:ascii="Times New Roman" w:hAnsi="Times New Roman"/>
                <w:color w:val="000000"/>
                <w:sz w:val="24"/>
                <w:szCs w:val="24"/>
              </w:rPr>
              <w:t>tym okresie dowodz</w:t>
            </w:r>
            <w:r w:rsidR="00E05C4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6F0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osiągnięci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6F0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celów zakładanych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F0C61">
              <w:rPr>
                <w:rFonts w:ascii="Times New Roman" w:hAnsi="Times New Roman"/>
                <w:color w:val="000000"/>
                <w:sz w:val="24"/>
                <w:szCs w:val="24"/>
              </w:rPr>
              <w:t>OSR ex</w:t>
            </w:r>
            <w:r w:rsidR="00BC744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6F0C61">
              <w:rPr>
                <w:rFonts w:ascii="Times New Roman" w:hAnsi="Times New Roman"/>
                <w:color w:val="000000"/>
                <w:sz w:val="24"/>
                <w:szCs w:val="24"/>
              </w:rPr>
              <w:t>ante.</w:t>
            </w:r>
          </w:p>
        </w:tc>
      </w:tr>
      <w:tr w:rsidR="009703D6" w:rsidRPr="00D035F3" w14:paraId="1001EB4A" w14:textId="77777777" w:rsidTr="005923A9">
        <w:trPr>
          <w:gridAfter w:val="1"/>
          <w:wAfter w:w="7" w:type="dxa"/>
          <w:trHeight w:val="142"/>
        </w:trPr>
        <w:tc>
          <w:tcPr>
            <w:tcW w:w="11057" w:type="dxa"/>
            <w:gridSpan w:val="17"/>
            <w:shd w:val="clear" w:color="auto" w:fill="53A824"/>
            <w:vAlign w:val="center"/>
          </w:tcPr>
          <w:p w14:paraId="26A12B2C" w14:textId="77777777" w:rsidR="009703D6" w:rsidRPr="00D035F3" w:rsidRDefault="00764354" w:rsidP="005A06D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D035F3">
              <w:rPr>
                <w:rFonts w:ascii="Times New Roman" w:hAnsi="Times New Roman"/>
                <w:b/>
                <w:bCs/>
              </w:rPr>
              <w:lastRenderedPageBreak/>
              <w:t xml:space="preserve">Koszty i korzyści związane z funkcjonowaniem </w:t>
            </w:r>
            <w:r w:rsidR="00564F21">
              <w:rPr>
                <w:rFonts w:ascii="Times New Roman" w:hAnsi="Times New Roman"/>
                <w:b/>
                <w:bCs/>
              </w:rPr>
              <w:t>ustawy</w:t>
            </w:r>
            <w:r w:rsidRPr="00D035F3">
              <w:rPr>
                <w:rFonts w:ascii="Times New Roman" w:hAnsi="Times New Roman"/>
                <w:b/>
                <w:bCs/>
              </w:rPr>
              <w:t xml:space="preserve"> (zakładane i faktyczne, w tym korzyści i koszty dla podmiotów </w:t>
            </w:r>
            <w:r w:rsidR="00913F06" w:rsidRPr="00D035F3">
              <w:rPr>
                <w:rFonts w:ascii="Times New Roman" w:hAnsi="Times New Roman"/>
                <w:b/>
                <w:bCs/>
              </w:rPr>
              <w:t>niebędących</w:t>
            </w:r>
            <w:r w:rsidRPr="00D035F3">
              <w:rPr>
                <w:rFonts w:ascii="Times New Roman" w:hAnsi="Times New Roman"/>
                <w:b/>
                <w:bCs/>
              </w:rPr>
              <w:t xml:space="preserve"> bezpośrednio </w:t>
            </w:r>
            <w:r w:rsidR="00564F21">
              <w:rPr>
                <w:rFonts w:ascii="Times New Roman" w:hAnsi="Times New Roman"/>
                <w:b/>
                <w:bCs/>
              </w:rPr>
              <w:t>w zakresie oddziaływania</w:t>
            </w:r>
            <w:r w:rsidRPr="00D035F3">
              <w:rPr>
                <w:rFonts w:ascii="Times New Roman" w:hAnsi="Times New Roman"/>
                <w:b/>
                <w:bCs/>
              </w:rPr>
              <w:t xml:space="preserve"> ustawy)</w:t>
            </w:r>
          </w:p>
        </w:tc>
      </w:tr>
      <w:tr w:rsidR="00D418B9" w:rsidRPr="00D035F3" w14:paraId="59E37417" w14:textId="77777777" w:rsidTr="005923A9">
        <w:trPr>
          <w:gridAfter w:val="1"/>
          <w:wAfter w:w="7" w:type="dxa"/>
          <w:trHeight w:val="320"/>
        </w:trPr>
        <w:tc>
          <w:tcPr>
            <w:tcW w:w="2978" w:type="dxa"/>
            <w:gridSpan w:val="4"/>
            <w:shd w:val="clear" w:color="auto" w:fill="53A824"/>
            <w:vAlign w:val="center"/>
          </w:tcPr>
          <w:p w14:paraId="34AC211E" w14:textId="77777777" w:rsidR="00D418B9" w:rsidRPr="00D035F3" w:rsidRDefault="00D418B9" w:rsidP="0076435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035F3">
              <w:rPr>
                <w:rFonts w:ascii="Times New Roman" w:hAnsi="Times New Roman"/>
                <w:bCs/>
              </w:rPr>
              <w:t>4.1 Sytuacja przed wejściem w życie</w:t>
            </w:r>
            <w:r w:rsidR="008C7C91">
              <w:rPr>
                <w:rFonts w:ascii="Times New Roman" w:hAnsi="Times New Roman"/>
                <w:bCs/>
              </w:rPr>
              <w:t xml:space="preserve"> </w:t>
            </w:r>
            <w:r w:rsidR="00282C90">
              <w:rPr>
                <w:rFonts w:ascii="Times New Roman" w:hAnsi="Times New Roman"/>
                <w:bCs/>
              </w:rPr>
              <w:t>ustawy</w:t>
            </w:r>
            <w:r w:rsidRPr="00D035F3">
              <w:rPr>
                <w:rFonts w:ascii="Times New Roman" w:hAnsi="Times New Roman"/>
                <w:bCs/>
              </w:rPr>
              <w:t xml:space="preserve"> (scenariusz bazowy)</w:t>
            </w:r>
          </w:p>
        </w:tc>
        <w:tc>
          <w:tcPr>
            <w:tcW w:w="3969" w:type="dxa"/>
            <w:gridSpan w:val="8"/>
            <w:shd w:val="clear" w:color="auto" w:fill="53A824"/>
            <w:vAlign w:val="center"/>
          </w:tcPr>
          <w:p w14:paraId="4A7F4E52" w14:textId="77777777" w:rsidR="00D418B9" w:rsidRPr="00D035F3" w:rsidRDefault="00D418B9" w:rsidP="002B11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035F3">
              <w:rPr>
                <w:rFonts w:ascii="Times New Roman" w:hAnsi="Times New Roman"/>
                <w:bCs/>
              </w:rPr>
              <w:t xml:space="preserve">4.2 Korzyści z przyjęcia </w:t>
            </w:r>
            <w:r w:rsidR="00282C90">
              <w:rPr>
                <w:rFonts w:ascii="Times New Roman" w:hAnsi="Times New Roman"/>
                <w:bCs/>
              </w:rPr>
              <w:t>ustawy</w:t>
            </w:r>
            <w:r w:rsidRPr="00D035F3">
              <w:rPr>
                <w:rFonts w:ascii="Times New Roman" w:hAnsi="Times New Roman"/>
                <w:bCs/>
              </w:rPr>
              <w:t xml:space="preserve"> zakładane przed </w:t>
            </w:r>
            <w:r w:rsidR="002B119F">
              <w:rPr>
                <w:rFonts w:ascii="Times New Roman" w:hAnsi="Times New Roman"/>
                <w:bCs/>
              </w:rPr>
              <w:t>jej</w:t>
            </w:r>
            <w:r w:rsidR="002B119F" w:rsidRPr="00D035F3">
              <w:rPr>
                <w:rFonts w:ascii="Times New Roman" w:hAnsi="Times New Roman"/>
                <w:bCs/>
              </w:rPr>
              <w:t xml:space="preserve"> </w:t>
            </w:r>
            <w:r w:rsidRPr="00D035F3">
              <w:rPr>
                <w:rFonts w:ascii="Times New Roman" w:hAnsi="Times New Roman"/>
                <w:bCs/>
              </w:rPr>
              <w:t>wejściem w życie:</w:t>
            </w:r>
          </w:p>
        </w:tc>
        <w:tc>
          <w:tcPr>
            <w:tcW w:w="4110" w:type="dxa"/>
            <w:gridSpan w:val="5"/>
            <w:shd w:val="clear" w:color="auto" w:fill="53A824"/>
            <w:vAlign w:val="center"/>
          </w:tcPr>
          <w:p w14:paraId="10EC7223" w14:textId="77777777" w:rsidR="00D418B9" w:rsidRPr="00D035F3" w:rsidRDefault="00D418B9" w:rsidP="0076435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035F3">
              <w:rPr>
                <w:rFonts w:ascii="Times New Roman" w:hAnsi="Times New Roman"/>
                <w:bCs/>
              </w:rPr>
              <w:t xml:space="preserve">4.4 Faktyczne korzyści wynikające z funkcjonowania </w:t>
            </w:r>
            <w:r w:rsidR="00282C90">
              <w:rPr>
                <w:rFonts w:ascii="Times New Roman" w:hAnsi="Times New Roman"/>
                <w:bCs/>
              </w:rPr>
              <w:t>ustawy</w:t>
            </w:r>
          </w:p>
        </w:tc>
      </w:tr>
      <w:tr w:rsidR="00D418B9" w:rsidRPr="00D035F3" w14:paraId="445163E8" w14:textId="77777777" w:rsidTr="005923A9">
        <w:trPr>
          <w:gridAfter w:val="1"/>
          <w:wAfter w:w="7" w:type="dxa"/>
          <w:trHeight w:val="841"/>
        </w:trPr>
        <w:tc>
          <w:tcPr>
            <w:tcW w:w="2978" w:type="dxa"/>
            <w:gridSpan w:val="4"/>
            <w:shd w:val="clear" w:color="auto" w:fill="FFFFFF"/>
            <w:vAlign w:val="center"/>
          </w:tcPr>
          <w:p w14:paraId="05E98C39" w14:textId="28238FB1" w:rsidR="009C47E9" w:rsidRPr="003319CB" w:rsidRDefault="009C47E9" w:rsidP="00250747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CB">
              <w:rPr>
                <w:rFonts w:ascii="Times New Roman" w:hAnsi="Times New Roman"/>
                <w:color w:val="000000"/>
                <w:sz w:val="24"/>
                <w:szCs w:val="24"/>
              </w:rPr>
              <w:t>Niekonstytucyjność</w:t>
            </w:r>
            <w:r w:rsidR="00D33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9CB">
              <w:rPr>
                <w:rFonts w:ascii="Times New Roman" w:hAnsi="Times New Roman"/>
                <w:color w:val="000000"/>
                <w:sz w:val="24"/>
                <w:szCs w:val="24"/>
              </w:rPr>
              <w:t>przepisów u.p.e.a. w</w:t>
            </w:r>
            <w:r w:rsidR="00D33A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zakresie </w:t>
            </w:r>
            <w:r w:rsidR="00D33A24">
              <w:rPr>
                <w:rFonts w:ascii="Times New Roman" w:hAnsi="Times New Roman"/>
                <w:color w:val="000000"/>
                <w:sz w:val="24"/>
                <w:szCs w:val="24"/>
              </w:rPr>
              <w:t>nieok</w:t>
            </w:r>
            <w:r w:rsidRPr="00331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reślenia maksymalnej wysokości opłaty za czynności egzekucyjne oraz opłaty manipulacyjnej, a także </w:t>
            </w:r>
            <w:r w:rsidR="00D33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braku </w:t>
            </w:r>
            <w:r w:rsidRPr="00331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możliwości obniżenia </w:t>
            </w:r>
            <w:r w:rsidR="00D33A24">
              <w:rPr>
                <w:rFonts w:ascii="Times New Roman" w:hAnsi="Times New Roman"/>
                <w:color w:val="000000"/>
                <w:sz w:val="24"/>
                <w:szCs w:val="24"/>
              </w:rPr>
              <w:t>kosztów egzekucyjnych</w:t>
            </w:r>
            <w:r w:rsidRPr="00331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9CB">
              <w:rPr>
                <w:rFonts w:ascii="Times New Roman" w:hAnsi="Times New Roman"/>
                <w:color w:val="000000"/>
                <w:sz w:val="24"/>
                <w:szCs w:val="24"/>
              </w:rPr>
              <w:t>razie umorzenia postępowania z uwagi na dobrowolną zapłatę.</w:t>
            </w:r>
          </w:p>
          <w:p w14:paraId="6BB50F77" w14:textId="34653EDF" w:rsidR="009C47E9" w:rsidRPr="003319CB" w:rsidRDefault="00F64C7E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CB">
              <w:rPr>
                <w:rFonts w:ascii="Times New Roman" w:hAnsi="Times New Roman"/>
                <w:sz w:val="24"/>
                <w:szCs w:val="24"/>
              </w:rPr>
              <w:t>Dotychczasowa minimalna wysokość opłaty za</w:t>
            </w:r>
            <w:r w:rsidR="00DC5A28">
              <w:rPr>
                <w:rFonts w:ascii="Times New Roman" w:hAnsi="Times New Roman"/>
                <w:sz w:val="24"/>
                <w:szCs w:val="24"/>
              </w:rPr>
              <w:t> </w:t>
            </w:r>
            <w:r w:rsidRPr="003319CB">
              <w:rPr>
                <w:rFonts w:ascii="Times New Roman" w:hAnsi="Times New Roman"/>
                <w:sz w:val="24"/>
                <w:szCs w:val="24"/>
              </w:rPr>
              <w:t>czynności egzekucyjne oraz minimalna wysokość opłaty manipulacyjnej nie</w:t>
            </w:r>
            <w:r w:rsidR="00DC5A28">
              <w:rPr>
                <w:rFonts w:ascii="Times New Roman" w:hAnsi="Times New Roman"/>
                <w:sz w:val="24"/>
                <w:szCs w:val="24"/>
              </w:rPr>
              <w:t> </w:t>
            </w:r>
            <w:r w:rsidRPr="003319CB">
              <w:rPr>
                <w:rFonts w:ascii="Times New Roman" w:hAnsi="Times New Roman"/>
                <w:sz w:val="24"/>
                <w:szCs w:val="24"/>
              </w:rPr>
              <w:t>pokrywała ponoszonych przez organ egzekucyjny wydatków związanych z</w:t>
            </w:r>
            <w:r w:rsidR="00DC5A28">
              <w:rPr>
                <w:rFonts w:ascii="Times New Roman" w:hAnsi="Times New Roman"/>
                <w:sz w:val="24"/>
                <w:szCs w:val="24"/>
              </w:rPr>
              <w:t> </w:t>
            </w:r>
            <w:r w:rsidRPr="003319CB">
              <w:rPr>
                <w:rFonts w:ascii="Times New Roman" w:hAnsi="Times New Roman"/>
                <w:sz w:val="24"/>
                <w:szCs w:val="24"/>
              </w:rPr>
              <w:t>przeprowadzeniem egzekucji należności pieniężnych.</w:t>
            </w:r>
          </w:p>
          <w:p w14:paraId="1C1F413E" w14:textId="77777777" w:rsidR="00A926E6" w:rsidRPr="00960C82" w:rsidRDefault="00A926E6" w:rsidP="003319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shd w:val="clear" w:color="auto" w:fill="FFFFFF"/>
          </w:tcPr>
          <w:p w14:paraId="7616A87C" w14:textId="77777777" w:rsidR="009C47E9" w:rsidRDefault="006173C3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82">
              <w:rPr>
                <w:rFonts w:ascii="Times New Roman" w:hAnsi="Times New Roman"/>
                <w:sz w:val="24"/>
                <w:szCs w:val="24"/>
              </w:rPr>
              <w:t xml:space="preserve">Wprowadzenie regulacji miało </w:t>
            </w:r>
            <w:r w:rsidRPr="009C0117">
              <w:rPr>
                <w:rFonts w:ascii="Times New Roman" w:hAnsi="Times New Roman"/>
                <w:sz w:val="24"/>
                <w:szCs w:val="24"/>
              </w:rPr>
              <w:t xml:space="preserve">pozwolić na </w:t>
            </w:r>
            <w:r w:rsidR="009C47E9">
              <w:rPr>
                <w:rFonts w:ascii="Times New Roman" w:hAnsi="Times New Roman"/>
                <w:sz w:val="24"/>
                <w:szCs w:val="24"/>
              </w:rPr>
              <w:t>stworzeni</w:t>
            </w:r>
            <w:r w:rsidR="00152678">
              <w:rPr>
                <w:rFonts w:ascii="Times New Roman" w:hAnsi="Times New Roman"/>
                <w:sz w:val="24"/>
                <w:szCs w:val="24"/>
              </w:rPr>
              <w:t>e</w:t>
            </w:r>
            <w:r w:rsidR="009C47E9">
              <w:rPr>
                <w:rFonts w:ascii="Times New Roman" w:hAnsi="Times New Roman"/>
                <w:sz w:val="24"/>
                <w:szCs w:val="24"/>
              </w:rPr>
              <w:t xml:space="preserve"> systemu kosztów egzekucyjnych w egzekucji administracyjnej, z uwzględnieniem wytycznych zawartych w wyroku T</w:t>
            </w:r>
            <w:r w:rsidR="00152678">
              <w:rPr>
                <w:rFonts w:ascii="Times New Roman" w:hAnsi="Times New Roman"/>
                <w:sz w:val="24"/>
                <w:szCs w:val="24"/>
              </w:rPr>
              <w:t>K</w:t>
            </w:r>
            <w:r w:rsidR="009C47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2674AF8" w14:textId="6FD41C34" w:rsidR="008146F5" w:rsidRDefault="008146F5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12">
              <w:rPr>
                <w:rFonts w:ascii="Times New Roman" w:hAnsi="Times New Roman"/>
                <w:sz w:val="24"/>
                <w:szCs w:val="24"/>
              </w:rPr>
              <w:t xml:space="preserve">Zakładano,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że nowy system kosztów egzekucyjnych wpłynie na zwiększenie stopnia </w:t>
            </w:r>
            <w:r w:rsidRPr="00820740">
              <w:rPr>
                <w:rFonts w:ascii="Times New Roman" w:hAnsi="Times New Roman"/>
                <w:sz w:val="24"/>
                <w:szCs w:val="24"/>
              </w:rPr>
              <w:t>dobrowolnego regulowania należności, szczególnie w sprawach,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20740">
              <w:rPr>
                <w:rFonts w:ascii="Times New Roman" w:hAnsi="Times New Roman"/>
                <w:sz w:val="24"/>
                <w:szCs w:val="24"/>
              </w:rPr>
              <w:t>których zaległości stanowią niskie kwoty</w:t>
            </w:r>
            <w:r>
              <w:rPr>
                <w:rFonts w:ascii="Times New Roman" w:hAnsi="Times New Roman"/>
                <w:sz w:val="24"/>
                <w:szCs w:val="24"/>
              </w:rPr>
              <w:t>. To z kolei zmniejszy liczbę tytułów wykonawczych wystawianych na należności o niskiej wysokości.</w:t>
            </w:r>
          </w:p>
          <w:p w14:paraId="5E4A8964" w14:textId="77777777" w:rsidR="00F92CB3" w:rsidRDefault="00F92CB3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85B457" w14:textId="77777777" w:rsidR="00F64C7E" w:rsidRDefault="009C47E9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CB">
              <w:rPr>
                <w:rFonts w:ascii="Times New Roman" w:hAnsi="Times New Roman"/>
                <w:sz w:val="24"/>
                <w:szCs w:val="24"/>
              </w:rPr>
              <w:t>Z</w:t>
            </w:r>
            <w:r w:rsidR="00F64C7E" w:rsidRPr="003319CB">
              <w:rPr>
                <w:rFonts w:ascii="Times New Roman" w:hAnsi="Times New Roman"/>
                <w:sz w:val="24"/>
                <w:szCs w:val="24"/>
              </w:rPr>
              <w:t xml:space="preserve">miana systemu kosztów egzekucyjnych </w:t>
            </w:r>
            <w:r w:rsidRPr="003319CB">
              <w:rPr>
                <w:rFonts w:ascii="Times New Roman" w:hAnsi="Times New Roman"/>
                <w:sz w:val="24"/>
                <w:szCs w:val="24"/>
              </w:rPr>
              <w:t xml:space="preserve">miała </w:t>
            </w:r>
            <w:r w:rsidR="00F64C7E" w:rsidRPr="003319CB">
              <w:rPr>
                <w:rFonts w:ascii="Times New Roman" w:hAnsi="Times New Roman"/>
                <w:sz w:val="24"/>
                <w:szCs w:val="24"/>
              </w:rPr>
              <w:t>nieznacznie wpłyn</w:t>
            </w:r>
            <w:r w:rsidRPr="003319CB">
              <w:rPr>
                <w:rFonts w:ascii="Times New Roman" w:hAnsi="Times New Roman"/>
                <w:sz w:val="24"/>
                <w:szCs w:val="24"/>
              </w:rPr>
              <w:t>ąć</w:t>
            </w:r>
            <w:r w:rsidR="00F64C7E" w:rsidRPr="003319CB">
              <w:rPr>
                <w:rFonts w:ascii="Times New Roman" w:hAnsi="Times New Roman"/>
                <w:sz w:val="24"/>
                <w:szCs w:val="24"/>
              </w:rPr>
              <w:t xml:space="preserve"> na zwiększenie dochodów budżetu państwa i jednostek samorządu terytorialnego</w:t>
            </w:r>
            <w:r w:rsidR="00F92CB3">
              <w:rPr>
                <w:rFonts w:ascii="Times New Roman" w:hAnsi="Times New Roman"/>
                <w:sz w:val="24"/>
                <w:szCs w:val="24"/>
              </w:rPr>
              <w:t>.</w:t>
            </w:r>
            <w:r w:rsidR="00F64C7E" w:rsidRPr="00331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6466D6" w14:textId="77777777" w:rsidR="00F92CB3" w:rsidRDefault="00F92CB3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CA1C0D" w14:textId="77777777" w:rsidR="00BF489A" w:rsidRDefault="00BF489A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CB">
              <w:rPr>
                <w:rFonts w:ascii="Times New Roman" w:hAnsi="Times New Roman"/>
                <w:sz w:val="24"/>
                <w:szCs w:val="24"/>
              </w:rPr>
              <w:t>Założono, że pełna wysokość wzrostu dochodów jednostek sektora finansów publicznych z tytułu zmiany regulacji w zakresie kosztów egzekucyjnych zostanie osiągnięta w trzecim roku obowiązywania ustawy.</w:t>
            </w:r>
          </w:p>
          <w:p w14:paraId="12A2DF50" w14:textId="77777777" w:rsidR="00F92CB3" w:rsidRPr="003319CB" w:rsidRDefault="00F92CB3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5DC992" w14:textId="710B4E33" w:rsidR="0077606C" w:rsidRDefault="00F64C7E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CB">
              <w:rPr>
                <w:rFonts w:ascii="Times New Roman" w:hAnsi="Times New Roman"/>
                <w:sz w:val="24"/>
                <w:szCs w:val="24"/>
              </w:rPr>
              <w:t xml:space="preserve">Przyjęto, że suma kwot opłaty manipulacyjnej na poziomie 40 </w:t>
            </w:r>
            <w:r w:rsidR="00233F88">
              <w:rPr>
                <w:rFonts w:ascii="Times New Roman" w:hAnsi="Times New Roman"/>
                <w:sz w:val="24"/>
                <w:szCs w:val="24"/>
              </w:rPr>
              <w:t xml:space="preserve">zł </w:t>
            </w:r>
            <w:r w:rsidRPr="003319CB">
              <w:rPr>
                <w:rFonts w:ascii="Times New Roman" w:hAnsi="Times New Roman"/>
                <w:sz w:val="24"/>
                <w:szCs w:val="24"/>
              </w:rPr>
              <w:t xml:space="preserve">lub 100 zł zrekompensuje wydatki </w:t>
            </w:r>
            <w:r w:rsidR="00EC745D">
              <w:rPr>
                <w:rFonts w:ascii="Times New Roman" w:hAnsi="Times New Roman"/>
                <w:sz w:val="24"/>
                <w:szCs w:val="24"/>
              </w:rPr>
              <w:t xml:space="preserve">organu egzekucyjnego ponoszone </w:t>
            </w:r>
            <w:r w:rsidRPr="003319CB">
              <w:rPr>
                <w:rFonts w:ascii="Times New Roman" w:hAnsi="Times New Roman"/>
                <w:sz w:val="24"/>
                <w:szCs w:val="24"/>
              </w:rPr>
              <w:t>w związku z</w:t>
            </w:r>
            <w:r w:rsidR="00AA2680">
              <w:rPr>
                <w:rFonts w:ascii="Times New Roman" w:hAnsi="Times New Roman"/>
                <w:sz w:val="24"/>
                <w:szCs w:val="24"/>
              </w:rPr>
              <w:t> </w:t>
            </w:r>
            <w:r w:rsidRPr="003319CB">
              <w:rPr>
                <w:rFonts w:ascii="Times New Roman" w:hAnsi="Times New Roman"/>
                <w:sz w:val="24"/>
                <w:szCs w:val="24"/>
              </w:rPr>
              <w:t xml:space="preserve">koniecznością wszczęcia egzekucji administracyjnej. </w:t>
            </w:r>
          </w:p>
          <w:p w14:paraId="620AA0C8" w14:textId="77777777" w:rsidR="00233F88" w:rsidRDefault="00233F88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C70214" w14:textId="43EAF719" w:rsidR="00343918" w:rsidRDefault="00343918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918">
              <w:rPr>
                <w:rFonts w:ascii="Times New Roman" w:hAnsi="Times New Roman"/>
                <w:sz w:val="24"/>
                <w:szCs w:val="24"/>
              </w:rPr>
              <w:t xml:space="preserve">Przyjęto, że skalkulowana górna granica opłaty egzekucyjnej w kwocie 40 tys. zł. </w:t>
            </w:r>
            <w:r w:rsidR="00AA2680" w:rsidRPr="00343918">
              <w:rPr>
                <w:rFonts w:ascii="Times New Roman" w:hAnsi="Times New Roman"/>
                <w:sz w:val="24"/>
                <w:szCs w:val="24"/>
              </w:rPr>
              <w:t xml:space="preserve">będzie </w:t>
            </w:r>
            <w:r w:rsidRPr="00343918">
              <w:rPr>
                <w:rFonts w:ascii="Times New Roman" w:hAnsi="Times New Roman"/>
                <w:sz w:val="24"/>
                <w:szCs w:val="24"/>
              </w:rPr>
              <w:t xml:space="preserve">dotyczyła tytułów </w:t>
            </w:r>
            <w:r w:rsidRPr="00343918">
              <w:rPr>
                <w:rFonts w:ascii="Times New Roman" w:hAnsi="Times New Roman"/>
                <w:sz w:val="24"/>
                <w:szCs w:val="24"/>
              </w:rPr>
              <w:lastRenderedPageBreak/>
              <w:t>wykonawczych, które obejmują należności wyższe niż 400 tys. zł. W</w:t>
            </w:r>
            <w:r w:rsidR="00AA2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918">
              <w:rPr>
                <w:rFonts w:ascii="Times New Roman" w:hAnsi="Times New Roman"/>
                <w:sz w:val="24"/>
                <w:szCs w:val="24"/>
              </w:rPr>
              <w:t>przypadku niższych należności wysokość opłaty egzekucyjnej wyniesie 10% wyegzekwowanej należności. Założono, że egzekwowanie tytułów wykonawczych obejmujących duże należności wymaga znacznie większego nakładu pracy pracowników organu egzekucyjnego.</w:t>
            </w:r>
          </w:p>
          <w:p w14:paraId="09A7A8EA" w14:textId="77777777" w:rsidR="00BA7D25" w:rsidRDefault="00BA7D25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07BEDA" w14:textId="42619DC2" w:rsidR="0077606C" w:rsidRDefault="00D421FD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CB">
              <w:rPr>
                <w:rFonts w:ascii="Times New Roman" w:hAnsi="Times New Roman"/>
                <w:sz w:val="24"/>
                <w:szCs w:val="24"/>
              </w:rPr>
              <w:t>Kwota maksymalnej wysokości opłaty egzekucyjnej została skalkulowana w</w:t>
            </w:r>
            <w:r w:rsidR="00AA2680">
              <w:rPr>
                <w:rFonts w:ascii="Times New Roman" w:hAnsi="Times New Roman"/>
                <w:sz w:val="24"/>
                <w:szCs w:val="24"/>
              </w:rPr>
              <w:t> </w:t>
            </w:r>
            <w:r w:rsidRPr="003319CB">
              <w:rPr>
                <w:rFonts w:ascii="Times New Roman" w:hAnsi="Times New Roman"/>
                <w:sz w:val="24"/>
                <w:szCs w:val="24"/>
              </w:rPr>
              <w:t xml:space="preserve">oparciu </w:t>
            </w:r>
            <w:r w:rsidR="00BA7D25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3319CB">
              <w:rPr>
                <w:rFonts w:ascii="Times New Roman" w:hAnsi="Times New Roman"/>
                <w:sz w:val="24"/>
                <w:szCs w:val="24"/>
              </w:rPr>
              <w:t xml:space="preserve">nakład pracy </w:t>
            </w:r>
            <w:r w:rsidR="00BA7D25">
              <w:rPr>
                <w:rFonts w:ascii="Times New Roman" w:hAnsi="Times New Roman"/>
                <w:sz w:val="24"/>
                <w:szCs w:val="24"/>
              </w:rPr>
              <w:t xml:space="preserve">konieczny </w:t>
            </w:r>
            <w:r w:rsidRPr="003319CB">
              <w:rPr>
                <w:rFonts w:ascii="Times New Roman" w:hAnsi="Times New Roman"/>
                <w:sz w:val="24"/>
                <w:szCs w:val="24"/>
              </w:rPr>
              <w:t>do wyegzekwowania wysokiej należności, przy uwzględnieniu zaleceń TK, zgodnie z którymi opłaty te pełnią również funkcję stymulacyjno</w:t>
            </w:r>
            <w:r w:rsidR="00BC7442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19CB">
              <w:rPr>
                <w:rFonts w:ascii="Times New Roman" w:hAnsi="Times New Roman"/>
                <w:sz w:val="24"/>
                <w:szCs w:val="24"/>
              </w:rPr>
              <w:t xml:space="preserve">wychowawczą. </w:t>
            </w:r>
          </w:p>
          <w:p w14:paraId="44315A42" w14:textId="77777777" w:rsidR="00BA7D25" w:rsidRDefault="00BA7D25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605E23" w14:textId="77777777" w:rsidR="00295101" w:rsidRDefault="00295101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Wprowadzono</w:t>
            </w:r>
            <w:r w:rsidR="00D421FD" w:rsidRPr="003319CB">
              <w:rPr>
                <w:rFonts w:ascii="Times New Roman" w:hAnsi="Times New Roman"/>
                <w:sz w:val="24"/>
                <w:szCs w:val="24"/>
              </w:rPr>
              <w:t xml:space="preserve"> dobrowoln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="00D421FD" w:rsidRPr="003319CB">
              <w:rPr>
                <w:rFonts w:ascii="Times New Roman" w:hAnsi="Times New Roman"/>
                <w:sz w:val="24"/>
                <w:szCs w:val="24"/>
              </w:rPr>
              <w:t>, promowan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="00D421FD" w:rsidRPr="003319CB">
              <w:rPr>
                <w:rFonts w:ascii="Times New Roman" w:hAnsi="Times New Roman"/>
                <w:sz w:val="24"/>
                <w:szCs w:val="24"/>
              </w:rPr>
              <w:t xml:space="preserve"> zapłat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 w:rsidR="00D421FD" w:rsidRPr="003319CB">
              <w:rPr>
                <w:rFonts w:ascii="Times New Roman" w:hAnsi="Times New Roman"/>
                <w:sz w:val="24"/>
                <w:szCs w:val="24"/>
              </w:rPr>
              <w:t xml:space="preserve">, której skutkiem jest </w:t>
            </w:r>
            <w:r>
              <w:rPr>
                <w:rFonts w:ascii="Times New Roman" w:hAnsi="Times New Roman"/>
                <w:sz w:val="24"/>
                <w:szCs w:val="24"/>
              </w:rPr>
              <w:t>obniżenie</w:t>
            </w:r>
            <w:r w:rsidRPr="00331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1FD" w:rsidRPr="003319CB">
              <w:rPr>
                <w:rFonts w:ascii="Times New Roman" w:hAnsi="Times New Roman"/>
                <w:sz w:val="24"/>
                <w:szCs w:val="24"/>
              </w:rPr>
              <w:t>opłaty egzekucyjnej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421FD" w:rsidRPr="003319CB">
              <w:rPr>
                <w:rFonts w:ascii="Times New Roman" w:hAnsi="Times New Roman"/>
                <w:sz w:val="24"/>
                <w:szCs w:val="24"/>
              </w:rPr>
              <w:t>50%.</w:t>
            </w:r>
          </w:p>
          <w:p w14:paraId="700822C1" w14:textId="56136F26" w:rsidR="00C15054" w:rsidRPr="00960C82" w:rsidRDefault="00C15054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shd w:val="clear" w:color="auto" w:fill="FFFFFF"/>
          </w:tcPr>
          <w:p w14:paraId="032A2F3E" w14:textId="049679BB" w:rsidR="00BF489A" w:rsidRDefault="00953C2D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Regulacje ustaw</w:t>
            </w:r>
            <w:r w:rsidR="00DC5A28">
              <w:rPr>
                <w:rFonts w:ascii="Times New Roman" w:hAnsi="Times New Roman"/>
                <w:sz w:val="24"/>
                <w:szCs w:val="24"/>
              </w:rPr>
              <w:t>y</w:t>
            </w:r>
            <w:r w:rsidR="005960AE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FB0638">
              <w:rPr>
                <w:rFonts w:ascii="Times New Roman" w:hAnsi="Times New Roman"/>
                <w:sz w:val="24"/>
                <w:szCs w:val="24"/>
              </w:rPr>
              <w:t> </w:t>
            </w:r>
            <w:r w:rsidR="005B12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874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B127C">
              <w:rPr>
                <w:rFonts w:ascii="Times New Roman" w:hAnsi="Times New Roman"/>
                <w:color w:val="000000"/>
                <w:sz w:val="24"/>
                <w:szCs w:val="24"/>
              </w:rPr>
              <w:t>lipca</w:t>
            </w:r>
            <w:r w:rsidR="00596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r.</w:t>
            </w:r>
            <w:r w:rsidR="00FB0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wprowadziły </w:t>
            </w:r>
            <w:r w:rsidR="00BF489A">
              <w:rPr>
                <w:rFonts w:ascii="Times New Roman" w:hAnsi="Times New Roman"/>
                <w:color w:val="000000"/>
                <w:sz w:val="24"/>
                <w:szCs w:val="24"/>
              </w:rPr>
              <w:t>nowy system kosztów egzekucyjnych uwzględniają</w:t>
            </w:r>
            <w:r w:rsidR="00F87424">
              <w:rPr>
                <w:rFonts w:ascii="Times New Roman" w:hAnsi="Times New Roman"/>
                <w:color w:val="000000"/>
                <w:sz w:val="24"/>
                <w:szCs w:val="24"/>
              </w:rPr>
              <w:t>cy</w:t>
            </w:r>
            <w:r w:rsidR="00BF4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wytyczne zawarte w</w:t>
            </w:r>
            <w:r w:rsidR="00F874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F489A">
              <w:rPr>
                <w:rFonts w:ascii="Times New Roman" w:hAnsi="Times New Roman"/>
                <w:color w:val="000000"/>
                <w:sz w:val="24"/>
                <w:szCs w:val="24"/>
              </w:rPr>
              <w:t>wyroku T</w:t>
            </w:r>
            <w:r w:rsidR="00F87424">
              <w:rPr>
                <w:rFonts w:ascii="Times New Roman" w:hAnsi="Times New Roman"/>
                <w:color w:val="000000"/>
                <w:sz w:val="24"/>
                <w:szCs w:val="24"/>
              </w:rPr>
              <w:t>K.</w:t>
            </w:r>
          </w:p>
          <w:p w14:paraId="574B0123" w14:textId="1681A002" w:rsidR="00995E09" w:rsidRDefault="00995E09" w:rsidP="00DF73B1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Nowy system kosztów egzekucyjnych</w:t>
            </w:r>
            <w:r>
              <w:t xml:space="preserve"> </w:t>
            </w:r>
            <w:r w:rsidRPr="00995E09">
              <w:rPr>
                <w:rFonts w:ascii="Times New Roman" w:hAnsi="Times New Roman"/>
                <w:color w:val="000000"/>
                <w:sz w:val="24"/>
                <w:szCs w:val="24"/>
              </w:rPr>
              <w:t>wprowadził racjonalną zależność między wysokością opłat w egzekucji a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95E09">
              <w:rPr>
                <w:rFonts w:ascii="Times New Roman" w:hAnsi="Times New Roman"/>
                <w:color w:val="000000"/>
                <w:sz w:val="24"/>
                <w:szCs w:val="24"/>
              </w:rPr>
              <w:t>czynnościami organów, za podjęcie których opłaty te zostały naliczone oraz odstąpił od powiązania kosztów egzekucyjnych z samym zastosowaniem nawet nieefektywnego środka egzekucyjnego. Naliczenie i pobór opłaty egzekucyjnej powiązano 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efektami dokonanych czynności czyli z </w:t>
            </w:r>
            <w:r w:rsidRPr="00995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wyegzekwowaniem bądź uzyskaniem środków pieniężnych. </w:t>
            </w:r>
            <w:r w:rsidR="00C77EF8">
              <w:rPr>
                <w:rFonts w:ascii="Times New Roman" w:hAnsi="Times New Roman"/>
                <w:color w:val="000000"/>
                <w:sz w:val="24"/>
                <w:szCs w:val="24"/>
              </w:rPr>
              <w:t>Dzięki temu w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7EF8">
              <w:rPr>
                <w:rFonts w:ascii="Times New Roman" w:hAnsi="Times New Roman"/>
                <w:color w:val="000000"/>
                <w:sz w:val="24"/>
                <w:szCs w:val="24"/>
              </w:rPr>
              <w:t>postępowaniu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7EF8">
              <w:rPr>
                <w:rFonts w:ascii="Times New Roman" w:hAnsi="Times New Roman"/>
                <w:color w:val="000000"/>
                <w:sz w:val="24"/>
                <w:szCs w:val="24"/>
              </w:rPr>
              <w:t>egzekucyjnym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7EF8">
              <w:rPr>
                <w:rFonts w:ascii="Times New Roman" w:hAnsi="Times New Roman"/>
                <w:color w:val="000000"/>
                <w:sz w:val="24"/>
                <w:szCs w:val="24"/>
              </w:rPr>
              <w:t>wprowadzono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E09">
              <w:rPr>
                <w:rFonts w:ascii="Times New Roman" w:hAnsi="Times New Roman"/>
                <w:color w:val="000000"/>
                <w:sz w:val="24"/>
                <w:szCs w:val="24"/>
              </w:rPr>
              <w:t>korzystne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E09">
              <w:rPr>
                <w:rFonts w:ascii="Times New Roman" w:hAnsi="Times New Roman"/>
                <w:color w:val="000000"/>
                <w:sz w:val="24"/>
                <w:szCs w:val="24"/>
              </w:rPr>
              <w:t>dla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E09">
              <w:rPr>
                <w:rFonts w:ascii="Times New Roman" w:hAnsi="Times New Roman"/>
                <w:color w:val="000000"/>
                <w:sz w:val="24"/>
                <w:szCs w:val="24"/>
              </w:rPr>
              <w:t>zobowiązanych</w:t>
            </w:r>
            <w:r w:rsidR="00C77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7EF8">
              <w:rPr>
                <w:rFonts w:ascii="Times New Roman" w:hAnsi="Times New Roman"/>
                <w:color w:val="000000"/>
                <w:sz w:val="24"/>
                <w:szCs w:val="24"/>
              </w:rPr>
              <w:t>ponoszenia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7EF8">
              <w:rPr>
                <w:rFonts w:ascii="Times New Roman" w:hAnsi="Times New Roman"/>
                <w:color w:val="000000"/>
                <w:sz w:val="24"/>
                <w:szCs w:val="24"/>
              </w:rPr>
              <w:t>kosztów egzekucyjnych, które są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adekwatne do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95E09">
              <w:rPr>
                <w:rFonts w:ascii="Times New Roman" w:hAnsi="Times New Roman"/>
                <w:color w:val="000000"/>
                <w:sz w:val="24"/>
                <w:szCs w:val="24"/>
              </w:rPr>
              <w:t>czynności podejmowa</w:t>
            </w:r>
            <w:r w:rsidR="007079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95E09">
              <w:rPr>
                <w:rFonts w:ascii="Times New Roman" w:hAnsi="Times New Roman"/>
                <w:color w:val="000000"/>
                <w:sz w:val="24"/>
                <w:szCs w:val="24"/>
              </w:rPr>
              <w:t>nych przez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95E09">
              <w:rPr>
                <w:rFonts w:ascii="Times New Roman" w:hAnsi="Times New Roman"/>
                <w:color w:val="000000"/>
                <w:sz w:val="24"/>
                <w:szCs w:val="24"/>
              </w:rPr>
              <w:t>organ egzekucyjny.</w:t>
            </w:r>
          </w:p>
          <w:p w14:paraId="04630B02" w14:textId="77777777" w:rsidR="00BF489A" w:rsidRDefault="00BF489A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7A351C" w14:textId="61161921" w:rsidR="00C33453" w:rsidRDefault="002442A8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Osiągnięto zakładany </w:t>
            </w:r>
            <w:r w:rsidR="006F0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spadek </w:t>
            </w:r>
            <w:r w:rsidR="00D67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wystawiania </w:t>
            </w:r>
            <w:r w:rsidR="006F0E95">
              <w:rPr>
                <w:rFonts w:ascii="Times New Roman" w:hAnsi="Times New Roman"/>
                <w:color w:val="000000"/>
                <w:sz w:val="24"/>
                <w:szCs w:val="24"/>
              </w:rPr>
              <w:t>tytułów wykonawczych obejmujących niskie należności (do 500 zł). W porównaniu do 2020 r. w latach 2021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6F0E95">
              <w:rPr>
                <w:rFonts w:ascii="Times New Roman" w:hAnsi="Times New Roman"/>
                <w:color w:val="000000"/>
                <w:sz w:val="24"/>
                <w:szCs w:val="24"/>
              </w:rPr>
              <w:t>2022 r. zmniejszyła się liczba</w:t>
            </w:r>
            <w:r w:rsidR="006F0E95">
              <w:t xml:space="preserve"> </w:t>
            </w:r>
            <w:r w:rsidR="006F0E95" w:rsidRPr="006F0E95">
              <w:rPr>
                <w:rFonts w:ascii="Times New Roman" w:hAnsi="Times New Roman"/>
                <w:color w:val="000000"/>
                <w:sz w:val="24"/>
                <w:szCs w:val="24"/>
              </w:rPr>
              <w:t>skierowanych do organu egzekucyjnego będącego naczelnikiem urzędu skarbowego</w:t>
            </w:r>
            <w:r w:rsidR="006F0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tytułów wykonawczych obejmujących wskazane należności. W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F0E95">
              <w:rPr>
                <w:rFonts w:ascii="Times New Roman" w:hAnsi="Times New Roman"/>
                <w:color w:val="000000"/>
                <w:sz w:val="24"/>
                <w:szCs w:val="24"/>
              </w:rPr>
              <w:t>2021 r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oku</w:t>
            </w:r>
            <w:r w:rsidR="006F0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spadek 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liczby </w:t>
            </w:r>
            <w:r w:rsidR="006F0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tytułów wykonawczych obejmujących niskie kwoty wyniósł </w:t>
            </w:r>
            <w:r w:rsidR="0007392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F0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w stosunku do roku 2020. Natomiast w 2022 r. </w:t>
            </w:r>
            <w:r w:rsidR="0088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ta </w:t>
            </w:r>
            <w:r w:rsidR="008846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zmniejszyła się</w:t>
            </w:r>
            <w:r w:rsidR="006F0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4639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6F0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7% w stosunku do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F0E95">
              <w:rPr>
                <w:rFonts w:ascii="Times New Roman" w:hAnsi="Times New Roman"/>
                <w:color w:val="000000"/>
                <w:sz w:val="24"/>
                <w:szCs w:val="24"/>
              </w:rPr>
              <w:t>2020 r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oku</w:t>
            </w:r>
            <w:r w:rsidR="006F0E95">
              <w:rPr>
                <w:rFonts w:ascii="Times New Roman" w:hAnsi="Times New Roman"/>
                <w:color w:val="000000"/>
                <w:sz w:val="24"/>
                <w:szCs w:val="24"/>
              </w:rPr>
              <w:t>. Wskazuje to na tendencję spadkową kierowanych do egzekucji tytułów wykonawczych obejmujących niskie kwoty.</w:t>
            </w:r>
          </w:p>
          <w:p w14:paraId="3A153450" w14:textId="3CED0676" w:rsidR="006F0E95" w:rsidRDefault="001A0A12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Szczegółowe porównanie</w:t>
            </w:r>
            <w:r w:rsidR="0088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liczby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tytułów wykonawczych</w:t>
            </w:r>
            <w:r w:rsidR="0049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określonych kategoriach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obejmujących należności do 500 zł pozwala </w:t>
            </w:r>
            <w:r w:rsidR="002442A8">
              <w:rPr>
                <w:rFonts w:ascii="Times New Roman" w:hAnsi="Times New Roman"/>
                <w:color w:val="000000"/>
                <w:sz w:val="24"/>
                <w:szCs w:val="24"/>
              </w:rPr>
              <w:t>przyjąć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że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przypadku tytułów wykonawczych obejmujących należności w wysokości od 4</w:t>
            </w:r>
            <w:r w:rsidR="004953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100 zł, od 101 zł do 200 zł, od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 zł do 300 zł, od 301 zł do 400 zł w latach 2021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 </w:t>
            </w:r>
            <w:r w:rsidR="0088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zakładany cel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został osiągnięty. </w:t>
            </w:r>
          </w:p>
          <w:p w14:paraId="12FBD3A3" w14:textId="47EDB131" w:rsidR="004953E9" w:rsidRDefault="001A0A12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2021 r. </w:t>
            </w:r>
            <w:r w:rsidR="004953E9">
              <w:rPr>
                <w:rFonts w:ascii="Times New Roman" w:hAnsi="Times New Roman"/>
                <w:color w:val="000000"/>
                <w:sz w:val="24"/>
                <w:szCs w:val="24"/>
              </w:rPr>
              <w:t>liczba tytułów wykonawczych obejmujących należności w wysokości od 41 do 100 zł spadła o 18% w stosunku do 2020 r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oku</w:t>
            </w:r>
            <w:r w:rsidR="0049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Natomiast w 2022 r. spadek </w:t>
            </w:r>
            <w:r w:rsidR="00D6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4953E9">
              <w:rPr>
                <w:rFonts w:ascii="Times New Roman" w:hAnsi="Times New Roman"/>
                <w:color w:val="000000"/>
                <w:sz w:val="24"/>
                <w:szCs w:val="24"/>
              </w:rPr>
              <w:t>tej kategorii tytułów wykonawczych wyniósł 19%, tym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53E9">
              <w:rPr>
                <w:rFonts w:ascii="Times New Roman" w:hAnsi="Times New Roman"/>
                <w:color w:val="000000"/>
                <w:sz w:val="24"/>
                <w:szCs w:val="24"/>
              </w:rPr>
              <w:t>samych zachowując w tym przedziale tendencję spadkową.</w:t>
            </w:r>
          </w:p>
          <w:p w14:paraId="5365029D" w14:textId="2B41B7E0" w:rsidR="004953E9" w:rsidRDefault="004953E9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2021 r. </w:t>
            </w:r>
            <w:r w:rsidRPr="0049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tytułów wykonawczych obejmujących należności w wysokości od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 do 200 zł spadła o </w:t>
            </w:r>
            <w:r w:rsidRPr="004953E9">
              <w:rPr>
                <w:rFonts w:ascii="Times New Roman" w:hAnsi="Times New Roman"/>
                <w:color w:val="000000"/>
                <w:sz w:val="24"/>
                <w:szCs w:val="24"/>
              </w:rPr>
              <w:t>8% w stosunku do 2020 r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oku</w:t>
            </w:r>
            <w:r w:rsidRPr="00495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Natomiast w 2022 r. spadek tej kategorii tytułów wykonawczych wyniósł 16%.</w:t>
            </w:r>
            <w:r w:rsidR="00D6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tej kategorii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wysokości kwoty egzekwowanej</w:t>
            </w:r>
            <w:r w:rsidR="00D6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również utrzymała się tendencja spadkowa. </w:t>
            </w:r>
          </w:p>
          <w:p w14:paraId="42F97BDE" w14:textId="42300676" w:rsidR="004953E9" w:rsidRDefault="004953E9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3E9">
              <w:rPr>
                <w:rFonts w:ascii="Times New Roman" w:hAnsi="Times New Roman"/>
                <w:color w:val="000000"/>
                <w:sz w:val="24"/>
                <w:szCs w:val="24"/>
              </w:rPr>
              <w:t>W 2021 r. liczba tytułów wykonawczych obejmują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cych należności w wysokości od 201 do 3</w:t>
            </w:r>
            <w:r w:rsidRPr="004953E9">
              <w:rPr>
                <w:rFonts w:ascii="Times New Roman" w:hAnsi="Times New Roman"/>
                <w:color w:val="000000"/>
                <w:sz w:val="24"/>
                <w:szCs w:val="24"/>
              </w:rPr>
              <w:t>00 zł spadła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9%</w:t>
            </w:r>
            <w:r>
              <w:t xml:space="preserve"> </w:t>
            </w:r>
            <w:r w:rsidRPr="004953E9">
              <w:rPr>
                <w:rFonts w:ascii="Times New Roman" w:hAnsi="Times New Roman"/>
                <w:color w:val="000000"/>
                <w:sz w:val="24"/>
                <w:szCs w:val="24"/>
              </w:rPr>
              <w:t>w stosunku do 2020 r. Natomiast w 2022 r. spadek tej kategorii tytułów wykonawczych wyniósł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17,5%</w:t>
            </w:r>
            <w:r w:rsidR="00474510">
              <w:rPr>
                <w:rFonts w:ascii="Times New Roman" w:hAnsi="Times New Roman"/>
                <w:color w:val="000000"/>
                <w:sz w:val="24"/>
                <w:szCs w:val="24"/>
              </w:rPr>
              <w:t>, co świadczy o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4510">
              <w:rPr>
                <w:rFonts w:ascii="Times New Roman" w:hAnsi="Times New Roman"/>
                <w:color w:val="000000"/>
                <w:sz w:val="24"/>
                <w:szCs w:val="24"/>
              </w:rPr>
              <w:t>utrzymującej się tendencji spadkowej.</w:t>
            </w:r>
          </w:p>
          <w:p w14:paraId="160589EB" w14:textId="77777777" w:rsidR="00AA2680" w:rsidRDefault="004953E9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3E9">
              <w:rPr>
                <w:rFonts w:ascii="Times New Roman" w:hAnsi="Times New Roman"/>
                <w:color w:val="000000"/>
                <w:sz w:val="24"/>
                <w:szCs w:val="24"/>
              </w:rPr>
              <w:t>W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2022</w:t>
            </w:r>
            <w:r w:rsidRPr="0049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 liczba tytułów wykonawczych obejmują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cych należności w wysokości od 301 do 4</w:t>
            </w:r>
            <w:r w:rsidRPr="00495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zł spadła 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0,4% w stosunku do 2020 r</w:t>
            </w:r>
            <w:r w:rsidR="007808B1">
              <w:rPr>
                <w:rFonts w:ascii="Times New Roman" w:hAnsi="Times New Roman"/>
                <w:color w:val="000000"/>
                <w:sz w:val="24"/>
                <w:szCs w:val="24"/>
              </w:rPr>
              <w:t>oku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50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EC8488F" w14:textId="6D88A7AD" w:rsidR="004953E9" w:rsidRDefault="00650DA7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Zauważono jednocześnie wzrost skierowanych do egzekucji tytułów wykonawczych obejmujących należności w wysokości do 40 zł i od 401 do 500 zł.</w:t>
            </w:r>
          </w:p>
          <w:p w14:paraId="12D93CD9" w14:textId="2E95979A" w:rsidR="00AD7619" w:rsidRDefault="00650DA7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przypadku tytułów wykonawczych obejmujących należności w wysokości do 40 zł w 2021 r. odnotowano wzrost liczby tych tytułów wykonawczych o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11% w stosunku do 2020 r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oku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Natomiast w 2022 r. ten wzrost wynosił 12,5% w stosunku do 2020 r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oku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Liczba tytułów wykonawczych obejmujących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należności w wysokości od 401 do 500 zł w 2021 r. wzrosła o 3% w stosunku do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r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oku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Natomiast w 2022 r. wzrost w tej kategorii wyniósł 8%.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1E28">
              <w:rPr>
                <w:rFonts w:ascii="Times New Roman" w:hAnsi="Times New Roman"/>
                <w:color w:val="000000"/>
                <w:sz w:val="24"/>
                <w:szCs w:val="24"/>
              </w:rPr>
              <w:t>Powyższe wskazuje, że co do zasady osiągnięto spadek liczby tytułów wykonawczych</w:t>
            </w:r>
            <w:r w:rsidR="00030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obejmujących niskie należności. </w:t>
            </w:r>
            <w:r w:rsidR="00474510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030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zrosty w </w:t>
            </w:r>
            <w:r w:rsidR="00474510">
              <w:rPr>
                <w:rFonts w:ascii="Times New Roman" w:hAnsi="Times New Roman"/>
                <w:color w:val="000000"/>
                <w:sz w:val="24"/>
                <w:szCs w:val="24"/>
              </w:rPr>
              <w:t>dwóch</w:t>
            </w:r>
            <w:r w:rsidR="00030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kategoriach</w:t>
            </w:r>
            <w:r w:rsidR="00474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badanych</w:t>
            </w:r>
            <w:r w:rsidR="00030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tytułów wykonawczych dotyczących niskich należności nie wpływają na ocenę ogólnego spadku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liczby</w:t>
            </w:r>
            <w:r w:rsidR="00030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tytułów wykonawczych obejmujących niskie kwoty w 2021 i 2022 r</w:t>
            </w:r>
            <w:r w:rsidR="00DC5A28">
              <w:rPr>
                <w:rFonts w:ascii="Times New Roman" w:hAnsi="Times New Roman"/>
                <w:color w:val="000000"/>
                <w:sz w:val="24"/>
                <w:szCs w:val="24"/>
              </w:rPr>
              <w:t>oku</w:t>
            </w:r>
            <w:r w:rsidR="00030A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6AA0905" w14:textId="4740C5DF" w:rsidR="005B127C" w:rsidRDefault="00BF489A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Wprowadzone regulacje </w:t>
            </w:r>
            <w:r w:rsidR="00606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zapewniły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wzrost</w:t>
            </w:r>
            <w:r w:rsidR="005B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dochod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 w:rsidR="005B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jednostek sektora finansów publicznych z tytułu kosztów egzekucyjnych.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Już w roku wejścia w</w:t>
            </w:r>
            <w:r w:rsidR="006061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życie ustawy z 4 lipca 2019 r. </w:t>
            </w:r>
            <w:r w:rsidR="00606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był on większy </w:t>
            </w:r>
            <w:r w:rsidR="00CA09D7">
              <w:rPr>
                <w:rFonts w:ascii="Times New Roman" w:hAnsi="Times New Roman"/>
                <w:color w:val="000000"/>
                <w:sz w:val="24"/>
                <w:szCs w:val="24"/>
              </w:rPr>
              <w:t>od</w:t>
            </w:r>
            <w:r w:rsidR="00606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r w:rsidR="00CA09D7">
              <w:rPr>
                <w:rFonts w:ascii="Times New Roman" w:hAnsi="Times New Roman"/>
                <w:color w:val="000000"/>
                <w:sz w:val="24"/>
                <w:szCs w:val="24"/>
              </w:rPr>
              <w:t>łożonego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</w:t>
            </w:r>
            <w:r w:rsidR="006061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OSR ex</w:t>
            </w:r>
            <w:r w:rsidR="00BC744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ante </w:t>
            </w:r>
            <w:r w:rsidR="0060615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814E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06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większy </w:t>
            </w:r>
            <w:r w:rsidR="00CA0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 </w:t>
            </w:r>
            <w:r w:rsidR="00606154">
              <w:rPr>
                <w:rFonts w:ascii="Times New Roman" w:hAnsi="Times New Roman"/>
                <w:color w:val="000000"/>
                <w:sz w:val="24"/>
                <w:szCs w:val="24"/>
              </w:rPr>
              <w:t>odnotowan</w:t>
            </w:r>
            <w:r w:rsidR="00CA09D7">
              <w:rPr>
                <w:rFonts w:ascii="Times New Roman" w:hAnsi="Times New Roman"/>
                <w:color w:val="000000"/>
                <w:sz w:val="24"/>
                <w:szCs w:val="24"/>
              </w:rPr>
              <w:t>ego</w:t>
            </w:r>
            <w:r w:rsidR="00606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roku poprzedzającym wejście w życie ustawy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(szczegółowa analiza zawarta jest w pkt 5 OSR ex</w:t>
            </w:r>
            <w:r w:rsidR="00BC744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post).</w:t>
            </w:r>
          </w:p>
          <w:p w14:paraId="2428E59E" w14:textId="77777777" w:rsidR="000B0FAD" w:rsidRDefault="000B0FAD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5EE6F6" w14:textId="1CE773A1" w:rsidR="009E64F0" w:rsidRDefault="00F522B0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Nowy system kosztów egzekucyjnych</w:t>
            </w:r>
            <w:r w:rsidR="001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jest </w:t>
            </w:r>
            <w:r w:rsidR="00946943">
              <w:rPr>
                <w:rFonts w:ascii="Times New Roman" w:hAnsi="Times New Roman"/>
                <w:color w:val="000000"/>
                <w:sz w:val="24"/>
                <w:szCs w:val="24"/>
              </w:rPr>
              <w:t>transparentny</w:t>
            </w:r>
            <w:r w:rsidR="00996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488B">
              <w:rPr>
                <w:rFonts w:ascii="Times New Roman" w:hAnsi="Times New Roman"/>
                <w:color w:val="000000"/>
                <w:sz w:val="24"/>
                <w:szCs w:val="24"/>
              </w:rPr>
              <w:t>gdyż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</w:t>
            </w:r>
            <w:r w:rsidR="001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prowadza powiązanie ponoszenia ciężaru kosztów egzekucyjnych z efektami czynności 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podejmowanych przez </w:t>
            </w:r>
            <w:r w:rsidR="001B488B">
              <w:rPr>
                <w:rFonts w:ascii="Times New Roman" w:hAnsi="Times New Roman"/>
                <w:color w:val="000000"/>
                <w:sz w:val="24"/>
                <w:szCs w:val="24"/>
              </w:rPr>
              <w:t>organ egzekucyjn</w:t>
            </w:r>
            <w:r w:rsidR="00AA2680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1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(wyegzekwowanie lub uzyskanie środków pieniężnych). Zobowiązani ponoszą koszty egzekucyjne, których wysokość jest ściśle określona</w:t>
            </w:r>
            <w:r w:rsidR="009E64F0">
              <w:rPr>
                <w:rFonts w:ascii="Times New Roman" w:hAnsi="Times New Roman"/>
                <w:color w:val="000000"/>
                <w:sz w:val="24"/>
                <w:szCs w:val="24"/>
              </w:rPr>
              <w:t>, w tym poprzez określenie jej maksymalnej wysokości.</w:t>
            </w:r>
            <w:r w:rsidR="001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0B680EF" w14:textId="77777777" w:rsidR="009E64F0" w:rsidRDefault="009E64F0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FD9CAA" w14:textId="6C1DA04D" w:rsidR="000B0FAD" w:rsidRDefault="009E64F0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Wprowadzony system kosztów egzekucyjnych </w:t>
            </w:r>
            <w:r w:rsidR="00F52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realizuje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również </w:t>
            </w:r>
            <w:r w:rsidR="00F52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funkcję fiskalną </w:t>
            </w:r>
            <w:r w:rsidR="00D31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mającą zapewnić finansowanie </w:t>
            </w:r>
            <w:r w:rsidR="00F522B0">
              <w:rPr>
                <w:rFonts w:ascii="Times New Roman" w:hAnsi="Times New Roman"/>
                <w:color w:val="000000"/>
                <w:sz w:val="24"/>
                <w:szCs w:val="24"/>
              </w:rPr>
              <w:t>aparatu egzekucyjnego.</w:t>
            </w:r>
            <w:r w:rsidR="00D31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Opłata manipulacyjna zapewnia refundację wydatków ponoszonych przez organ egzekucyjny na etapie wszczęcia postępowania egzekucyjnego i egzeku</w:t>
            </w:r>
            <w:r w:rsidR="007079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319F0">
              <w:rPr>
                <w:rFonts w:ascii="Times New Roman" w:hAnsi="Times New Roman"/>
                <w:color w:val="000000"/>
                <w:sz w:val="24"/>
                <w:szCs w:val="24"/>
              </w:rPr>
              <w:t>cji administracyjnej.</w:t>
            </w:r>
          </w:p>
          <w:p w14:paraId="4F6FFD6C" w14:textId="77777777" w:rsidR="00F522B0" w:rsidRDefault="00F522B0" w:rsidP="00DF73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47DF61" w14:textId="3B08B3B0" w:rsidR="00FA5CC8" w:rsidRPr="00296CD2" w:rsidRDefault="008F4891" w:rsidP="00CA7803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przypadku dobrowolnej zapłaty zobowiązani </w:t>
            </w:r>
            <w:r w:rsidR="00FA2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ponoszą niższą o 50% </w:t>
            </w:r>
            <w:r w:rsidR="00F522B0">
              <w:rPr>
                <w:rFonts w:ascii="Times New Roman" w:hAnsi="Times New Roman"/>
                <w:color w:val="000000"/>
                <w:sz w:val="24"/>
                <w:szCs w:val="24"/>
              </w:rPr>
              <w:t>opłat</w:t>
            </w:r>
            <w:r w:rsidR="00FA2DBB">
              <w:rPr>
                <w:rFonts w:ascii="Times New Roman" w:hAnsi="Times New Roman"/>
                <w:color w:val="000000"/>
                <w:sz w:val="24"/>
                <w:szCs w:val="24"/>
              </w:rPr>
              <w:t>ę</w:t>
            </w:r>
            <w:r w:rsidR="00F52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egzekucyjn</w:t>
            </w:r>
            <w:r w:rsidR="00FA2DBB">
              <w:rPr>
                <w:rFonts w:ascii="Times New Roman" w:hAnsi="Times New Roman"/>
                <w:color w:val="000000"/>
                <w:sz w:val="24"/>
                <w:szCs w:val="24"/>
              </w:rPr>
              <w:t>ą.</w:t>
            </w:r>
            <w:r w:rsidR="00F52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18B9" w:rsidRPr="00D035F3" w14:paraId="132256D4" w14:textId="77777777" w:rsidTr="005923A9">
        <w:trPr>
          <w:gridAfter w:val="1"/>
          <w:wAfter w:w="7" w:type="dxa"/>
          <w:trHeight w:val="320"/>
        </w:trPr>
        <w:tc>
          <w:tcPr>
            <w:tcW w:w="2978" w:type="dxa"/>
            <w:gridSpan w:val="4"/>
            <w:shd w:val="clear" w:color="auto" w:fill="D9D9D9"/>
            <w:vAlign w:val="center"/>
          </w:tcPr>
          <w:p w14:paraId="017282B1" w14:textId="31BF1678" w:rsidR="00D418B9" w:rsidRPr="00D035F3" w:rsidRDefault="00D418B9" w:rsidP="005A06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8"/>
            <w:shd w:val="clear" w:color="auto" w:fill="53A824"/>
            <w:vAlign w:val="center"/>
          </w:tcPr>
          <w:p w14:paraId="210C77C0" w14:textId="77777777" w:rsidR="00D418B9" w:rsidRPr="00D035F3" w:rsidRDefault="00D418B9" w:rsidP="002B11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035F3">
              <w:rPr>
                <w:rFonts w:ascii="Times New Roman" w:hAnsi="Times New Roman"/>
                <w:bCs/>
              </w:rPr>
              <w:t xml:space="preserve">4.3 Koszty związane z funkcjonowaniem </w:t>
            </w:r>
            <w:r w:rsidR="00282C90">
              <w:rPr>
                <w:rFonts w:ascii="Times New Roman" w:hAnsi="Times New Roman"/>
                <w:bCs/>
              </w:rPr>
              <w:t>ustawy</w:t>
            </w:r>
            <w:r w:rsidR="00282C90" w:rsidRPr="00D035F3">
              <w:rPr>
                <w:rFonts w:ascii="Times New Roman" w:hAnsi="Times New Roman"/>
                <w:bCs/>
              </w:rPr>
              <w:t xml:space="preserve"> </w:t>
            </w:r>
            <w:r w:rsidRPr="00D035F3">
              <w:rPr>
                <w:rFonts w:ascii="Times New Roman" w:hAnsi="Times New Roman"/>
                <w:bCs/>
              </w:rPr>
              <w:t xml:space="preserve">zakładane przed </w:t>
            </w:r>
            <w:r w:rsidR="002B119F">
              <w:rPr>
                <w:rFonts w:ascii="Times New Roman" w:hAnsi="Times New Roman"/>
                <w:bCs/>
              </w:rPr>
              <w:t xml:space="preserve">jej </w:t>
            </w:r>
            <w:r w:rsidRPr="00D035F3">
              <w:rPr>
                <w:rFonts w:ascii="Times New Roman" w:hAnsi="Times New Roman"/>
                <w:bCs/>
              </w:rPr>
              <w:t>wejściem w życie</w:t>
            </w:r>
          </w:p>
        </w:tc>
        <w:tc>
          <w:tcPr>
            <w:tcW w:w="4110" w:type="dxa"/>
            <w:gridSpan w:val="5"/>
            <w:shd w:val="clear" w:color="auto" w:fill="53A824"/>
            <w:vAlign w:val="center"/>
          </w:tcPr>
          <w:p w14:paraId="765AC41C" w14:textId="77777777" w:rsidR="00D418B9" w:rsidRPr="00D035F3" w:rsidRDefault="00D418B9" w:rsidP="0076435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035F3">
              <w:rPr>
                <w:rFonts w:ascii="Times New Roman" w:hAnsi="Times New Roman"/>
                <w:bCs/>
              </w:rPr>
              <w:t>4.5</w:t>
            </w:r>
            <w:r w:rsidR="003B0500">
              <w:rPr>
                <w:rFonts w:ascii="Times New Roman" w:hAnsi="Times New Roman"/>
                <w:bCs/>
              </w:rPr>
              <w:t xml:space="preserve"> </w:t>
            </w:r>
            <w:r w:rsidRPr="00D035F3">
              <w:rPr>
                <w:rFonts w:ascii="Times New Roman" w:hAnsi="Times New Roman"/>
                <w:bCs/>
              </w:rPr>
              <w:t xml:space="preserve">Faktyczne koszty związane z funkcjonowaniem </w:t>
            </w:r>
            <w:r w:rsidR="00282C90">
              <w:rPr>
                <w:rFonts w:ascii="Times New Roman" w:hAnsi="Times New Roman"/>
                <w:bCs/>
              </w:rPr>
              <w:t>ustawy</w:t>
            </w:r>
          </w:p>
        </w:tc>
      </w:tr>
      <w:tr w:rsidR="00D418B9" w:rsidRPr="00D035F3" w14:paraId="10176135" w14:textId="77777777" w:rsidTr="005923A9">
        <w:trPr>
          <w:gridAfter w:val="1"/>
          <w:wAfter w:w="7" w:type="dxa"/>
          <w:trHeight w:val="320"/>
        </w:trPr>
        <w:tc>
          <w:tcPr>
            <w:tcW w:w="2978" w:type="dxa"/>
            <w:gridSpan w:val="4"/>
            <w:shd w:val="clear" w:color="auto" w:fill="FFFFFF"/>
            <w:vAlign w:val="center"/>
          </w:tcPr>
          <w:p w14:paraId="2769CD6C" w14:textId="77777777" w:rsidR="00D418B9" w:rsidRPr="00D035F3" w:rsidRDefault="00D418B9" w:rsidP="00820740">
            <w:pPr>
              <w:spacing w:after="2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8"/>
            <w:shd w:val="clear" w:color="auto" w:fill="FFFFFF"/>
            <w:vAlign w:val="center"/>
          </w:tcPr>
          <w:p w14:paraId="20FA69E0" w14:textId="77777777" w:rsidR="006331A7" w:rsidRPr="001B0E83" w:rsidRDefault="003B3DB5" w:rsidP="00820740">
            <w:pPr>
              <w:spacing w:after="24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83">
              <w:rPr>
                <w:rFonts w:ascii="Times New Roman" w:hAnsi="Times New Roman"/>
                <w:b/>
                <w:sz w:val="24"/>
                <w:szCs w:val="24"/>
              </w:rPr>
              <w:t>Budżet państwa, JST i inne jednostki SFP</w:t>
            </w:r>
          </w:p>
          <w:p w14:paraId="24300B87" w14:textId="1A5B0C51" w:rsidR="00125436" w:rsidRDefault="005B45CB" w:rsidP="00820740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664">
              <w:rPr>
                <w:rFonts w:ascii="Times New Roman" w:hAnsi="Times New Roman"/>
                <w:sz w:val="24"/>
                <w:szCs w:val="24"/>
              </w:rPr>
              <w:t xml:space="preserve">Nie dotyczy (na etapie analizy ex post nie zidentyfikowano negatywnego </w:t>
            </w:r>
            <w:r w:rsidRPr="006A1664">
              <w:rPr>
                <w:rFonts w:ascii="Times New Roman" w:hAnsi="Times New Roman"/>
                <w:sz w:val="24"/>
                <w:szCs w:val="24"/>
              </w:rPr>
              <w:lastRenderedPageBreak/>
              <w:t>oddziaływania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Budżet państwa, JST i inne jednostki SFP</w:t>
            </w:r>
            <w:r w:rsidR="001A6A1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4E21A1B" w14:textId="77777777" w:rsidR="00394166" w:rsidRPr="001B0E83" w:rsidRDefault="00C074AF" w:rsidP="00820740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83">
              <w:rPr>
                <w:rFonts w:ascii="Times New Roman" w:hAnsi="Times New Roman"/>
                <w:b/>
                <w:sz w:val="24"/>
                <w:szCs w:val="24"/>
              </w:rPr>
              <w:t>Konkurencyjność gospodarki i</w:t>
            </w:r>
            <w:r w:rsidR="008A3A6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B0E83">
              <w:rPr>
                <w:rFonts w:ascii="Times New Roman" w:hAnsi="Times New Roman"/>
                <w:b/>
                <w:sz w:val="24"/>
                <w:szCs w:val="24"/>
              </w:rPr>
              <w:t xml:space="preserve">przedsiębiorczość, w tym funkcjonowanie przedsiębiorców </w:t>
            </w:r>
          </w:p>
          <w:p w14:paraId="21106C7B" w14:textId="7874C708" w:rsidR="00394166" w:rsidRDefault="009068A5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egzekucyjne ponoszone są w</w:t>
            </w:r>
            <w:r w:rsidR="00814E7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przypadku braku dobrowolnego wykonania obowiązku</w:t>
            </w:r>
            <w:r w:rsidR="00F01E54">
              <w:rPr>
                <w:rFonts w:ascii="Times New Roman" w:hAnsi="Times New Roman"/>
                <w:sz w:val="24"/>
                <w:szCs w:val="24"/>
              </w:rPr>
              <w:t>.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nowych zasadach poniesienie ich ciężaru </w:t>
            </w:r>
            <w:r w:rsidR="00F01E54">
              <w:rPr>
                <w:rFonts w:ascii="Times New Roman" w:hAnsi="Times New Roman"/>
                <w:sz w:val="24"/>
                <w:szCs w:val="24"/>
              </w:rPr>
              <w:t xml:space="preserve">powiązano </w:t>
            </w:r>
            <w:r>
              <w:rPr>
                <w:rFonts w:ascii="Times New Roman" w:hAnsi="Times New Roman"/>
                <w:sz w:val="24"/>
                <w:szCs w:val="24"/>
              </w:rPr>
              <w:t>z efektem czynności organu egzekucyjnego</w:t>
            </w:r>
            <w:r w:rsidR="00C074AF" w:rsidRPr="003B3DB5">
              <w:rPr>
                <w:rFonts w:ascii="Times New Roman" w:hAnsi="Times New Roman"/>
                <w:sz w:val="24"/>
                <w:szCs w:val="24"/>
              </w:rPr>
              <w:t xml:space="preserve"> (na etapie OSR ex</w:t>
            </w:r>
            <w:r w:rsidR="00BC7442">
              <w:rPr>
                <w:rFonts w:ascii="Times New Roman" w:hAnsi="Times New Roman"/>
                <w:sz w:val="24"/>
                <w:szCs w:val="24"/>
              </w:rPr>
              <w:t>–</w:t>
            </w:r>
            <w:r w:rsidR="00C074AF" w:rsidRPr="003B3DB5">
              <w:rPr>
                <w:rFonts w:ascii="Times New Roman" w:hAnsi="Times New Roman"/>
                <w:sz w:val="24"/>
                <w:szCs w:val="24"/>
              </w:rPr>
              <w:t>ante nie zakładano</w:t>
            </w:r>
            <w:r w:rsidR="003B3DB5">
              <w:rPr>
                <w:rFonts w:ascii="Times New Roman" w:hAnsi="Times New Roman"/>
                <w:sz w:val="24"/>
                <w:szCs w:val="24"/>
              </w:rPr>
              <w:t xml:space="preserve"> i nie zidentyfikowano</w:t>
            </w:r>
            <w:r w:rsidR="003B3DB5" w:rsidRPr="003B3DB5">
              <w:rPr>
                <w:rFonts w:ascii="Times New Roman" w:hAnsi="Times New Roman"/>
                <w:sz w:val="24"/>
                <w:szCs w:val="24"/>
              </w:rPr>
              <w:t xml:space="preserve"> negatywnego oddziaływania na</w:t>
            </w:r>
            <w:r w:rsidR="0012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DB5" w:rsidRPr="003B3DB5">
              <w:rPr>
                <w:rFonts w:ascii="Times New Roman" w:hAnsi="Times New Roman"/>
                <w:sz w:val="24"/>
                <w:szCs w:val="24"/>
              </w:rPr>
              <w:t>konkurencyjność g</w:t>
            </w:r>
            <w:r w:rsidR="00897014">
              <w:rPr>
                <w:rFonts w:ascii="Times New Roman" w:hAnsi="Times New Roman"/>
                <w:sz w:val="24"/>
                <w:szCs w:val="24"/>
              </w:rPr>
              <w:t>ospodarki, przedsiębiorczość,</w:t>
            </w:r>
            <w:r w:rsidR="00380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014">
              <w:rPr>
                <w:rFonts w:ascii="Times New Roman" w:hAnsi="Times New Roman"/>
                <w:sz w:val="24"/>
                <w:szCs w:val="24"/>
              </w:rPr>
              <w:t>w</w:t>
            </w:r>
            <w:r w:rsidR="0012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DB5" w:rsidRPr="003B3DB5">
              <w:rPr>
                <w:rFonts w:ascii="Times New Roman" w:hAnsi="Times New Roman"/>
                <w:sz w:val="24"/>
                <w:szCs w:val="24"/>
              </w:rPr>
              <w:t>tym</w:t>
            </w:r>
            <w:r w:rsidR="0012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DB5" w:rsidRPr="003B3DB5">
              <w:rPr>
                <w:rFonts w:ascii="Times New Roman" w:hAnsi="Times New Roman"/>
                <w:sz w:val="24"/>
                <w:szCs w:val="24"/>
              </w:rPr>
              <w:t>funkcjono</w:t>
            </w:r>
            <w:r w:rsidR="0080778D">
              <w:rPr>
                <w:rFonts w:ascii="Times New Roman" w:hAnsi="Times New Roman"/>
                <w:sz w:val="24"/>
                <w:szCs w:val="24"/>
              </w:rPr>
              <w:t>-</w:t>
            </w:r>
            <w:r w:rsidR="003B3DB5" w:rsidRPr="003B3DB5">
              <w:rPr>
                <w:rFonts w:ascii="Times New Roman" w:hAnsi="Times New Roman"/>
                <w:sz w:val="24"/>
                <w:szCs w:val="24"/>
              </w:rPr>
              <w:t>wanie</w:t>
            </w:r>
            <w:r w:rsidR="0063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DB5" w:rsidRPr="003B3DB5">
              <w:rPr>
                <w:rFonts w:ascii="Times New Roman" w:hAnsi="Times New Roman"/>
                <w:sz w:val="24"/>
                <w:szCs w:val="24"/>
              </w:rPr>
              <w:t>przedsiębiorców).</w:t>
            </w:r>
          </w:p>
          <w:p w14:paraId="7F8C9AA7" w14:textId="77777777" w:rsidR="00814E7E" w:rsidRPr="001B0E83" w:rsidRDefault="00814E7E" w:rsidP="008207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1E691A" w14:textId="77777777" w:rsidR="006331A7" w:rsidRPr="001B0E83" w:rsidRDefault="003B3DB5" w:rsidP="00820740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83">
              <w:rPr>
                <w:rFonts w:ascii="Times New Roman" w:hAnsi="Times New Roman"/>
                <w:b/>
                <w:sz w:val="24"/>
                <w:szCs w:val="24"/>
              </w:rPr>
              <w:t xml:space="preserve">Rodzina, obywatele oraz gospodarstwa domowe </w:t>
            </w:r>
          </w:p>
          <w:p w14:paraId="3FB2C9AF" w14:textId="35EDF205" w:rsidR="00394166" w:rsidRPr="001B0E83" w:rsidRDefault="009D56A3" w:rsidP="00820740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6A3">
              <w:rPr>
                <w:rFonts w:ascii="Times New Roman" w:hAnsi="Times New Roman"/>
                <w:sz w:val="24"/>
                <w:szCs w:val="24"/>
              </w:rPr>
              <w:t>Koszty egzekucyjne ponoszone są w</w:t>
            </w:r>
            <w:r w:rsidR="00125436">
              <w:rPr>
                <w:rFonts w:ascii="Times New Roman" w:hAnsi="Times New Roman"/>
                <w:sz w:val="24"/>
                <w:szCs w:val="24"/>
              </w:rPr>
              <w:t> </w:t>
            </w:r>
            <w:r w:rsidRPr="009D56A3">
              <w:rPr>
                <w:rFonts w:ascii="Times New Roman" w:hAnsi="Times New Roman"/>
                <w:sz w:val="24"/>
                <w:szCs w:val="24"/>
              </w:rPr>
              <w:t>przypadku braku dobro</w:t>
            </w:r>
            <w:r>
              <w:rPr>
                <w:rFonts w:ascii="Times New Roman" w:hAnsi="Times New Roman"/>
                <w:sz w:val="24"/>
                <w:szCs w:val="24"/>
              </w:rPr>
              <w:t>wolnego wykonania obowiązku. N</w:t>
            </w:r>
            <w:r w:rsidRPr="009D56A3">
              <w:rPr>
                <w:rFonts w:ascii="Times New Roman" w:hAnsi="Times New Roman"/>
                <w:sz w:val="24"/>
                <w:szCs w:val="24"/>
              </w:rPr>
              <w:t>a nowych zasadach poniesienie ich ciężaru powiązano z efektem 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ynności organu egzekucyjnego </w:t>
            </w:r>
            <w:r w:rsidR="003B3DB5" w:rsidRPr="001B0E83">
              <w:rPr>
                <w:rFonts w:ascii="Times New Roman" w:hAnsi="Times New Roman"/>
                <w:sz w:val="24"/>
                <w:szCs w:val="24"/>
              </w:rPr>
              <w:t>(na etapie OSR ex</w:t>
            </w:r>
            <w:r w:rsidR="00BC7442">
              <w:rPr>
                <w:rFonts w:ascii="Times New Roman" w:hAnsi="Times New Roman"/>
                <w:sz w:val="24"/>
                <w:szCs w:val="24"/>
              </w:rPr>
              <w:t>–</w:t>
            </w:r>
            <w:r w:rsidR="003B3DB5" w:rsidRPr="001B0E83">
              <w:rPr>
                <w:rFonts w:ascii="Times New Roman" w:hAnsi="Times New Roman"/>
                <w:sz w:val="24"/>
                <w:szCs w:val="24"/>
              </w:rPr>
              <w:t>ante nie zakładano i nie zidentyfikowano negatywnego oddziaływania na rodzinę, obywateli oraz gospodarstw</w:t>
            </w:r>
            <w:r w:rsidR="00897014" w:rsidRPr="001B0E83">
              <w:rPr>
                <w:rFonts w:ascii="Times New Roman" w:hAnsi="Times New Roman"/>
                <w:sz w:val="24"/>
                <w:szCs w:val="24"/>
              </w:rPr>
              <w:t>a domowe, w tym osoby starsze i</w:t>
            </w:r>
            <w:r w:rsidR="00E775FA" w:rsidRPr="001B0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DB5" w:rsidRPr="001B0E83">
              <w:rPr>
                <w:rFonts w:ascii="Times New Roman" w:hAnsi="Times New Roman"/>
                <w:sz w:val="24"/>
                <w:szCs w:val="24"/>
              </w:rPr>
              <w:t>osoby niepełnosprawne).</w:t>
            </w:r>
          </w:p>
          <w:p w14:paraId="48F0241A" w14:textId="77777777" w:rsidR="003B3DB5" w:rsidRPr="001B0E83" w:rsidRDefault="003B3DB5" w:rsidP="00820740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83">
              <w:rPr>
                <w:rFonts w:ascii="Times New Roman" w:hAnsi="Times New Roman"/>
                <w:b/>
                <w:sz w:val="24"/>
                <w:szCs w:val="24"/>
              </w:rPr>
              <w:t>Rynek pracy</w:t>
            </w:r>
          </w:p>
          <w:p w14:paraId="3FA5D801" w14:textId="77777777" w:rsidR="003B3DB5" w:rsidRPr="001B0E83" w:rsidRDefault="003B3DB5" w:rsidP="00820740">
            <w:pPr>
              <w:pStyle w:val="Default"/>
              <w:spacing w:after="240"/>
              <w:jc w:val="both"/>
            </w:pPr>
            <w:r w:rsidRPr="001B0E83">
              <w:t>Nie dotyczy (na etapie analizy ex</w:t>
            </w:r>
            <w:r w:rsidR="00BC7442">
              <w:t>–</w:t>
            </w:r>
            <w:r w:rsidRPr="001B0E83">
              <w:t>ante nie zakładano i nie zidentyfikowano negatywnego w</w:t>
            </w:r>
            <w:r w:rsidR="00AE02B6" w:rsidRPr="001B0E83">
              <w:t>pływu na rynek pracy i </w:t>
            </w:r>
            <w:r w:rsidR="00897014" w:rsidRPr="001B0E83">
              <w:t>koszty w </w:t>
            </w:r>
            <w:r w:rsidRPr="001B0E83">
              <w:t>tym zakresie).</w:t>
            </w:r>
          </w:p>
          <w:p w14:paraId="585C810B" w14:textId="77777777" w:rsidR="00394166" w:rsidRPr="001B0E83" w:rsidRDefault="003B3DB5" w:rsidP="00820740">
            <w:pPr>
              <w:spacing w:after="24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B0E83">
              <w:rPr>
                <w:rFonts w:ascii="Times New Roman" w:hAnsi="Times New Roman"/>
                <w:b/>
                <w:sz w:val="24"/>
                <w:szCs w:val="24"/>
              </w:rPr>
              <w:t>Pozostałe</w:t>
            </w:r>
          </w:p>
          <w:p w14:paraId="6FCF654D" w14:textId="77777777" w:rsidR="00A926E6" w:rsidRPr="006E4614" w:rsidRDefault="003B3DB5" w:rsidP="00820740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2AAE">
              <w:rPr>
                <w:rFonts w:ascii="Times New Roman" w:hAnsi="Times New Roman"/>
                <w:sz w:val="24"/>
                <w:szCs w:val="24"/>
              </w:rPr>
              <w:t>Nie dotyczy (na etapie analizy ex</w:t>
            </w:r>
            <w:r w:rsidR="00BC7442">
              <w:rPr>
                <w:rFonts w:ascii="Times New Roman" w:hAnsi="Times New Roman"/>
                <w:sz w:val="24"/>
                <w:szCs w:val="24"/>
              </w:rPr>
              <w:t>–</w:t>
            </w:r>
            <w:r w:rsidRPr="003A2AAE">
              <w:rPr>
                <w:rFonts w:ascii="Times New Roman" w:hAnsi="Times New Roman"/>
                <w:sz w:val="24"/>
                <w:szCs w:val="24"/>
              </w:rPr>
              <w:t>ante nie zakładano i nie zidentyfikowano innych aspektów)</w:t>
            </w:r>
          </w:p>
        </w:tc>
        <w:tc>
          <w:tcPr>
            <w:tcW w:w="4110" w:type="dxa"/>
            <w:gridSpan w:val="5"/>
            <w:shd w:val="clear" w:color="auto" w:fill="FFFFFF"/>
            <w:vAlign w:val="center"/>
          </w:tcPr>
          <w:p w14:paraId="026E20CE" w14:textId="0E7CD8B0" w:rsidR="00383FD8" w:rsidRPr="001B0E83" w:rsidRDefault="00383FD8" w:rsidP="00125436">
            <w:pPr>
              <w:spacing w:after="24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E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Budżet państwa</w:t>
            </w:r>
            <w:r w:rsidR="00FF4E0A" w:rsidRPr="001B0E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B0E83">
              <w:rPr>
                <w:rFonts w:ascii="Times New Roman" w:hAnsi="Times New Roman"/>
                <w:b/>
                <w:sz w:val="24"/>
                <w:szCs w:val="24"/>
              </w:rPr>
              <w:t xml:space="preserve"> JST i inne jednostki SFP</w:t>
            </w:r>
          </w:p>
          <w:p w14:paraId="55ED2C9E" w14:textId="77777777" w:rsidR="00344E30" w:rsidRDefault="00E25461" w:rsidP="00125436">
            <w:pPr>
              <w:spacing w:after="24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36">
              <w:rPr>
                <w:rFonts w:ascii="Times New Roman" w:hAnsi="Times New Roman"/>
                <w:sz w:val="24"/>
                <w:szCs w:val="24"/>
              </w:rPr>
              <w:t xml:space="preserve">Nie dotyczy (na etapie analizy ex post nie zidentyfikowano negatywnego </w:t>
            </w:r>
            <w:r w:rsidRPr="00125436">
              <w:rPr>
                <w:rFonts w:ascii="Times New Roman" w:hAnsi="Times New Roman"/>
                <w:sz w:val="24"/>
                <w:szCs w:val="24"/>
              </w:rPr>
              <w:lastRenderedPageBreak/>
              <w:t>oddziaływania na</w:t>
            </w:r>
            <w:r w:rsidR="00443447" w:rsidRPr="00125436">
              <w:rPr>
                <w:rFonts w:ascii="Times New Roman" w:hAnsi="Times New Roman"/>
                <w:sz w:val="24"/>
                <w:szCs w:val="24"/>
              </w:rPr>
              <w:t xml:space="preserve"> Budżet państwa, JST i</w:t>
            </w:r>
            <w:r w:rsidR="006331A7" w:rsidRPr="00125436">
              <w:rPr>
                <w:rFonts w:ascii="Times New Roman" w:hAnsi="Times New Roman"/>
                <w:sz w:val="24"/>
                <w:szCs w:val="24"/>
              </w:rPr>
              <w:t> </w:t>
            </w:r>
            <w:r w:rsidR="00443447" w:rsidRPr="00125436">
              <w:rPr>
                <w:rFonts w:ascii="Times New Roman" w:hAnsi="Times New Roman"/>
                <w:sz w:val="24"/>
                <w:szCs w:val="24"/>
              </w:rPr>
              <w:t>inne jednostki SFP</w:t>
            </w:r>
            <w:r w:rsidR="005B45CB" w:rsidRPr="00125436">
              <w:rPr>
                <w:rFonts w:ascii="Times New Roman" w:hAnsi="Times New Roman"/>
                <w:sz w:val="24"/>
                <w:szCs w:val="24"/>
              </w:rPr>
              <w:t>)</w:t>
            </w:r>
            <w:r w:rsidR="00443447" w:rsidRPr="001254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31DB64" w14:textId="77777777" w:rsidR="00250747" w:rsidRDefault="00250747" w:rsidP="00125436">
            <w:pPr>
              <w:spacing w:after="24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F4463C" w14:textId="77777777" w:rsidR="0080778D" w:rsidRDefault="0080778D" w:rsidP="00125436">
            <w:pPr>
              <w:spacing w:after="24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37383A" w14:textId="77777777" w:rsidR="0080778D" w:rsidRPr="00125436" w:rsidRDefault="0080778D" w:rsidP="00125436">
            <w:pPr>
              <w:spacing w:after="24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566FA9" w14:textId="77777777" w:rsidR="00125436" w:rsidRPr="001B0E83" w:rsidRDefault="00125436" w:rsidP="00125436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83">
              <w:rPr>
                <w:rFonts w:ascii="Times New Roman" w:hAnsi="Times New Roman"/>
                <w:b/>
                <w:sz w:val="24"/>
                <w:szCs w:val="24"/>
              </w:rPr>
              <w:t>Konkurencyjność gospodarki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B0E83">
              <w:rPr>
                <w:rFonts w:ascii="Times New Roman" w:hAnsi="Times New Roman"/>
                <w:b/>
                <w:sz w:val="24"/>
                <w:szCs w:val="24"/>
              </w:rPr>
              <w:t xml:space="preserve">przedsiębiorczość, w tym funkcjonowanie przedsiębiorców </w:t>
            </w:r>
          </w:p>
          <w:p w14:paraId="47FEC500" w14:textId="506A2AC2" w:rsidR="00394166" w:rsidRPr="001B0E83" w:rsidRDefault="00250747" w:rsidP="00820740">
            <w:pPr>
              <w:pStyle w:val="Default"/>
              <w:spacing w:after="240"/>
              <w:jc w:val="both"/>
            </w:pPr>
            <w:r>
              <w:t>Ponoszone przez zobowiązanych koszty egzekucyjne dotyczą przypadków kiedy nie wykonano dobrowolnie obowiązku. Wysokość ciężaru finansowego w przypadku konieczności przymusowego egzekwowania obowiązku jest znana przed wszczęciem postępowania egzekucyjnego jak i w jego toku. O wysokości kosztów egzekucyjnych informują: upomnienie skierowane do zobowiązanego (etap przed wszczęciem postępowania egzekucyjnego) oraz zawiadomienia o zastosowanym środku egzekucyjnym (etap egzekucji administracyjnej)</w:t>
            </w:r>
            <w:r w:rsidR="00897014">
              <w:t xml:space="preserve"> (na</w:t>
            </w:r>
            <w:r>
              <w:t> </w:t>
            </w:r>
            <w:r w:rsidR="00897014">
              <w:t>etapie analizy ex</w:t>
            </w:r>
            <w:r w:rsidR="00E775FA">
              <w:t xml:space="preserve"> </w:t>
            </w:r>
            <w:r w:rsidR="0044289F" w:rsidRPr="00E855E2">
              <w:t>post nie zidentyfikowa</w:t>
            </w:r>
            <w:r w:rsidR="00897014">
              <w:t>no negatywnego oddziaływania na</w:t>
            </w:r>
            <w:r w:rsidR="00E775FA">
              <w:t xml:space="preserve"> </w:t>
            </w:r>
            <w:r w:rsidR="0044289F" w:rsidRPr="00E855E2">
              <w:t>konkurencyjność gospodarki, przedsiębiorczość, w</w:t>
            </w:r>
            <w:r w:rsidR="009B306D">
              <w:t> </w:t>
            </w:r>
            <w:r w:rsidR="0044289F" w:rsidRPr="00E855E2">
              <w:t>tym</w:t>
            </w:r>
            <w:r w:rsidR="009B306D">
              <w:t> </w:t>
            </w:r>
            <w:r w:rsidR="0044289F" w:rsidRPr="00E855E2">
              <w:t>funkcjonowanie przedsiębiorców).</w:t>
            </w:r>
          </w:p>
          <w:p w14:paraId="13D8600D" w14:textId="77777777" w:rsidR="00394166" w:rsidRPr="001B0E83" w:rsidRDefault="003D6FA9" w:rsidP="00820740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83">
              <w:rPr>
                <w:rFonts w:ascii="Times New Roman" w:hAnsi="Times New Roman"/>
                <w:b/>
                <w:sz w:val="24"/>
                <w:szCs w:val="24"/>
              </w:rPr>
              <w:t xml:space="preserve">Rodzina, obywatele oraz gospodarstwa domowe </w:t>
            </w:r>
          </w:p>
          <w:p w14:paraId="2A2F232B" w14:textId="68732006" w:rsidR="00125436" w:rsidRDefault="00897014" w:rsidP="00250747">
            <w:pPr>
              <w:pStyle w:val="Default"/>
              <w:spacing w:before="240" w:after="240"/>
              <w:jc w:val="both"/>
            </w:pPr>
            <w:r w:rsidRPr="001B0E83">
              <w:t xml:space="preserve"> </w:t>
            </w:r>
            <w:r w:rsidR="00250747" w:rsidRPr="00250747">
              <w:t>Ponoszone przez zobowiązanych koszty egzekucyjne dotyczą przypadków kiedy nie wykonano dobrowolnie obowiązku. Wysokość ciężaru finansowego w</w:t>
            </w:r>
            <w:r w:rsidR="00250747">
              <w:t> </w:t>
            </w:r>
            <w:r w:rsidR="00250747" w:rsidRPr="00250747">
              <w:t>przypadku konieczności przymusowego egzekwowania obowiązku jest znana przed wszczęciem postępowania egzekucyjnego jak</w:t>
            </w:r>
            <w:r w:rsidR="00250747">
              <w:t> </w:t>
            </w:r>
            <w:r w:rsidR="00250747" w:rsidRPr="00250747">
              <w:t xml:space="preserve"> i</w:t>
            </w:r>
            <w:r w:rsidR="00250747">
              <w:t> </w:t>
            </w:r>
            <w:r w:rsidR="00250747" w:rsidRPr="00250747">
              <w:t>w</w:t>
            </w:r>
            <w:r w:rsidR="00250747">
              <w:t> </w:t>
            </w:r>
            <w:r w:rsidR="00250747" w:rsidRPr="00250747">
              <w:t>jego toku. O wysokości kosztów egzekucyjnych informują: upomnienie skierowane do zobowiązanego (etap przed wszczęciem postępowania egzekucyjnego) oraz zawiadomienia o</w:t>
            </w:r>
            <w:r w:rsidR="00250747">
              <w:t> </w:t>
            </w:r>
            <w:r w:rsidR="00250747" w:rsidRPr="00250747">
              <w:t xml:space="preserve">zastosowanym środku egzekucyjnym (etap egzekucji administracyjnej </w:t>
            </w:r>
            <w:r w:rsidRPr="001B0E83">
              <w:t>(na</w:t>
            </w:r>
            <w:r w:rsidR="00250747">
              <w:t> </w:t>
            </w:r>
            <w:r w:rsidRPr="001B0E83">
              <w:t>etapie analizy ex</w:t>
            </w:r>
            <w:r w:rsidR="00BC7442">
              <w:t>–</w:t>
            </w:r>
            <w:r w:rsidR="00E855E2" w:rsidRPr="001B0E83">
              <w:t>post nie zidentyfikowa</w:t>
            </w:r>
            <w:r w:rsidRPr="001B0E83">
              <w:t>no negatywnego oddziaływania na</w:t>
            </w:r>
            <w:r w:rsidR="00E775FA" w:rsidRPr="001B0E83">
              <w:t xml:space="preserve"> </w:t>
            </w:r>
            <w:r w:rsidR="00E855E2" w:rsidRPr="001B0E83">
              <w:t>rodzinę, obywateli oraz gospodarstwa domowe, w</w:t>
            </w:r>
            <w:r w:rsidR="009B306D">
              <w:t> </w:t>
            </w:r>
            <w:r w:rsidR="00E855E2" w:rsidRPr="001B0E83">
              <w:t>tym</w:t>
            </w:r>
            <w:r w:rsidR="009B306D">
              <w:t> </w:t>
            </w:r>
            <w:r w:rsidR="00E855E2" w:rsidRPr="001B0E83">
              <w:t>osoby starsze i osoby niepełnosprawne).</w:t>
            </w:r>
          </w:p>
          <w:p w14:paraId="136E9A6E" w14:textId="77777777" w:rsidR="00394166" w:rsidRPr="001B0E83" w:rsidRDefault="00383FD8" w:rsidP="00820740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Rynek pracy</w:t>
            </w:r>
          </w:p>
          <w:p w14:paraId="15272CAE" w14:textId="77777777" w:rsidR="00E855E2" w:rsidRPr="001B0E83" w:rsidRDefault="00E855E2" w:rsidP="00820740">
            <w:pPr>
              <w:pStyle w:val="Default"/>
              <w:spacing w:after="240"/>
              <w:jc w:val="both"/>
            </w:pPr>
            <w:r w:rsidRPr="001B0E83">
              <w:t>Nie dotyczy (na etapie an</w:t>
            </w:r>
            <w:r w:rsidR="00897014" w:rsidRPr="001B0E83">
              <w:t>alizy ex</w:t>
            </w:r>
            <w:r w:rsidR="00BC7442">
              <w:t>–</w:t>
            </w:r>
            <w:r w:rsidRPr="001B0E83">
              <w:t>post nie zidentyfikowano negatywnego wpływu na rynek pracy i koszty w</w:t>
            </w:r>
            <w:r w:rsidR="009B306D">
              <w:t> </w:t>
            </w:r>
            <w:r w:rsidRPr="001B0E83">
              <w:t>tym</w:t>
            </w:r>
            <w:r w:rsidR="009B306D">
              <w:t> </w:t>
            </w:r>
            <w:r w:rsidRPr="001B0E83">
              <w:t>zakresie).</w:t>
            </w:r>
          </w:p>
          <w:p w14:paraId="1AE9C3F7" w14:textId="77777777" w:rsidR="00394166" w:rsidRPr="001B0E83" w:rsidRDefault="00383FD8" w:rsidP="00820740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E83">
              <w:rPr>
                <w:rFonts w:ascii="Times New Roman" w:hAnsi="Times New Roman"/>
                <w:b/>
                <w:sz w:val="24"/>
                <w:szCs w:val="24"/>
              </w:rPr>
              <w:t>Pozostałe</w:t>
            </w:r>
          </w:p>
          <w:p w14:paraId="150F896A" w14:textId="77777777" w:rsidR="00D418B9" w:rsidRPr="006E4614" w:rsidRDefault="00E855E2" w:rsidP="00820740">
            <w:pPr>
              <w:pStyle w:val="Default"/>
              <w:spacing w:after="240"/>
              <w:jc w:val="both"/>
            </w:pPr>
            <w:r w:rsidRPr="00E855E2">
              <w:t>Ni</w:t>
            </w:r>
            <w:r w:rsidR="00897014">
              <w:t>e dotyczy (na etapie analizy ex</w:t>
            </w:r>
            <w:r w:rsidR="00BC7442">
              <w:t>–</w:t>
            </w:r>
            <w:r w:rsidRPr="00E855E2">
              <w:t xml:space="preserve">post nie zidentyfikowano innych aspektów). </w:t>
            </w:r>
          </w:p>
        </w:tc>
      </w:tr>
      <w:tr w:rsidR="00D418B9" w:rsidRPr="00D035F3" w14:paraId="452F5DA9" w14:textId="77777777" w:rsidTr="005923A9">
        <w:trPr>
          <w:gridAfter w:val="1"/>
          <w:wAfter w:w="7" w:type="dxa"/>
          <w:trHeight w:val="307"/>
        </w:trPr>
        <w:tc>
          <w:tcPr>
            <w:tcW w:w="11057" w:type="dxa"/>
            <w:gridSpan w:val="17"/>
            <w:shd w:val="clear" w:color="auto" w:fill="53A824"/>
            <w:vAlign w:val="center"/>
          </w:tcPr>
          <w:p w14:paraId="6BF8DC7B" w14:textId="77777777" w:rsidR="00D418B9" w:rsidRPr="00D035F3" w:rsidRDefault="0046641A" w:rsidP="00AD451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Ewaluacja efektów według mierników podanych</w:t>
            </w:r>
            <w:r w:rsidR="00D418B9" w:rsidRPr="00D035F3">
              <w:rPr>
                <w:rFonts w:ascii="Times New Roman" w:hAnsi="Times New Roman"/>
                <w:b/>
              </w:rPr>
              <w:t xml:space="preserve"> w OSR / teście regulacyjnym</w:t>
            </w:r>
            <w:r w:rsidR="00FB063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418B9" w:rsidRPr="00D035F3" w14:paraId="363BF189" w14:textId="77777777" w:rsidTr="005923A9">
        <w:trPr>
          <w:gridAfter w:val="1"/>
          <w:wAfter w:w="7" w:type="dxa"/>
          <w:trHeight w:val="142"/>
        </w:trPr>
        <w:tc>
          <w:tcPr>
            <w:tcW w:w="5123" w:type="dxa"/>
            <w:gridSpan w:val="8"/>
            <w:shd w:val="clear" w:color="auto" w:fill="53A824"/>
          </w:tcPr>
          <w:p w14:paraId="4528E35A" w14:textId="77777777" w:rsidR="00D418B9" w:rsidRPr="00D035F3" w:rsidRDefault="00D418B9" w:rsidP="00361086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035F3">
              <w:rPr>
                <w:rFonts w:ascii="Times New Roman" w:hAnsi="Times New Roman"/>
                <w:spacing w:val="-2"/>
              </w:rPr>
              <w:t xml:space="preserve">5.1 Zmiana </w:t>
            </w:r>
            <w:r w:rsidR="00C113A0">
              <w:rPr>
                <w:rFonts w:ascii="Times New Roman" w:hAnsi="Times New Roman"/>
                <w:spacing w:val="-2"/>
              </w:rPr>
              <w:t xml:space="preserve">wartości </w:t>
            </w:r>
            <w:r w:rsidRPr="00D035F3">
              <w:rPr>
                <w:rFonts w:ascii="Times New Roman" w:hAnsi="Times New Roman"/>
                <w:spacing w:val="-2"/>
              </w:rPr>
              <w:t>miernika zakładana</w:t>
            </w:r>
          </w:p>
        </w:tc>
        <w:tc>
          <w:tcPr>
            <w:tcW w:w="5934" w:type="dxa"/>
            <w:gridSpan w:val="9"/>
            <w:shd w:val="clear" w:color="auto" w:fill="53A824"/>
          </w:tcPr>
          <w:p w14:paraId="4CA6CE0F" w14:textId="77777777" w:rsidR="00D418B9" w:rsidRPr="00D035F3" w:rsidRDefault="00D418B9" w:rsidP="00361086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035F3">
              <w:rPr>
                <w:rFonts w:ascii="Times New Roman" w:hAnsi="Times New Roman"/>
                <w:spacing w:val="-2"/>
              </w:rPr>
              <w:t>5.2 Zmiana</w:t>
            </w:r>
            <w:r w:rsidR="00C113A0">
              <w:rPr>
                <w:rFonts w:ascii="Times New Roman" w:hAnsi="Times New Roman"/>
                <w:spacing w:val="-2"/>
              </w:rPr>
              <w:t xml:space="preserve"> wartości</w:t>
            </w:r>
            <w:r w:rsidRPr="00D035F3">
              <w:rPr>
                <w:rFonts w:ascii="Times New Roman" w:hAnsi="Times New Roman"/>
                <w:spacing w:val="-2"/>
              </w:rPr>
              <w:t xml:space="preserve"> miernika osiągnięta</w:t>
            </w:r>
          </w:p>
        </w:tc>
      </w:tr>
      <w:tr w:rsidR="00D418B9" w:rsidRPr="00D035F3" w14:paraId="16152EB6" w14:textId="77777777" w:rsidTr="005923A9">
        <w:trPr>
          <w:gridAfter w:val="1"/>
          <w:wAfter w:w="7" w:type="dxa"/>
          <w:trHeight w:val="614"/>
        </w:trPr>
        <w:tc>
          <w:tcPr>
            <w:tcW w:w="5123" w:type="dxa"/>
            <w:gridSpan w:val="8"/>
            <w:shd w:val="clear" w:color="auto" w:fill="auto"/>
          </w:tcPr>
          <w:p w14:paraId="34ADF7AD" w14:textId="77777777" w:rsidR="00715193" w:rsidRDefault="00A3360E" w:rsidP="00FB2E0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517C6">
              <w:rPr>
                <w:rFonts w:ascii="Times New Roman" w:hAnsi="Times New Roman"/>
                <w:color w:val="000000"/>
                <w:sz w:val="24"/>
                <w:szCs w:val="24"/>
              </w:rPr>
              <w:t>W OSR ex</w:t>
            </w:r>
            <w:r w:rsidR="00BC744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517C6">
              <w:rPr>
                <w:rFonts w:ascii="Times New Roman" w:hAnsi="Times New Roman"/>
                <w:color w:val="000000"/>
                <w:sz w:val="24"/>
                <w:szCs w:val="24"/>
              </w:rPr>
              <w:t>ante wskazano, że miernikiem będzie</w:t>
            </w:r>
            <w:r w:rsidR="00C517C6" w:rsidRPr="00C51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wysokość wyegzekwowanej kwoty kosztów egzekucyjnych przez poszczególne administracyjne organy egzekucyjne w stosunku do kwoty kosztów egzekucyjnych wyegzekwowanych przez te organy w poprzednim analogicznym okresie.</w:t>
            </w:r>
          </w:p>
          <w:p w14:paraId="110378B3" w14:textId="77777777" w:rsidR="00FB2E0A" w:rsidRPr="00AD09B2" w:rsidRDefault="00FB2E0A" w:rsidP="0082074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934" w:type="dxa"/>
            <w:gridSpan w:val="9"/>
            <w:shd w:val="clear" w:color="auto" w:fill="auto"/>
          </w:tcPr>
          <w:p w14:paraId="4D3A1E21" w14:textId="77777777" w:rsidR="00C517C6" w:rsidRPr="00820740" w:rsidRDefault="00C517C6" w:rsidP="00AD09B2">
            <w:pPr>
              <w:spacing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207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Organy egzekucyjne KAS</w:t>
            </w:r>
          </w:p>
          <w:p w14:paraId="49A2AD2E" w14:textId="77777777" w:rsidR="00C64890" w:rsidRPr="00C64890" w:rsidRDefault="000A063D" w:rsidP="00AD09B2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W 20</w:t>
            </w:r>
            <w:r w:rsidR="00C517C6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r. </w:t>
            </w:r>
            <w:r w:rsidR="003319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wysokość wyegzekwowanych kosztów egzekucyjnych </w:t>
            </w:r>
            <w:r w:rsidR="00C64890" w:rsidRPr="00C64890">
              <w:rPr>
                <w:rFonts w:ascii="Times New Roman" w:hAnsi="Times New Roman"/>
                <w:spacing w:val="-2"/>
                <w:sz w:val="24"/>
                <w:szCs w:val="24"/>
              </w:rPr>
              <w:t>wyn</w:t>
            </w:r>
            <w:r w:rsidR="00D44B5D">
              <w:rPr>
                <w:rFonts w:ascii="Times New Roman" w:hAnsi="Times New Roman"/>
                <w:spacing w:val="-2"/>
                <w:sz w:val="24"/>
                <w:szCs w:val="24"/>
              </w:rPr>
              <w:t>iosła</w:t>
            </w:r>
            <w:r w:rsidR="003319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C7515">
              <w:rPr>
                <w:rFonts w:ascii="Times New Roman" w:hAnsi="Times New Roman"/>
                <w:spacing w:val="-2"/>
                <w:sz w:val="24"/>
                <w:szCs w:val="24"/>
              </w:rPr>
              <w:t>341 056 tys. zł.</w:t>
            </w:r>
            <w:r w:rsidR="003319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00DAABB6" w14:textId="23A077FF" w:rsidR="00C64890" w:rsidRDefault="006D6F20" w:rsidP="00AD09B2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Ł</w:t>
            </w:r>
            <w:r w:rsidR="00C64890" w:rsidRPr="00C648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ączna kwota </w:t>
            </w:r>
            <w:r w:rsidR="000A063D">
              <w:rPr>
                <w:rFonts w:ascii="Times New Roman" w:hAnsi="Times New Roman"/>
                <w:spacing w:val="-2"/>
                <w:sz w:val="24"/>
                <w:szCs w:val="24"/>
              </w:rPr>
              <w:t>objęta tytułami wykonawczymi do </w:t>
            </w:r>
            <w:r w:rsidR="00C64890" w:rsidRPr="00C648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załatwienia wynosiła </w:t>
            </w:r>
            <w:r w:rsidR="003C75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20 180 236 </w:t>
            </w:r>
            <w:r w:rsidR="00C64890" w:rsidRPr="00C64890">
              <w:rPr>
                <w:rFonts w:ascii="Times New Roman" w:hAnsi="Times New Roman"/>
                <w:spacing w:val="-2"/>
                <w:sz w:val="24"/>
                <w:szCs w:val="24"/>
              </w:rPr>
              <w:t>tys.</w:t>
            </w:r>
            <w:r w:rsidR="00B536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zł</w:t>
            </w:r>
            <w:r w:rsidR="00C64890" w:rsidRPr="00C648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zaś kwota </w:t>
            </w:r>
            <w:r w:rsidR="00C64890">
              <w:rPr>
                <w:rFonts w:ascii="Times New Roman" w:hAnsi="Times New Roman"/>
                <w:spacing w:val="-2"/>
                <w:sz w:val="24"/>
                <w:szCs w:val="24"/>
              </w:rPr>
              <w:t>wyegzekwowana</w:t>
            </w:r>
            <w:r w:rsidR="00C64890" w:rsidRPr="00C648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C7515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="00125436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3C7515">
              <w:rPr>
                <w:rFonts w:ascii="Times New Roman" w:hAnsi="Times New Roman"/>
                <w:spacing w:val="-2"/>
                <w:sz w:val="24"/>
                <w:szCs w:val="24"/>
              </w:rPr>
              <w:t>394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3C7515">
              <w:rPr>
                <w:rFonts w:ascii="Times New Roman" w:hAnsi="Times New Roman"/>
                <w:spacing w:val="-2"/>
                <w:sz w:val="24"/>
                <w:szCs w:val="24"/>
              </w:rPr>
              <w:t>857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64890" w:rsidRPr="00C64890">
              <w:rPr>
                <w:rFonts w:ascii="Times New Roman" w:hAnsi="Times New Roman"/>
                <w:spacing w:val="-2"/>
                <w:sz w:val="24"/>
                <w:szCs w:val="24"/>
              </w:rPr>
              <w:t>tys.</w:t>
            </w:r>
            <w:r w:rsidR="00B536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zł.</w:t>
            </w:r>
            <w:r w:rsidR="003C75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="003C75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ostępowania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prowadzono </w:t>
            </w:r>
            <w:r w:rsidR="003C7515">
              <w:rPr>
                <w:rFonts w:ascii="Times New Roman" w:hAnsi="Times New Roman"/>
                <w:spacing w:val="-2"/>
                <w:sz w:val="24"/>
                <w:szCs w:val="24"/>
              </w:rPr>
              <w:t>na podstawie 12 281 517 tytułów wykonawczych.</w:t>
            </w:r>
          </w:p>
          <w:p w14:paraId="5FFA0B1B" w14:textId="77777777" w:rsidR="006D6F20" w:rsidRDefault="006D6F20" w:rsidP="00C6489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1688E82C" w14:textId="77777777" w:rsidR="00077D7B" w:rsidRDefault="00077D7B" w:rsidP="00C6489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 2021 r. wysokość wyegzekwowanych kosztów egzekucyjnych </w:t>
            </w:r>
            <w:r w:rsidRPr="00C64890">
              <w:rPr>
                <w:rFonts w:ascii="Times New Roman" w:hAnsi="Times New Roman"/>
                <w:spacing w:val="-2"/>
                <w:sz w:val="24"/>
                <w:szCs w:val="24"/>
              </w:rPr>
              <w:t>wyn</w:t>
            </w:r>
            <w:r w:rsidR="00283E05">
              <w:rPr>
                <w:rFonts w:ascii="Times New Roman" w:hAnsi="Times New Roman"/>
                <w:spacing w:val="-2"/>
                <w:sz w:val="24"/>
                <w:szCs w:val="24"/>
              </w:rPr>
              <w:t>ios</w:t>
            </w:r>
            <w:r w:rsidRPr="00C64890">
              <w:rPr>
                <w:rFonts w:ascii="Times New Roman" w:hAnsi="Times New Roman"/>
                <w:spacing w:val="-2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 586 249 tys. zł.</w:t>
            </w:r>
          </w:p>
          <w:p w14:paraId="1D3FAB5D" w14:textId="77777777" w:rsidR="00C64890" w:rsidRPr="00C64890" w:rsidRDefault="00077D7B" w:rsidP="00C6489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Ł</w:t>
            </w:r>
            <w:r w:rsidR="00C648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ączna kwota objęta tytułami </w:t>
            </w:r>
            <w:r w:rsidR="00283E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wykonawczymi do załatwienia wynosiła </w:t>
            </w:r>
            <w:r w:rsidR="00C64890">
              <w:rPr>
                <w:rFonts w:ascii="Times New Roman" w:hAnsi="Times New Roman"/>
                <w:spacing w:val="-2"/>
                <w:sz w:val="24"/>
                <w:szCs w:val="24"/>
              </w:rPr>
              <w:t>23 742 787 tys.</w:t>
            </w:r>
            <w:r w:rsidR="00B536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zł</w:t>
            </w:r>
            <w:r w:rsidR="00C64890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283E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zaś</w:t>
            </w:r>
            <w:r w:rsidR="00C648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kwot</w:t>
            </w:r>
            <w:r w:rsidR="00B5361B">
              <w:rPr>
                <w:rFonts w:ascii="Times New Roman" w:hAnsi="Times New Roman"/>
                <w:spacing w:val="-2"/>
                <w:sz w:val="24"/>
                <w:szCs w:val="24"/>
              </w:rPr>
              <w:t>a wyegzekwowana 5 585 694 tys. zł.</w:t>
            </w:r>
            <w:r w:rsidR="003C75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95C36">
              <w:rPr>
                <w:rFonts w:ascii="Times New Roman" w:hAnsi="Times New Roman"/>
                <w:spacing w:val="-2"/>
                <w:sz w:val="24"/>
                <w:szCs w:val="24"/>
              </w:rPr>
              <w:t>Postępowania prowadzono na podstawie 11 407 507 tytułów wykonawczych.</w:t>
            </w:r>
          </w:p>
          <w:p w14:paraId="2E9DDE49" w14:textId="77777777" w:rsidR="00C64890" w:rsidRDefault="00C64890" w:rsidP="00AD09B2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96565A4" w14:textId="77777777" w:rsidR="003C7515" w:rsidRDefault="00FD46A6" w:rsidP="00AD09B2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powyższego wynika, że </w:t>
            </w:r>
            <w:r w:rsidR="003C75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 2021 r. wzrost dochodów </w:t>
            </w:r>
            <w:r w:rsidR="00FE2B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budżetu państwa </w:t>
            </w:r>
            <w:r w:rsidR="003C75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tytułu kosztów egzekucyjnych wyniósł 245 196 tys. zł. </w:t>
            </w:r>
            <w:r w:rsidR="00F673AF"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zrost ten </w:t>
            </w:r>
            <w:r w:rsidR="00F673AF">
              <w:rPr>
                <w:rFonts w:ascii="Times New Roman" w:hAnsi="Times New Roman"/>
                <w:spacing w:val="-2"/>
                <w:sz w:val="24"/>
                <w:szCs w:val="24"/>
              </w:rPr>
              <w:t>nastąpił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 warunkach, w których kwota objęta tytułami wykonawczymi wzrosła o 3</w:t>
            </w:r>
            <w:r w:rsidR="00FE2B5D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562</w:t>
            </w:r>
            <w:r w:rsidR="00FE2B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551 tys. zł, a liczba tytułów wykonawczych</w:t>
            </w:r>
            <w:r w:rsidR="009227BC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na podstawie których prowadzono postępowania egzekucyjne</w:t>
            </w:r>
            <w:r w:rsidR="006F6B66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zmalała o</w:t>
            </w:r>
            <w:r w:rsidR="00F673A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874 010. </w:t>
            </w:r>
          </w:p>
          <w:p w14:paraId="41F93D96" w14:textId="625E3334" w:rsidR="003C7515" w:rsidRDefault="000072EF" w:rsidP="00AD09B2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OSR ex</w:t>
            </w:r>
            <w:r w:rsidR="00BC744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ante</w:t>
            </w:r>
            <w:r w:rsidR="00FE2B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oszacowano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wzrost dochodów budżetu państwa </w:t>
            </w:r>
            <w:r w:rsidR="002C2C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tytułu kosztów egzekucyjnych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 78 470 tys. zł 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="0046184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roku wejścia w życie ustawy</w:t>
            </w:r>
            <w:r w:rsidR="004618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 4 lipca 2019 r.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Tymczasem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osiągnięty wzrost </w:t>
            </w:r>
            <w:r w:rsidR="002C2C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dochodów 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budżetu państwa z </w:t>
            </w:r>
            <w:r w:rsidR="002C2C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tego 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tytułu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jest bliski zakładanemu w</w:t>
            </w:r>
            <w:r w:rsidR="0046184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OSR ex</w:t>
            </w:r>
            <w:r w:rsidR="00BC744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ante pełnemu wzrostowi dochodów budżetu państwa</w:t>
            </w:r>
            <w:r w:rsidR="0078673D">
              <w:rPr>
                <w:rFonts w:ascii="Times New Roman" w:hAnsi="Times New Roman"/>
                <w:spacing w:val="-2"/>
                <w:sz w:val="24"/>
                <w:szCs w:val="24"/>
              </w:rPr>
              <w:t>, który m</w:t>
            </w:r>
            <w:r w:rsidR="00132449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="0078673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="00132449">
              <w:rPr>
                <w:rFonts w:ascii="Times New Roman" w:hAnsi="Times New Roman"/>
                <w:spacing w:val="-2"/>
                <w:sz w:val="24"/>
                <w:szCs w:val="24"/>
              </w:rPr>
              <w:t>ł</w:t>
            </w:r>
            <w:r w:rsidR="007867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być osiągnięty dopiero 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="0078673D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trzecim roku obowiązywania ustawy</w:t>
            </w:r>
            <w:r w:rsidR="006932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332</w:t>
            </w:r>
            <w:r w:rsidR="006932A1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94</w:t>
            </w:r>
            <w:r w:rsidR="006932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0 tys. 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zł</w:t>
            </w:r>
            <w:r w:rsidR="006932A1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  <w:r w:rsidR="00405FF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14:paraId="11BC8AD2" w14:textId="77777777" w:rsidR="00982AE7" w:rsidRDefault="00982AE7" w:rsidP="00AD09B2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09266047" w14:textId="77777777" w:rsidR="00982AE7" w:rsidRDefault="00982AE7" w:rsidP="00AD09B2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Ocena miernika </w:t>
            </w:r>
            <w:r w:rsidR="003568A9">
              <w:rPr>
                <w:rFonts w:ascii="Times New Roman" w:hAnsi="Times New Roman"/>
                <w:spacing w:val="-2"/>
                <w:sz w:val="24"/>
                <w:szCs w:val="24"/>
              </w:rPr>
              <w:t>wskazuje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0C0D48">
              <w:rPr>
                <w:rFonts w:ascii="Times New Roman" w:hAnsi="Times New Roman"/>
                <w:spacing w:val="-2"/>
                <w:sz w:val="24"/>
                <w:szCs w:val="24"/>
              </w:rPr>
              <w:t>że wzrost dochodów budżetu państwa w roku wejścia w życie ustawy jest ponad</w:t>
            </w:r>
            <w:r w:rsidR="009D0F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trzykrotnie </w:t>
            </w:r>
            <w:r w:rsidR="003523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wyższy </w:t>
            </w:r>
            <w:r w:rsidR="009D0F9B">
              <w:rPr>
                <w:rFonts w:ascii="Times New Roman" w:hAnsi="Times New Roman"/>
                <w:spacing w:val="-2"/>
                <w:sz w:val="24"/>
                <w:szCs w:val="24"/>
              </w:rPr>
              <w:t>niż</w:t>
            </w:r>
            <w:r w:rsidR="003523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zakładano </w:t>
            </w:r>
            <w:r w:rsidR="00E03863">
              <w:rPr>
                <w:rFonts w:ascii="Times New Roman" w:hAnsi="Times New Roman"/>
                <w:spacing w:val="-2"/>
                <w:sz w:val="24"/>
                <w:szCs w:val="24"/>
              </w:rPr>
              <w:t>w </w:t>
            </w:r>
            <w:r w:rsidR="009D0F9B">
              <w:rPr>
                <w:rFonts w:ascii="Times New Roman" w:hAnsi="Times New Roman"/>
                <w:spacing w:val="-2"/>
                <w:sz w:val="24"/>
                <w:szCs w:val="24"/>
              </w:rPr>
              <w:t>OSR ex</w:t>
            </w:r>
            <w:r w:rsidR="00BC744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9D0F9B">
              <w:rPr>
                <w:rFonts w:ascii="Times New Roman" w:hAnsi="Times New Roman"/>
                <w:spacing w:val="-2"/>
                <w:sz w:val="24"/>
                <w:szCs w:val="24"/>
              </w:rPr>
              <w:t>ante</w:t>
            </w:r>
            <w:r w:rsidR="000C0D4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14:paraId="204829EF" w14:textId="77777777" w:rsidR="00D418B9" w:rsidRDefault="00D418B9" w:rsidP="009B33F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0B7D7AC3" w14:textId="5A57CBAB" w:rsidR="00C517C6" w:rsidRPr="00820740" w:rsidRDefault="009D0F9B" w:rsidP="00C517C6">
            <w:pPr>
              <w:spacing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207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Jednostki </w:t>
            </w:r>
            <w:r w:rsidR="001324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s</w:t>
            </w:r>
            <w:r w:rsidRPr="008207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amorządu </w:t>
            </w:r>
            <w:r w:rsidR="001324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t</w:t>
            </w:r>
            <w:r w:rsidRPr="008207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erytorialnego </w:t>
            </w:r>
            <w:r w:rsidR="001324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(JST)</w:t>
            </w:r>
          </w:p>
          <w:p w14:paraId="67DB4282" w14:textId="77777777" w:rsidR="00714943" w:rsidRPr="00C64890" w:rsidRDefault="00714943" w:rsidP="0071494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W 2020 r.</w:t>
            </w:r>
            <w:r w:rsidR="00BD61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wysokość wyegzekwowanych kosztów egzekucyjnych </w:t>
            </w:r>
            <w:r w:rsidRPr="00C64890">
              <w:rPr>
                <w:rFonts w:ascii="Times New Roman" w:hAnsi="Times New Roman"/>
                <w:spacing w:val="-2"/>
                <w:sz w:val="24"/>
                <w:szCs w:val="24"/>
              </w:rPr>
              <w:t>wyn</w:t>
            </w:r>
            <w:r w:rsidR="00BD616A">
              <w:rPr>
                <w:rFonts w:ascii="Times New Roman" w:hAnsi="Times New Roman"/>
                <w:spacing w:val="-2"/>
                <w:sz w:val="24"/>
                <w:szCs w:val="24"/>
              </w:rPr>
              <w:t>iosła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2142A">
              <w:rPr>
                <w:rFonts w:ascii="Times New Roman" w:hAnsi="Times New Roman"/>
                <w:spacing w:val="-2"/>
                <w:sz w:val="24"/>
                <w:szCs w:val="24"/>
              </w:rPr>
              <w:t>12 022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tys. zł. </w:t>
            </w:r>
          </w:p>
          <w:p w14:paraId="619373DB" w14:textId="77777777" w:rsidR="00714943" w:rsidRDefault="00BD616A" w:rsidP="0071494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Ł</w:t>
            </w:r>
            <w:r w:rsidR="00714943" w:rsidRPr="00C648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ączna kwota 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>objęta tytułami wykonawczymi do </w:t>
            </w:r>
            <w:r w:rsidR="00714943" w:rsidRPr="00C648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załatwienia wynosiła </w:t>
            </w:r>
            <w:r w:rsidR="00C2142A">
              <w:rPr>
                <w:rFonts w:ascii="Times New Roman" w:hAnsi="Times New Roman"/>
                <w:spacing w:val="-2"/>
                <w:sz w:val="24"/>
                <w:szCs w:val="24"/>
              </w:rPr>
              <w:t>1 247 475,98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14943" w:rsidRPr="00C64890">
              <w:rPr>
                <w:rFonts w:ascii="Times New Roman" w:hAnsi="Times New Roman"/>
                <w:spacing w:val="-2"/>
                <w:sz w:val="24"/>
                <w:szCs w:val="24"/>
              </w:rPr>
              <w:t>tys.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zł</w:t>
            </w:r>
            <w:r w:rsidR="00714943" w:rsidRPr="00C648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zaś kwota 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>wyegzekwowana</w:t>
            </w:r>
            <w:r w:rsidR="00714943" w:rsidRPr="00C648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43157">
              <w:rPr>
                <w:rFonts w:ascii="Times New Roman" w:hAnsi="Times New Roman"/>
                <w:spacing w:val="-2"/>
                <w:sz w:val="24"/>
                <w:szCs w:val="24"/>
              </w:rPr>
              <w:t>154 592,53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14943" w:rsidRPr="00C64890">
              <w:rPr>
                <w:rFonts w:ascii="Times New Roman" w:hAnsi="Times New Roman"/>
                <w:spacing w:val="-2"/>
                <w:sz w:val="24"/>
                <w:szCs w:val="24"/>
              </w:rPr>
              <w:t>tys.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zł.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ostępowania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prowadzono 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na podstawie </w:t>
            </w:r>
            <w:r w:rsidR="003B0111">
              <w:rPr>
                <w:rFonts w:ascii="Times New Roman" w:hAnsi="Times New Roman"/>
                <w:spacing w:val="-2"/>
                <w:sz w:val="24"/>
                <w:szCs w:val="24"/>
              </w:rPr>
              <w:t>1 343 187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tytułów wykonawczych.</w:t>
            </w:r>
          </w:p>
          <w:p w14:paraId="70D07159" w14:textId="77777777" w:rsidR="00BD616A" w:rsidRPr="008F4666" w:rsidRDefault="00BD616A" w:rsidP="0071494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0799468A" w14:textId="77777777" w:rsidR="00BD616A" w:rsidRDefault="00BD616A" w:rsidP="0071494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W 2021 r. wysokość wyegzekwowanych kosztów egzekucyjnych </w:t>
            </w:r>
            <w:r w:rsidRPr="00C64890">
              <w:rPr>
                <w:rFonts w:ascii="Times New Roman" w:hAnsi="Times New Roman"/>
                <w:spacing w:val="-2"/>
                <w:sz w:val="24"/>
                <w:szCs w:val="24"/>
              </w:rPr>
              <w:t>wyn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iosła 27 271,20 tys. zł.</w:t>
            </w:r>
          </w:p>
          <w:p w14:paraId="1E33E27E" w14:textId="77777777" w:rsidR="00714943" w:rsidRPr="00C64890" w:rsidRDefault="00BD616A" w:rsidP="0071494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Ł</w:t>
            </w:r>
            <w:r w:rsidR="00F04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ączna 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kwota objęta tytułami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wykonawczymi do załatwienia wynosiła</w:t>
            </w:r>
            <w:r w:rsidR="00F04C73">
              <w:rPr>
                <w:rFonts w:ascii="Times New Roman" w:hAnsi="Times New Roman"/>
                <w:spacing w:val="-2"/>
                <w:sz w:val="24"/>
                <w:szCs w:val="24"/>
              </w:rPr>
              <w:t>  1 252 703,87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tys. zł,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zaś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kwota wyegzekwowana </w:t>
            </w:r>
            <w:r w:rsidR="00F04C73">
              <w:rPr>
                <w:rFonts w:ascii="Times New Roman" w:hAnsi="Times New Roman"/>
                <w:spacing w:val="-2"/>
                <w:sz w:val="24"/>
                <w:szCs w:val="24"/>
              </w:rPr>
              <w:t>178 504,34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tys. zł. </w:t>
            </w:r>
            <w:r w:rsidR="00E02A64">
              <w:rPr>
                <w:rFonts w:ascii="Times New Roman" w:hAnsi="Times New Roman"/>
                <w:spacing w:val="-2"/>
                <w:sz w:val="24"/>
                <w:szCs w:val="24"/>
              </w:rPr>
              <w:t>Postępowania prowadzono na podstawie 1 318 331 tytułów wykonawczych.</w:t>
            </w:r>
          </w:p>
          <w:p w14:paraId="4784C4C1" w14:textId="77777777" w:rsidR="00714943" w:rsidRDefault="00714943" w:rsidP="0071494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4B7CF6CE" w14:textId="77777777" w:rsidR="00FB2E0A" w:rsidRDefault="00714943" w:rsidP="0071494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powyższego wynika, że w 2021 r. wzrost dochodów </w:t>
            </w:r>
            <w:r w:rsidR="00CF3CEE">
              <w:rPr>
                <w:rFonts w:ascii="Times New Roman" w:hAnsi="Times New Roman"/>
                <w:spacing w:val="-2"/>
                <w:sz w:val="24"/>
                <w:szCs w:val="24"/>
              </w:rPr>
              <w:t>JST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 tytułu kosztów egzekucyjnych wyniósł </w:t>
            </w:r>
            <w:r w:rsidR="00D54407">
              <w:rPr>
                <w:rFonts w:ascii="Times New Roman" w:hAnsi="Times New Roman"/>
                <w:spacing w:val="-2"/>
                <w:sz w:val="24"/>
                <w:szCs w:val="24"/>
              </w:rPr>
              <w:t>15 249,20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tys. zł. </w:t>
            </w:r>
            <w:r w:rsidR="00FB2E0A"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zrost ten </w:t>
            </w:r>
            <w:r w:rsidR="00FB2E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nastąpił w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warunkach, w których kwota objęta tytułami wykonawczymi wzrosła</w:t>
            </w:r>
            <w:r w:rsidR="00D544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 </w:t>
            </w:r>
            <w:r w:rsidR="00D54407">
              <w:rPr>
                <w:rFonts w:ascii="Times New Roman" w:hAnsi="Times New Roman"/>
                <w:spacing w:val="-2"/>
                <w:sz w:val="24"/>
                <w:szCs w:val="24"/>
              </w:rPr>
              <w:t>5 227,89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tys. zł, a liczba tytułów wykonawczych</w:t>
            </w:r>
            <w:r w:rsidR="00FB2E0A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na podstawie których prowadzono postępowania egzekucyjne</w:t>
            </w:r>
            <w:r w:rsidR="00FB2E0A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zmalała o </w:t>
            </w:r>
            <w:r w:rsidR="0065354D">
              <w:rPr>
                <w:rFonts w:ascii="Times New Roman" w:hAnsi="Times New Roman"/>
                <w:spacing w:val="-2"/>
                <w:sz w:val="24"/>
                <w:szCs w:val="24"/>
              </w:rPr>
              <w:t>24 856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  <w:p w14:paraId="14151CBF" w14:textId="64CC3192" w:rsidR="00714943" w:rsidRDefault="00FB2E0A" w:rsidP="0071494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OSR ex</w:t>
            </w:r>
            <w:r w:rsidR="00BC744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>ante oszacowano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wzrost dochodów JST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z tytułu kosztów egzekucyjnych o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5354D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132449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65354D">
              <w:rPr>
                <w:rFonts w:ascii="Times New Roman" w:hAnsi="Times New Roman"/>
                <w:spacing w:val="-2"/>
                <w:sz w:val="24"/>
                <w:szCs w:val="24"/>
              </w:rPr>
              <w:t>11</w:t>
            </w:r>
            <w:r w:rsidR="0095298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tys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>. zł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 roku wejścia w życie ustawy z 4 lipca 2019 r.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Tymczasem osiągnięty 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>wzrost dochod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ów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JST z tego 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tytułu jest wyższy niż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zakładany 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>w OSR ex</w:t>
            </w:r>
            <w:r w:rsidR="00BC744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ante </w:t>
            </w:r>
            <w:r w:rsidR="005B2A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pełny </w:t>
            </w:r>
            <w:r w:rsidR="00714943">
              <w:rPr>
                <w:rFonts w:ascii="Times New Roman" w:hAnsi="Times New Roman"/>
                <w:spacing w:val="-2"/>
                <w:sz w:val="24"/>
                <w:szCs w:val="24"/>
              </w:rPr>
              <w:t>wzrost</w:t>
            </w:r>
            <w:r w:rsidR="005B2A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dochodów JST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który ma być osiągnięty dopiero w trzecim roku obowiązywania ustawy (10 036 tys. zł)</w:t>
            </w:r>
            <w:r w:rsidR="005B2A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  <w:p w14:paraId="08FC920C" w14:textId="77777777" w:rsidR="00714943" w:rsidRDefault="00714943" w:rsidP="0071494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5C7B94D9" w14:textId="08968DE0" w:rsidR="00FB2E0A" w:rsidRDefault="00714943" w:rsidP="0071494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Ocena miernika wskazuje, że </w:t>
            </w:r>
            <w:r w:rsidR="00FB2E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wzrost dochodów JST w roku wejścia w życie ustawy jest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ponad </w:t>
            </w:r>
            <w:r w:rsidR="005B2A50">
              <w:rPr>
                <w:rFonts w:ascii="Times New Roman" w:hAnsi="Times New Roman"/>
                <w:spacing w:val="-2"/>
                <w:sz w:val="24"/>
                <w:szCs w:val="24"/>
              </w:rPr>
              <w:t>pięciokrotnie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wyższy, niż</w:t>
            </w:r>
            <w:r w:rsidR="00814E7E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zakładano w OSR ex</w:t>
            </w:r>
            <w:r w:rsidR="00BC744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ante</w:t>
            </w:r>
            <w:r w:rsidR="00FB2E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  <w:p w14:paraId="0C0A3568" w14:textId="77777777" w:rsidR="00C517C6" w:rsidRDefault="00C517C6" w:rsidP="00C517C6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EAF91D2" w14:textId="77777777" w:rsidR="00C517C6" w:rsidRPr="00820740" w:rsidRDefault="00C517C6" w:rsidP="00C517C6">
            <w:pPr>
              <w:spacing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207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Zakład Ubezpieczeń Społecznych </w:t>
            </w:r>
          </w:p>
          <w:p w14:paraId="307A2A96" w14:textId="041BC349" w:rsidR="00300ADA" w:rsidRPr="00C64890" w:rsidRDefault="00300ADA" w:rsidP="00300AD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W 2020 r.</w:t>
            </w:r>
            <w:r w:rsidR="007151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wysokość wyegzekwowanych kosztów egzekucyjnych </w:t>
            </w:r>
            <w:r w:rsidRPr="00C64890">
              <w:rPr>
                <w:rFonts w:ascii="Times New Roman" w:hAnsi="Times New Roman"/>
                <w:spacing w:val="-2"/>
                <w:sz w:val="24"/>
                <w:szCs w:val="24"/>
              </w:rPr>
              <w:t>wyn</w:t>
            </w:r>
            <w:r w:rsidR="00715193">
              <w:rPr>
                <w:rFonts w:ascii="Times New Roman" w:hAnsi="Times New Roman"/>
                <w:spacing w:val="-2"/>
                <w:sz w:val="24"/>
                <w:szCs w:val="24"/>
              </w:rPr>
              <w:t>io</w:t>
            </w:r>
            <w:r w:rsidRPr="00C64890">
              <w:rPr>
                <w:rFonts w:ascii="Times New Roman" w:hAnsi="Times New Roman"/>
                <w:spacing w:val="-2"/>
                <w:sz w:val="24"/>
                <w:szCs w:val="24"/>
              </w:rPr>
              <w:t>sł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 </w:t>
            </w:r>
            <w:r w:rsidR="00715193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AE6B69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F80E5E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D46846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7151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E6B69">
              <w:rPr>
                <w:rFonts w:ascii="Times New Roman" w:hAnsi="Times New Roman"/>
                <w:spacing w:val="-2"/>
                <w:sz w:val="24"/>
                <w:szCs w:val="24"/>
              </w:rPr>
              <w:t>566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tys. zł. </w:t>
            </w:r>
          </w:p>
          <w:p w14:paraId="59C09BBA" w14:textId="12CD8A11" w:rsidR="00300ADA" w:rsidRDefault="00715193" w:rsidP="00300AD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Ł</w:t>
            </w:r>
            <w:r w:rsidR="00300ADA" w:rsidRPr="00C648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ączna kwota 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>objęta tytułami wykonawczymi do </w:t>
            </w:r>
            <w:r w:rsidR="00300ADA" w:rsidRPr="00C648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załatwienia wynosiła </w:t>
            </w:r>
            <w:r w:rsidR="00AE6B69">
              <w:rPr>
                <w:rFonts w:ascii="Times New Roman" w:hAnsi="Times New Roman"/>
                <w:spacing w:val="-2"/>
                <w:sz w:val="24"/>
                <w:szCs w:val="24"/>
              </w:rPr>
              <w:t>17 994 519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00ADA" w:rsidRPr="00C64890">
              <w:rPr>
                <w:rFonts w:ascii="Times New Roman" w:hAnsi="Times New Roman"/>
                <w:spacing w:val="-2"/>
                <w:sz w:val="24"/>
                <w:szCs w:val="24"/>
              </w:rPr>
              <w:t>tys.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zł</w:t>
            </w:r>
            <w:r w:rsidR="00300ADA" w:rsidRPr="00C648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zaś kwota 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>wyegzekwowana</w:t>
            </w:r>
            <w:r w:rsidR="00300ADA" w:rsidRPr="00C648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E6B69">
              <w:rPr>
                <w:rFonts w:ascii="Times New Roman" w:hAnsi="Times New Roman"/>
                <w:spacing w:val="-2"/>
                <w:sz w:val="24"/>
                <w:szCs w:val="24"/>
              </w:rPr>
              <w:t>1 249 537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00ADA" w:rsidRPr="00C64890">
              <w:rPr>
                <w:rFonts w:ascii="Times New Roman" w:hAnsi="Times New Roman"/>
                <w:spacing w:val="-2"/>
                <w:sz w:val="24"/>
                <w:szCs w:val="24"/>
              </w:rPr>
              <w:t>tys.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zł. </w:t>
            </w:r>
            <w:r w:rsidR="00E72463">
              <w:rPr>
                <w:rFonts w:ascii="Times New Roman" w:hAnsi="Times New Roman"/>
                <w:spacing w:val="-2"/>
                <w:sz w:val="24"/>
                <w:szCs w:val="24"/>
              </w:rPr>
              <w:t>Postępowania prowadzono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E6B69">
              <w:rPr>
                <w:rFonts w:ascii="Times New Roman" w:hAnsi="Times New Roman"/>
                <w:spacing w:val="-2"/>
                <w:sz w:val="24"/>
                <w:szCs w:val="24"/>
              </w:rPr>
              <w:t>na podstawie 12</w:t>
            </w:r>
            <w:r w:rsidR="00132449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AE6B69">
              <w:rPr>
                <w:rFonts w:ascii="Times New Roman" w:hAnsi="Times New Roman"/>
                <w:spacing w:val="-2"/>
                <w:sz w:val="24"/>
                <w:szCs w:val="24"/>
              </w:rPr>
              <w:t>955</w:t>
            </w:r>
            <w:r w:rsidR="00E7246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E6B69">
              <w:rPr>
                <w:rFonts w:ascii="Times New Roman" w:hAnsi="Times New Roman"/>
                <w:spacing w:val="-2"/>
                <w:sz w:val="24"/>
                <w:szCs w:val="24"/>
              </w:rPr>
              <w:t>079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tytułów wykonawczych.</w:t>
            </w:r>
          </w:p>
          <w:p w14:paraId="4D23033D" w14:textId="77777777" w:rsidR="00300ADA" w:rsidRPr="008F4666" w:rsidRDefault="00300ADA" w:rsidP="00300AD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53401EBD" w14:textId="2D91BB38" w:rsidR="00E72463" w:rsidRDefault="00300ADA" w:rsidP="00300AD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46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 2021 r. </w:t>
            </w:r>
            <w:r w:rsidR="00E7246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wysokość wyegzekwowanych kosztów egzekucyjnych </w:t>
            </w:r>
            <w:r w:rsidR="00E72463" w:rsidRPr="00C64890">
              <w:rPr>
                <w:rFonts w:ascii="Times New Roman" w:hAnsi="Times New Roman"/>
                <w:spacing w:val="-2"/>
                <w:sz w:val="24"/>
                <w:szCs w:val="24"/>
              </w:rPr>
              <w:t>wyn</w:t>
            </w:r>
            <w:r w:rsidR="00E72463">
              <w:rPr>
                <w:rFonts w:ascii="Times New Roman" w:hAnsi="Times New Roman"/>
                <w:spacing w:val="-2"/>
                <w:sz w:val="24"/>
                <w:szCs w:val="24"/>
              </w:rPr>
              <w:t>io</w:t>
            </w:r>
            <w:r w:rsidR="00E72463" w:rsidRPr="00C64890">
              <w:rPr>
                <w:rFonts w:ascii="Times New Roman" w:hAnsi="Times New Roman"/>
                <w:spacing w:val="-2"/>
                <w:sz w:val="24"/>
                <w:szCs w:val="24"/>
              </w:rPr>
              <w:t>sł</w:t>
            </w:r>
            <w:r w:rsidR="00E72463">
              <w:rPr>
                <w:rFonts w:ascii="Times New Roman" w:hAnsi="Times New Roman"/>
                <w:spacing w:val="-2"/>
                <w:sz w:val="24"/>
                <w:szCs w:val="24"/>
              </w:rPr>
              <w:t>a 188 808 tys. zł.</w:t>
            </w:r>
          </w:p>
          <w:p w14:paraId="5DE821DC" w14:textId="4AC811E9" w:rsidR="00300ADA" w:rsidRPr="00C64890" w:rsidRDefault="00300ADA" w:rsidP="00300AD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Łączna kwota objęta </w:t>
            </w:r>
            <w:r w:rsidR="00AE6B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tytułami </w:t>
            </w:r>
            <w:r w:rsidR="00E7246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wykonawczymi do załatwienia wynosiła </w:t>
            </w:r>
            <w:r w:rsidR="00AE6B69">
              <w:rPr>
                <w:rFonts w:ascii="Times New Roman" w:hAnsi="Times New Roman"/>
                <w:spacing w:val="-2"/>
                <w:sz w:val="24"/>
                <w:szCs w:val="24"/>
              </w:rPr>
              <w:t>20 372 206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tys. zł, </w:t>
            </w:r>
            <w:r w:rsidR="00E72463">
              <w:rPr>
                <w:rFonts w:ascii="Times New Roman" w:hAnsi="Times New Roman"/>
                <w:spacing w:val="-2"/>
                <w:sz w:val="24"/>
                <w:szCs w:val="24"/>
              </w:rPr>
              <w:t>zaś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kwot</w:t>
            </w:r>
            <w:r w:rsidR="00AE6B69">
              <w:rPr>
                <w:rFonts w:ascii="Times New Roman" w:hAnsi="Times New Roman"/>
                <w:spacing w:val="-2"/>
                <w:sz w:val="24"/>
                <w:szCs w:val="24"/>
              </w:rPr>
              <w:t>a wyegzekwowana 1 484 262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tys. zł. </w:t>
            </w:r>
            <w:r w:rsidR="00E72463">
              <w:rPr>
                <w:rFonts w:ascii="Times New Roman" w:hAnsi="Times New Roman"/>
                <w:spacing w:val="-2"/>
                <w:sz w:val="24"/>
                <w:szCs w:val="24"/>
              </w:rPr>
              <w:t>Postępowania prowadzono na podstawie 14 005 452 tytułów wykonawczych.</w:t>
            </w:r>
          </w:p>
          <w:p w14:paraId="2D67CFA9" w14:textId="77777777" w:rsidR="00300ADA" w:rsidRDefault="00300ADA" w:rsidP="00300AD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02965EF7" w14:textId="77777777" w:rsidR="00300ADA" w:rsidRDefault="00300ADA" w:rsidP="00300AD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powyższego wynika, że w 2021 r. wzrost dochodów </w:t>
            </w:r>
            <w:r w:rsidR="00AE6B69">
              <w:rPr>
                <w:rFonts w:ascii="Times New Roman" w:hAnsi="Times New Roman"/>
                <w:spacing w:val="-2"/>
                <w:sz w:val="24"/>
                <w:szCs w:val="24"/>
              </w:rPr>
              <w:t>ZUS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 tytułu koszt</w:t>
            </w:r>
            <w:r w:rsidR="00AE6B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ów egzekucyjnych wyniósł </w:t>
            </w:r>
            <w:r w:rsidR="00F44015">
              <w:rPr>
                <w:rFonts w:ascii="Times New Roman" w:hAnsi="Times New Roman"/>
                <w:spacing w:val="-2"/>
                <w:sz w:val="24"/>
                <w:szCs w:val="24"/>
              </w:rPr>
              <w:t>76 242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tys. zł. </w:t>
            </w:r>
            <w:r w:rsidR="00E72463"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zrost ten </w:t>
            </w:r>
            <w:r w:rsidR="00E7246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nastąpił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w warunkach</w:t>
            </w:r>
            <w:r w:rsidR="00E72463">
              <w:rPr>
                <w:rFonts w:ascii="Times New Roman" w:hAnsi="Times New Roman"/>
                <w:spacing w:val="-2"/>
                <w:sz w:val="24"/>
                <w:szCs w:val="24"/>
              </w:rPr>
              <w:t>, w których</w:t>
            </w:r>
            <w:r w:rsidR="003317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kwota objęta tytułami wykonawczymi</w:t>
            </w:r>
            <w:r w:rsidR="003317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wzrosła o </w:t>
            </w:r>
            <w:r w:rsidR="00F44015">
              <w:rPr>
                <w:rFonts w:ascii="Times New Roman" w:hAnsi="Times New Roman"/>
                <w:spacing w:val="-2"/>
                <w:sz w:val="24"/>
                <w:szCs w:val="24"/>
              </w:rPr>
              <w:t>2 377 687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tys. zł</w:t>
            </w:r>
            <w:r w:rsidR="00E72463">
              <w:rPr>
                <w:rFonts w:ascii="Times New Roman" w:hAnsi="Times New Roman"/>
                <w:spacing w:val="-2"/>
                <w:sz w:val="24"/>
                <w:szCs w:val="24"/>
              </w:rPr>
              <w:t>, a</w:t>
            </w:r>
            <w:r w:rsidR="007828A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liczba tytułów wykonawczych</w:t>
            </w:r>
            <w:r w:rsidR="00E72463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na podstawie których prowadzono postępowania egzekucyjne</w:t>
            </w:r>
            <w:r w:rsidR="00E72463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44015">
              <w:rPr>
                <w:rFonts w:ascii="Times New Roman" w:hAnsi="Times New Roman"/>
                <w:spacing w:val="-2"/>
                <w:sz w:val="24"/>
                <w:szCs w:val="24"/>
              </w:rPr>
              <w:t>wzrosła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 </w:t>
            </w:r>
            <w:r w:rsidR="00331720">
              <w:rPr>
                <w:rFonts w:ascii="Times New Roman" w:hAnsi="Times New Roman"/>
                <w:spacing w:val="-2"/>
                <w:sz w:val="24"/>
                <w:szCs w:val="24"/>
              </w:rPr>
              <w:t>1 050 373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  <w:p w14:paraId="5DC5D1AA" w14:textId="709DCBC9" w:rsidR="00300ADA" w:rsidRDefault="00E72463" w:rsidP="00300AD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="007021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>OSR ex</w:t>
            </w:r>
            <w:r w:rsidR="00BC744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>ante oszacowano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wzrost dochodów ZUS z</w:t>
            </w:r>
            <w:r w:rsidR="007828A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tytułu kosztów egzekucyjnych o</w:t>
            </w:r>
            <w:r w:rsidR="007828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15 008 tys. zł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 roku wejścia w</w:t>
            </w:r>
            <w:r w:rsidR="00814E7E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>życie ustawy</w:t>
            </w:r>
            <w:r w:rsidR="009529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 4 lipca 2019 r.</w:t>
            </w:r>
            <w:r w:rsidR="007021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52981">
              <w:rPr>
                <w:rFonts w:ascii="Times New Roman" w:hAnsi="Times New Roman"/>
                <w:spacing w:val="-2"/>
                <w:sz w:val="24"/>
                <w:szCs w:val="24"/>
              </w:rPr>
              <w:t>Tymczasem osiągnięty wzrost dochodów ZUS z tego tytułu jest</w:t>
            </w:r>
            <w:r w:rsidR="009418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wyższy niż</w:t>
            </w:r>
            <w:r w:rsidR="00814E7E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9418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zakładany </w:t>
            </w:r>
            <w:r w:rsidR="00952981">
              <w:rPr>
                <w:rFonts w:ascii="Times New Roman" w:hAnsi="Times New Roman"/>
                <w:spacing w:val="-2"/>
                <w:sz w:val="24"/>
                <w:szCs w:val="24"/>
              </w:rPr>
              <w:t>w OSR ex–ant</w:t>
            </w:r>
            <w:r w:rsidR="009418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e 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>pełn</w:t>
            </w:r>
            <w:r w:rsidR="00331720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wzrost dochodów </w:t>
            </w:r>
            <w:r w:rsidR="00331720">
              <w:rPr>
                <w:rFonts w:ascii="Times New Roman" w:hAnsi="Times New Roman"/>
                <w:spacing w:val="-2"/>
                <w:sz w:val="24"/>
                <w:szCs w:val="24"/>
              </w:rPr>
              <w:t>ZUS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74F14">
              <w:rPr>
                <w:rFonts w:ascii="Times New Roman" w:hAnsi="Times New Roman"/>
                <w:spacing w:val="-2"/>
                <w:sz w:val="24"/>
                <w:szCs w:val="24"/>
              </w:rPr>
              <w:t>planowany</w:t>
            </w:r>
            <w:r w:rsidR="00D84F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na</w:t>
            </w:r>
            <w:r w:rsidR="00300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trzeci rok obowiązywania ustawy</w:t>
            </w:r>
            <w:r w:rsidR="009529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(75 400 tys. zł)</w:t>
            </w:r>
            <w:r w:rsidR="009418D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14:paraId="47AEC054" w14:textId="709FC09F" w:rsidR="00C517C6" w:rsidRPr="003B3DB5" w:rsidRDefault="00300ADA" w:rsidP="00D74A79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Ocena miernika wskazuje, że</w:t>
            </w:r>
            <w:r w:rsidR="009418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wzrost dochodów ZUS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D74A79">
              <w:rPr>
                <w:rFonts w:ascii="Times New Roman" w:hAnsi="Times New Roman"/>
                <w:spacing w:val="-2"/>
                <w:sz w:val="24"/>
                <w:szCs w:val="24"/>
              </w:rPr>
              <w:t>w roku wejścia w życie ustawy</w:t>
            </w:r>
            <w:r w:rsidR="009418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jest pięciokrotnie wyższy niż</w:t>
            </w:r>
            <w:r w:rsidR="00814E7E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9418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zakładano w OSR ex-ante. </w:t>
            </w:r>
          </w:p>
        </w:tc>
      </w:tr>
      <w:tr w:rsidR="006D51E1" w:rsidRPr="00D035F3" w14:paraId="320299BB" w14:textId="77777777" w:rsidTr="005923A9">
        <w:trPr>
          <w:gridAfter w:val="1"/>
          <w:wAfter w:w="7" w:type="dxa"/>
          <w:trHeight w:val="142"/>
        </w:trPr>
        <w:tc>
          <w:tcPr>
            <w:tcW w:w="11057" w:type="dxa"/>
            <w:gridSpan w:val="17"/>
            <w:shd w:val="clear" w:color="auto" w:fill="53A824"/>
          </w:tcPr>
          <w:p w14:paraId="45ADA793" w14:textId="77777777" w:rsidR="006D51E1" w:rsidRPr="00EC0E83" w:rsidRDefault="00026551" w:rsidP="00AD09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bCs/>
              </w:rPr>
            </w:pPr>
            <w:r w:rsidRPr="00EC0E83">
              <w:rPr>
                <w:rFonts w:ascii="Times New Roman" w:hAnsi="Times New Roman"/>
                <w:b/>
                <w:bCs/>
              </w:rPr>
              <w:lastRenderedPageBreak/>
              <w:t>Przyczyny różnic mię</w:t>
            </w:r>
            <w:r w:rsidR="006D51E1" w:rsidRPr="00EC0E83">
              <w:rPr>
                <w:rFonts w:ascii="Times New Roman" w:hAnsi="Times New Roman"/>
                <w:b/>
                <w:bCs/>
              </w:rPr>
              <w:t>dzy założonymi a osiągniętymi rezultatami</w:t>
            </w:r>
            <w:r w:rsidR="00F16032" w:rsidRPr="00EC0E83">
              <w:rPr>
                <w:rFonts w:ascii="Times New Roman" w:hAnsi="Times New Roman"/>
                <w:b/>
                <w:bCs/>
              </w:rPr>
              <w:t xml:space="preserve"> (koszty, korzyści, wartości mierników)</w:t>
            </w:r>
          </w:p>
        </w:tc>
      </w:tr>
      <w:tr w:rsidR="006D51E1" w:rsidRPr="00D035F3" w14:paraId="1AAD2DBD" w14:textId="77777777" w:rsidTr="005923A9">
        <w:trPr>
          <w:gridAfter w:val="1"/>
          <w:wAfter w:w="7" w:type="dxa"/>
          <w:trHeight w:val="841"/>
        </w:trPr>
        <w:tc>
          <w:tcPr>
            <w:tcW w:w="11057" w:type="dxa"/>
            <w:gridSpan w:val="17"/>
            <w:shd w:val="clear" w:color="auto" w:fill="auto"/>
          </w:tcPr>
          <w:p w14:paraId="28D060EB" w14:textId="4DA36763" w:rsidR="00D460B9" w:rsidRDefault="00B72769" w:rsidP="006F292F">
            <w:pPr>
              <w:spacing w:before="60" w:after="6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bookmarkStart w:id="4" w:name="_GoBack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Na etapie opracowania OSR </w:t>
            </w:r>
            <w:r w:rsidRPr="00B7276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ex</w:t>
            </w:r>
            <w:r w:rsidR="00BC744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–</w:t>
            </w:r>
            <w:r w:rsidR="005B4544" w:rsidRPr="00D460B9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="00A3360E" w:rsidRPr="00D460B9">
              <w:rPr>
                <w:rFonts w:ascii="Times New Roman" w:hAnsi="Times New Roman"/>
                <w:spacing w:val="-2"/>
                <w:sz w:val="24"/>
                <w:szCs w:val="24"/>
              </w:rPr>
              <w:t>nte</w:t>
            </w:r>
            <w:r w:rsidR="002138F7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A3360E" w:rsidRPr="00A3360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D460B9">
              <w:rPr>
                <w:rFonts w:ascii="Times New Roman" w:hAnsi="Times New Roman"/>
                <w:spacing w:val="-2"/>
                <w:sz w:val="24"/>
                <w:szCs w:val="24"/>
              </w:rPr>
              <w:t>w pkt 12 dotyczącym sposobu przeprowadzenia ewaluacji projektu i</w:t>
            </w:r>
            <w:r w:rsidR="006F292F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D460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określenia mierników do oceny efektywności wdrożonej </w:t>
            </w:r>
            <w:r w:rsidR="006F292F">
              <w:rPr>
                <w:rFonts w:ascii="Times New Roman" w:hAnsi="Times New Roman"/>
                <w:spacing w:val="-2"/>
                <w:sz w:val="24"/>
                <w:szCs w:val="24"/>
              </w:rPr>
              <w:t>ustawy</w:t>
            </w:r>
            <w:r w:rsidR="00944E8B">
              <w:t xml:space="preserve"> </w:t>
            </w:r>
            <w:r w:rsidR="00944E8B" w:rsidRPr="00944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</w:t>
            </w:r>
            <w:r w:rsidR="004B14B0">
              <w:rPr>
                <w:rFonts w:ascii="Times New Roman" w:hAnsi="Times New Roman"/>
                <w:spacing w:val="-2"/>
                <w:sz w:val="24"/>
                <w:szCs w:val="24"/>
              </w:rPr>
              <w:t>4 lipca</w:t>
            </w:r>
            <w:r w:rsidR="00944E8B" w:rsidRPr="00944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2019 </w:t>
            </w:r>
            <w:r w:rsidR="00944E8B">
              <w:rPr>
                <w:rFonts w:ascii="Times New Roman" w:hAnsi="Times New Roman"/>
                <w:spacing w:val="-2"/>
                <w:sz w:val="24"/>
                <w:szCs w:val="24"/>
              </w:rPr>
              <w:t>r.</w:t>
            </w:r>
            <w:r w:rsidR="004B14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wskazano </w:t>
            </w:r>
            <w:r w:rsidR="004B14B0" w:rsidRPr="00C517C6">
              <w:rPr>
                <w:rFonts w:ascii="Times New Roman" w:hAnsi="Times New Roman"/>
                <w:color w:val="000000"/>
                <w:sz w:val="24"/>
                <w:szCs w:val="24"/>
              </w:rPr>
              <w:t>wysokość wyegzekwowanej kwoty kosztów egzekucyjnych przez poszczególne administracyjne organy egzekucyjne w</w:t>
            </w:r>
            <w:r w:rsidR="006A12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B14B0" w:rsidRPr="00C517C6">
              <w:rPr>
                <w:rFonts w:ascii="Times New Roman" w:hAnsi="Times New Roman"/>
                <w:color w:val="000000"/>
                <w:sz w:val="24"/>
                <w:szCs w:val="24"/>
              </w:rPr>
              <w:t>stosunku do kwoty kosztów egzekucyjnych wyegzekwowanych przez te organy w</w:t>
            </w:r>
            <w:r w:rsidR="004B1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poprzednim analogicznym okresie.</w:t>
            </w:r>
            <w:r w:rsidR="00EA3A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F1F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 OSR </w:t>
            </w:r>
            <w:r w:rsidR="00BF1FE8" w:rsidRPr="00BF1F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ex</w:t>
            </w:r>
            <w:r w:rsidR="00BC744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–</w:t>
            </w:r>
            <w:r w:rsidR="00BF1FE8" w:rsidRPr="00BF1F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ante</w:t>
            </w:r>
            <w:r w:rsidR="00BF1F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analizując wpływ na sektor finansów publicznych</w:t>
            </w:r>
            <w:r w:rsidR="00C10484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3568A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tj. na budżet państwa</w:t>
            </w:r>
            <w:r w:rsidR="00581FF0">
              <w:rPr>
                <w:rFonts w:ascii="Times New Roman" w:hAnsi="Times New Roman"/>
                <w:spacing w:val="-2"/>
                <w:sz w:val="24"/>
                <w:szCs w:val="24"/>
              </w:rPr>
              <w:t>, JST i ZUS</w:t>
            </w:r>
            <w:r w:rsidR="006A1202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BF1F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D460B9">
              <w:rPr>
                <w:rFonts w:ascii="Times New Roman" w:hAnsi="Times New Roman"/>
                <w:spacing w:val="-2"/>
                <w:sz w:val="24"/>
                <w:szCs w:val="24"/>
              </w:rPr>
              <w:t>przyjęto</w:t>
            </w:r>
            <w:r w:rsidR="006A1202">
              <w:rPr>
                <w:rFonts w:ascii="Times New Roman" w:hAnsi="Times New Roman"/>
                <w:spacing w:val="-2"/>
                <w:sz w:val="24"/>
                <w:szCs w:val="24"/>
              </w:rPr>
              <w:t>, że</w:t>
            </w:r>
            <w:r w:rsidR="00D460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B14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pełny wzrost dochodów </w:t>
            </w:r>
            <w:r w:rsidR="00961665">
              <w:rPr>
                <w:rFonts w:ascii="Times New Roman" w:hAnsi="Times New Roman"/>
                <w:spacing w:val="-2"/>
                <w:sz w:val="24"/>
                <w:szCs w:val="24"/>
              </w:rPr>
              <w:t>JST</w:t>
            </w:r>
            <w:r w:rsidR="004B14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zostanie osiągnięty </w:t>
            </w:r>
            <w:r w:rsidR="006F292F">
              <w:rPr>
                <w:rFonts w:ascii="Times New Roman" w:hAnsi="Times New Roman"/>
                <w:spacing w:val="-2"/>
                <w:sz w:val="24"/>
                <w:szCs w:val="24"/>
              </w:rPr>
              <w:t>w okresie 3</w:t>
            </w:r>
            <w:r w:rsidR="00C428E1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6F292F">
              <w:rPr>
                <w:rFonts w:ascii="Times New Roman" w:hAnsi="Times New Roman"/>
                <w:spacing w:val="-2"/>
                <w:sz w:val="24"/>
                <w:szCs w:val="24"/>
              </w:rPr>
              <w:t>lat obowiązywania ustawy</w:t>
            </w:r>
            <w:r w:rsidR="00944E8B">
              <w:t xml:space="preserve"> </w:t>
            </w:r>
            <w:r w:rsidR="00944E8B" w:rsidRPr="00944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</w:t>
            </w:r>
            <w:r w:rsidR="004B14B0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="00944E8B" w:rsidRPr="00944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B14B0">
              <w:rPr>
                <w:rFonts w:ascii="Times New Roman" w:hAnsi="Times New Roman"/>
                <w:spacing w:val="-2"/>
                <w:sz w:val="24"/>
                <w:szCs w:val="24"/>
              </w:rPr>
              <w:t>lipca</w:t>
            </w:r>
            <w:r w:rsidR="00944E8B" w:rsidRPr="00944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2019</w:t>
            </w:r>
            <w:r w:rsidR="00944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roku</w:t>
            </w:r>
            <w:r w:rsidR="00D460B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bookmarkEnd w:id="4"/>
            <w:r w:rsidR="00D460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5D22E3DF" w14:textId="3BAD9577" w:rsidR="00581FF0" w:rsidRDefault="00EA3AB6" w:rsidP="00EA3AB6">
            <w:pPr>
              <w:spacing w:before="60" w:after="6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Nowe regulacje </w:t>
            </w:r>
            <w:r w:rsidR="003A2E6B">
              <w:rPr>
                <w:rFonts w:ascii="Times New Roman" w:hAnsi="Times New Roman"/>
                <w:spacing w:val="-2"/>
                <w:sz w:val="24"/>
                <w:szCs w:val="24"/>
              </w:rPr>
              <w:t>wpłynęły pozytywnie na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A2E6B">
              <w:rPr>
                <w:rFonts w:ascii="Times New Roman" w:hAnsi="Times New Roman"/>
                <w:spacing w:val="-2"/>
                <w:sz w:val="24"/>
                <w:szCs w:val="24"/>
              </w:rPr>
              <w:t>postępowania egzekucyjne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 administracji.</w:t>
            </w:r>
            <w:r w:rsidR="00581FF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</w:t>
            </w:r>
            <w:r w:rsidR="00D81189">
              <w:rPr>
                <w:rFonts w:ascii="Times New Roman" w:hAnsi="Times New Roman"/>
                <w:spacing w:val="-2"/>
                <w:sz w:val="24"/>
                <w:szCs w:val="24"/>
              </w:rPr>
              <w:t>cen</w:t>
            </w:r>
            <w:r w:rsidR="00D6303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="00D811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zakładanego w</w:t>
            </w:r>
            <w:r w:rsidR="00493DF7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D811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OSR </w:t>
            </w:r>
            <w:r w:rsidR="00D81189" w:rsidRPr="00B7276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ex</w:t>
            </w:r>
            <w:r w:rsidR="00BC744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–</w:t>
            </w:r>
            <w:r w:rsidR="00D81189" w:rsidRPr="00B7276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ante</w:t>
            </w:r>
            <w:r w:rsidR="00D811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miernika</w:t>
            </w:r>
            <w:r w:rsidR="00C10484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4C56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dokonywan</w:t>
            </w:r>
            <w:r w:rsidR="00581FF0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="004C56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poprzez porównanie analogicznego miernika w okresie poprzedzającym wejście w</w:t>
            </w:r>
            <w:r w:rsidR="00814E7E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4C5643">
              <w:rPr>
                <w:rFonts w:ascii="Times New Roman" w:hAnsi="Times New Roman"/>
                <w:spacing w:val="-2"/>
                <w:sz w:val="24"/>
                <w:szCs w:val="24"/>
              </w:rPr>
              <w:t>życie ustawy</w:t>
            </w:r>
            <w:r w:rsidR="00EE0BD6">
              <w:t xml:space="preserve"> </w:t>
            </w:r>
            <w:r w:rsidR="00EE0BD6" w:rsidRPr="00EE0B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</w:t>
            </w:r>
            <w:r w:rsidR="00581FF0">
              <w:rPr>
                <w:rFonts w:ascii="Times New Roman" w:hAnsi="Times New Roman"/>
                <w:spacing w:val="-2"/>
                <w:sz w:val="24"/>
                <w:szCs w:val="24"/>
              </w:rPr>
              <w:t>4 lipca</w:t>
            </w:r>
            <w:r w:rsidR="00EE0BD6" w:rsidRPr="00EE0B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2019</w:t>
            </w:r>
            <w:r w:rsidR="00EE0B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r.</w:t>
            </w:r>
            <w:r w:rsidR="004C5643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D811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bezsprzecznie </w:t>
            </w:r>
            <w:r w:rsidR="00581FF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potwierdza, że cele ustawy, </w:t>
            </w:r>
            <w:r w:rsidR="006F77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 tym </w:t>
            </w:r>
            <w:r w:rsidR="00581FF0">
              <w:rPr>
                <w:rFonts w:ascii="Times New Roman" w:hAnsi="Times New Roman"/>
                <w:spacing w:val="-2"/>
                <w:sz w:val="24"/>
                <w:szCs w:val="24"/>
              </w:rPr>
              <w:t>wzrost dochodów jednostek sektora finansów publicznych, zostały osiągnięte. Co więcej</w:t>
            </w:r>
            <w:r w:rsidR="006F7771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581FF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osiągnięto cele zakładane do zrealizowania na etapie wejścia w życie ustawy</w:t>
            </w:r>
            <w:r w:rsidR="006F7771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581FF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jak i cele, które miały zostać osiągnięte na przestrzeni kilku lat.</w:t>
            </w:r>
          </w:p>
          <w:p w14:paraId="1E8CCD50" w14:textId="77777777" w:rsidR="009D0EA0" w:rsidRPr="003568A9" w:rsidRDefault="009B306D" w:rsidP="00820740">
            <w:pPr>
              <w:spacing w:before="60" w:after="6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="004C5643">
              <w:rPr>
                <w:rFonts w:ascii="Times New Roman" w:hAnsi="Times New Roman"/>
                <w:spacing w:val="-2"/>
                <w:sz w:val="24"/>
                <w:szCs w:val="24"/>
              </w:rPr>
              <w:t>cena obowiązywania ustawy</w:t>
            </w:r>
            <w:r w:rsidR="00EE0BD6">
              <w:t xml:space="preserve"> </w:t>
            </w:r>
            <w:r w:rsidR="00EE0BD6" w:rsidRPr="00EE0B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</w:t>
            </w:r>
            <w:r w:rsidR="00581FF0">
              <w:rPr>
                <w:rFonts w:ascii="Times New Roman" w:hAnsi="Times New Roman"/>
                <w:spacing w:val="-2"/>
                <w:sz w:val="24"/>
                <w:szCs w:val="24"/>
              </w:rPr>
              <w:t>4 lipca</w:t>
            </w:r>
            <w:r w:rsidR="00EE0BD6" w:rsidRPr="00EE0B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2019 </w:t>
            </w:r>
            <w:r w:rsidR="00EE0BD6">
              <w:rPr>
                <w:rFonts w:ascii="Times New Roman" w:hAnsi="Times New Roman"/>
                <w:spacing w:val="-2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C5643">
              <w:rPr>
                <w:rFonts w:ascii="Times New Roman" w:hAnsi="Times New Roman"/>
                <w:spacing w:val="-2"/>
                <w:sz w:val="24"/>
                <w:szCs w:val="24"/>
              </w:rPr>
              <w:t>po roku</w:t>
            </w:r>
            <w:r w:rsidR="006F77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A795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pozwala stwierdzić, że zmiana systemu kosztów egzekucyjnych w postępowaniu egzekucyjnym w administracji spełniła </w:t>
            </w:r>
            <w:r w:rsidR="00E437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stawiane </w:t>
            </w:r>
            <w:r w:rsidR="007A795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przed nią </w:t>
            </w:r>
            <w:r w:rsidR="00E437B9">
              <w:rPr>
                <w:rFonts w:ascii="Times New Roman" w:hAnsi="Times New Roman"/>
                <w:spacing w:val="-2"/>
                <w:sz w:val="24"/>
                <w:szCs w:val="24"/>
              </w:rPr>
              <w:t>cele</w:t>
            </w:r>
            <w:r w:rsidR="007A795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="00C104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D418B9" w:rsidRPr="00D035F3" w14:paraId="6ED2361A" w14:textId="77777777" w:rsidTr="005923A9">
        <w:trPr>
          <w:gridAfter w:val="1"/>
          <w:wAfter w:w="7" w:type="dxa"/>
          <w:trHeight w:val="142"/>
        </w:trPr>
        <w:tc>
          <w:tcPr>
            <w:tcW w:w="11057" w:type="dxa"/>
            <w:gridSpan w:val="17"/>
            <w:shd w:val="clear" w:color="auto" w:fill="53A824"/>
          </w:tcPr>
          <w:p w14:paraId="00C05D91" w14:textId="77777777" w:rsidR="00D418B9" w:rsidRPr="00D035F3" w:rsidRDefault="00282C9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Ocena</w:t>
            </w:r>
            <w:r w:rsidR="00100049">
              <w:rPr>
                <w:rFonts w:ascii="Times New Roman" w:hAnsi="Times New Roman"/>
                <w:b/>
                <w:bCs/>
              </w:rPr>
              <w:t xml:space="preserve"> o</w:t>
            </w:r>
            <w:r w:rsidR="00D418B9" w:rsidRPr="00D035F3">
              <w:rPr>
                <w:rFonts w:ascii="Times New Roman" w:hAnsi="Times New Roman"/>
                <w:b/>
                <w:bCs/>
              </w:rPr>
              <w:t>bowiązk</w:t>
            </w:r>
            <w:r w:rsidR="00100049">
              <w:rPr>
                <w:rFonts w:ascii="Times New Roman" w:hAnsi="Times New Roman"/>
                <w:b/>
                <w:bCs/>
              </w:rPr>
              <w:t>ów</w:t>
            </w:r>
            <w:r w:rsidR="00D418B9" w:rsidRPr="00D035F3">
              <w:rPr>
                <w:rFonts w:ascii="Times New Roman" w:hAnsi="Times New Roman"/>
                <w:b/>
                <w:bCs/>
              </w:rPr>
              <w:t xml:space="preserve"> informacyjn</w:t>
            </w:r>
            <w:r w:rsidR="00100049">
              <w:rPr>
                <w:rFonts w:ascii="Times New Roman" w:hAnsi="Times New Roman"/>
                <w:b/>
                <w:bCs/>
              </w:rPr>
              <w:t>ych</w:t>
            </w:r>
            <w:r w:rsidR="00D418B9" w:rsidRPr="00D035F3">
              <w:rPr>
                <w:rFonts w:ascii="Times New Roman" w:hAnsi="Times New Roman"/>
                <w:b/>
                <w:bCs/>
              </w:rPr>
              <w:t xml:space="preserve"> wynikając</w:t>
            </w:r>
            <w:r w:rsidR="00425497">
              <w:rPr>
                <w:rFonts w:ascii="Times New Roman" w:hAnsi="Times New Roman"/>
                <w:b/>
                <w:bCs/>
              </w:rPr>
              <w:t>ych</w:t>
            </w:r>
            <w:r w:rsidR="00D418B9" w:rsidRPr="00D035F3">
              <w:rPr>
                <w:rFonts w:ascii="Times New Roman" w:hAnsi="Times New Roman"/>
                <w:b/>
                <w:bCs/>
              </w:rPr>
              <w:t xml:space="preserve"> z</w:t>
            </w:r>
            <w:r w:rsidR="00D418B9" w:rsidRPr="00383FD8">
              <w:rPr>
                <w:rFonts w:ascii="Times New Roman" w:hAnsi="Times New Roman"/>
                <w:b/>
                <w:bCs/>
              </w:rPr>
              <w:t xml:space="preserve"> </w:t>
            </w:r>
            <w:r w:rsidR="00383FD8" w:rsidRPr="00383FD8">
              <w:rPr>
                <w:rFonts w:ascii="Times New Roman" w:hAnsi="Times New Roman"/>
                <w:b/>
                <w:bCs/>
              </w:rPr>
              <w:t>ustawy</w:t>
            </w:r>
          </w:p>
        </w:tc>
      </w:tr>
      <w:tr w:rsidR="00DB70CD" w:rsidRPr="00D035F3" w14:paraId="480C27B8" w14:textId="77777777" w:rsidTr="005923A9">
        <w:trPr>
          <w:gridAfter w:val="1"/>
          <w:wAfter w:w="7" w:type="dxa"/>
          <w:trHeight w:val="345"/>
        </w:trPr>
        <w:tc>
          <w:tcPr>
            <w:tcW w:w="501" w:type="dxa"/>
            <w:vMerge w:val="restart"/>
            <w:shd w:val="clear" w:color="auto" w:fill="auto"/>
          </w:tcPr>
          <w:p w14:paraId="117266A8" w14:textId="77777777" w:rsidR="00DB70CD" w:rsidRPr="00D035F3" w:rsidRDefault="00DB70CD" w:rsidP="006235FC">
            <w:pPr>
              <w:spacing w:before="120"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35F3">
              <w:rPr>
                <w:rFonts w:ascii="Times New Roman" w:hAnsi="Times New Roman"/>
                <w:bCs/>
                <w:sz w:val="18"/>
                <w:szCs w:val="18"/>
              </w:rPr>
              <w:t>l.p.</w:t>
            </w:r>
          </w:p>
          <w:p w14:paraId="6CD8E690" w14:textId="77777777" w:rsidR="00DB70CD" w:rsidRPr="00D035F3" w:rsidRDefault="00DB70CD" w:rsidP="006235FC">
            <w:pPr>
              <w:spacing w:before="120"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14:paraId="5812109B" w14:textId="77777777" w:rsidR="00DB70CD" w:rsidRPr="00D035F3" w:rsidRDefault="00DB70CD" w:rsidP="006235FC">
            <w:pPr>
              <w:spacing w:before="120"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35F3">
              <w:rPr>
                <w:rFonts w:ascii="Times New Roman" w:hAnsi="Times New Roman"/>
                <w:bCs/>
                <w:sz w:val="18"/>
                <w:szCs w:val="18"/>
              </w:rPr>
              <w:t>Obowiązek informacyjny (OI)</w:t>
            </w:r>
          </w:p>
          <w:p w14:paraId="4813F289" w14:textId="77777777" w:rsidR="00DB70CD" w:rsidRPr="00D035F3" w:rsidRDefault="00DB70CD" w:rsidP="0034451C">
            <w:pPr>
              <w:spacing w:before="120"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35F3">
              <w:rPr>
                <w:rFonts w:ascii="Times New Roman" w:hAnsi="Times New Roman"/>
                <w:bCs/>
                <w:sz w:val="18"/>
                <w:szCs w:val="18"/>
              </w:rPr>
              <w:t>(w tym jednost</w:t>
            </w:r>
            <w:r w:rsidR="0034451C">
              <w:rPr>
                <w:rFonts w:ascii="Times New Roman" w:hAnsi="Times New Roman"/>
                <w:bCs/>
                <w:sz w:val="18"/>
                <w:szCs w:val="18"/>
              </w:rPr>
              <w:t>ka redakcyjna, tj. nr artykułu)</w:t>
            </w:r>
          </w:p>
        </w:tc>
        <w:tc>
          <w:tcPr>
            <w:tcW w:w="8903" w:type="dxa"/>
            <w:gridSpan w:val="15"/>
            <w:shd w:val="clear" w:color="auto" w:fill="auto"/>
          </w:tcPr>
          <w:p w14:paraId="404C3EA5" w14:textId="77777777" w:rsidR="00DB70CD" w:rsidRPr="00D035F3" w:rsidRDefault="00DB70CD" w:rsidP="006235FC">
            <w:pPr>
              <w:spacing w:before="120"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35F3">
              <w:rPr>
                <w:rFonts w:ascii="Times New Roman" w:hAnsi="Times New Roman"/>
                <w:bCs/>
                <w:sz w:val="18"/>
                <w:szCs w:val="18"/>
              </w:rPr>
              <w:t>Możliwy sposób redukcji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wraz z uzasadnieniem</w:t>
            </w:r>
          </w:p>
        </w:tc>
      </w:tr>
      <w:tr w:rsidR="00DB70CD" w:rsidRPr="00D035F3" w14:paraId="12A03BD6" w14:textId="77777777" w:rsidTr="005923A9">
        <w:trPr>
          <w:gridAfter w:val="1"/>
          <w:wAfter w:w="7" w:type="dxa"/>
          <w:trHeight w:val="345"/>
        </w:trPr>
        <w:tc>
          <w:tcPr>
            <w:tcW w:w="501" w:type="dxa"/>
            <w:vMerge/>
            <w:shd w:val="clear" w:color="auto" w:fill="auto"/>
          </w:tcPr>
          <w:p w14:paraId="155C8747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9BE6292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83" w:type="dxa"/>
            <w:gridSpan w:val="4"/>
            <w:shd w:val="clear" w:color="auto" w:fill="auto"/>
          </w:tcPr>
          <w:p w14:paraId="37D84239" w14:textId="77777777" w:rsidR="00DB70CD" w:rsidRPr="00D035F3" w:rsidRDefault="00DB70CD" w:rsidP="006235FC">
            <w:pPr>
              <w:spacing w:before="120"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035F3">
              <w:rPr>
                <w:rFonts w:ascii="Times New Roman" w:hAnsi="Times New Roman"/>
                <w:bCs/>
                <w:sz w:val="16"/>
                <w:szCs w:val="16"/>
              </w:rPr>
              <w:t>uchylenie OI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7E714D9C" w14:textId="77777777" w:rsidR="00DB70CD" w:rsidRPr="00D035F3" w:rsidRDefault="00DB70CD" w:rsidP="006235FC">
            <w:pPr>
              <w:spacing w:before="120"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035F3">
              <w:rPr>
                <w:rFonts w:ascii="Times New Roman" w:hAnsi="Times New Roman"/>
                <w:bCs/>
                <w:sz w:val="16"/>
                <w:szCs w:val="16"/>
              </w:rPr>
              <w:t>zmniejszenie częstotliwości wykonywania OI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5BBB4FC2" w14:textId="77777777" w:rsidR="00DB70CD" w:rsidRPr="00D035F3" w:rsidRDefault="00DB70CD" w:rsidP="006235FC">
            <w:pPr>
              <w:spacing w:before="120"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035F3">
              <w:rPr>
                <w:rFonts w:ascii="Times New Roman" w:hAnsi="Times New Roman"/>
                <w:bCs/>
                <w:sz w:val="16"/>
                <w:szCs w:val="16"/>
              </w:rPr>
              <w:t>zastąpienie trybu papierowego elektronicznym</w:t>
            </w:r>
          </w:p>
        </w:tc>
        <w:tc>
          <w:tcPr>
            <w:tcW w:w="1484" w:type="dxa"/>
            <w:gridSpan w:val="5"/>
            <w:shd w:val="clear" w:color="auto" w:fill="auto"/>
          </w:tcPr>
          <w:p w14:paraId="3BEFA982" w14:textId="77777777" w:rsidR="00DB70CD" w:rsidRPr="00D035F3" w:rsidRDefault="00DB70CD" w:rsidP="00AD4510">
            <w:pPr>
              <w:spacing w:before="120"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035F3">
              <w:rPr>
                <w:rFonts w:ascii="Times New Roman" w:hAnsi="Times New Roman"/>
                <w:bCs/>
                <w:sz w:val="16"/>
                <w:szCs w:val="16"/>
              </w:rPr>
              <w:t>zmniejszenie wymaganego zakresu informac</w:t>
            </w:r>
            <w:r w:rsidR="00AD4510">
              <w:rPr>
                <w:rFonts w:ascii="Times New Roman" w:hAnsi="Times New Roman"/>
                <w:bCs/>
                <w:sz w:val="16"/>
                <w:szCs w:val="16"/>
              </w:rPr>
              <w:t>ji</w:t>
            </w:r>
          </w:p>
        </w:tc>
        <w:tc>
          <w:tcPr>
            <w:tcW w:w="1483" w:type="dxa"/>
            <w:shd w:val="clear" w:color="auto" w:fill="auto"/>
          </w:tcPr>
          <w:p w14:paraId="7446A682" w14:textId="77777777" w:rsidR="00DB70CD" w:rsidRPr="00D035F3" w:rsidRDefault="00DB70CD" w:rsidP="006235FC">
            <w:pPr>
              <w:spacing w:before="120"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035F3">
              <w:rPr>
                <w:rFonts w:ascii="Times New Roman" w:hAnsi="Times New Roman"/>
                <w:bCs/>
                <w:sz w:val="16"/>
                <w:szCs w:val="16"/>
              </w:rPr>
              <w:t>uproszczenie formularza lub zamieszczenie formularza na stronie internetowej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56EB19A" w14:textId="77777777" w:rsidR="00DB70CD" w:rsidRPr="00D035F3" w:rsidRDefault="00DB70CD" w:rsidP="009661F7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035F3">
              <w:rPr>
                <w:rFonts w:ascii="Times New Roman" w:hAnsi="Times New Roman"/>
                <w:bCs/>
                <w:sz w:val="16"/>
                <w:szCs w:val="16"/>
              </w:rPr>
              <w:t xml:space="preserve">skorzystanie z danych znajdujących się </w:t>
            </w:r>
            <w:r w:rsidR="0046641A">
              <w:rPr>
                <w:rFonts w:ascii="Times New Roman" w:hAnsi="Times New Roman"/>
                <w:bCs/>
                <w:sz w:val="16"/>
                <w:szCs w:val="16"/>
              </w:rPr>
              <w:t xml:space="preserve">w danym organie lub </w:t>
            </w:r>
            <w:r w:rsidRPr="00D035F3">
              <w:rPr>
                <w:rFonts w:ascii="Times New Roman" w:hAnsi="Times New Roman"/>
                <w:bCs/>
                <w:sz w:val="16"/>
                <w:szCs w:val="16"/>
              </w:rPr>
              <w:t>w innych instytucjach</w:t>
            </w:r>
          </w:p>
        </w:tc>
      </w:tr>
      <w:tr w:rsidR="00DB70CD" w:rsidRPr="00D035F3" w14:paraId="444B66FF" w14:textId="77777777" w:rsidTr="005923A9">
        <w:trPr>
          <w:gridAfter w:val="1"/>
          <w:wAfter w:w="7" w:type="dxa"/>
          <w:trHeight w:val="345"/>
        </w:trPr>
        <w:tc>
          <w:tcPr>
            <w:tcW w:w="501" w:type="dxa"/>
            <w:shd w:val="clear" w:color="auto" w:fill="auto"/>
          </w:tcPr>
          <w:p w14:paraId="282440E2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653" w:type="dxa"/>
            <w:shd w:val="clear" w:color="auto" w:fill="auto"/>
          </w:tcPr>
          <w:p w14:paraId="11D9E42A" w14:textId="77777777" w:rsidR="00DB70CD" w:rsidRPr="00F86113" w:rsidRDefault="00D5411A" w:rsidP="00CB6991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6113">
              <w:rPr>
                <w:rFonts w:ascii="Times New Roman" w:hAnsi="Times New Roman"/>
                <w:spacing w:val="-2"/>
                <w:sz w:val="24"/>
                <w:szCs w:val="24"/>
              </w:rPr>
              <w:t>Nie dotyczy</w:t>
            </w:r>
          </w:p>
        </w:tc>
        <w:tc>
          <w:tcPr>
            <w:tcW w:w="1483" w:type="dxa"/>
            <w:gridSpan w:val="4"/>
            <w:shd w:val="clear" w:color="auto" w:fill="auto"/>
          </w:tcPr>
          <w:p w14:paraId="6F12CC5D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3F36F2F6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83" w:type="dxa"/>
            <w:gridSpan w:val="2"/>
            <w:shd w:val="clear" w:color="auto" w:fill="auto"/>
          </w:tcPr>
          <w:p w14:paraId="3A13A5DA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84" w:type="dxa"/>
            <w:gridSpan w:val="5"/>
            <w:shd w:val="clear" w:color="auto" w:fill="auto"/>
          </w:tcPr>
          <w:p w14:paraId="1ECE77E9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83" w:type="dxa"/>
            <w:shd w:val="clear" w:color="auto" w:fill="auto"/>
          </w:tcPr>
          <w:p w14:paraId="71DAE5B5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84" w:type="dxa"/>
            <w:shd w:val="clear" w:color="auto" w:fill="auto"/>
          </w:tcPr>
          <w:p w14:paraId="75AB3634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DB70CD" w:rsidRPr="00D035F3" w14:paraId="7017B0C9" w14:textId="77777777" w:rsidTr="005923A9">
        <w:trPr>
          <w:gridAfter w:val="1"/>
          <w:wAfter w:w="7" w:type="dxa"/>
          <w:trHeight w:val="315"/>
        </w:trPr>
        <w:tc>
          <w:tcPr>
            <w:tcW w:w="501" w:type="dxa"/>
            <w:shd w:val="clear" w:color="auto" w:fill="auto"/>
          </w:tcPr>
          <w:p w14:paraId="1BBB1317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653" w:type="dxa"/>
            <w:shd w:val="clear" w:color="auto" w:fill="auto"/>
          </w:tcPr>
          <w:p w14:paraId="72D813A6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83" w:type="dxa"/>
            <w:gridSpan w:val="4"/>
            <w:shd w:val="clear" w:color="auto" w:fill="auto"/>
          </w:tcPr>
          <w:p w14:paraId="6676AD48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71E2853C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83" w:type="dxa"/>
            <w:gridSpan w:val="2"/>
            <w:shd w:val="clear" w:color="auto" w:fill="auto"/>
          </w:tcPr>
          <w:p w14:paraId="1A1E4616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84" w:type="dxa"/>
            <w:gridSpan w:val="5"/>
            <w:shd w:val="clear" w:color="auto" w:fill="auto"/>
          </w:tcPr>
          <w:p w14:paraId="16737411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83" w:type="dxa"/>
            <w:shd w:val="clear" w:color="auto" w:fill="auto"/>
          </w:tcPr>
          <w:p w14:paraId="66385AE2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84" w:type="dxa"/>
            <w:shd w:val="clear" w:color="auto" w:fill="auto"/>
          </w:tcPr>
          <w:p w14:paraId="1B037E79" w14:textId="77777777" w:rsidR="00DB70CD" w:rsidRPr="00D035F3" w:rsidRDefault="00DB70CD" w:rsidP="00CB699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D418B9" w:rsidRPr="00D035F3" w14:paraId="2D536CF1" w14:textId="77777777" w:rsidTr="005923A9">
        <w:trPr>
          <w:gridAfter w:val="1"/>
          <w:wAfter w:w="7" w:type="dxa"/>
          <w:trHeight w:val="359"/>
        </w:trPr>
        <w:tc>
          <w:tcPr>
            <w:tcW w:w="11057" w:type="dxa"/>
            <w:gridSpan w:val="17"/>
            <w:shd w:val="clear" w:color="auto" w:fill="53A824"/>
            <w:vAlign w:val="center"/>
          </w:tcPr>
          <w:p w14:paraId="57E5FE23" w14:textId="77777777" w:rsidR="00D418B9" w:rsidRPr="00D035F3" w:rsidRDefault="005938C6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D035F3">
              <w:rPr>
                <w:rFonts w:ascii="Times New Roman" w:hAnsi="Times New Roman"/>
                <w:b/>
                <w:bCs/>
              </w:rPr>
              <w:t xml:space="preserve">Opinie </w:t>
            </w:r>
            <w:r w:rsidR="00D418B9" w:rsidRPr="00D035F3">
              <w:rPr>
                <w:rFonts w:ascii="Times New Roman" w:hAnsi="Times New Roman"/>
                <w:b/>
                <w:bCs/>
              </w:rPr>
              <w:t xml:space="preserve">zgłaszane w związku z funkcjonowaniem </w:t>
            </w:r>
            <w:r w:rsidR="00282C90" w:rsidRPr="00282C90">
              <w:rPr>
                <w:rFonts w:ascii="Times New Roman" w:hAnsi="Times New Roman"/>
                <w:b/>
                <w:bCs/>
              </w:rPr>
              <w:t>ustawy</w:t>
            </w:r>
          </w:p>
        </w:tc>
      </w:tr>
      <w:tr w:rsidR="00D418B9" w:rsidRPr="00D035F3" w14:paraId="1A7A3E57" w14:textId="77777777" w:rsidTr="005923A9">
        <w:trPr>
          <w:gridAfter w:val="1"/>
          <w:wAfter w:w="7" w:type="dxa"/>
          <w:trHeight w:val="142"/>
        </w:trPr>
        <w:tc>
          <w:tcPr>
            <w:tcW w:w="501" w:type="dxa"/>
            <w:shd w:val="clear" w:color="auto" w:fill="auto"/>
          </w:tcPr>
          <w:p w14:paraId="7487266D" w14:textId="77777777" w:rsidR="00D418B9" w:rsidRPr="00D035F3" w:rsidRDefault="00D418B9" w:rsidP="006235FC">
            <w:pPr>
              <w:spacing w:before="120"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35F3">
              <w:rPr>
                <w:rFonts w:ascii="Times New Roman" w:hAnsi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2970" w:type="dxa"/>
            <w:gridSpan w:val="4"/>
            <w:shd w:val="clear" w:color="auto" w:fill="auto"/>
          </w:tcPr>
          <w:p w14:paraId="7FDA0B5F" w14:textId="77777777" w:rsidR="00D418B9" w:rsidRPr="00D035F3" w:rsidRDefault="00D418B9" w:rsidP="006235FC">
            <w:pPr>
              <w:spacing w:before="120"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35F3">
              <w:rPr>
                <w:rFonts w:ascii="Times New Roman" w:hAnsi="Times New Roman"/>
                <w:bCs/>
                <w:sz w:val="18"/>
                <w:szCs w:val="18"/>
              </w:rPr>
              <w:t xml:space="preserve">Podmiot zgłaszający </w:t>
            </w:r>
            <w:r w:rsidR="0046641A">
              <w:rPr>
                <w:rFonts w:ascii="Times New Roman" w:hAnsi="Times New Roman"/>
                <w:bCs/>
                <w:sz w:val="18"/>
                <w:szCs w:val="18"/>
              </w:rPr>
              <w:t>opinię/</w:t>
            </w:r>
            <w:r w:rsidR="00CE4490">
              <w:rPr>
                <w:rFonts w:ascii="Times New Roman" w:hAnsi="Times New Roman"/>
                <w:bCs/>
                <w:sz w:val="18"/>
                <w:szCs w:val="18"/>
              </w:rPr>
              <w:t>problem</w:t>
            </w:r>
          </w:p>
        </w:tc>
        <w:tc>
          <w:tcPr>
            <w:tcW w:w="3520" w:type="dxa"/>
            <w:gridSpan w:val="8"/>
            <w:shd w:val="clear" w:color="auto" w:fill="auto"/>
          </w:tcPr>
          <w:p w14:paraId="6AF32B61" w14:textId="77777777" w:rsidR="00D418B9" w:rsidRPr="00D035F3" w:rsidRDefault="00D418B9" w:rsidP="006235FC">
            <w:pPr>
              <w:spacing w:before="120"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35F3">
              <w:rPr>
                <w:rFonts w:ascii="Times New Roman" w:hAnsi="Times New Roman"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4066" w:type="dxa"/>
            <w:gridSpan w:val="4"/>
            <w:shd w:val="clear" w:color="auto" w:fill="auto"/>
          </w:tcPr>
          <w:p w14:paraId="0DD4096C" w14:textId="77777777" w:rsidR="00D418B9" w:rsidRPr="00D035F3" w:rsidRDefault="00D418B9" w:rsidP="006235FC">
            <w:pPr>
              <w:spacing w:before="120"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35F3">
              <w:rPr>
                <w:rFonts w:ascii="Times New Roman" w:hAnsi="Times New Roman"/>
                <w:bCs/>
                <w:sz w:val="18"/>
                <w:szCs w:val="18"/>
              </w:rPr>
              <w:t xml:space="preserve">Stanowisko </w:t>
            </w:r>
            <w:r w:rsidR="00CE4490">
              <w:rPr>
                <w:rFonts w:ascii="Times New Roman" w:hAnsi="Times New Roman"/>
                <w:bCs/>
                <w:sz w:val="18"/>
                <w:szCs w:val="18"/>
              </w:rPr>
              <w:t>członka Rady Ministrów</w:t>
            </w:r>
          </w:p>
        </w:tc>
      </w:tr>
      <w:tr w:rsidR="00D418B9" w:rsidRPr="00D035F3" w14:paraId="31F34E51" w14:textId="77777777" w:rsidTr="005923A9">
        <w:trPr>
          <w:gridAfter w:val="1"/>
          <w:wAfter w:w="7" w:type="dxa"/>
          <w:trHeight w:val="142"/>
        </w:trPr>
        <w:tc>
          <w:tcPr>
            <w:tcW w:w="501" w:type="dxa"/>
            <w:shd w:val="clear" w:color="auto" w:fill="auto"/>
          </w:tcPr>
          <w:p w14:paraId="5EB65BBB" w14:textId="77777777" w:rsidR="00D418B9" w:rsidRPr="00D035F3" w:rsidRDefault="00D418B9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14:paraId="14EA03C1" w14:textId="77777777" w:rsidR="00D418B9" w:rsidRPr="00F86113" w:rsidRDefault="007C2545" w:rsidP="00A17CB2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611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Nie dotyczy </w:t>
            </w:r>
          </w:p>
        </w:tc>
        <w:tc>
          <w:tcPr>
            <w:tcW w:w="3520" w:type="dxa"/>
            <w:gridSpan w:val="8"/>
            <w:shd w:val="clear" w:color="auto" w:fill="auto"/>
          </w:tcPr>
          <w:p w14:paraId="709ECF63" w14:textId="77777777" w:rsidR="00D418B9" w:rsidRPr="00D035F3" w:rsidRDefault="00D418B9" w:rsidP="00A17CB2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4066" w:type="dxa"/>
            <w:gridSpan w:val="4"/>
            <w:shd w:val="clear" w:color="auto" w:fill="auto"/>
          </w:tcPr>
          <w:p w14:paraId="178705B9" w14:textId="77777777" w:rsidR="00D418B9" w:rsidRPr="00D035F3" w:rsidRDefault="00D418B9" w:rsidP="00A17CB2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D418B9" w:rsidRPr="00D035F3" w14:paraId="6178993F" w14:textId="77777777" w:rsidTr="005923A9">
        <w:trPr>
          <w:gridAfter w:val="1"/>
          <w:wAfter w:w="7" w:type="dxa"/>
          <w:trHeight w:val="142"/>
        </w:trPr>
        <w:tc>
          <w:tcPr>
            <w:tcW w:w="501" w:type="dxa"/>
            <w:shd w:val="clear" w:color="auto" w:fill="auto"/>
          </w:tcPr>
          <w:p w14:paraId="5E105789" w14:textId="77777777" w:rsidR="00D418B9" w:rsidRPr="00D035F3" w:rsidRDefault="00D418B9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14:paraId="33FB0201" w14:textId="77777777" w:rsidR="00D418B9" w:rsidRPr="00D035F3" w:rsidRDefault="00D418B9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520" w:type="dxa"/>
            <w:gridSpan w:val="8"/>
            <w:shd w:val="clear" w:color="auto" w:fill="auto"/>
          </w:tcPr>
          <w:p w14:paraId="3F88B508" w14:textId="77777777" w:rsidR="00D418B9" w:rsidRPr="00D035F3" w:rsidRDefault="00D418B9" w:rsidP="007F002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4066" w:type="dxa"/>
            <w:gridSpan w:val="4"/>
            <w:shd w:val="clear" w:color="auto" w:fill="auto"/>
          </w:tcPr>
          <w:p w14:paraId="7A95D77C" w14:textId="77777777" w:rsidR="00D418B9" w:rsidRPr="00D035F3" w:rsidRDefault="00D418B9" w:rsidP="007F002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5938C6" w:rsidRPr="00D035F3" w14:paraId="77E3ACBD" w14:textId="77777777" w:rsidTr="005923A9">
        <w:trPr>
          <w:gridAfter w:val="1"/>
          <w:wAfter w:w="7" w:type="dxa"/>
          <w:trHeight w:val="142"/>
        </w:trPr>
        <w:tc>
          <w:tcPr>
            <w:tcW w:w="3471" w:type="dxa"/>
            <w:gridSpan w:val="5"/>
            <w:shd w:val="clear" w:color="auto" w:fill="auto"/>
          </w:tcPr>
          <w:p w14:paraId="6A9BE09F" w14:textId="77777777" w:rsidR="005938C6" w:rsidRPr="00BE6056" w:rsidRDefault="005938C6" w:rsidP="007F0021">
            <w:pPr>
              <w:spacing w:line="240" w:lineRule="auto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E6056">
              <w:rPr>
                <w:rFonts w:ascii="Times New Roman" w:hAnsi="Times New Roman"/>
                <w:spacing w:val="-2"/>
                <w:sz w:val="20"/>
                <w:szCs w:val="20"/>
              </w:rPr>
              <w:t>Inne</w:t>
            </w:r>
            <w:r w:rsidR="00B82941" w:rsidRPr="00BE605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źródła opinii o </w:t>
            </w:r>
            <w:r w:rsidR="00383FD8" w:rsidRPr="00BE6056">
              <w:rPr>
                <w:rFonts w:ascii="Times New Roman" w:hAnsi="Times New Roman"/>
                <w:bCs/>
                <w:sz w:val="20"/>
                <w:szCs w:val="20"/>
              </w:rPr>
              <w:t>ustawie</w:t>
            </w:r>
            <w:r w:rsidR="00B82941" w:rsidRPr="00BE605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(np.</w:t>
            </w:r>
            <w:r w:rsidRPr="00BE605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badania opinii, </w:t>
            </w:r>
            <w:r w:rsidR="00DB70CD" w:rsidRPr="00BE6056">
              <w:rPr>
                <w:rFonts w:ascii="Times New Roman" w:hAnsi="Times New Roman"/>
                <w:spacing w:val="-2"/>
                <w:sz w:val="20"/>
                <w:szCs w:val="20"/>
              </w:rPr>
              <w:t>materiały konferencyjne</w:t>
            </w:r>
            <w:r w:rsidRPr="00BE6056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7586" w:type="dxa"/>
            <w:gridSpan w:val="12"/>
            <w:shd w:val="clear" w:color="auto" w:fill="auto"/>
          </w:tcPr>
          <w:p w14:paraId="790532B0" w14:textId="77777777" w:rsidR="005938C6" w:rsidRPr="00D035F3" w:rsidRDefault="005938C6" w:rsidP="007F002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  <w:p w14:paraId="57767E9A" w14:textId="77777777" w:rsidR="005938C6" w:rsidRPr="00D035F3" w:rsidRDefault="005938C6" w:rsidP="007F0021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D418B9" w:rsidRPr="00D035F3" w14:paraId="257438F8" w14:textId="77777777" w:rsidTr="005923A9">
        <w:trPr>
          <w:gridAfter w:val="1"/>
          <w:wAfter w:w="7" w:type="dxa"/>
          <w:trHeight w:val="302"/>
        </w:trPr>
        <w:tc>
          <w:tcPr>
            <w:tcW w:w="11057" w:type="dxa"/>
            <w:gridSpan w:val="17"/>
            <w:shd w:val="clear" w:color="auto" w:fill="53A824"/>
            <w:vAlign w:val="center"/>
          </w:tcPr>
          <w:p w14:paraId="7466C3D8" w14:textId="77777777" w:rsidR="00D418B9" w:rsidRPr="00D035F3" w:rsidRDefault="00D418B9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D035F3">
              <w:rPr>
                <w:rFonts w:ascii="Times New Roman" w:hAnsi="Times New Roman"/>
                <w:b/>
                <w:bCs/>
              </w:rPr>
              <w:t xml:space="preserve">Pozostałe wnioski wynikające z dotychczasowego funkcjonowania </w:t>
            </w:r>
            <w:r w:rsidR="00282C90" w:rsidRPr="0038740D">
              <w:rPr>
                <w:rFonts w:ascii="Times New Roman" w:hAnsi="Times New Roman"/>
                <w:b/>
                <w:bCs/>
              </w:rPr>
              <w:t>ustawy</w:t>
            </w:r>
          </w:p>
        </w:tc>
      </w:tr>
      <w:tr w:rsidR="00D418B9" w:rsidRPr="00D035F3" w14:paraId="6523BFFB" w14:textId="77777777" w:rsidTr="005923A9">
        <w:trPr>
          <w:gridAfter w:val="1"/>
          <w:wAfter w:w="7" w:type="dxa"/>
          <w:trHeight w:val="342"/>
        </w:trPr>
        <w:tc>
          <w:tcPr>
            <w:tcW w:w="11057" w:type="dxa"/>
            <w:gridSpan w:val="17"/>
            <w:shd w:val="clear" w:color="auto" w:fill="FFFFFF"/>
          </w:tcPr>
          <w:p w14:paraId="76BA538A" w14:textId="1EE5C65D" w:rsidR="00D418B9" w:rsidRPr="00F86113" w:rsidRDefault="00773A99" w:rsidP="00BE4DF7">
            <w:pPr>
              <w:pStyle w:val="Default"/>
              <w:jc w:val="both"/>
            </w:pPr>
            <w:r w:rsidRPr="00773A99">
              <w:rPr>
                <w:spacing w:val="-2"/>
              </w:rPr>
              <w:t>Ustawa</w:t>
            </w:r>
            <w:r w:rsidR="00EE0BD6">
              <w:t xml:space="preserve"> </w:t>
            </w:r>
            <w:r w:rsidR="00EE0BD6" w:rsidRPr="00EE0BD6">
              <w:rPr>
                <w:spacing w:val="-2"/>
              </w:rPr>
              <w:t xml:space="preserve">z </w:t>
            </w:r>
            <w:r w:rsidR="006A1664">
              <w:rPr>
                <w:spacing w:val="-2"/>
              </w:rPr>
              <w:t>4 lipca</w:t>
            </w:r>
            <w:r w:rsidR="00EE0BD6" w:rsidRPr="00EE0BD6">
              <w:rPr>
                <w:spacing w:val="-2"/>
              </w:rPr>
              <w:t xml:space="preserve"> 2019 </w:t>
            </w:r>
            <w:r w:rsidR="00EE0BD6">
              <w:rPr>
                <w:spacing w:val="-2"/>
              </w:rPr>
              <w:t>r.</w:t>
            </w:r>
            <w:r w:rsidRPr="00773A99">
              <w:rPr>
                <w:spacing w:val="-2"/>
              </w:rPr>
              <w:t xml:space="preserve"> wprowad</w:t>
            </w:r>
            <w:r w:rsidR="00B97121">
              <w:rPr>
                <w:spacing w:val="-2"/>
              </w:rPr>
              <w:t xml:space="preserve">ziła </w:t>
            </w:r>
            <w:r w:rsidR="006A1664">
              <w:rPr>
                <w:spacing w:val="-2"/>
              </w:rPr>
              <w:t>nowy system kosztów egzekucyjnych w egzekucji administracyjnej</w:t>
            </w:r>
            <w:r w:rsidR="000859F4">
              <w:rPr>
                <w:spacing w:val="-2"/>
              </w:rPr>
              <w:t>. W toku obowiązywania nowych regulacji zaistniał</w:t>
            </w:r>
            <w:r w:rsidR="00842276">
              <w:rPr>
                <w:spacing w:val="-2"/>
              </w:rPr>
              <w:t>a</w:t>
            </w:r>
            <w:r w:rsidR="00816B16">
              <w:rPr>
                <w:spacing w:val="-2"/>
              </w:rPr>
              <w:t xml:space="preserve"> jednak</w:t>
            </w:r>
            <w:r w:rsidR="000859F4">
              <w:rPr>
                <w:spacing w:val="-2"/>
              </w:rPr>
              <w:t xml:space="preserve"> potrzeba zmiany naliczania maksymalnej wysokości opłaty egzekucyjnej od wyegzekwowanych i zapłaconych środków pieniężnych. </w:t>
            </w:r>
            <w:r w:rsidR="007E47EC">
              <w:rPr>
                <w:spacing w:val="-2"/>
              </w:rPr>
              <w:t>Zmiany mają uprościć naliczanie i</w:t>
            </w:r>
            <w:r w:rsidR="00816B16">
              <w:rPr>
                <w:spacing w:val="-2"/>
              </w:rPr>
              <w:t> </w:t>
            </w:r>
            <w:r w:rsidR="007E47EC">
              <w:rPr>
                <w:spacing w:val="-2"/>
              </w:rPr>
              <w:t xml:space="preserve">pobór opłaty egzekucyjnej przez organy egzekucyjne. Istota </w:t>
            </w:r>
            <w:r w:rsidR="00BE4DF7">
              <w:rPr>
                <w:spacing w:val="-2"/>
              </w:rPr>
              <w:t>zmian zawarta w ustawie  z dnia 8 lutego 2023 r.</w:t>
            </w:r>
            <w:r w:rsidR="007E47EC">
              <w:rPr>
                <w:spacing w:val="-2"/>
              </w:rPr>
              <w:t xml:space="preserve"> o</w:t>
            </w:r>
            <w:r w:rsidR="00816B16">
              <w:rPr>
                <w:spacing w:val="-2"/>
              </w:rPr>
              <w:t> </w:t>
            </w:r>
            <w:r w:rsidR="007E47EC">
              <w:rPr>
                <w:spacing w:val="-2"/>
              </w:rPr>
              <w:t>zmianie ustawy o postępowaniu egzekucyjnym w administracji oraz niektórych innych ustaw (</w:t>
            </w:r>
            <w:r w:rsidR="00BE4DF7">
              <w:rPr>
                <w:spacing w:val="-2"/>
              </w:rPr>
              <w:t xml:space="preserve">druk </w:t>
            </w:r>
            <w:r w:rsidR="0064208E">
              <w:rPr>
                <w:spacing w:val="-2"/>
              </w:rPr>
              <w:t>s</w:t>
            </w:r>
            <w:r w:rsidR="00BE4DF7">
              <w:rPr>
                <w:spacing w:val="-2"/>
              </w:rPr>
              <w:t>ejmowy 2952</w:t>
            </w:r>
            <w:r w:rsidR="007E47EC">
              <w:rPr>
                <w:spacing w:val="-2"/>
              </w:rPr>
              <w:t>) polega na tym, że</w:t>
            </w:r>
            <w:r w:rsidR="00814E7E">
              <w:rPr>
                <w:spacing w:val="-2"/>
              </w:rPr>
              <w:t> </w:t>
            </w:r>
            <w:r w:rsidR="007E47EC">
              <w:rPr>
                <w:spacing w:val="-2"/>
              </w:rPr>
              <w:t>m</w:t>
            </w:r>
            <w:r w:rsidR="007E47EC">
              <w:t>aksymalna wysokość opłaty egzekucyjnej dotąd liczona była jako odsetek kwot wyegzekwowanych bądź uzyskanych w takim samym procencie przy ograniczeniu kwotowym odpowiednio do 40 tys. zł bądź 20 tys. zł, w zależności od tego czy należność została wyegzekwowana czy też zapłacona. Obowiązujące rozwiązanie w praktyce oznaczało potrzebę dwukrotnego obliczenia wysokości opłaty egzekucyjnej –</w:t>
            </w:r>
            <w:r w:rsidR="001B2BA4">
              <w:t xml:space="preserve"> </w:t>
            </w:r>
            <w:r w:rsidR="007E47EC">
              <w:t>w</w:t>
            </w:r>
            <w:r w:rsidR="00816B16">
              <w:t> </w:t>
            </w:r>
            <w:r w:rsidR="007E47EC">
              <w:t>zakresie stawki na</w:t>
            </w:r>
            <w:r w:rsidR="00814E7E">
              <w:t> </w:t>
            </w:r>
            <w:r w:rsidR="007E47EC">
              <w:t>etapie wyegzekwowania bądź uzyskania środków, a następnie w celu weryfikacji maksymalnej opłaty egzekucyjnej na etapie zakończenia postępowania egzekucyjnego. Dokonanie obu obliczeń było konieczne, mimo że procentowe stawki opłaty egzekucyjnej były określone w tej samej wysokości, tj. odpowiednio 10% lub 5%. Zatem zaproponowana rezygnacja z procentowego ujęcia maksymalnej wysokości opłaty egzekucyjnej przy pozostawieniu stawki oraz limitu kwotowego uprości sposób weryfikacji maksymalnej wysokości tej opłaty.</w:t>
            </w:r>
          </w:p>
        </w:tc>
      </w:tr>
      <w:tr w:rsidR="00D418B9" w:rsidRPr="00D035F3" w14:paraId="4843684D" w14:textId="77777777" w:rsidTr="005923A9">
        <w:trPr>
          <w:gridAfter w:val="1"/>
          <w:wAfter w:w="7" w:type="dxa"/>
          <w:trHeight w:val="363"/>
        </w:trPr>
        <w:tc>
          <w:tcPr>
            <w:tcW w:w="11057" w:type="dxa"/>
            <w:gridSpan w:val="17"/>
            <w:shd w:val="clear" w:color="auto" w:fill="53A824"/>
            <w:vAlign w:val="center"/>
          </w:tcPr>
          <w:p w14:paraId="2788DAEC" w14:textId="77777777" w:rsidR="00D418B9" w:rsidRPr="00D035F3" w:rsidRDefault="00D418B9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D035F3">
              <w:rPr>
                <w:rFonts w:ascii="Times New Roman" w:hAnsi="Times New Roman"/>
                <w:b/>
              </w:rPr>
              <w:t xml:space="preserve"> Rekomendacj</w:t>
            </w:r>
            <w:r w:rsidR="00F16032" w:rsidRPr="00D035F3">
              <w:rPr>
                <w:rFonts w:ascii="Times New Roman" w:hAnsi="Times New Roman"/>
                <w:b/>
              </w:rPr>
              <w:t>e</w:t>
            </w:r>
            <w:r w:rsidRPr="00D035F3">
              <w:rPr>
                <w:rFonts w:ascii="Times New Roman" w:hAnsi="Times New Roman"/>
                <w:b/>
              </w:rPr>
              <w:t xml:space="preserve"> </w:t>
            </w:r>
            <w:r w:rsidR="00CE4490" w:rsidRPr="00CE4490">
              <w:rPr>
                <w:rFonts w:ascii="Times New Roman" w:hAnsi="Times New Roman"/>
                <w:b/>
              </w:rPr>
              <w:t xml:space="preserve">członka Rady Ministrów </w:t>
            </w:r>
            <w:r w:rsidRPr="00D035F3">
              <w:rPr>
                <w:rFonts w:ascii="Times New Roman" w:hAnsi="Times New Roman"/>
                <w:b/>
              </w:rPr>
              <w:t>dotycząc</w:t>
            </w:r>
            <w:r w:rsidR="00F16032" w:rsidRPr="00D035F3">
              <w:rPr>
                <w:rFonts w:ascii="Times New Roman" w:hAnsi="Times New Roman"/>
                <w:b/>
              </w:rPr>
              <w:t>e</w:t>
            </w:r>
            <w:r w:rsidRPr="00D035F3">
              <w:rPr>
                <w:rFonts w:ascii="Times New Roman" w:hAnsi="Times New Roman"/>
                <w:b/>
              </w:rPr>
              <w:t xml:space="preserve"> dalszych działań</w:t>
            </w:r>
            <w:r w:rsidR="00FB063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418B9" w:rsidRPr="00D035F3" w14:paraId="28B3F027" w14:textId="77777777" w:rsidTr="005923A9">
        <w:trPr>
          <w:gridAfter w:val="1"/>
          <w:wAfter w:w="7" w:type="dxa"/>
          <w:trHeight w:val="738"/>
        </w:trPr>
        <w:tc>
          <w:tcPr>
            <w:tcW w:w="11057" w:type="dxa"/>
            <w:gridSpan w:val="17"/>
            <w:shd w:val="clear" w:color="auto" w:fill="FFFFFF"/>
          </w:tcPr>
          <w:p w14:paraId="5D052045" w14:textId="2D605FA9" w:rsidR="00EE1464" w:rsidRPr="00F86113" w:rsidRDefault="007C2545" w:rsidP="00531718">
            <w:pPr>
              <w:spacing w:before="40" w:after="4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611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Rekomenduję </w:t>
            </w:r>
            <w:r w:rsidRPr="00B97121">
              <w:rPr>
                <w:rFonts w:ascii="Times New Roman" w:hAnsi="Times New Roman"/>
                <w:spacing w:val="-2"/>
                <w:sz w:val="24"/>
                <w:szCs w:val="24"/>
              </w:rPr>
              <w:t>pozostawienie obecneg</w:t>
            </w:r>
            <w:r w:rsidR="00773A99" w:rsidRPr="00B97121">
              <w:rPr>
                <w:rFonts w:ascii="Times New Roman" w:hAnsi="Times New Roman"/>
                <w:spacing w:val="-2"/>
                <w:sz w:val="24"/>
                <w:szCs w:val="24"/>
              </w:rPr>
              <w:t>o stanu prawnego i kontynuowanie wprowadzonych rozwiązań</w:t>
            </w:r>
            <w:r w:rsidR="000859F4">
              <w:rPr>
                <w:rFonts w:ascii="Times New Roman" w:hAnsi="Times New Roman"/>
                <w:spacing w:val="-2"/>
                <w:sz w:val="24"/>
                <w:szCs w:val="24"/>
              </w:rPr>
              <w:t>, z</w:t>
            </w:r>
            <w:r w:rsidR="008409C2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0859F4">
              <w:rPr>
                <w:rFonts w:ascii="Times New Roman" w:hAnsi="Times New Roman"/>
                <w:spacing w:val="-2"/>
                <w:sz w:val="24"/>
                <w:szCs w:val="24"/>
              </w:rPr>
              <w:t>uwzględnieniem zmian zaproponowanych w ustaw</w:t>
            </w:r>
            <w:r w:rsidR="00BE4DF7">
              <w:rPr>
                <w:rFonts w:ascii="Times New Roman" w:hAnsi="Times New Roman"/>
                <w:spacing w:val="-2"/>
                <w:sz w:val="24"/>
                <w:szCs w:val="24"/>
              </w:rPr>
              <w:t>ie z 8 lutego 2023 r.</w:t>
            </w:r>
            <w:r w:rsidR="000859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 zmianie ustawy o postępowaniu egzekucyjnym w administracji oraz niektórych innych ustaw (</w:t>
            </w:r>
            <w:r w:rsidR="00BE4D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druk </w:t>
            </w:r>
            <w:r w:rsidR="0064208E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="00BE4DF7">
              <w:rPr>
                <w:rFonts w:ascii="Times New Roman" w:hAnsi="Times New Roman"/>
                <w:spacing w:val="-2"/>
                <w:sz w:val="24"/>
                <w:szCs w:val="24"/>
              </w:rPr>
              <w:t>ejmowy 2952</w:t>
            </w:r>
            <w:r w:rsidR="000859F4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  <w:r w:rsidR="00B97121" w:rsidRPr="00B9712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B9712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97121">
              <w:rPr>
                <w:rFonts w:ascii="Times New Roman" w:hAnsi="Times New Roman"/>
                <w:spacing w:val="-2"/>
                <w:sz w:val="24"/>
                <w:szCs w:val="24"/>
              </w:rPr>
              <w:t>Rozwiązania zawarte w ustawie</w:t>
            </w:r>
            <w:r w:rsidR="00EE0BD6">
              <w:t xml:space="preserve"> </w:t>
            </w:r>
            <w:r w:rsidR="00EE0BD6" w:rsidRPr="00EE0B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</w:t>
            </w:r>
            <w:r w:rsidR="00B954EB">
              <w:rPr>
                <w:rFonts w:ascii="Times New Roman" w:hAnsi="Times New Roman"/>
                <w:spacing w:val="-2"/>
                <w:sz w:val="24"/>
                <w:szCs w:val="24"/>
              </w:rPr>
              <w:t>4 lipca</w:t>
            </w:r>
            <w:r w:rsidR="00EE0BD6" w:rsidRPr="00EE0B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2019 </w:t>
            </w:r>
            <w:r w:rsidR="00EE0BD6">
              <w:rPr>
                <w:rFonts w:ascii="Times New Roman" w:hAnsi="Times New Roman"/>
                <w:spacing w:val="-2"/>
                <w:sz w:val="24"/>
                <w:szCs w:val="24"/>
              </w:rPr>
              <w:t>r.</w:t>
            </w:r>
            <w:r w:rsidR="00B9712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funkcjonują</w:t>
            </w:r>
            <w:r w:rsidRPr="00B9712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97121">
              <w:rPr>
                <w:rFonts w:ascii="Times New Roman" w:hAnsi="Times New Roman"/>
                <w:spacing w:val="-2"/>
                <w:sz w:val="24"/>
                <w:szCs w:val="24"/>
              </w:rPr>
              <w:t>zgodnie z założeniami</w:t>
            </w:r>
            <w:r w:rsidR="00C655BF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D0559D" w:rsidRPr="00D035F3" w14:paraId="12095771" w14:textId="77777777" w:rsidTr="005923A9">
        <w:trPr>
          <w:gridAfter w:val="1"/>
          <w:wAfter w:w="7" w:type="dxa"/>
          <w:trHeight w:val="142"/>
        </w:trPr>
        <w:tc>
          <w:tcPr>
            <w:tcW w:w="11057" w:type="dxa"/>
            <w:gridSpan w:val="17"/>
            <w:shd w:val="clear" w:color="auto" w:fill="53A824"/>
          </w:tcPr>
          <w:p w14:paraId="1A10D007" w14:textId="77777777" w:rsidR="00D0559D" w:rsidRPr="00D035F3" w:rsidRDefault="00A4468F" w:rsidP="00C95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D035F3">
              <w:rPr>
                <w:rFonts w:ascii="Times New Roman" w:hAnsi="Times New Roman"/>
                <w:b/>
                <w:spacing w:val="-2"/>
              </w:rPr>
              <w:t xml:space="preserve">Załączniki (dokumenty źródłowe, dokumenty metodologiczne, </w:t>
            </w:r>
            <w:r w:rsidR="00425497">
              <w:rPr>
                <w:rFonts w:ascii="Times New Roman" w:hAnsi="Times New Roman"/>
                <w:b/>
                <w:spacing w:val="-2"/>
              </w:rPr>
              <w:t xml:space="preserve">wyniki </w:t>
            </w:r>
            <w:r w:rsidRPr="00D035F3">
              <w:rPr>
                <w:rFonts w:ascii="Times New Roman" w:hAnsi="Times New Roman"/>
                <w:b/>
                <w:spacing w:val="-2"/>
              </w:rPr>
              <w:t>pogłębion</w:t>
            </w:r>
            <w:r w:rsidR="00425497">
              <w:rPr>
                <w:rFonts w:ascii="Times New Roman" w:hAnsi="Times New Roman"/>
                <w:b/>
                <w:spacing w:val="-2"/>
              </w:rPr>
              <w:t>ych</w:t>
            </w:r>
            <w:r w:rsidRPr="00D035F3">
              <w:rPr>
                <w:rFonts w:ascii="Times New Roman" w:hAnsi="Times New Roman"/>
                <w:b/>
                <w:spacing w:val="-2"/>
              </w:rPr>
              <w:t xml:space="preserve"> studi</w:t>
            </w:r>
            <w:r w:rsidR="00425497">
              <w:rPr>
                <w:rFonts w:ascii="Times New Roman" w:hAnsi="Times New Roman"/>
                <w:b/>
                <w:spacing w:val="-2"/>
              </w:rPr>
              <w:t>ów, badań</w:t>
            </w:r>
            <w:r w:rsidRPr="00D035F3">
              <w:rPr>
                <w:rFonts w:ascii="Times New Roman" w:hAnsi="Times New Roman"/>
                <w:b/>
                <w:spacing w:val="-2"/>
              </w:rPr>
              <w:t>)</w:t>
            </w:r>
          </w:p>
        </w:tc>
      </w:tr>
      <w:tr w:rsidR="00D0559D" w:rsidRPr="00AD09B2" w14:paraId="512E04F9" w14:textId="77777777" w:rsidTr="005923A9">
        <w:trPr>
          <w:gridAfter w:val="1"/>
          <w:wAfter w:w="7" w:type="dxa"/>
          <w:trHeight w:val="142"/>
        </w:trPr>
        <w:tc>
          <w:tcPr>
            <w:tcW w:w="11057" w:type="dxa"/>
            <w:gridSpan w:val="17"/>
            <w:shd w:val="clear" w:color="auto" w:fill="FFFFFF"/>
          </w:tcPr>
          <w:p w14:paraId="0B6C34B0" w14:textId="77777777" w:rsidR="00D46481" w:rsidRPr="00820740" w:rsidRDefault="00D46481" w:rsidP="00AD09B2">
            <w:pPr>
              <w:spacing w:before="40" w:after="4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</w:tbl>
    <w:p w14:paraId="6D81B7C5" w14:textId="77777777" w:rsidR="0062267E" w:rsidRPr="00BA48F9" w:rsidRDefault="0062267E" w:rsidP="00383FD8"/>
    <w:sectPr w:rsidR="0062267E" w:rsidRPr="00BA48F9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6B5E" w14:textId="77777777" w:rsidR="00733345" w:rsidRDefault="00733345" w:rsidP="00044739">
      <w:pPr>
        <w:spacing w:line="240" w:lineRule="auto"/>
      </w:pPr>
      <w:r>
        <w:separator/>
      </w:r>
    </w:p>
  </w:endnote>
  <w:endnote w:type="continuationSeparator" w:id="0">
    <w:p w14:paraId="23EEF966" w14:textId="77777777" w:rsidR="00733345" w:rsidRDefault="0073334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C72F4" w14:textId="77777777" w:rsidR="00733345" w:rsidRDefault="00733345" w:rsidP="00044739">
      <w:pPr>
        <w:spacing w:line="240" w:lineRule="auto"/>
      </w:pPr>
      <w:r>
        <w:separator/>
      </w:r>
    </w:p>
  </w:footnote>
  <w:footnote w:type="continuationSeparator" w:id="0">
    <w:p w14:paraId="4339221A" w14:textId="77777777" w:rsidR="00733345" w:rsidRDefault="0073334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28D1"/>
    <w:multiLevelType w:val="hybridMultilevel"/>
    <w:tmpl w:val="10D61D9A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349"/>
    <w:multiLevelType w:val="hybridMultilevel"/>
    <w:tmpl w:val="963E3658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BA90591"/>
    <w:multiLevelType w:val="hybridMultilevel"/>
    <w:tmpl w:val="0C7441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26D4F"/>
    <w:multiLevelType w:val="multilevel"/>
    <w:tmpl w:val="F1FC0650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>
    <w:nsid w:val="49BE361A"/>
    <w:multiLevelType w:val="hybridMultilevel"/>
    <w:tmpl w:val="22FC939C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>
    <w:nsid w:val="4F8729D9"/>
    <w:multiLevelType w:val="hybridMultilevel"/>
    <w:tmpl w:val="3AA42B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34F4800"/>
    <w:multiLevelType w:val="hybridMultilevel"/>
    <w:tmpl w:val="E5080E18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B5A8A"/>
    <w:multiLevelType w:val="hybridMultilevel"/>
    <w:tmpl w:val="4EE2B63C"/>
    <w:lvl w:ilvl="0" w:tplc="69624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26FAB"/>
    <w:multiLevelType w:val="multilevel"/>
    <w:tmpl w:val="95FA285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9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634214B4"/>
    <w:multiLevelType w:val="hybridMultilevel"/>
    <w:tmpl w:val="EE5CFAE6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02614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1"/>
  </w:num>
  <w:num w:numId="5">
    <w:abstractNumId w:val="3"/>
  </w:num>
  <w:num w:numId="6">
    <w:abstractNumId w:val="7"/>
  </w:num>
  <w:num w:numId="7">
    <w:abstractNumId w:val="9"/>
  </w:num>
  <w:num w:numId="8">
    <w:abstractNumId w:val="17"/>
  </w:num>
  <w:num w:numId="9">
    <w:abstractNumId w:val="6"/>
  </w:num>
  <w:num w:numId="10">
    <w:abstractNumId w:val="15"/>
  </w:num>
  <w:num w:numId="11">
    <w:abstractNumId w:val="10"/>
  </w:num>
  <w:num w:numId="12">
    <w:abstractNumId w:val="13"/>
  </w:num>
  <w:num w:numId="13">
    <w:abstractNumId w:val="4"/>
  </w:num>
  <w:num w:numId="14">
    <w:abstractNumId w:val="22"/>
  </w:num>
  <w:num w:numId="15">
    <w:abstractNumId w:val="19"/>
  </w:num>
  <w:num w:numId="16">
    <w:abstractNumId w:val="20"/>
  </w:num>
  <w:num w:numId="17">
    <w:abstractNumId w:val="24"/>
  </w:num>
  <w:num w:numId="18">
    <w:abstractNumId w:val="12"/>
  </w:num>
  <w:num w:numId="19">
    <w:abstractNumId w:val="18"/>
  </w:num>
  <w:num w:numId="20">
    <w:abstractNumId w:val="14"/>
  </w:num>
  <w:num w:numId="21">
    <w:abstractNumId w:val="0"/>
  </w:num>
  <w:num w:numId="22">
    <w:abstractNumId w:val="11"/>
  </w:num>
  <w:num w:numId="23">
    <w:abstractNumId w:val="2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97"/>
    <w:rsid w:val="000008E5"/>
    <w:rsid w:val="000022D5"/>
    <w:rsid w:val="0000282A"/>
    <w:rsid w:val="00002F73"/>
    <w:rsid w:val="00002FD3"/>
    <w:rsid w:val="00003B52"/>
    <w:rsid w:val="00004A0E"/>
    <w:rsid w:val="000072EF"/>
    <w:rsid w:val="000109B6"/>
    <w:rsid w:val="00012D11"/>
    <w:rsid w:val="000152EE"/>
    <w:rsid w:val="000153C6"/>
    <w:rsid w:val="000178F2"/>
    <w:rsid w:val="00020217"/>
    <w:rsid w:val="0002326E"/>
    <w:rsid w:val="00026551"/>
    <w:rsid w:val="00030A79"/>
    <w:rsid w:val="0003247C"/>
    <w:rsid w:val="000349DD"/>
    <w:rsid w:val="00035FE0"/>
    <w:rsid w:val="00036E63"/>
    <w:rsid w:val="00037376"/>
    <w:rsid w:val="00040A8B"/>
    <w:rsid w:val="00040C42"/>
    <w:rsid w:val="000423E3"/>
    <w:rsid w:val="00044739"/>
    <w:rsid w:val="000447B3"/>
    <w:rsid w:val="00045C6D"/>
    <w:rsid w:val="00047031"/>
    <w:rsid w:val="00047D4B"/>
    <w:rsid w:val="00051802"/>
    <w:rsid w:val="00051EAE"/>
    <w:rsid w:val="000523AD"/>
    <w:rsid w:val="00055A60"/>
    <w:rsid w:val="00056681"/>
    <w:rsid w:val="00056733"/>
    <w:rsid w:val="000619C8"/>
    <w:rsid w:val="00061CAB"/>
    <w:rsid w:val="000648A7"/>
    <w:rsid w:val="00071B99"/>
    <w:rsid w:val="00073920"/>
    <w:rsid w:val="00073C38"/>
    <w:rsid w:val="00077D7B"/>
    <w:rsid w:val="00080E8D"/>
    <w:rsid w:val="00080EC8"/>
    <w:rsid w:val="00082A6B"/>
    <w:rsid w:val="00083A1A"/>
    <w:rsid w:val="00084AF6"/>
    <w:rsid w:val="000859F4"/>
    <w:rsid w:val="00086795"/>
    <w:rsid w:val="0008758D"/>
    <w:rsid w:val="00092C99"/>
    <w:rsid w:val="00093E28"/>
    <w:rsid w:val="00094CB9"/>
    <w:rsid w:val="000956B2"/>
    <w:rsid w:val="00096202"/>
    <w:rsid w:val="00097D44"/>
    <w:rsid w:val="000A063D"/>
    <w:rsid w:val="000A2E30"/>
    <w:rsid w:val="000A310C"/>
    <w:rsid w:val="000A4020"/>
    <w:rsid w:val="000A495A"/>
    <w:rsid w:val="000B0FAD"/>
    <w:rsid w:val="000B140F"/>
    <w:rsid w:val="000B388F"/>
    <w:rsid w:val="000B3EF4"/>
    <w:rsid w:val="000B54FB"/>
    <w:rsid w:val="000C0D48"/>
    <w:rsid w:val="000C29B0"/>
    <w:rsid w:val="000C2F3F"/>
    <w:rsid w:val="000C42E0"/>
    <w:rsid w:val="000C76FC"/>
    <w:rsid w:val="000D0D38"/>
    <w:rsid w:val="000D37DF"/>
    <w:rsid w:val="000D5470"/>
    <w:rsid w:val="000D6F2D"/>
    <w:rsid w:val="000E0720"/>
    <w:rsid w:val="000E0C3F"/>
    <w:rsid w:val="000E1045"/>
    <w:rsid w:val="000E2D10"/>
    <w:rsid w:val="000E36CD"/>
    <w:rsid w:val="000E75CB"/>
    <w:rsid w:val="000F1100"/>
    <w:rsid w:val="000F1302"/>
    <w:rsid w:val="000F2090"/>
    <w:rsid w:val="000F56B7"/>
    <w:rsid w:val="000F5EC1"/>
    <w:rsid w:val="000F723A"/>
    <w:rsid w:val="00100049"/>
    <w:rsid w:val="0010548B"/>
    <w:rsid w:val="00105F36"/>
    <w:rsid w:val="001072D1"/>
    <w:rsid w:val="001115F8"/>
    <w:rsid w:val="00116663"/>
    <w:rsid w:val="00117797"/>
    <w:rsid w:val="00121056"/>
    <w:rsid w:val="0012367B"/>
    <w:rsid w:val="00125436"/>
    <w:rsid w:val="00131025"/>
    <w:rsid w:val="00131573"/>
    <w:rsid w:val="00132449"/>
    <w:rsid w:val="0013419A"/>
    <w:rsid w:val="00134250"/>
    <w:rsid w:val="00134772"/>
    <w:rsid w:val="001353C6"/>
    <w:rsid w:val="0013566A"/>
    <w:rsid w:val="001359AB"/>
    <w:rsid w:val="00135B20"/>
    <w:rsid w:val="001401B5"/>
    <w:rsid w:val="001422B9"/>
    <w:rsid w:val="001428B6"/>
    <w:rsid w:val="00151E1A"/>
    <w:rsid w:val="00152678"/>
    <w:rsid w:val="00153464"/>
    <w:rsid w:val="001624CB"/>
    <w:rsid w:val="00163D8F"/>
    <w:rsid w:val="0016607D"/>
    <w:rsid w:val="0016645D"/>
    <w:rsid w:val="001727BB"/>
    <w:rsid w:val="00173FD8"/>
    <w:rsid w:val="00176929"/>
    <w:rsid w:val="00176FD6"/>
    <w:rsid w:val="0017753B"/>
    <w:rsid w:val="00180205"/>
    <w:rsid w:val="0018318D"/>
    <w:rsid w:val="00186F24"/>
    <w:rsid w:val="00187CFD"/>
    <w:rsid w:val="00187F0D"/>
    <w:rsid w:val="001908C2"/>
    <w:rsid w:val="00192CC5"/>
    <w:rsid w:val="001945FC"/>
    <w:rsid w:val="001A0A12"/>
    <w:rsid w:val="001A179C"/>
    <w:rsid w:val="001A22A1"/>
    <w:rsid w:val="001A233B"/>
    <w:rsid w:val="001A5248"/>
    <w:rsid w:val="001A544F"/>
    <w:rsid w:val="001A6469"/>
    <w:rsid w:val="001A6978"/>
    <w:rsid w:val="001A6A1D"/>
    <w:rsid w:val="001B0E83"/>
    <w:rsid w:val="001B117E"/>
    <w:rsid w:val="001B227A"/>
    <w:rsid w:val="001B254B"/>
    <w:rsid w:val="001B2BA4"/>
    <w:rsid w:val="001B488B"/>
    <w:rsid w:val="001B4CA1"/>
    <w:rsid w:val="001C0A6A"/>
    <w:rsid w:val="001C3C63"/>
    <w:rsid w:val="001C6639"/>
    <w:rsid w:val="001C79D6"/>
    <w:rsid w:val="001D14C8"/>
    <w:rsid w:val="001D3D0A"/>
    <w:rsid w:val="001D3EA8"/>
    <w:rsid w:val="001D7128"/>
    <w:rsid w:val="001E0064"/>
    <w:rsid w:val="001E046A"/>
    <w:rsid w:val="001E3D3F"/>
    <w:rsid w:val="001E432B"/>
    <w:rsid w:val="001E498D"/>
    <w:rsid w:val="001E4FCD"/>
    <w:rsid w:val="001F2941"/>
    <w:rsid w:val="001F2EE3"/>
    <w:rsid w:val="001F39CE"/>
    <w:rsid w:val="001F3E2E"/>
    <w:rsid w:val="001F5FA6"/>
    <w:rsid w:val="002022B0"/>
    <w:rsid w:val="00202BC6"/>
    <w:rsid w:val="0020393C"/>
    <w:rsid w:val="00204466"/>
    <w:rsid w:val="00206AA9"/>
    <w:rsid w:val="002105F0"/>
    <w:rsid w:val="00210C8C"/>
    <w:rsid w:val="002134A4"/>
    <w:rsid w:val="00213559"/>
    <w:rsid w:val="002137EE"/>
    <w:rsid w:val="002138F7"/>
    <w:rsid w:val="00213EFD"/>
    <w:rsid w:val="00221015"/>
    <w:rsid w:val="002215AB"/>
    <w:rsid w:val="00223C7B"/>
    <w:rsid w:val="00224AB1"/>
    <w:rsid w:val="00225588"/>
    <w:rsid w:val="00227478"/>
    <w:rsid w:val="002275D7"/>
    <w:rsid w:val="00230728"/>
    <w:rsid w:val="002327B8"/>
    <w:rsid w:val="00233F88"/>
    <w:rsid w:val="00234040"/>
    <w:rsid w:val="00235225"/>
    <w:rsid w:val="00235AB6"/>
    <w:rsid w:val="00235CD2"/>
    <w:rsid w:val="00237DC9"/>
    <w:rsid w:val="0024160E"/>
    <w:rsid w:val="0024281A"/>
    <w:rsid w:val="00243157"/>
    <w:rsid w:val="002442A8"/>
    <w:rsid w:val="002450A4"/>
    <w:rsid w:val="00245CD7"/>
    <w:rsid w:val="002465C6"/>
    <w:rsid w:val="0024771B"/>
    <w:rsid w:val="00250747"/>
    <w:rsid w:val="002516CF"/>
    <w:rsid w:val="002537E6"/>
    <w:rsid w:val="00253D5B"/>
    <w:rsid w:val="00255119"/>
    <w:rsid w:val="00255619"/>
    <w:rsid w:val="00257557"/>
    <w:rsid w:val="00261823"/>
    <w:rsid w:val="00261E6B"/>
    <w:rsid w:val="002624F1"/>
    <w:rsid w:val="002648BA"/>
    <w:rsid w:val="002663FA"/>
    <w:rsid w:val="00266947"/>
    <w:rsid w:val="00267010"/>
    <w:rsid w:val="002677C6"/>
    <w:rsid w:val="00272538"/>
    <w:rsid w:val="002735B1"/>
    <w:rsid w:val="00273EA8"/>
    <w:rsid w:val="00274064"/>
    <w:rsid w:val="00274862"/>
    <w:rsid w:val="002748D4"/>
    <w:rsid w:val="00281403"/>
    <w:rsid w:val="00282348"/>
    <w:rsid w:val="00282C90"/>
    <w:rsid w:val="00283E05"/>
    <w:rsid w:val="00287E44"/>
    <w:rsid w:val="00290EFB"/>
    <w:rsid w:val="00290FD6"/>
    <w:rsid w:val="0029194C"/>
    <w:rsid w:val="00292E58"/>
    <w:rsid w:val="00294259"/>
    <w:rsid w:val="00295101"/>
    <w:rsid w:val="00296A7B"/>
    <w:rsid w:val="00296CD2"/>
    <w:rsid w:val="002A03AE"/>
    <w:rsid w:val="002A2652"/>
    <w:rsid w:val="002A2C81"/>
    <w:rsid w:val="002A4724"/>
    <w:rsid w:val="002B119F"/>
    <w:rsid w:val="002B1299"/>
    <w:rsid w:val="002B1895"/>
    <w:rsid w:val="002B43D1"/>
    <w:rsid w:val="002B4DA3"/>
    <w:rsid w:val="002B6697"/>
    <w:rsid w:val="002C1637"/>
    <w:rsid w:val="002C2C4F"/>
    <w:rsid w:val="002D17D6"/>
    <w:rsid w:val="002D18D7"/>
    <w:rsid w:val="002D235B"/>
    <w:rsid w:val="002D36F4"/>
    <w:rsid w:val="002D4CBD"/>
    <w:rsid w:val="002D4DFE"/>
    <w:rsid w:val="002E0E05"/>
    <w:rsid w:val="002E26E6"/>
    <w:rsid w:val="002E2704"/>
    <w:rsid w:val="002E3DA3"/>
    <w:rsid w:val="002E450F"/>
    <w:rsid w:val="002E638B"/>
    <w:rsid w:val="002E6B38"/>
    <w:rsid w:val="002E6E2B"/>
    <w:rsid w:val="002F1713"/>
    <w:rsid w:val="002F31A4"/>
    <w:rsid w:val="002F500B"/>
    <w:rsid w:val="00300ADA"/>
    <w:rsid w:val="003011D1"/>
    <w:rsid w:val="00301BAB"/>
    <w:rsid w:val="00303837"/>
    <w:rsid w:val="003042AC"/>
    <w:rsid w:val="00312EA5"/>
    <w:rsid w:val="00316BCE"/>
    <w:rsid w:val="003174BC"/>
    <w:rsid w:val="00325FE8"/>
    <w:rsid w:val="00326B8A"/>
    <w:rsid w:val="00331720"/>
    <w:rsid w:val="00331974"/>
    <w:rsid w:val="003319CB"/>
    <w:rsid w:val="00331BF9"/>
    <w:rsid w:val="0033335F"/>
    <w:rsid w:val="0033495E"/>
    <w:rsid w:val="00334D8D"/>
    <w:rsid w:val="003351B9"/>
    <w:rsid w:val="003357A3"/>
    <w:rsid w:val="0033682F"/>
    <w:rsid w:val="003404A9"/>
    <w:rsid w:val="00342202"/>
    <w:rsid w:val="00343918"/>
    <w:rsid w:val="003443FF"/>
    <w:rsid w:val="0034451C"/>
    <w:rsid w:val="00344E30"/>
    <w:rsid w:val="003458AB"/>
    <w:rsid w:val="00346DD3"/>
    <w:rsid w:val="00351137"/>
    <w:rsid w:val="0035236D"/>
    <w:rsid w:val="003538F7"/>
    <w:rsid w:val="00354D01"/>
    <w:rsid w:val="003568A9"/>
    <w:rsid w:val="00361086"/>
    <w:rsid w:val="00362C7E"/>
    <w:rsid w:val="00363601"/>
    <w:rsid w:val="00364006"/>
    <w:rsid w:val="00364F63"/>
    <w:rsid w:val="003719E4"/>
    <w:rsid w:val="00380D12"/>
    <w:rsid w:val="00383AC8"/>
    <w:rsid w:val="00383FD8"/>
    <w:rsid w:val="003847FC"/>
    <w:rsid w:val="00386779"/>
    <w:rsid w:val="0038740D"/>
    <w:rsid w:val="00387763"/>
    <w:rsid w:val="0039089A"/>
    <w:rsid w:val="00391E17"/>
    <w:rsid w:val="00393981"/>
    <w:rsid w:val="00394166"/>
    <w:rsid w:val="00394B69"/>
    <w:rsid w:val="00396D87"/>
    <w:rsid w:val="00397078"/>
    <w:rsid w:val="00397C53"/>
    <w:rsid w:val="003A2AAE"/>
    <w:rsid w:val="003A2E6B"/>
    <w:rsid w:val="003A3132"/>
    <w:rsid w:val="003A42A1"/>
    <w:rsid w:val="003A779C"/>
    <w:rsid w:val="003B0111"/>
    <w:rsid w:val="003B0500"/>
    <w:rsid w:val="003B0CFC"/>
    <w:rsid w:val="003B3DB5"/>
    <w:rsid w:val="003B541F"/>
    <w:rsid w:val="003B6083"/>
    <w:rsid w:val="003C3838"/>
    <w:rsid w:val="003C5847"/>
    <w:rsid w:val="003C6338"/>
    <w:rsid w:val="003C7515"/>
    <w:rsid w:val="003D0681"/>
    <w:rsid w:val="003D0B7A"/>
    <w:rsid w:val="003D53CE"/>
    <w:rsid w:val="003D609E"/>
    <w:rsid w:val="003D6339"/>
    <w:rsid w:val="003D6FA9"/>
    <w:rsid w:val="003E2409"/>
    <w:rsid w:val="003E2F4E"/>
    <w:rsid w:val="003F2EB0"/>
    <w:rsid w:val="003F36A0"/>
    <w:rsid w:val="004058B7"/>
    <w:rsid w:val="00405CC2"/>
    <w:rsid w:val="00405FF4"/>
    <w:rsid w:val="0041291F"/>
    <w:rsid w:val="004129B4"/>
    <w:rsid w:val="004157D4"/>
    <w:rsid w:val="00417EF0"/>
    <w:rsid w:val="00420C79"/>
    <w:rsid w:val="00424A16"/>
    <w:rsid w:val="00425497"/>
    <w:rsid w:val="00425F72"/>
    <w:rsid w:val="004261B0"/>
    <w:rsid w:val="00427736"/>
    <w:rsid w:val="00427A6A"/>
    <w:rsid w:val="00430186"/>
    <w:rsid w:val="004305D5"/>
    <w:rsid w:val="004315AE"/>
    <w:rsid w:val="004329BC"/>
    <w:rsid w:val="004332E2"/>
    <w:rsid w:val="00435915"/>
    <w:rsid w:val="004414B8"/>
    <w:rsid w:val="00442590"/>
    <w:rsid w:val="004427E9"/>
    <w:rsid w:val="0044289F"/>
    <w:rsid w:val="00443447"/>
    <w:rsid w:val="004442B9"/>
    <w:rsid w:val="004463EE"/>
    <w:rsid w:val="00454B56"/>
    <w:rsid w:val="00455BD0"/>
    <w:rsid w:val="00455FA6"/>
    <w:rsid w:val="00460126"/>
    <w:rsid w:val="004614FA"/>
    <w:rsid w:val="0046184F"/>
    <w:rsid w:val="004626BE"/>
    <w:rsid w:val="004628A4"/>
    <w:rsid w:val="00462E03"/>
    <w:rsid w:val="00464EAE"/>
    <w:rsid w:val="0046641A"/>
    <w:rsid w:val="004665A5"/>
    <w:rsid w:val="00466C70"/>
    <w:rsid w:val="004702C9"/>
    <w:rsid w:val="00471170"/>
    <w:rsid w:val="00471368"/>
    <w:rsid w:val="00473FEA"/>
    <w:rsid w:val="00474510"/>
    <w:rsid w:val="0047579D"/>
    <w:rsid w:val="0047633A"/>
    <w:rsid w:val="00477193"/>
    <w:rsid w:val="00477B9E"/>
    <w:rsid w:val="0048000A"/>
    <w:rsid w:val="00480B72"/>
    <w:rsid w:val="00483262"/>
    <w:rsid w:val="00484107"/>
    <w:rsid w:val="00485CC5"/>
    <w:rsid w:val="00487E75"/>
    <w:rsid w:val="004918A7"/>
    <w:rsid w:val="00491A06"/>
    <w:rsid w:val="0049343F"/>
    <w:rsid w:val="00493DF7"/>
    <w:rsid w:val="00494ACE"/>
    <w:rsid w:val="004953E9"/>
    <w:rsid w:val="004964FC"/>
    <w:rsid w:val="00496C99"/>
    <w:rsid w:val="004A0A44"/>
    <w:rsid w:val="004A27F7"/>
    <w:rsid w:val="004A2A81"/>
    <w:rsid w:val="004A36DB"/>
    <w:rsid w:val="004A3968"/>
    <w:rsid w:val="004A7BD7"/>
    <w:rsid w:val="004B1391"/>
    <w:rsid w:val="004B13C3"/>
    <w:rsid w:val="004B14B0"/>
    <w:rsid w:val="004B223D"/>
    <w:rsid w:val="004B2275"/>
    <w:rsid w:val="004B3845"/>
    <w:rsid w:val="004B5232"/>
    <w:rsid w:val="004B5882"/>
    <w:rsid w:val="004C245C"/>
    <w:rsid w:val="004C245D"/>
    <w:rsid w:val="004C5643"/>
    <w:rsid w:val="004C6F0D"/>
    <w:rsid w:val="004D1E3C"/>
    <w:rsid w:val="004D3024"/>
    <w:rsid w:val="004D3E2E"/>
    <w:rsid w:val="004D4169"/>
    <w:rsid w:val="004D6AFF"/>
    <w:rsid w:val="004E0331"/>
    <w:rsid w:val="004E1E17"/>
    <w:rsid w:val="004E1E39"/>
    <w:rsid w:val="004E5097"/>
    <w:rsid w:val="004F1848"/>
    <w:rsid w:val="004F4E17"/>
    <w:rsid w:val="004F651B"/>
    <w:rsid w:val="0050082F"/>
    <w:rsid w:val="00506568"/>
    <w:rsid w:val="00506EAD"/>
    <w:rsid w:val="00510790"/>
    <w:rsid w:val="00514211"/>
    <w:rsid w:val="005147F5"/>
    <w:rsid w:val="0051547C"/>
    <w:rsid w:val="0051551B"/>
    <w:rsid w:val="00515AB5"/>
    <w:rsid w:val="0051784B"/>
    <w:rsid w:val="00520C57"/>
    <w:rsid w:val="00522444"/>
    <w:rsid w:val="005229FE"/>
    <w:rsid w:val="00523207"/>
    <w:rsid w:val="00525DAF"/>
    <w:rsid w:val="00526922"/>
    <w:rsid w:val="00527136"/>
    <w:rsid w:val="0052721F"/>
    <w:rsid w:val="00531261"/>
    <w:rsid w:val="00531718"/>
    <w:rsid w:val="0053245A"/>
    <w:rsid w:val="00533D89"/>
    <w:rsid w:val="00533E64"/>
    <w:rsid w:val="005358E2"/>
    <w:rsid w:val="00537495"/>
    <w:rsid w:val="005430F4"/>
    <w:rsid w:val="00544167"/>
    <w:rsid w:val="00544597"/>
    <w:rsid w:val="00544FFE"/>
    <w:rsid w:val="0054608B"/>
    <w:rsid w:val="005472F7"/>
    <w:rsid w:val="00547C11"/>
    <w:rsid w:val="00552794"/>
    <w:rsid w:val="00552949"/>
    <w:rsid w:val="00554134"/>
    <w:rsid w:val="00556E69"/>
    <w:rsid w:val="0056365F"/>
    <w:rsid w:val="00564F21"/>
    <w:rsid w:val="005663F7"/>
    <w:rsid w:val="005671CE"/>
    <w:rsid w:val="00567DC0"/>
    <w:rsid w:val="0057009A"/>
    <w:rsid w:val="00570702"/>
    <w:rsid w:val="005707D5"/>
    <w:rsid w:val="00571260"/>
    <w:rsid w:val="00573FC1"/>
    <w:rsid w:val="005741EE"/>
    <w:rsid w:val="005748CC"/>
    <w:rsid w:val="00575E25"/>
    <w:rsid w:val="00576836"/>
    <w:rsid w:val="00581338"/>
    <w:rsid w:val="00581FF0"/>
    <w:rsid w:val="005825D8"/>
    <w:rsid w:val="00584EA7"/>
    <w:rsid w:val="0058508E"/>
    <w:rsid w:val="00585D86"/>
    <w:rsid w:val="00587D29"/>
    <w:rsid w:val="00587D43"/>
    <w:rsid w:val="0059061A"/>
    <w:rsid w:val="0059093D"/>
    <w:rsid w:val="00590BCF"/>
    <w:rsid w:val="005923A9"/>
    <w:rsid w:val="00592C58"/>
    <w:rsid w:val="00593450"/>
    <w:rsid w:val="005938C6"/>
    <w:rsid w:val="00594398"/>
    <w:rsid w:val="005943EF"/>
    <w:rsid w:val="005960AE"/>
    <w:rsid w:val="00596530"/>
    <w:rsid w:val="005967F3"/>
    <w:rsid w:val="0059692A"/>
    <w:rsid w:val="00596EA5"/>
    <w:rsid w:val="005971F1"/>
    <w:rsid w:val="005978AB"/>
    <w:rsid w:val="00597916"/>
    <w:rsid w:val="005A06DF"/>
    <w:rsid w:val="005A1981"/>
    <w:rsid w:val="005A1AF8"/>
    <w:rsid w:val="005A29F2"/>
    <w:rsid w:val="005A42E9"/>
    <w:rsid w:val="005A5AE6"/>
    <w:rsid w:val="005B1064"/>
    <w:rsid w:val="005B127C"/>
    <w:rsid w:val="005B2244"/>
    <w:rsid w:val="005B27E3"/>
    <w:rsid w:val="005B2A50"/>
    <w:rsid w:val="005B3178"/>
    <w:rsid w:val="005B37E8"/>
    <w:rsid w:val="005B4544"/>
    <w:rsid w:val="005B45CB"/>
    <w:rsid w:val="005B749C"/>
    <w:rsid w:val="005C0056"/>
    <w:rsid w:val="005C2AC8"/>
    <w:rsid w:val="005C4EBC"/>
    <w:rsid w:val="005C5034"/>
    <w:rsid w:val="005C7A47"/>
    <w:rsid w:val="005E0D13"/>
    <w:rsid w:val="005E182B"/>
    <w:rsid w:val="005E2471"/>
    <w:rsid w:val="005E3591"/>
    <w:rsid w:val="005E4EFF"/>
    <w:rsid w:val="005E7205"/>
    <w:rsid w:val="005F116C"/>
    <w:rsid w:val="006019EF"/>
    <w:rsid w:val="006047E7"/>
    <w:rsid w:val="00604D3A"/>
    <w:rsid w:val="00605EF6"/>
    <w:rsid w:val="00606154"/>
    <w:rsid w:val="00606455"/>
    <w:rsid w:val="006076EE"/>
    <w:rsid w:val="00610E67"/>
    <w:rsid w:val="006111E1"/>
    <w:rsid w:val="006122A4"/>
    <w:rsid w:val="0061486E"/>
    <w:rsid w:val="00614FC0"/>
    <w:rsid w:val="00616511"/>
    <w:rsid w:val="006173C3"/>
    <w:rsid w:val="0061762A"/>
    <w:rsid w:val="00620514"/>
    <w:rsid w:val="006205B1"/>
    <w:rsid w:val="0062097A"/>
    <w:rsid w:val="0062267E"/>
    <w:rsid w:val="00623521"/>
    <w:rsid w:val="006235FC"/>
    <w:rsid w:val="00623CFE"/>
    <w:rsid w:val="00623D43"/>
    <w:rsid w:val="006249B2"/>
    <w:rsid w:val="00626EAE"/>
    <w:rsid w:val="00631440"/>
    <w:rsid w:val="00631E28"/>
    <w:rsid w:val="0063247D"/>
    <w:rsid w:val="006331A7"/>
    <w:rsid w:val="00633425"/>
    <w:rsid w:val="00634D7A"/>
    <w:rsid w:val="00635F18"/>
    <w:rsid w:val="00635F93"/>
    <w:rsid w:val="0063658A"/>
    <w:rsid w:val="006370D2"/>
    <w:rsid w:val="0063741B"/>
    <w:rsid w:val="0064208E"/>
    <w:rsid w:val="00642A0B"/>
    <w:rsid w:val="00645E4A"/>
    <w:rsid w:val="006468F1"/>
    <w:rsid w:val="0064741F"/>
    <w:rsid w:val="00650DA7"/>
    <w:rsid w:val="0065354D"/>
    <w:rsid w:val="00654EC3"/>
    <w:rsid w:val="00655F1E"/>
    <w:rsid w:val="00657970"/>
    <w:rsid w:val="00660061"/>
    <w:rsid w:val="0066392E"/>
    <w:rsid w:val="00664C27"/>
    <w:rsid w:val="00667249"/>
    <w:rsid w:val="0067072A"/>
    <w:rsid w:val="006754EF"/>
    <w:rsid w:val="00675B1E"/>
    <w:rsid w:val="00675ECD"/>
    <w:rsid w:val="00676F1F"/>
    <w:rsid w:val="00677381"/>
    <w:rsid w:val="006800D3"/>
    <w:rsid w:val="00683204"/>
    <w:rsid w:val="006832CF"/>
    <w:rsid w:val="0068402F"/>
    <w:rsid w:val="00686088"/>
    <w:rsid w:val="00686BFB"/>
    <w:rsid w:val="0069134F"/>
    <w:rsid w:val="00691AD3"/>
    <w:rsid w:val="006932A1"/>
    <w:rsid w:val="00696F46"/>
    <w:rsid w:val="00697D2A"/>
    <w:rsid w:val="00697D40"/>
    <w:rsid w:val="006A1202"/>
    <w:rsid w:val="006A1664"/>
    <w:rsid w:val="006A36A7"/>
    <w:rsid w:val="006A393F"/>
    <w:rsid w:val="006A4117"/>
    <w:rsid w:val="006A548F"/>
    <w:rsid w:val="006B0B5E"/>
    <w:rsid w:val="006B1749"/>
    <w:rsid w:val="006B64DC"/>
    <w:rsid w:val="006B6882"/>
    <w:rsid w:val="006B7387"/>
    <w:rsid w:val="006C2A19"/>
    <w:rsid w:val="006D51E1"/>
    <w:rsid w:val="006D6F20"/>
    <w:rsid w:val="006D7940"/>
    <w:rsid w:val="006E150F"/>
    <w:rsid w:val="006E1E18"/>
    <w:rsid w:val="006E31CE"/>
    <w:rsid w:val="006E34D3"/>
    <w:rsid w:val="006E4614"/>
    <w:rsid w:val="006E73F2"/>
    <w:rsid w:val="006F0264"/>
    <w:rsid w:val="006F0C61"/>
    <w:rsid w:val="006F0E95"/>
    <w:rsid w:val="006F1A03"/>
    <w:rsid w:val="006F292F"/>
    <w:rsid w:val="006F6B66"/>
    <w:rsid w:val="006F7751"/>
    <w:rsid w:val="006F7771"/>
    <w:rsid w:val="006F79A7"/>
    <w:rsid w:val="0070095B"/>
    <w:rsid w:val="007021EC"/>
    <w:rsid w:val="007031A0"/>
    <w:rsid w:val="007035C1"/>
    <w:rsid w:val="007035E0"/>
    <w:rsid w:val="00703EC9"/>
    <w:rsid w:val="0070420C"/>
    <w:rsid w:val="007042A1"/>
    <w:rsid w:val="00704FB6"/>
    <w:rsid w:val="00707498"/>
    <w:rsid w:val="0070799A"/>
    <w:rsid w:val="00714133"/>
    <w:rsid w:val="00714943"/>
    <w:rsid w:val="00714DA4"/>
    <w:rsid w:val="00715193"/>
    <w:rsid w:val="0071763D"/>
    <w:rsid w:val="00717785"/>
    <w:rsid w:val="00722B48"/>
    <w:rsid w:val="00724164"/>
    <w:rsid w:val="00724502"/>
    <w:rsid w:val="0072494F"/>
    <w:rsid w:val="00724E2E"/>
    <w:rsid w:val="0072540A"/>
    <w:rsid w:val="00725DE7"/>
    <w:rsid w:val="0072636A"/>
    <w:rsid w:val="00726B44"/>
    <w:rsid w:val="00733345"/>
    <w:rsid w:val="00740696"/>
    <w:rsid w:val="00740D2C"/>
    <w:rsid w:val="00741483"/>
    <w:rsid w:val="00744BF9"/>
    <w:rsid w:val="0074550D"/>
    <w:rsid w:val="007460C1"/>
    <w:rsid w:val="007475AB"/>
    <w:rsid w:val="0075018E"/>
    <w:rsid w:val="007526EA"/>
    <w:rsid w:val="0075293A"/>
    <w:rsid w:val="00753A51"/>
    <w:rsid w:val="0075414F"/>
    <w:rsid w:val="007557F9"/>
    <w:rsid w:val="00757279"/>
    <w:rsid w:val="00763BC3"/>
    <w:rsid w:val="0076423E"/>
    <w:rsid w:val="00764354"/>
    <w:rsid w:val="007646CB"/>
    <w:rsid w:val="00765130"/>
    <w:rsid w:val="0077040A"/>
    <w:rsid w:val="007725F3"/>
    <w:rsid w:val="00772D64"/>
    <w:rsid w:val="007737EB"/>
    <w:rsid w:val="00773A99"/>
    <w:rsid w:val="0077606C"/>
    <w:rsid w:val="007766EE"/>
    <w:rsid w:val="00776A55"/>
    <w:rsid w:val="007808B1"/>
    <w:rsid w:val="007828AF"/>
    <w:rsid w:val="00783D51"/>
    <w:rsid w:val="00784026"/>
    <w:rsid w:val="00784A91"/>
    <w:rsid w:val="00786031"/>
    <w:rsid w:val="00786162"/>
    <w:rsid w:val="0078673D"/>
    <w:rsid w:val="0078751A"/>
    <w:rsid w:val="00790422"/>
    <w:rsid w:val="007907C8"/>
    <w:rsid w:val="00792609"/>
    <w:rsid w:val="007943E2"/>
    <w:rsid w:val="007947A3"/>
    <w:rsid w:val="00794F2C"/>
    <w:rsid w:val="0079562D"/>
    <w:rsid w:val="007A3BC7"/>
    <w:rsid w:val="007A6447"/>
    <w:rsid w:val="007A7051"/>
    <w:rsid w:val="007A795C"/>
    <w:rsid w:val="007B2B4B"/>
    <w:rsid w:val="007B3B4B"/>
    <w:rsid w:val="007B4802"/>
    <w:rsid w:val="007B739E"/>
    <w:rsid w:val="007C1774"/>
    <w:rsid w:val="007C2545"/>
    <w:rsid w:val="007C4BAB"/>
    <w:rsid w:val="007C6664"/>
    <w:rsid w:val="007D30AD"/>
    <w:rsid w:val="007D4C57"/>
    <w:rsid w:val="007D790C"/>
    <w:rsid w:val="007E1BD5"/>
    <w:rsid w:val="007E1C28"/>
    <w:rsid w:val="007E35B0"/>
    <w:rsid w:val="007E39F0"/>
    <w:rsid w:val="007E47EC"/>
    <w:rsid w:val="007E5294"/>
    <w:rsid w:val="007F0021"/>
    <w:rsid w:val="007F2F52"/>
    <w:rsid w:val="007F3AFA"/>
    <w:rsid w:val="007F44EF"/>
    <w:rsid w:val="007F7B4E"/>
    <w:rsid w:val="007F7D50"/>
    <w:rsid w:val="00801102"/>
    <w:rsid w:val="00801F54"/>
    <w:rsid w:val="0080778D"/>
    <w:rsid w:val="00810138"/>
    <w:rsid w:val="008106D3"/>
    <w:rsid w:val="008125B0"/>
    <w:rsid w:val="00813570"/>
    <w:rsid w:val="00814138"/>
    <w:rsid w:val="008144CB"/>
    <w:rsid w:val="008146F5"/>
    <w:rsid w:val="00814E7E"/>
    <w:rsid w:val="0081515B"/>
    <w:rsid w:val="00815E41"/>
    <w:rsid w:val="00816B16"/>
    <w:rsid w:val="0081700B"/>
    <w:rsid w:val="00820740"/>
    <w:rsid w:val="00820D9A"/>
    <w:rsid w:val="008255A6"/>
    <w:rsid w:val="008263C0"/>
    <w:rsid w:val="00830BA7"/>
    <w:rsid w:val="0083255E"/>
    <w:rsid w:val="008332F8"/>
    <w:rsid w:val="00833CBE"/>
    <w:rsid w:val="008342CF"/>
    <w:rsid w:val="00834D65"/>
    <w:rsid w:val="008357AA"/>
    <w:rsid w:val="00836562"/>
    <w:rsid w:val="008401F2"/>
    <w:rsid w:val="008409C2"/>
    <w:rsid w:val="00841D3B"/>
    <w:rsid w:val="00842276"/>
    <w:rsid w:val="00843CD6"/>
    <w:rsid w:val="00844965"/>
    <w:rsid w:val="008501AB"/>
    <w:rsid w:val="00853257"/>
    <w:rsid w:val="00854954"/>
    <w:rsid w:val="008575C3"/>
    <w:rsid w:val="008614E6"/>
    <w:rsid w:val="00863173"/>
    <w:rsid w:val="00863D28"/>
    <w:rsid w:val="00870A73"/>
    <w:rsid w:val="00873ACB"/>
    <w:rsid w:val="0087476C"/>
    <w:rsid w:val="00874DC3"/>
    <w:rsid w:val="00874DCE"/>
    <w:rsid w:val="00880884"/>
    <w:rsid w:val="00881BE8"/>
    <w:rsid w:val="00882E3A"/>
    <w:rsid w:val="00883937"/>
    <w:rsid w:val="00883ACB"/>
    <w:rsid w:val="00883CE9"/>
    <w:rsid w:val="00884639"/>
    <w:rsid w:val="0089186F"/>
    <w:rsid w:val="00893BE2"/>
    <w:rsid w:val="008948BF"/>
    <w:rsid w:val="00894B38"/>
    <w:rsid w:val="00895530"/>
    <w:rsid w:val="008961B7"/>
    <w:rsid w:val="00896C2E"/>
    <w:rsid w:val="00897014"/>
    <w:rsid w:val="008A31B4"/>
    <w:rsid w:val="008A3488"/>
    <w:rsid w:val="008A3A6C"/>
    <w:rsid w:val="008A7120"/>
    <w:rsid w:val="008B0D57"/>
    <w:rsid w:val="008B1032"/>
    <w:rsid w:val="008B3FC0"/>
    <w:rsid w:val="008B4BB2"/>
    <w:rsid w:val="008B5DE8"/>
    <w:rsid w:val="008B7B8D"/>
    <w:rsid w:val="008C3C38"/>
    <w:rsid w:val="008C4A2C"/>
    <w:rsid w:val="008C7C91"/>
    <w:rsid w:val="008D2111"/>
    <w:rsid w:val="008E0548"/>
    <w:rsid w:val="008E18F7"/>
    <w:rsid w:val="008E1E10"/>
    <w:rsid w:val="008E5F43"/>
    <w:rsid w:val="008E74B0"/>
    <w:rsid w:val="008E7D4A"/>
    <w:rsid w:val="008F3BDE"/>
    <w:rsid w:val="008F4666"/>
    <w:rsid w:val="008F4764"/>
    <w:rsid w:val="008F4891"/>
    <w:rsid w:val="009008A8"/>
    <w:rsid w:val="00900A99"/>
    <w:rsid w:val="0090462F"/>
    <w:rsid w:val="009063B0"/>
    <w:rsid w:val="0090642A"/>
    <w:rsid w:val="009068A5"/>
    <w:rsid w:val="00906FD1"/>
    <w:rsid w:val="009107FD"/>
    <w:rsid w:val="0091137C"/>
    <w:rsid w:val="00911567"/>
    <w:rsid w:val="00913F06"/>
    <w:rsid w:val="00914105"/>
    <w:rsid w:val="00915BDC"/>
    <w:rsid w:val="009218EB"/>
    <w:rsid w:val="009227BC"/>
    <w:rsid w:val="00924F67"/>
    <w:rsid w:val="009251A9"/>
    <w:rsid w:val="00925AF9"/>
    <w:rsid w:val="009267B4"/>
    <w:rsid w:val="009271FE"/>
    <w:rsid w:val="0092753D"/>
    <w:rsid w:val="0093035C"/>
    <w:rsid w:val="00930699"/>
    <w:rsid w:val="00931F69"/>
    <w:rsid w:val="00934123"/>
    <w:rsid w:val="00935E2B"/>
    <w:rsid w:val="00940698"/>
    <w:rsid w:val="009416A8"/>
    <w:rsid w:val="009418D2"/>
    <w:rsid w:val="00942CE2"/>
    <w:rsid w:val="00944A34"/>
    <w:rsid w:val="00944E8B"/>
    <w:rsid w:val="0094575E"/>
    <w:rsid w:val="00945D47"/>
    <w:rsid w:val="00946943"/>
    <w:rsid w:val="00952981"/>
    <w:rsid w:val="00953174"/>
    <w:rsid w:val="00953484"/>
    <w:rsid w:val="00953C2D"/>
    <w:rsid w:val="00954D15"/>
    <w:rsid w:val="00955495"/>
    <w:rsid w:val="009560B5"/>
    <w:rsid w:val="00960C82"/>
    <w:rsid w:val="00961665"/>
    <w:rsid w:val="009627EF"/>
    <w:rsid w:val="00966104"/>
    <w:rsid w:val="009661F7"/>
    <w:rsid w:val="009703D6"/>
    <w:rsid w:val="009771BC"/>
    <w:rsid w:val="009818C7"/>
    <w:rsid w:val="0098208E"/>
    <w:rsid w:val="00982664"/>
    <w:rsid w:val="00982AE7"/>
    <w:rsid w:val="00982DD4"/>
    <w:rsid w:val="00982F36"/>
    <w:rsid w:val="0098338F"/>
    <w:rsid w:val="009841E5"/>
    <w:rsid w:val="00984A8A"/>
    <w:rsid w:val="00985A8D"/>
    <w:rsid w:val="009877DC"/>
    <w:rsid w:val="0099047F"/>
    <w:rsid w:val="009906CB"/>
    <w:rsid w:val="0099333E"/>
    <w:rsid w:val="00994D9F"/>
    <w:rsid w:val="00994E95"/>
    <w:rsid w:val="00995343"/>
    <w:rsid w:val="00995E09"/>
    <w:rsid w:val="00996CDC"/>
    <w:rsid w:val="009A23DA"/>
    <w:rsid w:val="009A3513"/>
    <w:rsid w:val="009A3AB4"/>
    <w:rsid w:val="009A45FD"/>
    <w:rsid w:val="009A4772"/>
    <w:rsid w:val="009B2FF8"/>
    <w:rsid w:val="009B306D"/>
    <w:rsid w:val="009B33FC"/>
    <w:rsid w:val="009B5889"/>
    <w:rsid w:val="009B5BA3"/>
    <w:rsid w:val="009B7461"/>
    <w:rsid w:val="009C0117"/>
    <w:rsid w:val="009C23C8"/>
    <w:rsid w:val="009C2FEF"/>
    <w:rsid w:val="009C30D9"/>
    <w:rsid w:val="009C34C5"/>
    <w:rsid w:val="009C47E9"/>
    <w:rsid w:val="009C4C43"/>
    <w:rsid w:val="009C72F7"/>
    <w:rsid w:val="009D0027"/>
    <w:rsid w:val="009D07AB"/>
    <w:rsid w:val="009D0EA0"/>
    <w:rsid w:val="009D0F9B"/>
    <w:rsid w:val="009D56A3"/>
    <w:rsid w:val="009D65BA"/>
    <w:rsid w:val="009E3469"/>
    <w:rsid w:val="009E3AF9"/>
    <w:rsid w:val="009E3F3C"/>
    <w:rsid w:val="009E64F0"/>
    <w:rsid w:val="009E658E"/>
    <w:rsid w:val="009F1B7F"/>
    <w:rsid w:val="009F377A"/>
    <w:rsid w:val="009F396C"/>
    <w:rsid w:val="009F39A5"/>
    <w:rsid w:val="009F62A6"/>
    <w:rsid w:val="009F6700"/>
    <w:rsid w:val="009F799E"/>
    <w:rsid w:val="00A02020"/>
    <w:rsid w:val="00A06585"/>
    <w:rsid w:val="00A07A29"/>
    <w:rsid w:val="00A07B76"/>
    <w:rsid w:val="00A07D6B"/>
    <w:rsid w:val="00A13456"/>
    <w:rsid w:val="00A1506B"/>
    <w:rsid w:val="00A168C5"/>
    <w:rsid w:val="00A17CB2"/>
    <w:rsid w:val="00A231F0"/>
    <w:rsid w:val="00A26133"/>
    <w:rsid w:val="00A27E7B"/>
    <w:rsid w:val="00A30850"/>
    <w:rsid w:val="00A319C0"/>
    <w:rsid w:val="00A33560"/>
    <w:rsid w:val="00A3360E"/>
    <w:rsid w:val="00A33622"/>
    <w:rsid w:val="00A33C1F"/>
    <w:rsid w:val="00A357A7"/>
    <w:rsid w:val="00A35F6A"/>
    <w:rsid w:val="00A36951"/>
    <w:rsid w:val="00A371A5"/>
    <w:rsid w:val="00A41DEF"/>
    <w:rsid w:val="00A43DE3"/>
    <w:rsid w:val="00A441CB"/>
    <w:rsid w:val="00A4468F"/>
    <w:rsid w:val="00A44E2A"/>
    <w:rsid w:val="00A458B9"/>
    <w:rsid w:val="00A5014D"/>
    <w:rsid w:val="00A51CD7"/>
    <w:rsid w:val="00A52ADB"/>
    <w:rsid w:val="00A533E8"/>
    <w:rsid w:val="00A542D9"/>
    <w:rsid w:val="00A5489E"/>
    <w:rsid w:val="00A55483"/>
    <w:rsid w:val="00A55D73"/>
    <w:rsid w:val="00A56BDC"/>
    <w:rsid w:val="00A56E64"/>
    <w:rsid w:val="00A57579"/>
    <w:rsid w:val="00A57D2B"/>
    <w:rsid w:val="00A624C3"/>
    <w:rsid w:val="00A6253A"/>
    <w:rsid w:val="00A62A2F"/>
    <w:rsid w:val="00A63B20"/>
    <w:rsid w:val="00A6573C"/>
    <w:rsid w:val="00A70F60"/>
    <w:rsid w:val="00A7179D"/>
    <w:rsid w:val="00A7246E"/>
    <w:rsid w:val="00A73648"/>
    <w:rsid w:val="00A73DB5"/>
    <w:rsid w:val="00A75FBB"/>
    <w:rsid w:val="00A811B4"/>
    <w:rsid w:val="00A82B01"/>
    <w:rsid w:val="00A86508"/>
    <w:rsid w:val="00A87CDE"/>
    <w:rsid w:val="00A90F8C"/>
    <w:rsid w:val="00A926E6"/>
    <w:rsid w:val="00A93047"/>
    <w:rsid w:val="00A94BA3"/>
    <w:rsid w:val="00A95C36"/>
    <w:rsid w:val="00A972BC"/>
    <w:rsid w:val="00A97BE3"/>
    <w:rsid w:val="00AA182E"/>
    <w:rsid w:val="00AA1D56"/>
    <w:rsid w:val="00AA2680"/>
    <w:rsid w:val="00AA32DC"/>
    <w:rsid w:val="00AA3495"/>
    <w:rsid w:val="00AA67A4"/>
    <w:rsid w:val="00AB0357"/>
    <w:rsid w:val="00AB1ACD"/>
    <w:rsid w:val="00AB277F"/>
    <w:rsid w:val="00AB2BF5"/>
    <w:rsid w:val="00AB5BCE"/>
    <w:rsid w:val="00AC2FA0"/>
    <w:rsid w:val="00AC33B5"/>
    <w:rsid w:val="00AC5869"/>
    <w:rsid w:val="00AC7129"/>
    <w:rsid w:val="00AC71EB"/>
    <w:rsid w:val="00AD09B2"/>
    <w:rsid w:val="00AD14F9"/>
    <w:rsid w:val="00AD35D6"/>
    <w:rsid w:val="00AD4510"/>
    <w:rsid w:val="00AD456E"/>
    <w:rsid w:val="00AD51E1"/>
    <w:rsid w:val="00AD5253"/>
    <w:rsid w:val="00AD58C5"/>
    <w:rsid w:val="00AD63B7"/>
    <w:rsid w:val="00AD7619"/>
    <w:rsid w:val="00AE02B6"/>
    <w:rsid w:val="00AE20D9"/>
    <w:rsid w:val="00AE36C4"/>
    <w:rsid w:val="00AE3DCB"/>
    <w:rsid w:val="00AE3F53"/>
    <w:rsid w:val="00AE459D"/>
    <w:rsid w:val="00AE5375"/>
    <w:rsid w:val="00AE6B69"/>
    <w:rsid w:val="00AE6BD2"/>
    <w:rsid w:val="00AF2060"/>
    <w:rsid w:val="00AF4CAC"/>
    <w:rsid w:val="00AF7DDF"/>
    <w:rsid w:val="00B01758"/>
    <w:rsid w:val="00B03E0D"/>
    <w:rsid w:val="00B054F8"/>
    <w:rsid w:val="00B12155"/>
    <w:rsid w:val="00B135D5"/>
    <w:rsid w:val="00B14374"/>
    <w:rsid w:val="00B158FA"/>
    <w:rsid w:val="00B1656F"/>
    <w:rsid w:val="00B168C9"/>
    <w:rsid w:val="00B16E4B"/>
    <w:rsid w:val="00B17A19"/>
    <w:rsid w:val="00B2219A"/>
    <w:rsid w:val="00B23C47"/>
    <w:rsid w:val="00B3125B"/>
    <w:rsid w:val="00B37830"/>
    <w:rsid w:val="00B44998"/>
    <w:rsid w:val="00B50DD9"/>
    <w:rsid w:val="00B531FC"/>
    <w:rsid w:val="00B5361B"/>
    <w:rsid w:val="00B543A6"/>
    <w:rsid w:val="00B55347"/>
    <w:rsid w:val="00B610A9"/>
    <w:rsid w:val="00B61E0F"/>
    <w:rsid w:val="00B61F37"/>
    <w:rsid w:val="00B65E28"/>
    <w:rsid w:val="00B7042C"/>
    <w:rsid w:val="00B721B8"/>
    <w:rsid w:val="00B72769"/>
    <w:rsid w:val="00B732B0"/>
    <w:rsid w:val="00B77B27"/>
    <w:rsid w:val="00B8134E"/>
    <w:rsid w:val="00B817CF"/>
    <w:rsid w:val="00B82941"/>
    <w:rsid w:val="00B84613"/>
    <w:rsid w:val="00B85441"/>
    <w:rsid w:val="00B8575F"/>
    <w:rsid w:val="00B910BD"/>
    <w:rsid w:val="00B9179C"/>
    <w:rsid w:val="00B93B07"/>
    <w:rsid w:val="00B94D17"/>
    <w:rsid w:val="00B954EB"/>
    <w:rsid w:val="00B95BA0"/>
    <w:rsid w:val="00B96469"/>
    <w:rsid w:val="00B97121"/>
    <w:rsid w:val="00BA0DA2"/>
    <w:rsid w:val="00BA36EA"/>
    <w:rsid w:val="00BA48F9"/>
    <w:rsid w:val="00BA7034"/>
    <w:rsid w:val="00BA760B"/>
    <w:rsid w:val="00BA7D25"/>
    <w:rsid w:val="00BB23C7"/>
    <w:rsid w:val="00BB35B9"/>
    <w:rsid w:val="00BB6B80"/>
    <w:rsid w:val="00BB766A"/>
    <w:rsid w:val="00BC0BD1"/>
    <w:rsid w:val="00BC1727"/>
    <w:rsid w:val="00BC381A"/>
    <w:rsid w:val="00BC4C56"/>
    <w:rsid w:val="00BC5081"/>
    <w:rsid w:val="00BC579A"/>
    <w:rsid w:val="00BC709B"/>
    <w:rsid w:val="00BC7442"/>
    <w:rsid w:val="00BC75BC"/>
    <w:rsid w:val="00BC782C"/>
    <w:rsid w:val="00BD0371"/>
    <w:rsid w:val="00BD05AE"/>
    <w:rsid w:val="00BD06C6"/>
    <w:rsid w:val="00BD0962"/>
    <w:rsid w:val="00BD11DB"/>
    <w:rsid w:val="00BD3BF0"/>
    <w:rsid w:val="00BD4DDC"/>
    <w:rsid w:val="00BD616A"/>
    <w:rsid w:val="00BE1A58"/>
    <w:rsid w:val="00BE3068"/>
    <w:rsid w:val="00BE4DF7"/>
    <w:rsid w:val="00BE5FCA"/>
    <w:rsid w:val="00BE6056"/>
    <w:rsid w:val="00BF109C"/>
    <w:rsid w:val="00BF1FE8"/>
    <w:rsid w:val="00BF489A"/>
    <w:rsid w:val="00BF5383"/>
    <w:rsid w:val="00BF7644"/>
    <w:rsid w:val="00C047A7"/>
    <w:rsid w:val="00C074AF"/>
    <w:rsid w:val="00C10484"/>
    <w:rsid w:val="00C113A0"/>
    <w:rsid w:val="00C12E3B"/>
    <w:rsid w:val="00C15054"/>
    <w:rsid w:val="00C1687C"/>
    <w:rsid w:val="00C16C1A"/>
    <w:rsid w:val="00C20748"/>
    <w:rsid w:val="00C2142A"/>
    <w:rsid w:val="00C23B98"/>
    <w:rsid w:val="00C33453"/>
    <w:rsid w:val="00C35088"/>
    <w:rsid w:val="00C40C8A"/>
    <w:rsid w:val="00C4150A"/>
    <w:rsid w:val="00C42420"/>
    <w:rsid w:val="00C42494"/>
    <w:rsid w:val="00C428E1"/>
    <w:rsid w:val="00C4293B"/>
    <w:rsid w:val="00C435DB"/>
    <w:rsid w:val="00C516FF"/>
    <w:rsid w:val="00C517C6"/>
    <w:rsid w:val="00C53D1D"/>
    <w:rsid w:val="00C560A1"/>
    <w:rsid w:val="00C57AD8"/>
    <w:rsid w:val="00C61D76"/>
    <w:rsid w:val="00C64890"/>
    <w:rsid w:val="00C655BF"/>
    <w:rsid w:val="00C75A2A"/>
    <w:rsid w:val="00C77EF8"/>
    <w:rsid w:val="00C80FE4"/>
    <w:rsid w:val="00C8349C"/>
    <w:rsid w:val="00C85267"/>
    <w:rsid w:val="00C86510"/>
    <w:rsid w:val="00C86967"/>
    <w:rsid w:val="00C87132"/>
    <w:rsid w:val="00C871A5"/>
    <w:rsid w:val="00C8721B"/>
    <w:rsid w:val="00C87318"/>
    <w:rsid w:val="00C90CDB"/>
    <w:rsid w:val="00C918F9"/>
    <w:rsid w:val="00C9372C"/>
    <w:rsid w:val="00C957D2"/>
    <w:rsid w:val="00C95DCF"/>
    <w:rsid w:val="00CA09D7"/>
    <w:rsid w:val="00CA1054"/>
    <w:rsid w:val="00CA2AE7"/>
    <w:rsid w:val="00CA55D8"/>
    <w:rsid w:val="00CA63EB"/>
    <w:rsid w:val="00CA69F1"/>
    <w:rsid w:val="00CA7803"/>
    <w:rsid w:val="00CA7B0E"/>
    <w:rsid w:val="00CB1351"/>
    <w:rsid w:val="00CB1B28"/>
    <w:rsid w:val="00CB2890"/>
    <w:rsid w:val="00CB4455"/>
    <w:rsid w:val="00CB4E7C"/>
    <w:rsid w:val="00CB5EC9"/>
    <w:rsid w:val="00CB6991"/>
    <w:rsid w:val="00CC12D5"/>
    <w:rsid w:val="00CC48CD"/>
    <w:rsid w:val="00CC5FB8"/>
    <w:rsid w:val="00CC6194"/>
    <w:rsid w:val="00CC65E4"/>
    <w:rsid w:val="00CC679B"/>
    <w:rsid w:val="00CD2CD0"/>
    <w:rsid w:val="00CD412F"/>
    <w:rsid w:val="00CD70DD"/>
    <w:rsid w:val="00CD756B"/>
    <w:rsid w:val="00CD7FF9"/>
    <w:rsid w:val="00CE34C6"/>
    <w:rsid w:val="00CE4490"/>
    <w:rsid w:val="00CF112E"/>
    <w:rsid w:val="00CF16D3"/>
    <w:rsid w:val="00CF1FF0"/>
    <w:rsid w:val="00CF3CEE"/>
    <w:rsid w:val="00CF4BAD"/>
    <w:rsid w:val="00CF7687"/>
    <w:rsid w:val="00D006A5"/>
    <w:rsid w:val="00D00E9D"/>
    <w:rsid w:val="00D035F3"/>
    <w:rsid w:val="00D05371"/>
    <w:rsid w:val="00D0559D"/>
    <w:rsid w:val="00D06186"/>
    <w:rsid w:val="00D07C50"/>
    <w:rsid w:val="00D1218E"/>
    <w:rsid w:val="00D14474"/>
    <w:rsid w:val="00D15F6F"/>
    <w:rsid w:val="00D23DCD"/>
    <w:rsid w:val="00D24E56"/>
    <w:rsid w:val="00D24F5A"/>
    <w:rsid w:val="00D24FD1"/>
    <w:rsid w:val="00D24FE2"/>
    <w:rsid w:val="00D27550"/>
    <w:rsid w:val="00D27FC9"/>
    <w:rsid w:val="00D319F0"/>
    <w:rsid w:val="00D31AEB"/>
    <w:rsid w:val="00D32ECD"/>
    <w:rsid w:val="00D33A24"/>
    <w:rsid w:val="00D35552"/>
    <w:rsid w:val="00D375AA"/>
    <w:rsid w:val="00D418B9"/>
    <w:rsid w:val="00D421FD"/>
    <w:rsid w:val="00D427AC"/>
    <w:rsid w:val="00D42A58"/>
    <w:rsid w:val="00D44B5D"/>
    <w:rsid w:val="00D456A1"/>
    <w:rsid w:val="00D459C6"/>
    <w:rsid w:val="00D460B9"/>
    <w:rsid w:val="00D46481"/>
    <w:rsid w:val="00D46846"/>
    <w:rsid w:val="00D50729"/>
    <w:rsid w:val="00D50C19"/>
    <w:rsid w:val="00D5379E"/>
    <w:rsid w:val="00D5411A"/>
    <w:rsid w:val="00D54407"/>
    <w:rsid w:val="00D56F62"/>
    <w:rsid w:val="00D600EE"/>
    <w:rsid w:val="00D62264"/>
    <w:rsid w:val="00D62643"/>
    <w:rsid w:val="00D63036"/>
    <w:rsid w:val="00D632D2"/>
    <w:rsid w:val="00D6524E"/>
    <w:rsid w:val="00D6769E"/>
    <w:rsid w:val="00D70EB7"/>
    <w:rsid w:val="00D72EFE"/>
    <w:rsid w:val="00D74397"/>
    <w:rsid w:val="00D74A79"/>
    <w:rsid w:val="00D76227"/>
    <w:rsid w:val="00D7742D"/>
    <w:rsid w:val="00D77DF1"/>
    <w:rsid w:val="00D810BE"/>
    <w:rsid w:val="00D81189"/>
    <w:rsid w:val="00D81BCB"/>
    <w:rsid w:val="00D81DF1"/>
    <w:rsid w:val="00D84F7E"/>
    <w:rsid w:val="00D87657"/>
    <w:rsid w:val="00D9292C"/>
    <w:rsid w:val="00D9361B"/>
    <w:rsid w:val="00D93973"/>
    <w:rsid w:val="00D9415D"/>
    <w:rsid w:val="00D95C8E"/>
    <w:rsid w:val="00D967E0"/>
    <w:rsid w:val="00D97C76"/>
    <w:rsid w:val="00DA2EE5"/>
    <w:rsid w:val="00DA37F3"/>
    <w:rsid w:val="00DA57B0"/>
    <w:rsid w:val="00DA5B7B"/>
    <w:rsid w:val="00DB02B4"/>
    <w:rsid w:val="00DB3733"/>
    <w:rsid w:val="00DB47A5"/>
    <w:rsid w:val="00DB4F80"/>
    <w:rsid w:val="00DB538D"/>
    <w:rsid w:val="00DB5965"/>
    <w:rsid w:val="00DB70CD"/>
    <w:rsid w:val="00DC4AF1"/>
    <w:rsid w:val="00DC5A28"/>
    <w:rsid w:val="00DC71F3"/>
    <w:rsid w:val="00DD2FA5"/>
    <w:rsid w:val="00DD3CFD"/>
    <w:rsid w:val="00DD3F3F"/>
    <w:rsid w:val="00DD427B"/>
    <w:rsid w:val="00DD45DF"/>
    <w:rsid w:val="00DD4FE9"/>
    <w:rsid w:val="00DE1E78"/>
    <w:rsid w:val="00DE667C"/>
    <w:rsid w:val="00DE79F0"/>
    <w:rsid w:val="00DF1D0D"/>
    <w:rsid w:val="00DF2EDE"/>
    <w:rsid w:val="00DF37BA"/>
    <w:rsid w:val="00DF58CD"/>
    <w:rsid w:val="00DF65DE"/>
    <w:rsid w:val="00DF7292"/>
    <w:rsid w:val="00DF73B1"/>
    <w:rsid w:val="00E00D6F"/>
    <w:rsid w:val="00E019A5"/>
    <w:rsid w:val="00E019E6"/>
    <w:rsid w:val="00E02A64"/>
    <w:rsid w:val="00E02EC8"/>
    <w:rsid w:val="00E037F5"/>
    <w:rsid w:val="00E0384A"/>
    <w:rsid w:val="00E03863"/>
    <w:rsid w:val="00E04ECB"/>
    <w:rsid w:val="00E05C4C"/>
    <w:rsid w:val="00E06C10"/>
    <w:rsid w:val="00E13D86"/>
    <w:rsid w:val="00E1534A"/>
    <w:rsid w:val="00E16465"/>
    <w:rsid w:val="00E16502"/>
    <w:rsid w:val="00E17669"/>
    <w:rsid w:val="00E20B75"/>
    <w:rsid w:val="00E20D04"/>
    <w:rsid w:val="00E210FA"/>
    <w:rsid w:val="00E232E9"/>
    <w:rsid w:val="00E25461"/>
    <w:rsid w:val="00E26523"/>
    <w:rsid w:val="00E26562"/>
    <w:rsid w:val="00E26809"/>
    <w:rsid w:val="00E26D8D"/>
    <w:rsid w:val="00E27170"/>
    <w:rsid w:val="00E277ED"/>
    <w:rsid w:val="00E27A3C"/>
    <w:rsid w:val="00E31F11"/>
    <w:rsid w:val="00E33F65"/>
    <w:rsid w:val="00E402BF"/>
    <w:rsid w:val="00E437B9"/>
    <w:rsid w:val="00E461B4"/>
    <w:rsid w:val="00E52F6B"/>
    <w:rsid w:val="00E57322"/>
    <w:rsid w:val="00E603B5"/>
    <w:rsid w:val="00E625B4"/>
    <w:rsid w:val="00E628CB"/>
    <w:rsid w:val="00E62DAD"/>
    <w:rsid w:val="00E62E59"/>
    <w:rsid w:val="00E63B2C"/>
    <w:rsid w:val="00E643B9"/>
    <w:rsid w:val="00E661CA"/>
    <w:rsid w:val="00E71E60"/>
    <w:rsid w:val="00E72463"/>
    <w:rsid w:val="00E738D5"/>
    <w:rsid w:val="00E74A91"/>
    <w:rsid w:val="00E775FA"/>
    <w:rsid w:val="00E82D69"/>
    <w:rsid w:val="00E855E2"/>
    <w:rsid w:val="00E85A20"/>
    <w:rsid w:val="00E86590"/>
    <w:rsid w:val="00E907C9"/>
    <w:rsid w:val="00E907FF"/>
    <w:rsid w:val="00E9143E"/>
    <w:rsid w:val="00E91C85"/>
    <w:rsid w:val="00E93604"/>
    <w:rsid w:val="00E9579D"/>
    <w:rsid w:val="00E9737C"/>
    <w:rsid w:val="00EA00D4"/>
    <w:rsid w:val="00EA0819"/>
    <w:rsid w:val="00EA25FA"/>
    <w:rsid w:val="00EA3AB6"/>
    <w:rsid w:val="00EA42D1"/>
    <w:rsid w:val="00EA42EF"/>
    <w:rsid w:val="00EA549E"/>
    <w:rsid w:val="00EA5549"/>
    <w:rsid w:val="00EB0CBA"/>
    <w:rsid w:val="00EB136A"/>
    <w:rsid w:val="00EB6FD2"/>
    <w:rsid w:val="00EC0A39"/>
    <w:rsid w:val="00EC0B3D"/>
    <w:rsid w:val="00EC0E83"/>
    <w:rsid w:val="00EC21C6"/>
    <w:rsid w:val="00EC2C50"/>
    <w:rsid w:val="00EC3CA7"/>
    <w:rsid w:val="00EC4E83"/>
    <w:rsid w:val="00EC745D"/>
    <w:rsid w:val="00ED34A1"/>
    <w:rsid w:val="00ED3D01"/>
    <w:rsid w:val="00ED3EBC"/>
    <w:rsid w:val="00ED409D"/>
    <w:rsid w:val="00ED49E3"/>
    <w:rsid w:val="00ED538A"/>
    <w:rsid w:val="00EE0BD6"/>
    <w:rsid w:val="00EE1464"/>
    <w:rsid w:val="00EE23CF"/>
    <w:rsid w:val="00EE3861"/>
    <w:rsid w:val="00EE705D"/>
    <w:rsid w:val="00EF2151"/>
    <w:rsid w:val="00EF2E73"/>
    <w:rsid w:val="00EF457A"/>
    <w:rsid w:val="00EF7683"/>
    <w:rsid w:val="00EF7FC5"/>
    <w:rsid w:val="00F01E54"/>
    <w:rsid w:val="00F03C3E"/>
    <w:rsid w:val="00F04BA3"/>
    <w:rsid w:val="00F04C73"/>
    <w:rsid w:val="00F04F8D"/>
    <w:rsid w:val="00F067BA"/>
    <w:rsid w:val="00F12BD1"/>
    <w:rsid w:val="00F152F1"/>
    <w:rsid w:val="00F16032"/>
    <w:rsid w:val="00F22EA7"/>
    <w:rsid w:val="00F2490C"/>
    <w:rsid w:val="00F24DA5"/>
    <w:rsid w:val="00F2555C"/>
    <w:rsid w:val="00F272F3"/>
    <w:rsid w:val="00F3030E"/>
    <w:rsid w:val="00F3055A"/>
    <w:rsid w:val="00F30C8F"/>
    <w:rsid w:val="00F33489"/>
    <w:rsid w:val="00F33AE5"/>
    <w:rsid w:val="00F34AC9"/>
    <w:rsid w:val="00F35031"/>
    <w:rsid w:val="00F35A31"/>
    <w:rsid w:val="00F37EAD"/>
    <w:rsid w:val="00F42799"/>
    <w:rsid w:val="00F4376D"/>
    <w:rsid w:val="00F44015"/>
    <w:rsid w:val="00F44680"/>
    <w:rsid w:val="00F45399"/>
    <w:rsid w:val="00F4743C"/>
    <w:rsid w:val="00F50E99"/>
    <w:rsid w:val="00F51B63"/>
    <w:rsid w:val="00F51D03"/>
    <w:rsid w:val="00F522B0"/>
    <w:rsid w:val="00F53336"/>
    <w:rsid w:val="00F5577B"/>
    <w:rsid w:val="00F55A88"/>
    <w:rsid w:val="00F567BC"/>
    <w:rsid w:val="00F604D9"/>
    <w:rsid w:val="00F60CBE"/>
    <w:rsid w:val="00F648C1"/>
    <w:rsid w:val="00F64C7E"/>
    <w:rsid w:val="00F65792"/>
    <w:rsid w:val="00F65B24"/>
    <w:rsid w:val="00F6674C"/>
    <w:rsid w:val="00F673AF"/>
    <w:rsid w:val="00F7086C"/>
    <w:rsid w:val="00F709E1"/>
    <w:rsid w:val="00F70B5D"/>
    <w:rsid w:val="00F71967"/>
    <w:rsid w:val="00F72B92"/>
    <w:rsid w:val="00F74005"/>
    <w:rsid w:val="00F74F14"/>
    <w:rsid w:val="00F778FD"/>
    <w:rsid w:val="00F800F3"/>
    <w:rsid w:val="00F80E5E"/>
    <w:rsid w:val="00F8228A"/>
    <w:rsid w:val="00F8265B"/>
    <w:rsid w:val="00F85316"/>
    <w:rsid w:val="00F86113"/>
    <w:rsid w:val="00F866BB"/>
    <w:rsid w:val="00F87424"/>
    <w:rsid w:val="00F91D5E"/>
    <w:rsid w:val="00F92CB3"/>
    <w:rsid w:val="00F959A6"/>
    <w:rsid w:val="00FA189E"/>
    <w:rsid w:val="00FA2DBB"/>
    <w:rsid w:val="00FA5CC8"/>
    <w:rsid w:val="00FA5F9C"/>
    <w:rsid w:val="00FA6AE0"/>
    <w:rsid w:val="00FA71AA"/>
    <w:rsid w:val="00FA75B3"/>
    <w:rsid w:val="00FA7808"/>
    <w:rsid w:val="00FB0638"/>
    <w:rsid w:val="00FB2E0A"/>
    <w:rsid w:val="00FB386A"/>
    <w:rsid w:val="00FB3B82"/>
    <w:rsid w:val="00FB59CE"/>
    <w:rsid w:val="00FC0A4E"/>
    <w:rsid w:val="00FC0E6D"/>
    <w:rsid w:val="00FC3998"/>
    <w:rsid w:val="00FC3C60"/>
    <w:rsid w:val="00FC3E2D"/>
    <w:rsid w:val="00FC4CF9"/>
    <w:rsid w:val="00FC5515"/>
    <w:rsid w:val="00FC5E61"/>
    <w:rsid w:val="00FC6424"/>
    <w:rsid w:val="00FD0DEC"/>
    <w:rsid w:val="00FD2765"/>
    <w:rsid w:val="00FD46A6"/>
    <w:rsid w:val="00FD7169"/>
    <w:rsid w:val="00FE1191"/>
    <w:rsid w:val="00FE2440"/>
    <w:rsid w:val="00FE2B5D"/>
    <w:rsid w:val="00FE36E2"/>
    <w:rsid w:val="00FE3BAC"/>
    <w:rsid w:val="00FE50B9"/>
    <w:rsid w:val="00FE51FF"/>
    <w:rsid w:val="00FE5C2C"/>
    <w:rsid w:val="00FF11AD"/>
    <w:rsid w:val="00FF2971"/>
    <w:rsid w:val="00FF31ED"/>
    <w:rsid w:val="00FF329A"/>
    <w:rsid w:val="00FF3A55"/>
    <w:rsid w:val="00FF4E0A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642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226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6226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paragraph" w:customStyle="1" w:styleId="Default">
    <w:name w:val="Default"/>
    <w:rsid w:val="00A336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rsid w:val="002B6697"/>
  </w:style>
  <w:style w:type="paragraph" w:styleId="Poprawka">
    <w:name w:val="Revision"/>
    <w:hidden/>
    <w:uiPriority w:val="99"/>
    <w:semiHidden/>
    <w:rsid w:val="00EA25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AKT%5b%5dLOCK.451249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AKT%5b%5dBASIC.2606872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55D9-3890-488A-9F19-CA2F23A9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5897</Words>
  <Characters>35388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41203</CharactersWithSpaces>
  <SharedDoc>false</SharedDoc>
  <HLinks>
    <vt:vector size="12" baseType="variant"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about:blankAKT%5b%5dBASIC.260687293</vt:lpwstr>
      </vt:variant>
      <vt:variant>
        <vt:lpwstr/>
      </vt:variant>
      <vt:variant>
        <vt:i4>5177364</vt:i4>
      </vt:variant>
      <vt:variant>
        <vt:i4>0</vt:i4>
      </vt:variant>
      <vt:variant>
        <vt:i4>0</vt:i4>
      </vt:variant>
      <vt:variant>
        <vt:i4>5</vt:i4>
      </vt:variant>
      <vt:variant>
        <vt:lpwstr>about:blankAKT%5b%5dLOCK.45124943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2023-03-02T21:55:00Z</dcterms:created>
  <dcterms:modified xsi:type="dcterms:W3CDTF">2023-03-02T21:55:00Z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MF\EMXF;Przybysz Jolanta</vt:lpwstr>
  </property>
  <property fmtid="{D5CDD505-2E9C-101B-9397-08002B2CF9AE}" pid="4" name="MFClassificationDate">
    <vt:lpwstr>2022-06-27T10:59:21.8935764+02:00</vt:lpwstr>
  </property>
  <property fmtid="{D5CDD505-2E9C-101B-9397-08002B2CF9AE}" pid="5" name="MFClassifiedBySID">
    <vt:lpwstr>MF\S-1-5-21-1525952054-1005573771-2909822258-99950</vt:lpwstr>
  </property>
  <property fmtid="{D5CDD505-2E9C-101B-9397-08002B2CF9AE}" pid="6" name="MFGRNItemId">
    <vt:lpwstr>GRN-3c9856da-3a34-4c0b-b9ef-f84c760333e6</vt:lpwstr>
  </property>
  <property fmtid="{D5CDD505-2E9C-101B-9397-08002B2CF9AE}" pid="7" name="MFHash">
    <vt:lpwstr>K/zdEoJlfCmm1ECQO4ZVhlQFveD+QNwOYBW+BabX5zM=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