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2E33" w14:textId="53020C74" w:rsidR="00D05D1D" w:rsidRPr="00291A1F" w:rsidRDefault="00D05D1D" w:rsidP="00D05D1D">
      <w:pPr>
        <w:spacing w:after="0" w:line="360" w:lineRule="auto"/>
        <w:jc w:val="right"/>
        <w:rPr>
          <w:rFonts w:ascii="Times New Roman" w:eastAsia="Times New Roman" w:hAnsi="Times New Roman" w:cs="Times New Roman"/>
          <w:u w:val="single"/>
          <w:lang w:eastAsia="pl-PL"/>
        </w:rPr>
      </w:pPr>
      <w:r w:rsidRPr="00291A1F">
        <w:rPr>
          <w:rFonts w:ascii="Times New Roman" w:eastAsia="Times New Roman" w:hAnsi="Times New Roman" w:cs="Times New Roman"/>
          <w:u w:val="single"/>
          <w:lang w:eastAsia="pl-PL"/>
        </w:rPr>
        <w:t xml:space="preserve">Projekt z dnia </w:t>
      </w:r>
      <w:r w:rsidR="00035E96">
        <w:rPr>
          <w:rFonts w:ascii="Times New Roman" w:eastAsia="Times New Roman" w:hAnsi="Times New Roman" w:cs="Times New Roman"/>
          <w:u w:val="single"/>
          <w:lang w:eastAsia="pl-PL"/>
        </w:rPr>
        <w:t>16</w:t>
      </w:r>
      <w:r w:rsidR="00035E96" w:rsidRPr="00291A1F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B20A2E" w:rsidRPr="00291A1F">
        <w:rPr>
          <w:rFonts w:ascii="Times New Roman" w:eastAsia="Times New Roman" w:hAnsi="Times New Roman" w:cs="Times New Roman"/>
          <w:u w:val="single"/>
          <w:lang w:eastAsia="pl-PL"/>
        </w:rPr>
        <w:t>marca 2023 r.</w:t>
      </w:r>
    </w:p>
    <w:p w14:paraId="6CBF18F0" w14:textId="77777777" w:rsidR="00EE6ABE" w:rsidRPr="005C0900" w:rsidRDefault="00EE6ABE" w:rsidP="00BD1744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E7D9F1" w14:textId="2AF74FDA" w:rsidR="004C7896" w:rsidRPr="005C0900" w:rsidRDefault="00322A7B" w:rsidP="00BD1744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9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UZASADNIENIE</w:t>
      </w:r>
    </w:p>
    <w:p w14:paraId="62918DED" w14:textId="77777777" w:rsidR="006B361C" w:rsidRPr="005C0900" w:rsidRDefault="006B361C" w:rsidP="00BD1744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EB4758" w14:textId="41A25626" w:rsidR="006B361C" w:rsidRPr="005C0900" w:rsidRDefault="006B361C" w:rsidP="00BD1744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900">
        <w:rPr>
          <w:rFonts w:ascii="Times New Roman" w:hAnsi="Times New Roman" w:cs="Times New Roman"/>
          <w:b/>
          <w:sz w:val="24"/>
          <w:szCs w:val="24"/>
        </w:rPr>
        <w:t xml:space="preserve">do projektu rozporządzenia Ministra Klimatu i Środowiska </w:t>
      </w:r>
      <w:r w:rsidR="00045B2C" w:rsidRPr="005C0900">
        <w:rPr>
          <w:rFonts w:ascii="Times New Roman" w:hAnsi="Times New Roman" w:cs="Times New Roman"/>
          <w:b/>
          <w:sz w:val="24"/>
          <w:szCs w:val="24"/>
        </w:rPr>
        <w:t xml:space="preserve">zmieniającego rozporządzenie </w:t>
      </w:r>
      <w:r w:rsidRPr="005C0900">
        <w:rPr>
          <w:rFonts w:ascii="Times New Roman" w:hAnsi="Times New Roman" w:cs="Times New Roman"/>
          <w:b/>
          <w:sz w:val="24"/>
          <w:szCs w:val="24"/>
        </w:rPr>
        <w:t>w sprawie</w:t>
      </w:r>
      <w:r w:rsidR="00BB66B4" w:rsidRPr="005C0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B60" w:rsidRPr="005C0900">
        <w:rPr>
          <w:rFonts w:ascii="Times New Roman" w:hAnsi="Times New Roman" w:cs="Times New Roman"/>
          <w:b/>
          <w:sz w:val="24"/>
          <w:szCs w:val="24"/>
        </w:rPr>
        <w:t>sposobu</w:t>
      </w:r>
      <w:r w:rsidR="00BB66B4" w:rsidRPr="005C0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900">
        <w:rPr>
          <w:rFonts w:ascii="Times New Roman" w:hAnsi="Times New Roman" w:cs="Times New Roman"/>
          <w:b/>
          <w:sz w:val="24"/>
          <w:szCs w:val="24"/>
        </w:rPr>
        <w:t xml:space="preserve">kształtowania i kalkulacji taryf oraz </w:t>
      </w:r>
      <w:r w:rsidR="00C81B60" w:rsidRPr="005C0900">
        <w:rPr>
          <w:rFonts w:ascii="Times New Roman" w:hAnsi="Times New Roman" w:cs="Times New Roman"/>
          <w:b/>
          <w:sz w:val="24"/>
          <w:szCs w:val="24"/>
        </w:rPr>
        <w:t xml:space="preserve">sposobu </w:t>
      </w:r>
      <w:r w:rsidR="00771DDC" w:rsidRPr="005C0900">
        <w:rPr>
          <w:rFonts w:ascii="Times New Roman" w:hAnsi="Times New Roman" w:cs="Times New Roman"/>
          <w:b/>
          <w:sz w:val="24"/>
          <w:szCs w:val="24"/>
        </w:rPr>
        <w:t>rozliczeń</w:t>
      </w:r>
      <w:r w:rsidRPr="005C0900">
        <w:rPr>
          <w:rFonts w:ascii="Times New Roman" w:hAnsi="Times New Roman" w:cs="Times New Roman"/>
          <w:b/>
          <w:sz w:val="24"/>
          <w:szCs w:val="24"/>
        </w:rPr>
        <w:t xml:space="preserve"> w obrocie energią elektryczną </w:t>
      </w:r>
    </w:p>
    <w:p w14:paraId="3B12EBC2" w14:textId="77777777" w:rsidR="006B361C" w:rsidRPr="005C0900" w:rsidRDefault="006B361C" w:rsidP="00AB3BD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330281" w14:textId="213C91C4" w:rsidR="00E30067" w:rsidRDefault="00E30067" w:rsidP="00AB3BDC">
      <w:pPr>
        <w:pStyle w:val="Akapitzlist"/>
        <w:numPr>
          <w:ilvl w:val="0"/>
          <w:numId w:val="2"/>
        </w:numPr>
        <w:spacing w:before="120" w:after="120" w:line="27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91A1F">
        <w:rPr>
          <w:rFonts w:ascii="Times New Roman" w:eastAsia="Times New Roman" w:hAnsi="Times New Roman" w:cs="Times New Roman"/>
          <w:b/>
          <w:bCs/>
          <w:lang w:eastAsia="pl-PL"/>
        </w:rPr>
        <w:t xml:space="preserve">Cel i potrzeba </w:t>
      </w:r>
      <w:r w:rsidRPr="00AB3BDC">
        <w:rPr>
          <w:rStyle w:val="Pogrubienie"/>
        </w:rPr>
        <w:t>wydania</w:t>
      </w:r>
      <w:r w:rsidRPr="00291A1F">
        <w:rPr>
          <w:rFonts w:ascii="Times New Roman" w:eastAsia="Times New Roman" w:hAnsi="Times New Roman" w:cs="Times New Roman"/>
          <w:b/>
          <w:bCs/>
          <w:lang w:eastAsia="pl-PL"/>
        </w:rPr>
        <w:t xml:space="preserve"> nowego rozporządzenia.</w:t>
      </w:r>
    </w:p>
    <w:p w14:paraId="3A4E1E80" w14:textId="51FACD7D" w:rsidR="00AB3BDC" w:rsidRPr="00AB3BDC" w:rsidRDefault="00AB3BDC" w:rsidP="00AB3BD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AB3BDC">
        <w:rPr>
          <w:rFonts w:ascii="Times New Roman" w:hAnsi="Times New Roman" w:cs="Times New Roman"/>
        </w:rPr>
        <w:t xml:space="preserve">Zmiana </w:t>
      </w:r>
      <w:r w:rsidR="002C2A1E">
        <w:rPr>
          <w:rFonts w:ascii="Times New Roman" w:hAnsi="Times New Roman" w:cs="Times New Roman"/>
        </w:rPr>
        <w:t>r</w:t>
      </w:r>
      <w:r w:rsidR="002C2A1E" w:rsidRPr="00AB3BDC">
        <w:rPr>
          <w:rFonts w:ascii="Times New Roman" w:hAnsi="Times New Roman" w:cs="Times New Roman"/>
        </w:rPr>
        <w:t xml:space="preserve">ozporządzenia </w:t>
      </w:r>
      <w:r w:rsidR="002C2A1E">
        <w:rPr>
          <w:rFonts w:ascii="Times New Roman" w:hAnsi="Times New Roman" w:cs="Times New Roman"/>
        </w:rPr>
        <w:t xml:space="preserve">Ministra Klimatu i Środowiska </w:t>
      </w:r>
      <w:r w:rsidRPr="00AB3BDC">
        <w:rPr>
          <w:rFonts w:ascii="Times New Roman" w:hAnsi="Times New Roman" w:cs="Times New Roman"/>
        </w:rPr>
        <w:t xml:space="preserve">z dnia 29 listopada 2022 r. w sprawie sposobu kształtowania i kalkulacji taryf oraz sposobu rozliczeń w obrocie energią elektryczną </w:t>
      </w:r>
      <w:r w:rsidR="002C2A1E" w:rsidRPr="002C2A1E">
        <w:rPr>
          <w:rFonts w:ascii="Times New Roman" w:hAnsi="Times New Roman" w:cs="Times New Roman"/>
        </w:rPr>
        <w:t xml:space="preserve">(Dz. U. poz. </w:t>
      </w:r>
      <w:r w:rsidR="002C2A1E" w:rsidRPr="00035E96">
        <w:rPr>
          <w:rFonts w:ascii="Times New Roman" w:hAnsi="Times New Roman" w:cs="Times New Roman"/>
        </w:rPr>
        <w:t>2505 oraz z 2023 r. poz. 226)</w:t>
      </w:r>
      <w:r w:rsidR="002C2A1E">
        <w:rPr>
          <w:rFonts w:ascii="Times New Roman" w:hAnsi="Times New Roman" w:cs="Times New Roman"/>
        </w:rPr>
        <w:t xml:space="preserve"> </w:t>
      </w:r>
      <w:r w:rsidRPr="00AB3BDC">
        <w:rPr>
          <w:rFonts w:ascii="Times New Roman" w:hAnsi="Times New Roman" w:cs="Times New Roman"/>
        </w:rPr>
        <w:t xml:space="preserve">(zwanego dalej „rozporządzeniem taryfowym”) wynika z konieczności uchylenia konsekwencji </w:t>
      </w:r>
      <w:r w:rsidR="009A6B27">
        <w:rPr>
          <w:rFonts w:ascii="Times New Roman" w:hAnsi="Times New Roman" w:cs="Times New Roman"/>
        </w:rPr>
        <w:t>wejścia w życie regulacji przejściowej</w:t>
      </w:r>
      <w:r w:rsidRPr="00AB3BDC">
        <w:rPr>
          <w:rFonts w:ascii="Times New Roman" w:hAnsi="Times New Roman" w:cs="Times New Roman"/>
        </w:rPr>
        <w:t xml:space="preserve"> z § 51 ust 2 </w:t>
      </w:r>
      <w:r w:rsidR="009A6B27">
        <w:rPr>
          <w:rFonts w:ascii="Times New Roman" w:hAnsi="Times New Roman" w:cs="Times New Roman"/>
        </w:rPr>
        <w:t xml:space="preserve">tego rozporządzenia, </w:t>
      </w:r>
      <w:r w:rsidRPr="00AB3BDC">
        <w:rPr>
          <w:rFonts w:ascii="Times New Roman" w:hAnsi="Times New Roman" w:cs="Times New Roman"/>
        </w:rPr>
        <w:t xml:space="preserve">zgodnie z którą taryfy przedsiębiorstw energetycznych obowiązujące w dniu wejścia w życie rozporządzenia taryfowego lub zatwierdzone przed tym dniem obowiązują przez okres określony </w:t>
      </w:r>
      <w:r w:rsidR="00035E96">
        <w:rPr>
          <w:rFonts w:ascii="Times New Roman" w:hAnsi="Times New Roman" w:cs="Times New Roman"/>
        </w:rPr>
        <w:br/>
      </w:r>
      <w:r w:rsidRPr="00AB3BDC">
        <w:rPr>
          <w:rFonts w:ascii="Times New Roman" w:hAnsi="Times New Roman" w:cs="Times New Roman"/>
        </w:rPr>
        <w:t>w decyzjach Prezesa Urzędu Regulacji Energetyki zatwierdzających te taryfy, nie dłużej jednak niż przez okres 6 miesięcy od dnia wejścia w życie rozporządzenia</w:t>
      </w:r>
      <w:r w:rsidR="009A6B27">
        <w:rPr>
          <w:rFonts w:ascii="Times New Roman" w:hAnsi="Times New Roman" w:cs="Times New Roman"/>
        </w:rPr>
        <w:t xml:space="preserve"> taryfowego</w:t>
      </w:r>
      <w:r w:rsidRPr="00AB3BDC">
        <w:rPr>
          <w:rFonts w:ascii="Times New Roman" w:hAnsi="Times New Roman" w:cs="Times New Roman"/>
        </w:rPr>
        <w:t>.</w:t>
      </w:r>
    </w:p>
    <w:p w14:paraId="61F4DF80" w14:textId="76D10473" w:rsidR="00AB3BDC" w:rsidRPr="00AB3BDC" w:rsidRDefault="00AB3BDC" w:rsidP="00AB3B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3BDC">
        <w:rPr>
          <w:rFonts w:ascii="Times New Roman" w:eastAsia="Times New Roman" w:hAnsi="Times New Roman" w:cs="Times New Roman"/>
          <w:color w:val="000000"/>
          <w:lang w:eastAsia="pl-PL"/>
        </w:rPr>
        <w:t>Przepis w powyższym brzmieniu w sposób znaczący komplikuje prowadzony w Urzędzie Regulacji Energetyki proces taryfowania przedsiębiorstw energetycznych. W szczególności należy zauważyć,</w:t>
      </w:r>
      <w:r w:rsidR="00035E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AB3BDC">
        <w:rPr>
          <w:rFonts w:ascii="Times New Roman" w:eastAsia="Times New Roman" w:hAnsi="Times New Roman" w:cs="Times New Roman"/>
          <w:color w:val="000000"/>
          <w:lang w:eastAsia="pl-PL"/>
        </w:rPr>
        <w:t xml:space="preserve"> iż taryfy przedsiębiorstw energetycznych w przeważającej liczbie zostały zatwierdzone przed dniem wejścia w życie  rozporządzenia taryfowego, czyli przed dniem 7 grudnia 2022 r. i zostały zatwierdzone przez Prezesa Urzędu Regulacji Energetyki na okres 12 miesięcy.</w:t>
      </w:r>
    </w:p>
    <w:p w14:paraId="0A2F2AE3" w14:textId="01057647" w:rsidR="00AB3BDC" w:rsidRPr="00AB3BDC" w:rsidRDefault="009A6B27" w:rsidP="00AB3B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Zgodnie z p</w:t>
      </w:r>
      <w:r w:rsidR="00AB3BDC" w:rsidRPr="00AB3BDC">
        <w:rPr>
          <w:rFonts w:ascii="Times New Roman" w:eastAsia="Times New Roman" w:hAnsi="Times New Roman" w:cs="Times New Roman"/>
          <w:color w:val="000000"/>
          <w:lang w:eastAsia="pl-PL"/>
        </w:rPr>
        <w:t>rzepis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em </w:t>
      </w:r>
      <w:r w:rsidRPr="00AB3BDC">
        <w:rPr>
          <w:rFonts w:ascii="Times New Roman" w:hAnsi="Times New Roman" w:cs="Times New Roman"/>
        </w:rPr>
        <w:t>§ 51 ust</w:t>
      </w:r>
      <w:r w:rsidR="00EA3B2C">
        <w:rPr>
          <w:rFonts w:ascii="Times New Roman" w:hAnsi="Times New Roman" w:cs="Times New Roman"/>
        </w:rPr>
        <w:t>.</w:t>
      </w:r>
      <w:r w:rsidRPr="00AB3BDC"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 xml:space="preserve">rozporządzenia taryfowego </w:t>
      </w:r>
      <w:r w:rsidR="00AB3BDC" w:rsidRPr="00AB3BDC">
        <w:rPr>
          <w:rFonts w:ascii="Times New Roman" w:eastAsia="Times New Roman" w:hAnsi="Times New Roman" w:cs="Times New Roman"/>
          <w:color w:val="000000"/>
          <w:lang w:eastAsia="pl-PL"/>
        </w:rPr>
        <w:t xml:space="preserve">taryfy te obowiązują nie dłużej niż przez okres 6 miesięcy od dnia wejścia w życie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ww. </w:t>
      </w:r>
      <w:r w:rsidR="00AB3BDC" w:rsidRPr="00AB3BDC">
        <w:rPr>
          <w:rFonts w:ascii="Times New Roman" w:eastAsia="Times New Roman" w:hAnsi="Times New Roman" w:cs="Times New Roman"/>
          <w:color w:val="000000"/>
          <w:lang w:eastAsia="pl-PL"/>
        </w:rPr>
        <w:t>rozporządzenia, tj. do dnia 7 czerwca 2023 r</w:t>
      </w:r>
      <w:r w:rsidR="00AB3BDC" w:rsidRPr="00AB3BD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., </w:t>
      </w:r>
      <w:r w:rsidR="00AB3BDC" w:rsidRPr="00AB3BDC">
        <w:rPr>
          <w:rFonts w:ascii="Times New Roman" w:eastAsia="Times New Roman" w:hAnsi="Times New Roman" w:cs="Times New Roman"/>
          <w:color w:val="000000"/>
          <w:lang w:eastAsia="pl-PL"/>
        </w:rPr>
        <w:t>co mając na uwadze postanowienia art. 47 ust. 1 ustawy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 dnia </w:t>
      </w:r>
      <w:r w:rsidRPr="00035E96">
        <w:rPr>
          <w:rFonts w:ascii="Times New Roman" w:hAnsi="Times New Roman" w:cs="Times New Roman"/>
        </w:rPr>
        <w:t>10 kwietnia 1997 r.</w:t>
      </w:r>
      <w:r w:rsidR="00AB3BDC" w:rsidRPr="00AB3BDC">
        <w:rPr>
          <w:rFonts w:ascii="Times New Roman" w:eastAsia="Times New Roman" w:hAnsi="Times New Roman" w:cs="Times New Roman"/>
          <w:color w:val="000000"/>
          <w:lang w:eastAsia="pl-PL"/>
        </w:rPr>
        <w:t xml:space="preserve"> – Prawo energetyczne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035E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A5BCD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Pr="00035E96">
        <w:rPr>
          <w:rFonts w:ascii="Times New Roman" w:hAnsi="Times New Roman" w:cs="Times New Roman"/>
        </w:rPr>
        <w:t>Dz. U. z 2022 r. poz. 1385, z późn. zm.)</w:t>
      </w:r>
      <w:r w:rsidR="00AB3BDC" w:rsidRPr="00AB3BDC">
        <w:rPr>
          <w:rFonts w:ascii="Times New Roman" w:eastAsia="Times New Roman" w:hAnsi="Times New Roman" w:cs="Times New Roman"/>
          <w:color w:val="000000"/>
          <w:lang w:eastAsia="pl-PL"/>
        </w:rPr>
        <w:t>, oznacza,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B3BDC" w:rsidRPr="00AB3BDC">
        <w:rPr>
          <w:rFonts w:ascii="Times New Roman" w:eastAsia="Times New Roman" w:hAnsi="Times New Roman" w:cs="Times New Roman"/>
          <w:color w:val="000000"/>
          <w:lang w:eastAsia="pl-PL"/>
        </w:rPr>
        <w:t xml:space="preserve"> że przedsiębiorstwa energetyczne muszą przedłożyć wnioski o zatwierdzenie kolejnej taryfy dla energii elektrycznej w terminie umożliwiającym jej zatwierdzenie przed wyżej wskazanym okresem, nie później jednak niż w dniu 6 kwietnia 2023 r. </w:t>
      </w:r>
      <w:r w:rsidR="00035E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AB3BDC" w:rsidRPr="00AB3BDC">
        <w:rPr>
          <w:rFonts w:ascii="Times New Roman" w:eastAsia="Times New Roman" w:hAnsi="Times New Roman" w:cs="Times New Roman"/>
          <w:color w:val="000000"/>
          <w:lang w:eastAsia="pl-PL"/>
        </w:rPr>
        <w:t>W rezultacie we wskazanym powyżej terminie powinno zostać przedłożonych ponad 100 nowych taryf, które Prezes Urzędu Regulacji Energetyki będzie zobowiązany zatwierdzić w krótkim okresie czasowym, co w świetle dotychczasowej pragmatyki działania oraz długości prowadzonych postępowań, mając również na uwadze obciążenie administracyjne pracowników Urzędu, wydaje się być działaniem praktycznie niemożliwym do zrealizowania</w:t>
      </w:r>
    </w:p>
    <w:p w14:paraId="4E8D03D5" w14:textId="4F1C77EC" w:rsidR="00AB3BDC" w:rsidRPr="00AB3BDC" w:rsidRDefault="00AB3BDC" w:rsidP="00AB3B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3BDC">
        <w:rPr>
          <w:rFonts w:ascii="Times New Roman" w:eastAsia="Times New Roman" w:hAnsi="Times New Roman" w:cs="Times New Roman"/>
          <w:color w:val="000000"/>
          <w:lang w:eastAsia="pl-PL"/>
        </w:rPr>
        <w:t>Ponadto istnieje duże ryzyko, iż część przedsiębiorstw energetycznych nie przedłoży wniosków</w:t>
      </w:r>
      <w:r w:rsidR="009A6B2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035E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9A6B27">
        <w:rPr>
          <w:rFonts w:ascii="Times New Roman" w:eastAsia="Times New Roman" w:hAnsi="Times New Roman" w:cs="Times New Roman"/>
          <w:color w:val="000000"/>
          <w:lang w:eastAsia="pl-PL"/>
        </w:rPr>
        <w:t>o zatwierdzenie taryfy</w:t>
      </w:r>
      <w:r w:rsidRPr="00AB3BDC">
        <w:rPr>
          <w:rFonts w:ascii="Times New Roman" w:eastAsia="Times New Roman" w:hAnsi="Times New Roman" w:cs="Times New Roman"/>
          <w:color w:val="000000"/>
          <w:lang w:eastAsia="pl-PL"/>
        </w:rPr>
        <w:t xml:space="preserve"> w wymaganym terminie, co przy obowiązującym brzmieniu przepisów rozporządzenia </w:t>
      </w:r>
      <w:r w:rsidR="009A6B27">
        <w:rPr>
          <w:rFonts w:ascii="Times New Roman" w:eastAsia="Times New Roman" w:hAnsi="Times New Roman" w:cs="Times New Roman"/>
          <w:color w:val="000000"/>
          <w:lang w:eastAsia="pl-PL"/>
        </w:rPr>
        <w:t xml:space="preserve">taryfowego </w:t>
      </w:r>
      <w:r w:rsidRPr="00AB3BDC">
        <w:rPr>
          <w:rFonts w:ascii="Times New Roman" w:eastAsia="Times New Roman" w:hAnsi="Times New Roman" w:cs="Times New Roman"/>
          <w:color w:val="000000"/>
          <w:lang w:eastAsia="pl-PL"/>
        </w:rPr>
        <w:t xml:space="preserve">spowoduje, iż taryfy tych przedsiębiorstw przestaną obowiązywać </w:t>
      </w:r>
      <w:r w:rsidR="00035E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AB3BDC">
        <w:rPr>
          <w:rFonts w:ascii="Times New Roman" w:eastAsia="Times New Roman" w:hAnsi="Times New Roman" w:cs="Times New Roman"/>
          <w:color w:val="000000"/>
          <w:lang w:eastAsia="pl-PL"/>
        </w:rPr>
        <w:t xml:space="preserve">w połowie 2023 r. W konsekwencji Prezes Urzędu Regulacji Energetyki zobowiązany będzie </w:t>
      </w:r>
      <w:r w:rsidR="00035E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AB3BDC">
        <w:rPr>
          <w:rFonts w:ascii="Times New Roman" w:eastAsia="Times New Roman" w:hAnsi="Times New Roman" w:cs="Times New Roman"/>
          <w:color w:val="000000"/>
          <w:lang w:eastAsia="pl-PL"/>
        </w:rPr>
        <w:t xml:space="preserve">do wszczęcia postępowań o ukaranie tych przedsiębiorstw w związku z nieprzedłożeniem taryf </w:t>
      </w:r>
      <w:r w:rsidR="00035E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AB3BDC">
        <w:rPr>
          <w:rFonts w:ascii="Times New Roman" w:eastAsia="Times New Roman" w:hAnsi="Times New Roman" w:cs="Times New Roman"/>
          <w:color w:val="000000"/>
          <w:lang w:eastAsia="pl-PL"/>
        </w:rPr>
        <w:t xml:space="preserve">do zatwierdzenia. Dodatkowo zatwierdzenie nowych taryf </w:t>
      </w:r>
      <w:r w:rsidRPr="00AB3BDC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(</w:t>
      </w:r>
      <w:r w:rsidRPr="00AB3BDC">
        <w:rPr>
          <w:rFonts w:ascii="Times New Roman" w:eastAsia="Times New Roman" w:hAnsi="Times New Roman" w:cs="Times New Roman"/>
          <w:color w:val="000000"/>
          <w:lang w:eastAsia="pl-PL"/>
        </w:rPr>
        <w:t xml:space="preserve">skalkulowanych na podstawie łącznych kosztów przedsiębiorstwa, a nie tylko tych będących podstawą zmiany taryf) we wcześniejszym terminie, niż ten wynikający z okresu obowiązywania taryf (z reguły 12 miesięcy) będzie skutkowało kolejną podwyżką </w:t>
      </w:r>
      <w:r w:rsidR="009A6B27">
        <w:rPr>
          <w:rFonts w:ascii="Times New Roman" w:eastAsia="Times New Roman" w:hAnsi="Times New Roman" w:cs="Times New Roman"/>
          <w:color w:val="000000"/>
          <w:lang w:eastAsia="pl-PL"/>
        </w:rPr>
        <w:t xml:space="preserve">cen energii elektrycznej </w:t>
      </w:r>
      <w:r w:rsidRPr="00AB3BDC">
        <w:rPr>
          <w:rFonts w:ascii="Times New Roman" w:eastAsia="Times New Roman" w:hAnsi="Times New Roman" w:cs="Times New Roman"/>
          <w:color w:val="000000"/>
          <w:lang w:eastAsia="pl-PL"/>
        </w:rPr>
        <w:t xml:space="preserve">dla odbiorców, w tym odbiorców uprawnionych, objętych </w:t>
      </w:r>
      <w:r w:rsidR="00035E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AB3BDC">
        <w:rPr>
          <w:rFonts w:ascii="Times New Roman" w:eastAsia="Times New Roman" w:hAnsi="Times New Roman" w:cs="Times New Roman"/>
          <w:color w:val="000000"/>
          <w:lang w:eastAsia="pl-PL"/>
        </w:rPr>
        <w:t xml:space="preserve">w tym roku ochroną ustawową. Należy mieć również na uwadze, że obowiązek przygotowania </w:t>
      </w:r>
      <w:r w:rsidR="00035E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AB3BDC">
        <w:rPr>
          <w:rFonts w:ascii="Times New Roman" w:eastAsia="Times New Roman" w:hAnsi="Times New Roman" w:cs="Times New Roman"/>
          <w:color w:val="000000"/>
          <w:lang w:eastAsia="pl-PL"/>
        </w:rPr>
        <w:t>i przełożenia wniosków o zatwierdzenie nowych taryf we wskazanym powyżej terminie stanowi również dodatkowe obciążenie dla przedsiębiorstw energetycznych, na co wskazują same przedsiębiorstwa.</w:t>
      </w:r>
    </w:p>
    <w:p w14:paraId="2BB0D7A8" w14:textId="77777777" w:rsidR="00AB3BDC" w:rsidRDefault="00AB3BDC" w:rsidP="00AB3BDC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6E7D3AF" w14:textId="666B773C" w:rsidR="00AB3BDC" w:rsidRPr="00AB3BDC" w:rsidRDefault="00AB3BDC" w:rsidP="00AB3BDC">
      <w:pPr>
        <w:pStyle w:val="Akapitzlist"/>
        <w:numPr>
          <w:ilvl w:val="0"/>
          <w:numId w:val="2"/>
        </w:numPr>
        <w:spacing w:before="120" w:after="120" w:line="276" w:lineRule="auto"/>
        <w:ind w:left="0" w:firstLine="0"/>
        <w:contextualSpacing w:val="0"/>
        <w:jc w:val="both"/>
        <w:rPr>
          <w:rStyle w:val="markedcontent"/>
          <w:rFonts w:ascii="Times New Roman" w:eastAsia="Times New Roman" w:hAnsi="Times New Roman" w:cs="Times New Roman"/>
          <w:b/>
          <w:bCs/>
          <w:lang w:eastAsia="pl-PL"/>
        </w:rPr>
      </w:pPr>
      <w:r w:rsidRPr="0089036F">
        <w:rPr>
          <w:rStyle w:val="markedcontent"/>
          <w:rFonts w:ascii="Times New Roman" w:hAnsi="Times New Roman" w:cs="Times New Roman"/>
          <w:b/>
          <w:bCs/>
        </w:rPr>
        <w:t xml:space="preserve">Opis proponowanych zmian oraz </w:t>
      </w:r>
      <w:r w:rsidRPr="00AB3BDC">
        <w:rPr>
          <w:rStyle w:val="Pogrubienie"/>
        </w:rPr>
        <w:t>wskazanie</w:t>
      </w:r>
      <w:r w:rsidRPr="0089036F">
        <w:rPr>
          <w:rStyle w:val="markedcontent"/>
          <w:rFonts w:ascii="Times New Roman" w:hAnsi="Times New Roman" w:cs="Times New Roman"/>
          <w:b/>
          <w:bCs/>
        </w:rPr>
        <w:t xml:space="preserve"> różnic pomiędzy dotychczasowym</w:t>
      </w:r>
      <w:r w:rsidRPr="0089036F">
        <w:rPr>
          <w:rStyle w:val="markedcontent"/>
          <w:rFonts w:ascii="Times New Roman" w:hAnsi="Times New Roman" w:cs="Times New Roman"/>
          <w:b/>
          <w:bCs/>
        </w:rPr>
        <w:br/>
        <w:t xml:space="preserve"> a projektowanym stanem prawnym.</w:t>
      </w:r>
    </w:p>
    <w:p w14:paraId="4CCCB93D" w14:textId="6229DCD4" w:rsidR="00585E1C" w:rsidRPr="00220506" w:rsidRDefault="00550951" w:rsidP="00035E96">
      <w:pPr>
        <w:pStyle w:val="PKTpunkt"/>
        <w:spacing w:after="120"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85E1C">
        <w:rPr>
          <w:rFonts w:ascii="Times New Roman" w:hAnsi="Times New Roman" w:cs="Times New Roman"/>
          <w:color w:val="000000"/>
          <w:spacing w:val="-2"/>
          <w:sz w:val="22"/>
          <w:szCs w:val="22"/>
        </w:rPr>
        <w:t>Proponuje się zmianę</w:t>
      </w:r>
      <w:r w:rsidRPr="00585E1C">
        <w:rPr>
          <w:rFonts w:ascii="Times New Roman" w:eastAsia="Calibri" w:hAnsi="Times New Roman" w:cs="Times New Roman"/>
          <w:color w:val="000000"/>
          <w:spacing w:val="-2"/>
          <w:sz w:val="22"/>
          <w:szCs w:val="22"/>
        </w:rPr>
        <w:t xml:space="preserve"> ust</w:t>
      </w:r>
      <w:r>
        <w:rPr>
          <w:rFonts w:ascii="Times New Roman" w:eastAsia="Calibri" w:hAnsi="Times New Roman" w:cs="Times New Roman"/>
          <w:color w:val="000000"/>
          <w:spacing w:val="-2"/>
          <w:sz w:val="22"/>
          <w:szCs w:val="22"/>
        </w:rPr>
        <w:t>.</w:t>
      </w:r>
      <w:r w:rsidRPr="00585E1C">
        <w:rPr>
          <w:rFonts w:ascii="Times New Roman" w:eastAsia="Calibri" w:hAnsi="Times New Roman" w:cs="Times New Roman"/>
          <w:color w:val="000000"/>
          <w:spacing w:val="-2"/>
          <w:sz w:val="22"/>
          <w:szCs w:val="22"/>
        </w:rPr>
        <w:t xml:space="preserve"> 2 w </w:t>
      </w:r>
      <w:bookmarkStart w:id="0" w:name="_Hlk129872694"/>
      <w:r w:rsidRPr="00585E1C">
        <w:rPr>
          <w:rFonts w:ascii="Times New Roman" w:eastAsia="Calibri" w:hAnsi="Times New Roman" w:cs="Times New Roman"/>
          <w:color w:val="000000"/>
          <w:spacing w:val="-2"/>
          <w:sz w:val="22"/>
          <w:szCs w:val="22"/>
        </w:rPr>
        <w:t xml:space="preserve">§ </w:t>
      </w:r>
      <w:bookmarkEnd w:id="0"/>
      <w:r w:rsidRPr="00585E1C">
        <w:rPr>
          <w:rFonts w:ascii="Times New Roman" w:eastAsia="Calibri" w:hAnsi="Times New Roman" w:cs="Times New Roman"/>
          <w:color w:val="000000"/>
          <w:spacing w:val="-2"/>
          <w:sz w:val="22"/>
          <w:szCs w:val="22"/>
        </w:rPr>
        <w:t xml:space="preserve">51 rozporządzenia taryfowego, polegającą na tym, że </w:t>
      </w:r>
      <w:r>
        <w:rPr>
          <w:rFonts w:ascii="Times New Roman" w:eastAsia="Calibri" w:hAnsi="Times New Roman" w:cs="Times New Roman"/>
          <w:color w:val="000000"/>
          <w:spacing w:val="-2"/>
          <w:sz w:val="22"/>
          <w:szCs w:val="22"/>
        </w:rPr>
        <w:t xml:space="preserve">uchyla się przepis określający termin obowiązywania taryf zatwierdzonych przed dniem wejścia w życie rozporządzenia </w:t>
      </w:r>
      <w:r>
        <w:rPr>
          <w:rFonts w:ascii="Times New Roman" w:eastAsia="Calibri" w:hAnsi="Times New Roman" w:cs="Times New Roman"/>
          <w:color w:val="000000"/>
          <w:spacing w:val="-2"/>
          <w:sz w:val="22"/>
          <w:szCs w:val="22"/>
        </w:rPr>
        <w:br/>
        <w:t>tj. przed dniem 7 grudnia 2022 r., a także upoważnia się p</w:t>
      </w:r>
      <w:r w:rsidRPr="00585E1C">
        <w:rPr>
          <w:sz w:val="22"/>
          <w:szCs w:val="22"/>
        </w:rPr>
        <w:t>rzedsiębiorstwa energetyczne</w:t>
      </w:r>
      <w:r>
        <w:rPr>
          <w:sz w:val="22"/>
          <w:szCs w:val="22"/>
        </w:rPr>
        <w:t xml:space="preserve"> do </w:t>
      </w:r>
      <w:r w:rsidRPr="00585E1C">
        <w:rPr>
          <w:sz w:val="22"/>
          <w:szCs w:val="22"/>
        </w:rPr>
        <w:t>stos</w:t>
      </w:r>
      <w:r>
        <w:rPr>
          <w:sz w:val="22"/>
          <w:szCs w:val="22"/>
        </w:rPr>
        <w:t>owania</w:t>
      </w:r>
      <w:r w:rsidRPr="00585E1C">
        <w:rPr>
          <w:sz w:val="22"/>
          <w:szCs w:val="22"/>
        </w:rPr>
        <w:t xml:space="preserve"> taryf zatwierdzon</w:t>
      </w:r>
      <w:r>
        <w:rPr>
          <w:sz w:val="22"/>
          <w:szCs w:val="22"/>
        </w:rPr>
        <w:t>ych</w:t>
      </w:r>
      <w:r w:rsidRPr="00585E1C">
        <w:rPr>
          <w:sz w:val="22"/>
          <w:szCs w:val="22"/>
        </w:rPr>
        <w:t xml:space="preserve"> przed </w:t>
      </w:r>
      <w:r>
        <w:rPr>
          <w:sz w:val="22"/>
          <w:szCs w:val="22"/>
        </w:rPr>
        <w:t xml:space="preserve">ww. </w:t>
      </w:r>
      <w:r w:rsidRPr="00585E1C">
        <w:rPr>
          <w:sz w:val="22"/>
          <w:szCs w:val="22"/>
        </w:rPr>
        <w:t xml:space="preserve">dniem w dotychczasowym ich brzmieniu, do czasu wprowadzenia </w:t>
      </w:r>
      <w:r>
        <w:rPr>
          <w:sz w:val="22"/>
          <w:szCs w:val="22"/>
        </w:rPr>
        <w:t xml:space="preserve">zmian </w:t>
      </w:r>
      <w:r w:rsidRPr="00585E1C">
        <w:rPr>
          <w:sz w:val="22"/>
          <w:szCs w:val="22"/>
        </w:rPr>
        <w:t>do</w:t>
      </w:r>
      <w:r>
        <w:rPr>
          <w:sz w:val="22"/>
          <w:szCs w:val="22"/>
        </w:rPr>
        <w:t xml:space="preserve"> taryf</w:t>
      </w:r>
      <w:r w:rsidRPr="00585E1C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14:paraId="142DB22B" w14:textId="36984FD3" w:rsidR="00A055AA" w:rsidRDefault="004C6F18" w:rsidP="00035E96">
      <w:pPr>
        <w:pStyle w:val="ZPKTzmpktartykuempunktem"/>
        <w:spacing w:after="120"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220506">
        <w:rPr>
          <w:rFonts w:ascii="Times New Roman" w:hAnsi="Times New Roman" w:cs="Times New Roman"/>
          <w:sz w:val="22"/>
          <w:szCs w:val="22"/>
        </w:rPr>
        <w:t xml:space="preserve">Proponuje się również </w:t>
      </w:r>
      <w:r w:rsidR="00A055AA">
        <w:rPr>
          <w:rFonts w:ascii="Times New Roman" w:hAnsi="Times New Roman" w:cs="Times New Roman"/>
          <w:sz w:val="22"/>
          <w:szCs w:val="22"/>
        </w:rPr>
        <w:t xml:space="preserve">wprowadzenie regulacji przejściowych w </w:t>
      </w:r>
      <w:r w:rsidR="00A055AA" w:rsidRPr="00585E1C">
        <w:rPr>
          <w:rFonts w:ascii="Times New Roman" w:eastAsia="Calibri" w:hAnsi="Times New Roman" w:cs="Times New Roman"/>
          <w:color w:val="000000"/>
          <w:spacing w:val="-2"/>
          <w:sz w:val="22"/>
          <w:szCs w:val="22"/>
        </w:rPr>
        <w:t xml:space="preserve">§ </w:t>
      </w:r>
      <w:r w:rsidR="00A055AA">
        <w:rPr>
          <w:rFonts w:ascii="Times New Roman" w:eastAsia="Calibri" w:hAnsi="Times New Roman" w:cs="Times New Roman"/>
          <w:color w:val="000000"/>
          <w:spacing w:val="-2"/>
          <w:sz w:val="22"/>
          <w:szCs w:val="22"/>
        </w:rPr>
        <w:t xml:space="preserve">2 projektowanego rozporządzenia, dotyczących przedsiębiorstw energetycznych, które </w:t>
      </w:r>
      <w:r w:rsidR="00A055AA">
        <w:t xml:space="preserve">mają taryfy zatwierdzone przez Prezesa Urzędu Regulacji Energetyki przed dniem 7 grudnia 2022 r. Przedsiębiorstwa te obowiązane będą do przedłożenia – w terminie 30 dnie od dnia wejścia w życie projektowanego rozporządzenia </w:t>
      </w:r>
      <w:r w:rsidR="00A055AA">
        <w:br/>
        <w:t xml:space="preserve">– </w:t>
      </w:r>
      <w:r w:rsidR="00A055AA" w:rsidRPr="00C975D4">
        <w:t>Prezesowi Urzędu Regulacji Energetyki wniosk</w:t>
      </w:r>
      <w:r w:rsidR="00A055AA">
        <w:t>ów</w:t>
      </w:r>
      <w:r w:rsidR="00A055AA" w:rsidRPr="00C975D4">
        <w:t xml:space="preserve"> o zmianę </w:t>
      </w:r>
      <w:r w:rsidR="00A055AA">
        <w:t xml:space="preserve">tych </w:t>
      </w:r>
      <w:r w:rsidR="00A055AA" w:rsidRPr="00C975D4">
        <w:t xml:space="preserve">taryf w celu </w:t>
      </w:r>
      <w:r w:rsidR="00A055AA">
        <w:t xml:space="preserve">ich </w:t>
      </w:r>
      <w:r w:rsidR="00A055AA" w:rsidRPr="00C975D4">
        <w:t>dostosowania do przepisów rozporządzenia</w:t>
      </w:r>
      <w:r w:rsidR="00A055AA">
        <w:t xml:space="preserve"> </w:t>
      </w:r>
      <w:r w:rsidR="00A055AA">
        <w:rPr>
          <w:rFonts w:ascii="Times New Roman" w:hAnsi="Times New Roman" w:cs="Times New Roman"/>
          <w:sz w:val="22"/>
          <w:szCs w:val="22"/>
        </w:rPr>
        <w:t xml:space="preserve">taryfowego. Zwolnione z tego obowiązku będą przedsiębiorstwa energetyczne, które przedłożyły </w:t>
      </w:r>
      <w:r w:rsidR="00A055AA" w:rsidRPr="003532E8">
        <w:t>Prezesowi Urzędu Regulacji Energetyki wnios</w:t>
      </w:r>
      <w:r w:rsidR="00A055AA">
        <w:t>ki</w:t>
      </w:r>
      <w:r w:rsidR="00A055AA" w:rsidRPr="003532E8">
        <w:t xml:space="preserve"> o zatwierdzenie nowej taryfy</w:t>
      </w:r>
      <w:r w:rsidR="00A055AA">
        <w:t xml:space="preserve"> w okresie od dnia 7 grudnia 2022 r. do dnia wejścia w życie projektowanego rozporządzenia.</w:t>
      </w:r>
    </w:p>
    <w:p w14:paraId="455A3126" w14:textId="08A92C12" w:rsidR="00AB3BDC" w:rsidRPr="00AB3BDC" w:rsidRDefault="00AB3BDC" w:rsidP="00AB3BDC">
      <w:pPr>
        <w:pStyle w:val="Akapitzlist"/>
        <w:numPr>
          <w:ilvl w:val="0"/>
          <w:numId w:val="2"/>
        </w:numPr>
        <w:spacing w:before="120" w:after="120" w:line="276" w:lineRule="auto"/>
        <w:ind w:left="0" w:firstLine="0"/>
        <w:contextualSpacing w:val="0"/>
        <w:jc w:val="both"/>
        <w:rPr>
          <w:rStyle w:val="markedcontent"/>
          <w:rFonts w:ascii="Times New Roman" w:eastAsia="Times New Roman" w:hAnsi="Times New Roman" w:cs="Times New Roman"/>
          <w:b/>
          <w:bCs/>
          <w:lang w:eastAsia="pl-PL"/>
        </w:rPr>
      </w:pPr>
      <w:r>
        <w:rPr>
          <w:rStyle w:val="markedcontent"/>
          <w:rFonts w:ascii="Times New Roman" w:hAnsi="Times New Roman" w:cs="Times New Roman"/>
          <w:b/>
          <w:bCs/>
        </w:rPr>
        <w:t>Wejście w życie rozporządzenia</w:t>
      </w:r>
    </w:p>
    <w:p w14:paraId="54C9D1FB" w14:textId="45B9FA8F" w:rsidR="006836B5" w:rsidRPr="00AB3BDC" w:rsidRDefault="009A6B27" w:rsidP="00AB3BD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Style w:val="markedcontent"/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R</w:t>
      </w:r>
      <w:r w:rsidR="00AB3BDC" w:rsidRPr="00AB3BDC">
        <w:rPr>
          <w:rFonts w:ascii="Times New Roman" w:eastAsiaTheme="minorEastAsia" w:hAnsi="Times New Roman" w:cs="Times New Roman"/>
          <w:lang w:eastAsia="pl-PL"/>
        </w:rPr>
        <w:t xml:space="preserve">ozporządzenie wejdzie w życie w dniu następnym po dniu ogłoszenia. </w:t>
      </w:r>
      <w:r w:rsidR="006836B5" w:rsidRPr="006836B5">
        <w:rPr>
          <w:rFonts w:ascii="Times New Roman" w:eastAsiaTheme="minorEastAsia" w:hAnsi="Times New Roman" w:cs="Times New Roman"/>
          <w:lang w:eastAsia="pl-PL"/>
        </w:rPr>
        <w:t xml:space="preserve">Termin wejścia w życie </w:t>
      </w:r>
      <w:r w:rsidR="006836B5">
        <w:rPr>
          <w:rFonts w:ascii="Times New Roman" w:eastAsiaTheme="minorEastAsia" w:hAnsi="Times New Roman" w:cs="Times New Roman"/>
          <w:lang w:eastAsia="pl-PL"/>
        </w:rPr>
        <w:t>rozporządzenia</w:t>
      </w:r>
      <w:r w:rsidR="006836B5" w:rsidRPr="006836B5">
        <w:rPr>
          <w:rFonts w:ascii="Times New Roman" w:eastAsiaTheme="minorEastAsia" w:hAnsi="Times New Roman" w:cs="Times New Roman"/>
          <w:lang w:eastAsia="pl-PL"/>
        </w:rPr>
        <w:t xml:space="preserve"> nie narusza zasad demokratycznego państwa prawnego i nie stoi w sprzeczności z art. 4 ust. 2 ustawy z dnia 20 lipca 2000 r. o ogłaszaniu aktów normatywnych i niektórych innych aktów prawnych (Dz. U. z 2019 r. poz. 1461).</w:t>
      </w:r>
    </w:p>
    <w:p w14:paraId="0574A1AF" w14:textId="4707AE0F" w:rsidR="00AB3BDC" w:rsidRPr="00AB3BDC" w:rsidRDefault="00AB3BDC" w:rsidP="00AB3BDC">
      <w:pPr>
        <w:pStyle w:val="Akapitzlist"/>
        <w:numPr>
          <w:ilvl w:val="0"/>
          <w:numId w:val="2"/>
        </w:numPr>
        <w:spacing w:before="120" w:after="120" w:line="276" w:lineRule="auto"/>
        <w:ind w:left="0" w:firstLine="0"/>
        <w:contextualSpacing w:val="0"/>
        <w:jc w:val="both"/>
        <w:rPr>
          <w:rStyle w:val="markedcontent"/>
          <w:rFonts w:ascii="Times New Roman" w:eastAsia="Times New Roman" w:hAnsi="Times New Roman" w:cs="Times New Roman"/>
          <w:b/>
          <w:bCs/>
          <w:lang w:eastAsia="pl-PL"/>
        </w:rPr>
      </w:pPr>
      <w:r w:rsidRPr="0089036F">
        <w:rPr>
          <w:rStyle w:val="markedcontent"/>
          <w:rFonts w:ascii="Times New Roman" w:hAnsi="Times New Roman" w:cs="Times New Roman"/>
          <w:b/>
          <w:bCs/>
        </w:rPr>
        <w:t>Oświadczenie o zgodności z prawem Unii Europejskiej</w:t>
      </w:r>
    </w:p>
    <w:p w14:paraId="0CAD5848" w14:textId="5E420921" w:rsidR="00AB3BDC" w:rsidRPr="00AB3BDC" w:rsidRDefault="00AB3BDC" w:rsidP="00AB3BDC">
      <w:pPr>
        <w:suppressAutoHyphens/>
        <w:spacing w:before="120" w:after="120" w:line="240" w:lineRule="auto"/>
        <w:jc w:val="both"/>
        <w:rPr>
          <w:rStyle w:val="markedcontent"/>
          <w:rFonts w:ascii="Times New Roman" w:hAnsi="Times New Roman" w:cs="Times New Roman"/>
          <w:bCs/>
        </w:rPr>
      </w:pPr>
      <w:r w:rsidRPr="00AB3BDC">
        <w:rPr>
          <w:rFonts w:ascii="Times New Roman" w:hAnsi="Times New Roman" w:cs="Times New Roman"/>
          <w:bCs/>
        </w:rPr>
        <w:t xml:space="preserve">Projekt rozporządzenia jest zgodny z prawem Unii Europejskiej. </w:t>
      </w:r>
    </w:p>
    <w:p w14:paraId="5D368590" w14:textId="00B0F2CE" w:rsidR="00AB3BDC" w:rsidRPr="00AB3BDC" w:rsidRDefault="00AB3BDC" w:rsidP="00AB3BDC">
      <w:pPr>
        <w:pStyle w:val="Akapitzlist"/>
        <w:numPr>
          <w:ilvl w:val="0"/>
          <w:numId w:val="2"/>
        </w:numPr>
        <w:spacing w:before="120" w:after="120" w:line="27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9036F">
        <w:rPr>
          <w:rFonts w:ascii="Times New Roman" w:hAnsi="Times New Roman" w:cs="Times New Roman"/>
          <w:b/>
          <w:bCs/>
          <w:lang w:eastAsia="pl-PL"/>
        </w:rPr>
        <w:t>Ocena potrzeby notyfikacji zgodnie z przepisami dotyczącymi funkcjonowania krajowego systemu notyfikacji norm i aktów prawnych</w:t>
      </w:r>
    </w:p>
    <w:p w14:paraId="29922EC3" w14:textId="0451121F" w:rsidR="00AB3BDC" w:rsidRPr="00AB3BDC" w:rsidRDefault="00AB3BDC" w:rsidP="00AB3BDC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 w:rsidRPr="00AB3BDC">
        <w:rPr>
          <w:rFonts w:ascii="Times New Roman" w:hAnsi="Times New Roman" w:cs="Times New Roman"/>
          <w:bCs/>
        </w:rPr>
        <w:t xml:space="preserve">Projekt rozporządzenia nie podlega procedurze notyfikacji aktów prawnych, określonej w przepisach rozporządzenia Rady Ministrów z dnia 23 grudnia 2002 r. </w:t>
      </w:r>
      <w:r w:rsidRPr="00AB3BDC">
        <w:rPr>
          <w:rFonts w:ascii="Times New Roman" w:hAnsi="Times New Roman" w:cs="Times New Roman"/>
          <w:bCs/>
          <w:i/>
          <w:iCs/>
        </w:rPr>
        <w:t>w sprawie sposobu funkcjonowania krajowego systemu notyfikacji norm i aktów prawnych</w:t>
      </w:r>
      <w:r w:rsidRPr="00AB3BDC">
        <w:rPr>
          <w:rFonts w:ascii="Times New Roman" w:hAnsi="Times New Roman" w:cs="Times New Roman"/>
          <w:bCs/>
        </w:rPr>
        <w:t xml:space="preserve"> (Dz. U. poz. 2039, z późn. zm.).</w:t>
      </w:r>
      <w:r w:rsidR="00B34BDD">
        <w:rPr>
          <w:rFonts w:ascii="Times New Roman" w:hAnsi="Times New Roman" w:cs="Times New Roman"/>
          <w:bCs/>
        </w:rPr>
        <w:t xml:space="preserve"> </w:t>
      </w:r>
    </w:p>
    <w:p w14:paraId="1F5F745F" w14:textId="08B68D8B" w:rsidR="00AB3BDC" w:rsidRPr="00AB3BDC" w:rsidRDefault="00AB3BDC" w:rsidP="00AB3BDC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 w:rsidRPr="00AB3BDC">
        <w:rPr>
          <w:rFonts w:ascii="Times New Roman" w:hAnsi="Times New Roman" w:cs="Times New Roman"/>
          <w:bCs/>
        </w:rPr>
        <w:t>Projekt rozporządzenia nie wymaga przedstawienia właściwym instytucjom</w:t>
      </w:r>
      <w:r w:rsidRPr="00AB3BDC">
        <w:rPr>
          <w:rFonts w:ascii="Times New Roman" w:hAnsi="Times New Roman" w:cs="Times New Roman"/>
          <w:bCs/>
        </w:rPr>
        <w:br/>
        <w:t xml:space="preserve"> i organom Unii Europejskiej, w tym Europejskiemu Bankowi Centralnemu, celem uzyskania opinii, dokonania powiadomienia, konsultacji albo uzgodnienia projektu.</w:t>
      </w:r>
      <w:r w:rsidR="00B34BDD">
        <w:rPr>
          <w:rFonts w:ascii="Times New Roman" w:hAnsi="Times New Roman" w:cs="Times New Roman"/>
          <w:bCs/>
        </w:rPr>
        <w:t xml:space="preserve">  </w:t>
      </w:r>
    </w:p>
    <w:p w14:paraId="1159E320" w14:textId="486FD829" w:rsidR="00AB3BDC" w:rsidRPr="00AB3BDC" w:rsidRDefault="00AB3BDC" w:rsidP="00AB3BDC">
      <w:pPr>
        <w:pStyle w:val="Akapitzlist"/>
        <w:numPr>
          <w:ilvl w:val="0"/>
          <w:numId w:val="2"/>
        </w:numPr>
        <w:spacing w:before="120" w:after="120" w:line="27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91A1F">
        <w:rPr>
          <w:rFonts w:ascii="Times New Roman" w:eastAsiaTheme="minorEastAsia" w:hAnsi="Times New Roman" w:cs="Times New Roman"/>
          <w:b/>
          <w:lang w:eastAsia="pl-PL"/>
        </w:rPr>
        <w:t>Wpływ na mikroprzedsiębiorców oraz małych i średnich przedsiębiorców</w:t>
      </w:r>
    </w:p>
    <w:p w14:paraId="05C46B6C" w14:textId="7F1B3E1F" w:rsidR="00AB3BDC" w:rsidRPr="00AB3BDC" w:rsidRDefault="00AB3BDC" w:rsidP="00AB3BDC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AB3BDC">
        <w:rPr>
          <w:rFonts w:ascii="Times New Roman" w:eastAsiaTheme="minorEastAsia" w:hAnsi="Times New Roman" w:cs="Times New Roman"/>
          <w:lang w:eastAsia="pl-PL"/>
        </w:rPr>
        <w:t>Projekt rozporządzenia nie dotyczy majątkowych praw i obowiązków przedsiębiorców lub praw</w:t>
      </w:r>
      <w:r w:rsidRPr="00AB3BDC">
        <w:rPr>
          <w:rFonts w:ascii="Times New Roman" w:eastAsiaTheme="minorEastAsia" w:hAnsi="Times New Roman" w:cs="Times New Roman"/>
          <w:lang w:eastAsia="pl-PL"/>
        </w:rPr>
        <w:br/>
        <w:t xml:space="preserve"> i obowiązków przedsiębiorców wobec organów administracji publicznej</w:t>
      </w:r>
      <w:r w:rsidR="00B34BDD">
        <w:rPr>
          <w:rFonts w:ascii="Times New Roman" w:eastAsiaTheme="minorEastAsia" w:hAnsi="Times New Roman" w:cs="Times New Roman"/>
          <w:lang w:eastAsia="pl-PL"/>
        </w:rPr>
        <w:t xml:space="preserve"> i </w:t>
      </w:r>
      <w:r w:rsidR="00B34BDD" w:rsidRPr="00D06C79">
        <w:rPr>
          <w:rFonts w:ascii="Times New Roman" w:hAnsi="Times New Roman" w:cs="Times New Roman"/>
          <w:szCs w:val="24"/>
        </w:rPr>
        <w:t>nie wpływa na działalność mikro przedsiębiorców oraz małych i średnich przedsiębiorców</w:t>
      </w:r>
      <w:r w:rsidRPr="00AB3BDC">
        <w:rPr>
          <w:rFonts w:ascii="Times New Roman" w:eastAsiaTheme="minorEastAsia" w:hAnsi="Times New Roman" w:cs="Times New Roman"/>
          <w:lang w:eastAsia="pl-PL"/>
        </w:rPr>
        <w:t xml:space="preserve">. </w:t>
      </w:r>
    </w:p>
    <w:p w14:paraId="2B3A188B" w14:textId="0B4C143C" w:rsidR="00AB3BDC" w:rsidRPr="00291A1F" w:rsidRDefault="00AB3BDC" w:rsidP="00AB3BDC">
      <w:pPr>
        <w:pStyle w:val="Akapitzlist"/>
        <w:numPr>
          <w:ilvl w:val="0"/>
          <w:numId w:val="2"/>
        </w:numPr>
        <w:spacing w:before="120" w:after="120" w:line="27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91A1F">
        <w:rPr>
          <w:rFonts w:ascii="Times New Roman" w:eastAsiaTheme="minorEastAsia" w:hAnsi="Times New Roman" w:cs="Times New Roman"/>
          <w:b/>
          <w:lang w:eastAsia="pl-PL"/>
        </w:rPr>
        <w:t>Informacje na temat konsultacji</w:t>
      </w:r>
    </w:p>
    <w:p w14:paraId="6E7CEF10" w14:textId="20DDFE7B" w:rsidR="00D02454" w:rsidRPr="00291A1F" w:rsidRDefault="00D02454" w:rsidP="00AB3BDC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 w:rsidRPr="00291A1F">
        <w:rPr>
          <w:rFonts w:ascii="Times New Roman" w:hAnsi="Times New Roman" w:cs="Times New Roman"/>
          <w:bCs/>
        </w:rPr>
        <w:t xml:space="preserve">Projekt przedmiotowej regulacji, zgodnie z wymogami określonymi w art. </w:t>
      </w:r>
      <w:r w:rsidR="005D5923" w:rsidRPr="00291A1F">
        <w:rPr>
          <w:rFonts w:ascii="Times New Roman" w:hAnsi="Times New Roman" w:cs="Times New Roman"/>
          <w:bCs/>
        </w:rPr>
        <w:t>5 ustawy</w:t>
      </w:r>
      <w:r w:rsidR="000743E1" w:rsidRPr="00291A1F">
        <w:rPr>
          <w:rFonts w:ascii="Times New Roman" w:hAnsi="Times New Roman" w:cs="Times New Roman"/>
          <w:bCs/>
        </w:rPr>
        <w:t xml:space="preserve"> </w:t>
      </w:r>
      <w:r w:rsidRPr="00291A1F">
        <w:rPr>
          <w:rFonts w:ascii="Times New Roman" w:hAnsi="Times New Roman" w:cs="Times New Roman"/>
          <w:bCs/>
        </w:rPr>
        <w:t xml:space="preserve">z dnia 7 lipca 2005 </w:t>
      </w:r>
      <w:r w:rsidR="00B34BDD">
        <w:rPr>
          <w:rFonts w:ascii="Times New Roman" w:hAnsi="Times New Roman" w:cs="Times New Roman"/>
          <w:bCs/>
        </w:rPr>
        <w:t xml:space="preserve">r. </w:t>
      </w:r>
      <w:r w:rsidRPr="00291A1F">
        <w:rPr>
          <w:rFonts w:ascii="Times New Roman" w:hAnsi="Times New Roman" w:cs="Times New Roman"/>
          <w:bCs/>
        </w:rPr>
        <w:t>o działalności lobbingowej w procesie stosowania prawa</w:t>
      </w:r>
      <w:r w:rsidR="00291A1F">
        <w:rPr>
          <w:rFonts w:ascii="Times New Roman" w:hAnsi="Times New Roman" w:cs="Times New Roman"/>
          <w:bCs/>
        </w:rPr>
        <w:t xml:space="preserve"> </w:t>
      </w:r>
      <w:r w:rsidRPr="00291A1F">
        <w:rPr>
          <w:rFonts w:ascii="Times New Roman" w:hAnsi="Times New Roman" w:cs="Times New Roman"/>
          <w:bCs/>
        </w:rPr>
        <w:t>(Dz. U. z 2017 r. poz. 248), zost</w:t>
      </w:r>
      <w:r w:rsidR="00C66314" w:rsidRPr="00291A1F">
        <w:rPr>
          <w:rFonts w:ascii="Times New Roman" w:hAnsi="Times New Roman" w:cs="Times New Roman"/>
          <w:bCs/>
        </w:rPr>
        <w:t>ał</w:t>
      </w:r>
      <w:r w:rsidR="00291A1F">
        <w:rPr>
          <w:rFonts w:ascii="Times New Roman" w:hAnsi="Times New Roman" w:cs="Times New Roman"/>
          <w:bCs/>
        </w:rPr>
        <w:t xml:space="preserve"> </w:t>
      </w:r>
      <w:r w:rsidRPr="00291A1F">
        <w:rPr>
          <w:rFonts w:ascii="Times New Roman" w:hAnsi="Times New Roman" w:cs="Times New Roman"/>
          <w:bCs/>
        </w:rPr>
        <w:t>udostępniony w Biuletynie Informacji Publicznej</w:t>
      </w:r>
      <w:r w:rsidR="00291A1F">
        <w:rPr>
          <w:rFonts w:ascii="Times New Roman" w:hAnsi="Times New Roman" w:cs="Times New Roman"/>
          <w:bCs/>
        </w:rPr>
        <w:t xml:space="preserve"> </w:t>
      </w:r>
      <w:r w:rsidRPr="00291A1F">
        <w:rPr>
          <w:rFonts w:ascii="Times New Roman" w:hAnsi="Times New Roman" w:cs="Times New Roman"/>
          <w:bCs/>
        </w:rPr>
        <w:t>na stronie podmiotowej Rządowego Centrum Legislacji, w serwisie Rządowy Proces Legislacyjny.</w:t>
      </w:r>
    </w:p>
    <w:p w14:paraId="3FEFBCD5" w14:textId="46A6BB6B" w:rsidR="009B06B7" w:rsidRPr="005C0900" w:rsidRDefault="009B06B7" w:rsidP="00BD174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06B7" w:rsidRPr="005C09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F6D43" w14:textId="77777777" w:rsidR="000A4DAA" w:rsidRDefault="000A4DAA" w:rsidP="005D5923">
      <w:pPr>
        <w:spacing w:after="0" w:line="240" w:lineRule="auto"/>
      </w:pPr>
      <w:r>
        <w:separator/>
      </w:r>
    </w:p>
  </w:endnote>
  <w:endnote w:type="continuationSeparator" w:id="0">
    <w:p w14:paraId="22CF2AB6" w14:textId="77777777" w:rsidR="000A4DAA" w:rsidRDefault="000A4DAA" w:rsidP="005D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17673"/>
      <w:docPartObj>
        <w:docPartGallery w:val="Page Numbers (Bottom of Page)"/>
        <w:docPartUnique/>
      </w:docPartObj>
    </w:sdtPr>
    <w:sdtContent>
      <w:p w14:paraId="1BD40EFD" w14:textId="2CE5B51A" w:rsidR="005D5923" w:rsidRDefault="005D59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463A83" w14:textId="77777777" w:rsidR="005D5923" w:rsidRDefault="005D59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70C6" w14:textId="77777777" w:rsidR="000A4DAA" w:rsidRDefault="000A4DAA" w:rsidP="005D5923">
      <w:pPr>
        <w:spacing w:after="0" w:line="240" w:lineRule="auto"/>
      </w:pPr>
      <w:r>
        <w:separator/>
      </w:r>
    </w:p>
  </w:footnote>
  <w:footnote w:type="continuationSeparator" w:id="0">
    <w:p w14:paraId="557DDBA8" w14:textId="77777777" w:rsidR="000A4DAA" w:rsidRDefault="000A4DAA" w:rsidP="005D5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8BD"/>
    <w:multiLevelType w:val="hybridMultilevel"/>
    <w:tmpl w:val="43AA5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CCB"/>
    <w:multiLevelType w:val="hybridMultilevel"/>
    <w:tmpl w:val="3BCA2586"/>
    <w:lvl w:ilvl="0" w:tplc="341C88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42670"/>
    <w:multiLevelType w:val="hybridMultilevel"/>
    <w:tmpl w:val="AFB09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F2E0C0A"/>
    <w:multiLevelType w:val="hybridMultilevel"/>
    <w:tmpl w:val="9BAA306A"/>
    <w:lvl w:ilvl="0" w:tplc="8F98426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5BCF4EF6"/>
    <w:multiLevelType w:val="hybridMultilevel"/>
    <w:tmpl w:val="B95C7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07101"/>
    <w:multiLevelType w:val="hybridMultilevel"/>
    <w:tmpl w:val="02D61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44E28"/>
    <w:multiLevelType w:val="hybridMultilevel"/>
    <w:tmpl w:val="49B63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7320B"/>
    <w:multiLevelType w:val="hybridMultilevel"/>
    <w:tmpl w:val="C9F2B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3411D"/>
    <w:multiLevelType w:val="hybridMultilevel"/>
    <w:tmpl w:val="01C2B548"/>
    <w:lvl w:ilvl="0" w:tplc="9F9E1A16">
      <w:start w:val="1"/>
      <w:numFmt w:val="decimal"/>
      <w:lvlText w:val="%1."/>
      <w:lvlJc w:val="left"/>
      <w:pPr>
        <w:ind w:left="1030" w:hanging="6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486385">
    <w:abstractNumId w:val="8"/>
  </w:num>
  <w:num w:numId="2" w16cid:durableId="976450387">
    <w:abstractNumId w:val="6"/>
  </w:num>
  <w:num w:numId="3" w16cid:durableId="1985114604">
    <w:abstractNumId w:val="9"/>
  </w:num>
  <w:num w:numId="4" w16cid:durableId="92017509">
    <w:abstractNumId w:val="7"/>
  </w:num>
  <w:num w:numId="5" w16cid:durableId="1793983677">
    <w:abstractNumId w:val="5"/>
  </w:num>
  <w:num w:numId="6" w16cid:durableId="792211363">
    <w:abstractNumId w:val="1"/>
  </w:num>
  <w:num w:numId="7" w16cid:durableId="1056048321">
    <w:abstractNumId w:val="0"/>
  </w:num>
  <w:num w:numId="8" w16cid:durableId="1869685384">
    <w:abstractNumId w:val="2"/>
  </w:num>
  <w:num w:numId="9" w16cid:durableId="68962438">
    <w:abstractNumId w:val="3"/>
  </w:num>
  <w:num w:numId="10" w16cid:durableId="6720260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6F2"/>
    <w:rsid w:val="0000749E"/>
    <w:rsid w:val="00035E96"/>
    <w:rsid w:val="00041653"/>
    <w:rsid w:val="00045B2C"/>
    <w:rsid w:val="00067F40"/>
    <w:rsid w:val="000743E1"/>
    <w:rsid w:val="000A02A8"/>
    <w:rsid w:val="000A4DAA"/>
    <w:rsid w:val="000A7242"/>
    <w:rsid w:val="000C14BD"/>
    <w:rsid w:val="000C6629"/>
    <w:rsid w:val="000E3E4D"/>
    <w:rsid w:val="000E7274"/>
    <w:rsid w:val="000F0037"/>
    <w:rsid w:val="000F38A9"/>
    <w:rsid w:val="00103236"/>
    <w:rsid w:val="0010575D"/>
    <w:rsid w:val="00107D4A"/>
    <w:rsid w:val="00146021"/>
    <w:rsid w:val="0015508A"/>
    <w:rsid w:val="00155D63"/>
    <w:rsid w:val="00161A29"/>
    <w:rsid w:val="001B3F89"/>
    <w:rsid w:val="001B4922"/>
    <w:rsid w:val="001B7B48"/>
    <w:rsid w:val="001C1DBF"/>
    <w:rsid w:val="001E27A0"/>
    <w:rsid w:val="001E39DE"/>
    <w:rsid w:val="001E72E2"/>
    <w:rsid w:val="001F50A0"/>
    <w:rsid w:val="002004D7"/>
    <w:rsid w:val="002026F1"/>
    <w:rsid w:val="00220506"/>
    <w:rsid w:val="00242976"/>
    <w:rsid w:val="00246CB6"/>
    <w:rsid w:val="00263899"/>
    <w:rsid w:val="00291A1F"/>
    <w:rsid w:val="002A4532"/>
    <w:rsid w:val="002C1C02"/>
    <w:rsid w:val="002C2A1E"/>
    <w:rsid w:val="002D7ECC"/>
    <w:rsid w:val="002F2AD1"/>
    <w:rsid w:val="00305307"/>
    <w:rsid w:val="003054AF"/>
    <w:rsid w:val="00313A36"/>
    <w:rsid w:val="00322A7B"/>
    <w:rsid w:val="0033567D"/>
    <w:rsid w:val="003379B5"/>
    <w:rsid w:val="00347ED7"/>
    <w:rsid w:val="00374AA7"/>
    <w:rsid w:val="00375516"/>
    <w:rsid w:val="003907CB"/>
    <w:rsid w:val="00392C77"/>
    <w:rsid w:val="003A3F7C"/>
    <w:rsid w:val="003A7794"/>
    <w:rsid w:val="003A7E0A"/>
    <w:rsid w:val="003B115A"/>
    <w:rsid w:val="003B681C"/>
    <w:rsid w:val="003B6ACD"/>
    <w:rsid w:val="003B7816"/>
    <w:rsid w:val="003D74B3"/>
    <w:rsid w:val="003F0415"/>
    <w:rsid w:val="003F1438"/>
    <w:rsid w:val="003F7FC3"/>
    <w:rsid w:val="00402007"/>
    <w:rsid w:val="0041271B"/>
    <w:rsid w:val="004255A6"/>
    <w:rsid w:val="00431490"/>
    <w:rsid w:val="0044586C"/>
    <w:rsid w:val="004470F0"/>
    <w:rsid w:val="00463DB9"/>
    <w:rsid w:val="00474EEA"/>
    <w:rsid w:val="004814E6"/>
    <w:rsid w:val="0048519B"/>
    <w:rsid w:val="004868A5"/>
    <w:rsid w:val="00490101"/>
    <w:rsid w:val="00490D4B"/>
    <w:rsid w:val="004973E2"/>
    <w:rsid w:val="004A24F3"/>
    <w:rsid w:val="004A2ED9"/>
    <w:rsid w:val="004A4E5B"/>
    <w:rsid w:val="004C6F18"/>
    <w:rsid w:val="004C73F7"/>
    <w:rsid w:val="004C7896"/>
    <w:rsid w:val="004D16AE"/>
    <w:rsid w:val="004D681B"/>
    <w:rsid w:val="004E06A5"/>
    <w:rsid w:val="004E7D93"/>
    <w:rsid w:val="005002C4"/>
    <w:rsid w:val="005112E2"/>
    <w:rsid w:val="00524D48"/>
    <w:rsid w:val="00527A14"/>
    <w:rsid w:val="0053370A"/>
    <w:rsid w:val="00537AF8"/>
    <w:rsid w:val="00550951"/>
    <w:rsid w:val="00585E1C"/>
    <w:rsid w:val="00586BA3"/>
    <w:rsid w:val="005A6C09"/>
    <w:rsid w:val="005B1123"/>
    <w:rsid w:val="005C0900"/>
    <w:rsid w:val="005C5FFE"/>
    <w:rsid w:val="005C77F6"/>
    <w:rsid w:val="005D5923"/>
    <w:rsid w:val="005D743D"/>
    <w:rsid w:val="005F2F00"/>
    <w:rsid w:val="005F3885"/>
    <w:rsid w:val="00632095"/>
    <w:rsid w:val="0066283B"/>
    <w:rsid w:val="006633A5"/>
    <w:rsid w:val="00670024"/>
    <w:rsid w:val="006836B5"/>
    <w:rsid w:val="0068628A"/>
    <w:rsid w:val="006947E7"/>
    <w:rsid w:val="0069659A"/>
    <w:rsid w:val="006A761E"/>
    <w:rsid w:val="006A7D45"/>
    <w:rsid w:val="006B2CD5"/>
    <w:rsid w:val="006B2F3C"/>
    <w:rsid w:val="006B361C"/>
    <w:rsid w:val="006B3875"/>
    <w:rsid w:val="006D31CD"/>
    <w:rsid w:val="006D6A9D"/>
    <w:rsid w:val="006E53FD"/>
    <w:rsid w:val="006E60E6"/>
    <w:rsid w:val="006E67F9"/>
    <w:rsid w:val="006F7CB9"/>
    <w:rsid w:val="00720FD0"/>
    <w:rsid w:val="007225F5"/>
    <w:rsid w:val="00743478"/>
    <w:rsid w:val="007443CF"/>
    <w:rsid w:val="00753BCC"/>
    <w:rsid w:val="007561F7"/>
    <w:rsid w:val="00760A3D"/>
    <w:rsid w:val="00771DDC"/>
    <w:rsid w:val="0078404C"/>
    <w:rsid w:val="007868C9"/>
    <w:rsid w:val="00787459"/>
    <w:rsid w:val="007942D9"/>
    <w:rsid w:val="0079664C"/>
    <w:rsid w:val="007A16DA"/>
    <w:rsid w:val="007B41AF"/>
    <w:rsid w:val="007B6DB5"/>
    <w:rsid w:val="007C376B"/>
    <w:rsid w:val="008064FE"/>
    <w:rsid w:val="00811D5D"/>
    <w:rsid w:val="00816F31"/>
    <w:rsid w:val="00820DBB"/>
    <w:rsid w:val="008435A4"/>
    <w:rsid w:val="008435D6"/>
    <w:rsid w:val="00862FE1"/>
    <w:rsid w:val="00866801"/>
    <w:rsid w:val="008752D8"/>
    <w:rsid w:val="0089036F"/>
    <w:rsid w:val="008A5BCD"/>
    <w:rsid w:val="008B46D5"/>
    <w:rsid w:val="008B6782"/>
    <w:rsid w:val="008E3280"/>
    <w:rsid w:val="00910BCB"/>
    <w:rsid w:val="00911E89"/>
    <w:rsid w:val="0093291C"/>
    <w:rsid w:val="009608DB"/>
    <w:rsid w:val="00976524"/>
    <w:rsid w:val="009954B8"/>
    <w:rsid w:val="009A6B27"/>
    <w:rsid w:val="009A7507"/>
    <w:rsid w:val="009B06B7"/>
    <w:rsid w:val="009D17D5"/>
    <w:rsid w:val="009D7847"/>
    <w:rsid w:val="00A055AA"/>
    <w:rsid w:val="00A17451"/>
    <w:rsid w:val="00A52AA6"/>
    <w:rsid w:val="00A876F2"/>
    <w:rsid w:val="00AB1180"/>
    <w:rsid w:val="00AB3BDC"/>
    <w:rsid w:val="00AC302A"/>
    <w:rsid w:val="00AD13E5"/>
    <w:rsid w:val="00AE426C"/>
    <w:rsid w:val="00B05C34"/>
    <w:rsid w:val="00B14DF5"/>
    <w:rsid w:val="00B20A2E"/>
    <w:rsid w:val="00B34BDD"/>
    <w:rsid w:val="00B50CA0"/>
    <w:rsid w:val="00B52DD1"/>
    <w:rsid w:val="00B87DE3"/>
    <w:rsid w:val="00B90FCD"/>
    <w:rsid w:val="00B96DF3"/>
    <w:rsid w:val="00BB66B4"/>
    <w:rsid w:val="00BC5CF2"/>
    <w:rsid w:val="00BD1744"/>
    <w:rsid w:val="00BD2590"/>
    <w:rsid w:val="00BE0682"/>
    <w:rsid w:val="00BE43B5"/>
    <w:rsid w:val="00BF6332"/>
    <w:rsid w:val="00C10ED1"/>
    <w:rsid w:val="00C12FF6"/>
    <w:rsid w:val="00C2576F"/>
    <w:rsid w:val="00C30679"/>
    <w:rsid w:val="00C30A4A"/>
    <w:rsid w:val="00C34D5A"/>
    <w:rsid w:val="00C4547B"/>
    <w:rsid w:val="00C549B8"/>
    <w:rsid w:val="00C66314"/>
    <w:rsid w:val="00C80286"/>
    <w:rsid w:val="00C81B60"/>
    <w:rsid w:val="00CA11F1"/>
    <w:rsid w:val="00CA465A"/>
    <w:rsid w:val="00CA5C87"/>
    <w:rsid w:val="00CB2F27"/>
    <w:rsid w:val="00CC5E2B"/>
    <w:rsid w:val="00CE7310"/>
    <w:rsid w:val="00D02454"/>
    <w:rsid w:val="00D05D1D"/>
    <w:rsid w:val="00D112A8"/>
    <w:rsid w:val="00D34C20"/>
    <w:rsid w:val="00D36A43"/>
    <w:rsid w:val="00D51E9B"/>
    <w:rsid w:val="00D622E6"/>
    <w:rsid w:val="00D62705"/>
    <w:rsid w:val="00D91D66"/>
    <w:rsid w:val="00DB5E3B"/>
    <w:rsid w:val="00DC1E78"/>
    <w:rsid w:val="00DC2AEB"/>
    <w:rsid w:val="00DC6D55"/>
    <w:rsid w:val="00DE3DFA"/>
    <w:rsid w:val="00E02935"/>
    <w:rsid w:val="00E12BD1"/>
    <w:rsid w:val="00E30067"/>
    <w:rsid w:val="00E31EF2"/>
    <w:rsid w:val="00E406C9"/>
    <w:rsid w:val="00E42D8E"/>
    <w:rsid w:val="00E53A1D"/>
    <w:rsid w:val="00E71CC9"/>
    <w:rsid w:val="00E94F1F"/>
    <w:rsid w:val="00EA3B2C"/>
    <w:rsid w:val="00EB5B3F"/>
    <w:rsid w:val="00EC3234"/>
    <w:rsid w:val="00ED67E2"/>
    <w:rsid w:val="00EE0F6A"/>
    <w:rsid w:val="00EE16EC"/>
    <w:rsid w:val="00EE6ABE"/>
    <w:rsid w:val="00EF5D3E"/>
    <w:rsid w:val="00F103D2"/>
    <w:rsid w:val="00F134C6"/>
    <w:rsid w:val="00F23CAE"/>
    <w:rsid w:val="00F47ACE"/>
    <w:rsid w:val="00F67BF9"/>
    <w:rsid w:val="00F70F40"/>
    <w:rsid w:val="00F834A4"/>
    <w:rsid w:val="00F85EDE"/>
    <w:rsid w:val="00F90E63"/>
    <w:rsid w:val="00F91636"/>
    <w:rsid w:val="00F96518"/>
    <w:rsid w:val="00FA4456"/>
    <w:rsid w:val="00FB7DA8"/>
    <w:rsid w:val="00FD317A"/>
    <w:rsid w:val="00FD7EBD"/>
    <w:rsid w:val="00FE0E1C"/>
    <w:rsid w:val="00FE2F21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242F"/>
  <w15:chartTrackingRefBased/>
  <w15:docId w15:val="{E4FC121D-5310-4733-A591-DEB2C7CC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B7DA8"/>
  </w:style>
  <w:style w:type="paragraph" w:styleId="Akapitzlist">
    <w:name w:val="List Paragraph"/>
    <w:basedOn w:val="Normalny"/>
    <w:link w:val="AkapitzlistZnak"/>
    <w:uiPriority w:val="34"/>
    <w:qFormat/>
    <w:rsid w:val="0041271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A02A8"/>
  </w:style>
  <w:style w:type="character" w:styleId="Odwoaniedokomentarza">
    <w:name w:val="annotation reference"/>
    <w:basedOn w:val="Domylnaczcionkaakapitu"/>
    <w:uiPriority w:val="99"/>
    <w:semiHidden/>
    <w:unhideWhenUsed/>
    <w:rsid w:val="00F70F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0F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0F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F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F4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923"/>
  </w:style>
  <w:style w:type="paragraph" w:styleId="Stopka">
    <w:name w:val="footer"/>
    <w:basedOn w:val="Normalny"/>
    <w:link w:val="StopkaZnak"/>
    <w:uiPriority w:val="99"/>
    <w:unhideWhenUsed/>
    <w:rsid w:val="005D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923"/>
  </w:style>
  <w:style w:type="paragraph" w:styleId="Poprawka">
    <w:name w:val="Revision"/>
    <w:hidden/>
    <w:uiPriority w:val="99"/>
    <w:semiHidden/>
    <w:rsid w:val="007B6DB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C37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76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045B2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B2C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B3BDC"/>
    <w:rPr>
      <w:b/>
      <w:bCs/>
    </w:rPr>
  </w:style>
  <w:style w:type="paragraph" w:customStyle="1" w:styleId="ZPKTzmpktartykuempunktem">
    <w:name w:val="Z/PKT – zm. pkt artykułem (punktem)"/>
    <w:basedOn w:val="PKTpunkt"/>
    <w:uiPriority w:val="31"/>
    <w:qFormat/>
    <w:rsid w:val="00585E1C"/>
    <w:pPr>
      <w:ind w:left="1020"/>
    </w:pPr>
  </w:style>
  <w:style w:type="paragraph" w:customStyle="1" w:styleId="PKTpunkt">
    <w:name w:val="PKT – punkt"/>
    <w:uiPriority w:val="13"/>
    <w:qFormat/>
    <w:rsid w:val="00585E1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EA3B2C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A055A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A055AA"/>
    <w:pPr>
      <w:spacing w:before="0"/>
    </w:pPr>
    <w:rPr>
      <w:bCs/>
    </w:rPr>
  </w:style>
  <w:style w:type="character" w:customStyle="1" w:styleId="Ppogrubienie">
    <w:name w:val="_P_ – pogrubienie"/>
    <w:basedOn w:val="Domylnaczcionkaakapitu"/>
    <w:uiPriority w:val="1"/>
    <w:qFormat/>
    <w:rsid w:val="00A055A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Kaczorek</dc:creator>
  <cp:keywords/>
  <dc:description/>
  <cp:lastModifiedBy>ZAWADZKI Kamil</cp:lastModifiedBy>
  <cp:revision>7</cp:revision>
  <cp:lastPrinted>2023-03-14T11:39:00Z</cp:lastPrinted>
  <dcterms:created xsi:type="dcterms:W3CDTF">2023-03-16T12:33:00Z</dcterms:created>
  <dcterms:modified xsi:type="dcterms:W3CDTF">2023-03-16T16:42:00Z</dcterms:modified>
</cp:coreProperties>
</file>