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4991" w14:textId="70C8C36D" w:rsidR="007C4C14" w:rsidRDefault="007C4C14" w:rsidP="00727C77">
      <w:pPr>
        <w:pStyle w:val="OZNPROJEKTUwskazaniedatylubwersjiprojektu"/>
      </w:pPr>
      <w:bookmarkStart w:id="0" w:name="_GoBack"/>
      <w:bookmarkEnd w:id="0"/>
      <w:r>
        <w:t>Projekt z dnia 21.02.2023 r.</w:t>
      </w:r>
    </w:p>
    <w:p w14:paraId="3A00E54C" w14:textId="77777777" w:rsidR="00A600D5" w:rsidRPr="00A600D5" w:rsidRDefault="00A600D5" w:rsidP="00A600D5">
      <w:pPr>
        <w:pStyle w:val="OZNRODZAKTUtznustawalubrozporzdzenieiorganwydajcy"/>
      </w:pPr>
      <w:r w:rsidRPr="00A600D5">
        <w:t>ROZPORZĄDZENIE</w:t>
      </w:r>
    </w:p>
    <w:p w14:paraId="4F697903" w14:textId="7A9EADC7" w:rsidR="00A600D5" w:rsidRPr="00F92961" w:rsidRDefault="00F92961" w:rsidP="00A600D5">
      <w:pPr>
        <w:pStyle w:val="OZNRODZAKTUtznustawalubrozporzdzenieiorganwydajcy"/>
        <w:rPr>
          <w:rStyle w:val="IGindeksgrny"/>
        </w:rPr>
      </w:pPr>
      <w:r>
        <w:t>MINISTRA INFRASTRUKTURY</w:t>
      </w:r>
      <w:r w:rsidRPr="00F92961">
        <w:rPr>
          <w:rStyle w:val="IGPindeksgrnyipogrubienie"/>
        </w:rPr>
        <w:footnoteReference w:id="1"/>
      </w:r>
      <w:r w:rsidRPr="00F92961">
        <w:rPr>
          <w:rStyle w:val="IGPindeksgrnyipogrubienie"/>
        </w:rPr>
        <w:t>)</w:t>
      </w:r>
    </w:p>
    <w:p w14:paraId="1C545137" w14:textId="405D20E6" w:rsidR="00A600D5" w:rsidRPr="00A600D5" w:rsidRDefault="00A600D5" w:rsidP="00A600D5">
      <w:pPr>
        <w:pStyle w:val="DATAAKTUdatauchwalenialubwydaniaaktu"/>
      </w:pPr>
      <w:r w:rsidRPr="00A600D5">
        <w:t xml:space="preserve">z dnia </w:t>
      </w:r>
      <w:r w:rsidR="00F107DA" w:rsidRPr="00383DDC">
        <w:t xml:space="preserve">&lt;data wydania aktu&gt; </w:t>
      </w:r>
      <w:r w:rsidRPr="00A600D5">
        <w:t>2023 r.</w:t>
      </w:r>
    </w:p>
    <w:p w14:paraId="69BC7EC0" w14:textId="339E5319" w:rsidR="00A600D5" w:rsidRPr="00A600D5" w:rsidRDefault="00A600D5" w:rsidP="00A600D5">
      <w:pPr>
        <w:pStyle w:val="TYTUAKTUprzedmiotregulacjiustawylubrozporzdzenia"/>
      </w:pPr>
      <w:r w:rsidRPr="00A600D5">
        <w:t>w sprawie sposobu ustalenia liczby pojazdów zaliczanych do końcowej partii produkcji oraz wzorów</w:t>
      </w:r>
      <w:r w:rsidR="00F92961">
        <w:t xml:space="preserve"> dokumentów z tym związanych</w:t>
      </w:r>
      <w:r w:rsidR="00F92961" w:rsidRPr="00F92961">
        <w:rPr>
          <w:rStyle w:val="IGPindeksgrnyipogrubienie"/>
        </w:rPr>
        <w:footnoteReference w:id="2"/>
      </w:r>
      <w:r w:rsidR="00F92961" w:rsidRPr="00F92961">
        <w:rPr>
          <w:rStyle w:val="IGPindeksgrnyipogrubienie"/>
        </w:rPr>
        <w:t>)</w:t>
      </w:r>
      <w:r w:rsidR="000602ED">
        <w:rPr>
          <w:rStyle w:val="Odwoanieprzypisudolnego"/>
          <w:b w:val="0"/>
        </w:rPr>
        <w:footnoteReference w:id="3"/>
      </w:r>
      <w:r w:rsidR="000602ED">
        <w:rPr>
          <w:rStyle w:val="IGPindeksgrnyipogrubienie"/>
        </w:rPr>
        <w:t>)</w:t>
      </w:r>
    </w:p>
    <w:p w14:paraId="7F57686F" w14:textId="745D7E2D" w:rsidR="00A600D5" w:rsidRPr="00A600D5" w:rsidRDefault="00A600D5" w:rsidP="000602ED">
      <w:pPr>
        <w:pStyle w:val="NIEARTTEKSTtekstnieartykuowanynppodstprawnarozplubpreambua"/>
      </w:pPr>
      <w:r w:rsidRPr="00A600D5">
        <w:t>Na podstawie art. 56 ustawy z dnia … 2023 r. o systemach homologacji pojazdów oraz ich wyposażenia (Dz. U. poz. …) zarządza się, co następuje:</w:t>
      </w:r>
    </w:p>
    <w:p w14:paraId="574E5E9D" w14:textId="77777777" w:rsidR="00A600D5" w:rsidRPr="00A600D5" w:rsidRDefault="00A600D5" w:rsidP="00A600D5">
      <w:pPr>
        <w:pStyle w:val="ARTartustawynprozporzdzenia"/>
        <w:keepNext/>
      </w:pPr>
      <w:r w:rsidRPr="00A600D5">
        <w:rPr>
          <w:rStyle w:val="Ppogrubienie"/>
        </w:rPr>
        <w:t>§ 1.</w:t>
      </w:r>
      <w:r>
        <w:t> </w:t>
      </w:r>
      <w:r w:rsidRPr="00A600D5">
        <w:t xml:space="preserve"> Rozporządzenie określa:</w:t>
      </w:r>
    </w:p>
    <w:p w14:paraId="74908346" w14:textId="44C4C8D6" w:rsidR="00A600D5" w:rsidRPr="00A600D5" w:rsidRDefault="00A600D5" w:rsidP="00A600D5">
      <w:pPr>
        <w:pStyle w:val="PKTpunkt"/>
      </w:pPr>
      <w:r w:rsidRPr="00A600D5">
        <w:t>1)</w:t>
      </w:r>
      <w:r>
        <w:tab/>
      </w:r>
      <w:r w:rsidRPr="00A600D5">
        <w:t>sposób ustalenia liczby pojazdów zaliczanych do procedury końcowej partii produkcji</w:t>
      </w:r>
      <w:r w:rsidR="007C4C14">
        <w:t>;</w:t>
      </w:r>
    </w:p>
    <w:p w14:paraId="67091741" w14:textId="77777777" w:rsidR="00A600D5" w:rsidRPr="00A600D5" w:rsidRDefault="00A600D5" w:rsidP="00A600D5">
      <w:pPr>
        <w:pStyle w:val="PKTpunkt"/>
      </w:pPr>
      <w:r w:rsidRPr="00A600D5">
        <w:t>2)</w:t>
      </w:r>
      <w:r>
        <w:tab/>
      </w:r>
      <w:r w:rsidRPr="00A600D5">
        <w:t>wzory dokumentów związanych z procedurą końcowej partii produkcji.</w:t>
      </w:r>
    </w:p>
    <w:p w14:paraId="62CDF825" w14:textId="77777777" w:rsidR="00A600D5" w:rsidRPr="00A600D5" w:rsidRDefault="00A600D5" w:rsidP="000602ED">
      <w:pPr>
        <w:pStyle w:val="USTustnpkodeksu"/>
      </w:pPr>
      <w:r w:rsidRPr="00A600D5">
        <w:rPr>
          <w:rStyle w:val="Ppogrubienie"/>
        </w:rPr>
        <w:t>§  2.</w:t>
      </w:r>
      <w:r>
        <w:t> </w:t>
      </w:r>
      <w:r w:rsidRPr="00A600D5">
        <w:t>1. Maksymalna liczba pojazdów kompletnych i skompletowanych jednego lub więcej typów pojazdów zaliczanych do końcowej partii produkcji nie może przekraczać w przypadku pojazdów kategorii M</w:t>
      </w:r>
      <w:r w:rsidRPr="004F50D3">
        <w:rPr>
          <w:rStyle w:val="IDindeksdolny"/>
        </w:rPr>
        <w:t>1</w:t>
      </w:r>
      <w:r w:rsidRPr="00A600D5">
        <w:t xml:space="preserve"> - 10% lub M</w:t>
      </w:r>
      <w:r w:rsidRPr="004F50D3">
        <w:rPr>
          <w:rStyle w:val="IDindeksdolny"/>
        </w:rPr>
        <w:t>2</w:t>
      </w:r>
      <w:r w:rsidRPr="00A600D5">
        <w:t>, M</w:t>
      </w:r>
      <w:r w:rsidRPr="004F50D3">
        <w:rPr>
          <w:rStyle w:val="IDindeksdolny"/>
        </w:rPr>
        <w:t>3</w:t>
      </w:r>
      <w:r w:rsidRPr="00A600D5">
        <w:t>, N, O - 30% pojazdów wszystkich tych typów wprowadzonych do obrotu na terytorium Rzeczypospolitej Polskiej w ciągu:</w:t>
      </w:r>
    </w:p>
    <w:p w14:paraId="12B593FD" w14:textId="77777777" w:rsidR="00A600D5" w:rsidRPr="00A600D5" w:rsidRDefault="00A600D5" w:rsidP="000602ED">
      <w:pPr>
        <w:pStyle w:val="PKTpunkt"/>
      </w:pPr>
      <w:r w:rsidRPr="00A600D5">
        <w:lastRenderedPageBreak/>
        <w:t>a)</w:t>
      </w:r>
      <w:r>
        <w:tab/>
      </w:r>
      <w:r w:rsidRPr="00A600D5">
        <w:t>12 miesięcy w przypadku pojazdów kompletnych lub</w:t>
      </w:r>
    </w:p>
    <w:p w14:paraId="5AFAFDA4" w14:textId="77777777" w:rsidR="00A600D5" w:rsidRPr="00A600D5" w:rsidRDefault="00A600D5" w:rsidP="000602ED">
      <w:pPr>
        <w:pStyle w:val="PKTpunkt"/>
      </w:pPr>
      <w:r w:rsidRPr="00A600D5">
        <w:t>b)</w:t>
      </w:r>
      <w:r>
        <w:tab/>
      </w:r>
      <w:r w:rsidRPr="00A600D5">
        <w:t>18 miesięcy w przypadku pojazdów skompletowanych</w:t>
      </w:r>
    </w:p>
    <w:p w14:paraId="69E16746" w14:textId="45E88000" w:rsidR="00A600D5" w:rsidRPr="00A600D5" w:rsidRDefault="00A600D5" w:rsidP="000602ED">
      <w:pPr>
        <w:pStyle w:val="CZWSPPKTczwsplnapunktw"/>
      </w:pPr>
      <w:r>
        <w:t>– </w:t>
      </w:r>
      <w:r w:rsidRPr="00A600D5">
        <w:t>przed dniem wygaśnięcia świadectwa homologacji typu UE albo świadectwa homologacji typu WE pojazdu albo świadectwa krajowej homologacji typu pojazdu</w:t>
      </w:r>
      <w:r w:rsidR="000602ED">
        <w:t>.</w:t>
      </w:r>
    </w:p>
    <w:p w14:paraId="0743DB73" w14:textId="77777777" w:rsidR="00A600D5" w:rsidRPr="00A600D5" w:rsidRDefault="00A600D5" w:rsidP="00A600D5">
      <w:pPr>
        <w:pStyle w:val="USTustnpkodeksu"/>
      </w:pPr>
      <w:r w:rsidRPr="00A600D5">
        <w:t>2.</w:t>
      </w:r>
      <w:r>
        <w:t> </w:t>
      </w:r>
      <w:r w:rsidRPr="00A600D5">
        <w:t>Jeżeli liczba odpowiadająca odpowiednio 10% albo 30%, o których mowa w ust. 1, jest mniejsza niż 100, maksymalna liczba pojazdów kompletnych i skompletowanych jednego lub więcej typów pojazdów zaliczanych do końcowej partii produkcji nie może przekraczać 100 pojazdów.</w:t>
      </w:r>
    </w:p>
    <w:p w14:paraId="51467749" w14:textId="77777777" w:rsidR="00A600D5" w:rsidRPr="00A600D5" w:rsidRDefault="00A600D5" w:rsidP="000602ED">
      <w:pPr>
        <w:pStyle w:val="USTustnpkodeksu"/>
      </w:pPr>
      <w:r w:rsidRPr="00A600D5">
        <w:rPr>
          <w:rStyle w:val="Ppogrubienie"/>
        </w:rPr>
        <w:t>§  3.</w:t>
      </w:r>
      <w:r>
        <w:t> </w:t>
      </w:r>
      <w:r w:rsidRPr="00A600D5">
        <w:t>1. W przypadku pojazdów kategorii T, C, R oraz S maksymalna liczba pojazdów jednego lub więcej typów pojazdów zaliczanych do końcowej partii produkcji nie może przekraczać 10% pojazdów wszystkich tych typów wprowadzonych do obrotu na terytorium Rzeczypospolitej Polskiej w ciągu:</w:t>
      </w:r>
    </w:p>
    <w:p w14:paraId="175B0151" w14:textId="77777777" w:rsidR="00A600D5" w:rsidRPr="00A600D5" w:rsidRDefault="00A600D5" w:rsidP="000602ED">
      <w:pPr>
        <w:pStyle w:val="PKTpunkt"/>
      </w:pPr>
      <w:r w:rsidRPr="00A600D5">
        <w:t>a)</w:t>
      </w:r>
      <w:r>
        <w:tab/>
      </w:r>
      <w:r w:rsidRPr="00A600D5">
        <w:t>24 miesięcy w przypadku pojazdów kompletnych lub</w:t>
      </w:r>
    </w:p>
    <w:p w14:paraId="194E3314" w14:textId="77777777" w:rsidR="00A600D5" w:rsidRPr="00A600D5" w:rsidRDefault="00A600D5" w:rsidP="000602ED">
      <w:pPr>
        <w:pStyle w:val="PKTpunkt"/>
      </w:pPr>
      <w:r w:rsidRPr="00A600D5">
        <w:t>b)</w:t>
      </w:r>
      <w:r>
        <w:tab/>
      </w:r>
      <w:r w:rsidRPr="00A600D5">
        <w:t>30 miesięcy w przypadku pojazdów skompletowanych</w:t>
      </w:r>
    </w:p>
    <w:p w14:paraId="680A5803" w14:textId="77777777" w:rsidR="00A600D5" w:rsidRPr="00A600D5" w:rsidRDefault="00A600D5" w:rsidP="000602ED">
      <w:pPr>
        <w:pStyle w:val="CZWSPPKTczwsplnapunktw"/>
      </w:pPr>
      <w:r>
        <w:t>– </w:t>
      </w:r>
      <w:r w:rsidRPr="00A600D5">
        <w:t>przed dniem wygaśnięcia świadectwa homologacji typu UE albo świadectwa homologacji typu pojazdu WE pojazdu albo świadectwa krajowej homologacji typu pojazdu.</w:t>
      </w:r>
    </w:p>
    <w:p w14:paraId="6FDF4B72" w14:textId="77777777" w:rsidR="00A600D5" w:rsidRPr="00A600D5" w:rsidRDefault="00A600D5" w:rsidP="00A600D5">
      <w:pPr>
        <w:pStyle w:val="USTustnpkodeksu"/>
      </w:pPr>
      <w:r w:rsidRPr="00A600D5">
        <w:t>2.</w:t>
      </w:r>
      <w:r>
        <w:t> </w:t>
      </w:r>
      <w:r w:rsidRPr="00A600D5">
        <w:t>Maksymalna liczba pojazdów, o której mowa w ust. 1, nie może być mniejsza niż 20.</w:t>
      </w:r>
    </w:p>
    <w:p w14:paraId="645E44E1" w14:textId="77777777" w:rsidR="00A600D5" w:rsidRPr="00A600D5" w:rsidRDefault="00A600D5" w:rsidP="000602ED">
      <w:pPr>
        <w:pStyle w:val="USTustnpkodeksu"/>
      </w:pPr>
      <w:r w:rsidRPr="00A600D5">
        <w:rPr>
          <w:rStyle w:val="Ppogrubienie"/>
        </w:rPr>
        <w:t>§  4.</w:t>
      </w:r>
      <w:r>
        <w:t> </w:t>
      </w:r>
      <w:r w:rsidRPr="00A600D5">
        <w:t>1. W przypadku pojazdów kategorii L maksymalna liczba pojazdów jednego lub więcej typów pojazdów zaliczanych do końcowej partii produkcji nie może przekraczać 10% pojazdów wszystkich tych typów wprowadzonych do obrotu na terytorium Rzeczypospolitej Polskiej w ciągu:</w:t>
      </w:r>
    </w:p>
    <w:p w14:paraId="0F855E4F" w14:textId="77777777" w:rsidR="00A600D5" w:rsidRPr="00A600D5" w:rsidRDefault="00A600D5" w:rsidP="000602ED">
      <w:pPr>
        <w:pStyle w:val="PKTpunkt"/>
      </w:pPr>
      <w:r w:rsidRPr="00A600D5">
        <w:t>a)</w:t>
      </w:r>
      <w:r>
        <w:tab/>
      </w:r>
      <w:r w:rsidRPr="00A600D5">
        <w:t>24 miesięcy w przypadku pojazdów kompletnych lub</w:t>
      </w:r>
    </w:p>
    <w:p w14:paraId="0A7FA5C3" w14:textId="77777777" w:rsidR="00A600D5" w:rsidRPr="00A600D5" w:rsidRDefault="00A600D5" w:rsidP="000602ED">
      <w:pPr>
        <w:pStyle w:val="PKTpunkt"/>
      </w:pPr>
      <w:r w:rsidRPr="00A600D5">
        <w:t>b)</w:t>
      </w:r>
      <w:r>
        <w:tab/>
      </w:r>
      <w:r w:rsidRPr="00A600D5">
        <w:t>30 miesięcy w przypadku pojazdów skompletowanych</w:t>
      </w:r>
    </w:p>
    <w:p w14:paraId="5E06F1FF" w14:textId="77777777" w:rsidR="00A600D5" w:rsidRPr="00A600D5" w:rsidRDefault="00A600D5" w:rsidP="000602ED">
      <w:pPr>
        <w:pStyle w:val="CZWSPPKTczwsplnapunktw"/>
      </w:pPr>
      <w:r>
        <w:t>– </w:t>
      </w:r>
      <w:r w:rsidRPr="00A600D5">
        <w:t>przed dniem wygaśnięcia świadectwa homologacji typu UE albo świadectwa homologacji typu pojazdu WE pojazdu.</w:t>
      </w:r>
    </w:p>
    <w:p w14:paraId="4B7E9A67" w14:textId="77777777" w:rsidR="00A600D5" w:rsidRPr="00A600D5" w:rsidRDefault="00A600D5" w:rsidP="00A600D5">
      <w:pPr>
        <w:pStyle w:val="USTustnpkodeksu"/>
      </w:pPr>
      <w:r w:rsidRPr="00A600D5">
        <w:t>2.</w:t>
      </w:r>
      <w:r>
        <w:t> </w:t>
      </w:r>
      <w:r w:rsidRPr="00A600D5">
        <w:t>Jeżeli liczba odpowiadająca 10%, o których mowa w ust. 1, jest mniejsza niż 100, maksymalna liczba pojazdów jednego lub więcej typów pojazdów zaliczanych do końcowej partii produkcji nie może przekraczać 100 pojazdów.</w:t>
      </w:r>
    </w:p>
    <w:p w14:paraId="52F6484B" w14:textId="77777777" w:rsidR="00A600D5" w:rsidRPr="00A600D5" w:rsidRDefault="00A600D5" w:rsidP="000602ED">
      <w:pPr>
        <w:pStyle w:val="USTustnpkodeksu"/>
      </w:pPr>
      <w:r w:rsidRPr="00A600D5">
        <w:rPr>
          <w:rStyle w:val="Ppogrubienie"/>
        </w:rPr>
        <w:t>§  5.</w:t>
      </w:r>
      <w:r>
        <w:t> </w:t>
      </w:r>
      <w:r w:rsidRPr="00A600D5">
        <w:t>1. Wzór wniosku o wydanie zezwolenia na dopuszczenie do ruchu drogowego pojazdu z końcowej partii produkcji określa załącznik nr 1 do rozporządzenia.</w:t>
      </w:r>
    </w:p>
    <w:p w14:paraId="4D404E25" w14:textId="77777777" w:rsidR="00A600D5" w:rsidRPr="00A600D5" w:rsidRDefault="00A600D5" w:rsidP="00A600D5">
      <w:pPr>
        <w:pStyle w:val="USTustnpkodeksu"/>
      </w:pPr>
      <w:r w:rsidRPr="00A600D5">
        <w:t>2.</w:t>
      </w:r>
      <w:r>
        <w:t> </w:t>
      </w:r>
      <w:r w:rsidRPr="00A600D5">
        <w:t>Wzór wykazu numerów VIN pojazdów objętych wnioskiem o wydanie zezwolenia na dopuszczenie do ruchu drogowego pojazdu z końcowej partii produkcji określa załącznik nr 2 do rozporządzenia.</w:t>
      </w:r>
    </w:p>
    <w:p w14:paraId="3702C6AC" w14:textId="77777777" w:rsidR="00A600D5" w:rsidRPr="00A600D5" w:rsidRDefault="00A600D5" w:rsidP="00A600D5">
      <w:pPr>
        <w:pStyle w:val="USTustnpkodeksu"/>
      </w:pPr>
      <w:r w:rsidRPr="00A600D5">
        <w:lastRenderedPageBreak/>
        <w:t>3.</w:t>
      </w:r>
      <w:r>
        <w:t> </w:t>
      </w:r>
      <w:r w:rsidRPr="00A600D5">
        <w:t>Wzór oświadczenia producenta o objęciu pojazdu zezwoleniem na dopuszczenie do ruchu drogowego pojazdu z końcowej partii produkcji, określa załącznik nr 3 do rozporządzenia.</w:t>
      </w:r>
    </w:p>
    <w:p w14:paraId="008C772D" w14:textId="77777777" w:rsidR="00A600D5" w:rsidRPr="00A600D5" w:rsidRDefault="00A600D5" w:rsidP="00A600D5">
      <w:pPr>
        <w:pStyle w:val="USTustnpkodeksu"/>
      </w:pPr>
      <w:r w:rsidRPr="00A600D5">
        <w:t>4.</w:t>
      </w:r>
      <w:r>
        <w:t> </w:t>
      </w:r>
      <w:r w:rsidRPr="00A600D5">
        <w:t>Wzór wykazu osób upoważnionych do podpisywania oświadczenia producenta o objęciu pojazdu zezwoleniem na dopuszczenie do ruchu drogowego pojazdu z końcowej partii produkcji określa załącznik nr 4 do rozporządzenia.</w:t>
      </w:r>
    </w:p>
    <w:p w14:paraId="27C49FCA" w14:textId="77777777" w:rsidR="00A600D5" w:rsidRPr="00A600D5" w:rsidRDefault="00A600D5" w:rsidP="00A600D5">
      <w:pPr>
        <w:pStyle w:val="USTustnpkodeksu"/>
      </w:pPr>
      <w:r w:rsidRPr="00A600D5">
        <w:t>5.</w:t>
      </w:r>
      <w:r>
        <w:t> </w:t>
      </w:r>
      <w:r w:rsidRPr="00A600D5">
        <w:t>Wzór oświadczenia producenta o posiadaniu dla pojazdu objętego wnioskiem o wydanie zezwolenia na dopuszczenie do ruchu drogowego pojazdu z końcowej partii produkcji świadectwa zgodności WE albo świadectwa zgodności określa załącznik nr 5 do rozporządzenia.</w:t>
      </w:r>
    </w:p>
    <w:p w14:paraId="3D32C2D4" w14:textId="3224F321" w:rsidR="00A600D5" w:rsidRDefault="00A600D5" w:rsidP="00A600D5">
      <w:pPr>
        <w:pStyle w:val="ARTartustawynprozporzdzenia"/>
        <w:rPr>
          <w:rStyle w:val="IGindeksgrny"/>
        </w:rPr>
      </w:pPr>
      <w:r w:rsidRPr="00A600D5">
        <w:rPr>
          <w:rStyle w:val="Ppogrubienie"/>
        </w:rPr>
        <w:t>§  6.</w:t>
      </w:r>
      <w:r>
        <w:t> </w:t>
      </w:r>
      <w:r w:rsidRPr="00A600D5">
        <w:t xml:space="preserve">Rozporządzenie wchodzi w życie z dniem 1 </w:t>
      </w:r>
      <w:r w:rsidR="000602ED">
        <w:t>lipca</w:t>
      </w:r>
      <w:r w:rsidRPr="00A600D5">
        <w:t xml:space="preserve"> 2023 r.</w:t>
      </w:r>
      <w:r w:rsidR="009E60ED">
        <w:rPr>
          <w:rStyle w:val="Odwoanieprzypisudolnego"/>
        </w:rPr>
        <w:footnoteReference w:id="4"/>
      </w:r>
      <w:r w:rsidR="009E60ED" w:rsidRPr="009E60ED">
        <w:rPr>
          <w:rStyle w:val="IGindeksgrny"/>
        </w:rPr>
        <w:t>)</w:t>
      </w:r>
    </w:p>
    <w:p w14:paraId="4FC3F8BC" w14:textId="77777777" w:rsidR="00F107DA" w:rsidRDefault="00F107DA" w:rsidP="00A600D5">
      <w:pPr>
        <w:pStyle w:val="ARTartustawynprozporzdzenia"/>
        <w:rPr>
          <w:rStyle w:val="IGindeksgrny"/>
        </w:rPr>
      </w:pPr>
    </w:p>
    <w:p w14:paraId="761E7750" w14:textId="77777777" w:rsidR="00F107DA" w:rsidRDefault="00F107DA" w:rsidP="00F107DA">
      <w:pPr>
        <w:pStyle w:val="NAZORGWYDnazwaorganuwydajcegoprojektowanyakt"/>
      </w:pPr>
      <w:r w:rsidRPr="00383DDC">
        <w:t>MINISTER INFRASTRUKTURY</w:t>
      </w:r>
    </w:p>
    <w:p w14:paraId="2C2A34B1" w14:textId="77777777" w:rsidR="00F107DA" w:rsidRDefault="00F107DA" w:rsidP="00A600D5">
      <w:pPr>
        <w:pStyle w:val="ARTartustawynprozporzdzenia"/>
      </w:pPr>
    </w:p>
    <w:p w14:paraId="31D61C94" w14:textId="475097FB" w:rsidR="007C4C14" w:rsidRDefault="007C4C14" w:rsidP="00727C77">
      <w:pPr>
        <w:pStyle w:val="ODNONIKtreodnonika"/>
      </w:pPr>
      <w:r>
        <w:t>Za zgodność pod względem prawnym,</w:t>
      </w:r>
    </w:p>
    <w:p w14:paraId="6958DAF3" w14:textId="21CE5658" w:rsidR="007C4C14" w:rsidRDefault="007C4C14" w:rsidP="00727C77">
      <w:pPr>
        <w:pStyle w:val="ODNONIKtreodnonika"/>
      </w:pPr>
      <w:r>
        <w:t>legislacyjnym i redakcyjnym</w:t>
      </w:r>
    </w:p>
    <w:p w14:paraId="03D331EF" w14:textId="59BF22F6" w:rsidR="007C4C14" w:rsidRDefault="007C4C14" w:rsidP="00727C77">
      <w:pPr>
        <w:pStyle w:val="ODNONIKtreodnonika"/>
      </w:pPr>
      <w:r>
        <w:t>Tomasz Behrendt</w:t>
      </w:r>
    </w:p>
    <w:p w14:paraId="7BA08FF2" w14:textId="6DC48021" w:rsidR="007C4C14" w:rsidRDefault="007C4C14" w:rsidP="00727C77">
      <w:pPr>
        <w:pStyle w:val="ODNONIKtreodnonika"/>
      </w:pPr>
      <w:r>
        <w:t>Zastępca Dyrektora Departamentu Prawnego</w:t>
      </w:r>
    </w:p>
    <w:p w14:paraId="08766F4C" w14:textId="59177889" w:rsidR="007C4C14" w:rsidRPr="00A600D5" w:rsidRDefault="007C4C14" w:rsidP="00727C77">
      <w:pPr>
        <w:pStyle w:val="ODNONIKtreodnonika"/>
      </w:pPr>
      <w:r>
        <w:t>w Ministerstwie Infrastruktury</w:t>
      </w:r>
    </w:p>
    <w:sectPr w:rsidR="007C4C14" w:rsidRPr="00A600D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D62C" w14:textId="77777777" w:rsidR="00F01633" w:rsidRDefault="00F01633">
      <w:r>
        <w:separator/>
      </w:r>
    </w:p>
  </w:endnote>
  <w:endnote w:type="continuationSeparator" w:id="0">
    <w:p w14:paraId="446A17AB" w14:textId="77777777" w:rsidR="00F01633" w:rsidRDefault="00F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3443" w14:textId="77777777" w:rsidR="00F01633" w:rsidRDefault="00F01633">
      <w:r>
        <w:separator/>
      </w:r>
    </w:p>
  </w:footnote>
  <w:footnote w:type="continuationSeparator" w:id="0">
    <w:p w14:paraId="522D9EB2" w14:textId="77777777" w:rsidR="00F01633" w:rsidRDefault="00F01633">
      <w:r>
        <w:continuationSeparator/>
      </w:r>
    </w:p>
  </w:footnote>
  <w:footnote w:id="1">
    <w:p w14:paraId="3E9096FD" w14:textId="1EDC8D51" w:rsidR="00F92961" w:rsidRDefault="00F92961" w:rsidP="00F9296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F92961"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2">
    <w:p w14:paraId="17502C68" w14:textId="4E34326C" w:rsidR="00F92961" w:rsidRPr="00F92961" w:rsidRDefault="00F92961" w:rsidP="00F92961">
      <w:pPr>
        <w:pStyle w:val="ODNONIKtreodnonika"/>
      </w:pPr>
      <w:r w:rsidRPr="00F92961">
        <w:rPr>
          <w:rStyle w:val="IGindeksgrny"/>
        </w:rPr>
        <w:footnoteRef/>
      </w:r>
      <w:r w:rsidRPr="00F92961">
        <w:rPr>
          <w:rStyle w:val="IGindeksgrny"/>
        </w:rPr>
        <w:t>)</w:t>
      </w:r>
      <w:r>
        <w:t xml:space="preserve"> </w:t>
      </w:r>
      <w:r>
        <w:tab/>
      </w:r>
      <w:r w:rsidRPr="00F92961">
        <w:t>Niniejsze rozporządzenie w zakresie swojej regulacji służy stosowaniu następujących rozporządzeń Parlamentu Europejskiego i Rady (UE):</w:t>
      </w:r>
    </w:p>
    <w:p w14:paraId="79C451B1" w14:textId="4C598438" w:rsidR="00F92961" w:rsidRPr="00F92961" w:rsidRDefault="00F92961" w:rsidP="00F92961">
      <w:pPr>
        <w:pStyle w:val="PKTODNONIKApunktodnonika"/>
      </w:pPr>
      <w:r w:rsidRPr="00F92961">
        <w:t>1) rozporządzeni</w:t>
      </w:r>
      <w:r w:rsidR="007C4C14">
        <w:t>e</w:t>
      </w:r>
      <w:r w:rsidRPr="00F92961">
        <w:t xml:space="preserve"> </w:t>
      </w:r>
      <w:r w:rsidR="007C4C14">
        <w:t xml:space="preserve">Parlamentu Europejskiego i Rady (UE) </w:t>
      </w:r>
      <w:r w:rsidRPr="00F92961">
        <w:t>nr 167/2013 z dnia 5 lutego 2013 r. w sprawie homologacji i nadzoru rynku pojazdów rolniczych i leśnych (Dz. Urz. UE L 60 z 02.03.2013, str. 1, Dz. Urz. UE L 364 z 18.12.2014, str. 1, Dz. Urz. UE L 252 z 16.09.2016, str. 53, Dz. Urz. UE L 277 z 13.10.2016, str. 1, Dz. Urz. UE L 140 z 06.06.2018, str. 15 oraz Dz. Urz. UE L 91 z 29.03.2019, str. 42);</w:t>
      </w:r>
    </w:p>
    <w:p w14:paraId="7B7EF12D" w14:textId="21324751" w:rsidR="00F92961" w:rsidRPr="00F92961" w:rsidRDefault="00F92961" w:rsidP="00F92961">
      <w:pPr>
        <w:pStyle w:val="PKTODNONIKApunktodnonika"/>
      </w:pPr>
      <w:r w:rsidRPr="00F92961">
        <w:t>2) rozporządzeni</w:t>
      </w:r>
      <w:r w:rsidR="007C4C14">
        <w:t>e</w:t>
      </w:r>
      <w:r w:rsidRPr="00F92961">
        <w:t xml:space="preserve"> </w:t>
      </w:r>
      <w:r w:rsidR="007C4C14">
        <w:t xml:space="preserve"> Parlamentu Europejskiego i Rady (UE) </w:t>
      </w:r>
      <w:r w:rsidRPr="00F92961">
        <w:t>nr 168/2013 z dnia 15 stycznia 2013 r. w sprawie homologacji i nadzoru rynku pojazdów dwu- lub trzykołowych oraz czterokołowców (Dz. Urz. UE L 60 z 02.03.2013, str. 52, Dz. Urz. UE L 53 z 21.02.2014, str. 1, Dz. U. L 77 z 23.03.2016, str. 65, Dz. Urz. UE L 30 z 31.01.2019, str. 106 oraz Dz. Urz. UE L 381 z 13.11.2020, str. 4);</w:t>
      </w:r>
    </w:p>
    <w:p w14:paraId="3D52E573" w14:textId="662A47B2" w:rsidR="00F92961" w:rsidRDefault="00F92961" w:rsidP="000602ED">
      <w:pPr>
        <w:pStyle w:val="PKTODNONIKApunktodnonika"/>
      </w:pPr>
      <w:r w:rsidRPr="00F92961">
        <w:t>3) rozporządzeni</w:t>
      </w:r>
      <w:r w:rsidR="007C4C14">
        <w:t>e</w:t>
      </w:r>
      <w:r w:rsidRPr="00F92961">
        <w:t xml:space="preserve"> </w:t>
      </w:r>
      <w:r w:rsidR="007C4C14">
        <w:t xml:space="preserve">Parlamentu Europejskiego i Rady (UE) </w:t>
      </w:r>
      <w:r w:rsidRPr="00F92961">
        <w:t>2018/858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 (Dz. Urz. UE L 151 z 14.06.2018, str. 1</w:t>
      </w:r>
      <w:r w:rsidR="007C4C14" w:rsidRPr="007C4C14">
        <w:t>, Dz. Urz. UE L 325 z 16.12.2019, str</w:t>
      </w:r>
      <w:r w:rsidR="007C4C14">
        <w:t>.</w:t>
      </w:r>
      <w:r w:rsidR="007C4C14" w:rsidRPr="007C4C14">
        <w:t xml:space="preserve"> 1, </w:t>
      </w:r>
      <w:r w:rsidRPr="00F92961">
        <w:t>Dz. Urz. UE L 19 z 21.01.2021, str. 2</w:t>
      </w:r>
      <w:r w:rsidR="007C4C14">
        <w:t>,</w:t>
      </w:r>
      <w:r w:rsidR="007C4C14" w:rsidRPr="007C4C14">
        <w:t xml:space="preserve"> Dz. Urz. UE L 272 z 30.07.2021, str. 16, Dz. Urz. UE L 313 z 06.09.2021, str. 4, Dz. Urz. UE L 398 z 11.11.2021, str. 29, Dz. Urz. UE L 296 z 16.11.2022, str. 1, Dz. Urz. UE L 304 z 24.11.2022, str. 103</w:t>
      </w:r>
      <w:r w:rsidRPr="00F92961">
        <w:t>).</w:t>
      </w:r>
    </w:p>
  </w:footnote>
  <w:footnote w:id="3">
    <w:p w14:paraId="4CE98493" w14:textId="284EC80B" w:rsidR="000602ED" w:rsidRDefault="000602ED" w:rsidP="000602ED">
      <w:pPr>
        <w:pStyle w:val="ODNONIKtreodnonika"/>
      </w:pPr>
      <w:r>
        <w:rPr>
          <w:rStyle w:val="Odwoanieprzypisudolnego"/>
        </w:rPr>
        <w:footnoteRef/>
      </w:r>
      <w:r w:rsidRPr="000602ED">
        <w:rPr>
          <w:rStyle w:val="IGindeksgrny"/>
        </w:rPr>
        <w:t xml:space="preserve">) </w:t>
      </w:r>
      <w:r>
        <w:rPr>
          <w:rStyle w:val="IGindeksgrny"/>
        </w:rPr>
        <w:tab/>
      </w:r>
      <w:r w:rsidRPr="000602ED">
        <w:t>Niniejsze rozporządzenie zostało notyfikowane Komisji Europejskiej w dniu ……….. pod numerem ……..,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(ujednolicenie) (Dz. Urz. UE L 241 z 17.09.2015, str. 1).</w:t>
      </w:r>
    </w:p>
  </w:footnote>
  <w:footnote w:id="4">
    <w:p w14:paraId="4B0794AB" w14:textId="7F0D6E1F" w:rsidR="009E60ED" w:rsidRDefault="009E60ED" w:rsidP="009E60E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 xml:space="preserve"> </w:t>
      </w:r>
      <w:r>
        <w:tab/>
      </w:r>
      <w:r w:rsidRPr="009E60ED">
        <w:t>Niniejsze rozporządzenie było poprzedzone rozporządzeniem Ministra Transportu, Budownictwa i Gospodarki Morskiej z dnia 19 marca 2013 r. w sprawie sposobu ustalenia liczby pojazdów zaliczanych do końcowej partii produkcji oraz wzorów dokumentów z tym związanych (Dz. U. poz. 389), które zgodnie z art. 72 pkt 5 w związku z art. 83 ustawy z dnia … 2023 r. o systemach homologacji pojazdów oraz ich wyposażenia (Dz. U.  poz. …) traci moc z dniem wejścia w życie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284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E48C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2ED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687B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EEB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722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0D3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0C1F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E27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C77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C45"/>
    <w:rsid w:val="007C0BD6"/>
    <w:rsid w:val="007C3806"/>
    <w:rsid w:val="007C4C14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59B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0ED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D5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8C6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354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633"/>
    <w:rsid w:val="00F107D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961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2B14E"/>
  <w15:docId w15:val="{16EF3D91-FA03-400C-800D-6DFB268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ewando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6D954-A868-409C-8A09-38CA30FA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Lewandowska Tina</dc:creator>
  <cp:lastModifiedBy>Lewandowska Tina</cp:lastModifiedBy>
  <cp:revision>2</cp:revision>
  <cp:lastPrinted>2012-04-23T06:39:00Z</cp:lastPrinted>
  <dcterms:created xsi:type="dcterms:W3CDTF">2023-02-24T06:56:00Z</dcterms:created>
  <dcterms:modified xsi:type="dcterms:W3CDTF">2023-02-24T06:56:00Z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