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8733B" w14:textId="77777777" w:rsidR="006132F5" w:rsidRDefault="009374CD" w:rsidP="00231575">
      <w:pPr>
        <w:pStyle w:val="Standard"/>
        <w:spacing w:line="360" w:lineRule="auto"/>
        <w:jc w:val="center"/>
        <w:rPr>
          <w:b/>
          <w:bCs/>
        </w:rPr>
      </w:pPr>
      <w:r>
        <w:rPr>
          <w:b/>
          <w:bCs/>
        </w:rPr>
        <w:t>UZASADNIENIE</w:t>
      </w:r>
    </w:p>
    <w:p w14:paraId="08697E45" w14:textId="77777777" w:rsidR="006132F5" w:rsidRDefault="006132F5" w:rsidP="00231575">
      <w:pPr>
        <w:pStyle w:val="Standard"/>
        <w:spacing w:line="360" w:lineRule="auto"/>
        <w:jc w:val="both"/>
        <w:rPr>
          <w:b/>
          <w:bCs/>
        </w:rPr>
      </w:pPr>
    </w:p>
    <w:p w14:paraId="521DDCC1" w14:textId="488AF11A" w:rsidR="006132F5" w:rsidRDefault="009374CD" w:rsidP="004B42BF">
      <w:pPr>
        <w:pStyle w:val="Standard"/>
        <w:spacing w:after="120" w:line="360" w:lineRule="auto"/>
        <w:ind w:firstLine="709"/>
        <w:jc w:val="both"/>
      </w:pPr>
      <w:r>
        <w:t xml:space="preserve">Projektowane rozporządzenie stanowi wykonanie upoważnienia ustawowego zawartego w art. 26g ust. </w:t>
      </w:r>
      <w:r w:rsidR="009D40AB">
        <w:t>7</w:t>
      </w:r>
      <w:r>
        <w:t xml:space="preserve"> ustawy z dnia 27 sierpnia 1997 r. o rehabilitacji zawodowej i społecznej oraz zatrudnianiu osób niepełnosprawnych </w:t>
      </w:r>
      <w:r w:rsidR="000164B2" w:rsidRPr="000164B2">
        <w:t>(Dz. U. z 202</w:t>
      </w:r>
      <w:r w:rsidR="00021093">
        <w:t>3 r. poz. 100</w:t>
      </w:r>
      <w:r w:rsidR="004B42BF">
        <w:t>,</w:t>
      </w:r>
      <w:r w:rsidR="00402EEC">
        <w:t xml:space="preserve"> </w:t>
      </w:r>
      <w:r w:rsidR="004B42BF">
        <w:t xml:space="preserve">z </w:t>
      </w:r>
      <w:proofErr w:type="spellStart"/>
      <w:r w:rsidR="004B42BF">
        <w:t>późn</w:t>
      </w:r>
      <w:proofErr w:type="spellEnd"/>
      <w:r w:rsidR="004B42BF">
        <w:t>. zm.</w:t>
      </w:r>
      <w:r w:rsidR="00021093">
        <w:t>)</w:t>
      </w:r>
      <w:r>
        <w:t>, zwanej dalej „ustawą o</w:t>
      </w:r>
      <w:r w:rsidR="00787F2B">
        <w:t xml:space="preserve"> </w:t>
      </w:r>
      <w:r>
        <w:t>rehabilitacji”.</w:t>
      </w:r>
    </w:p>
    <w:p w14:paraId="74BD39FF" w14:textId="0A02D74B" w:rsidR="009D40AB" w:rsidRDefault="009D40AB" w:rsidP="00231575">
      <w:pPr>
        <w:pStyle w:val="Standard"/>
        <w:spacing w:line="360" w:lineRule="auto"/>
        <w:ind w:firstLine="709"/>
        <w:jc w:val="both"/>
      </w:pPr>
      <w:r>
        <w:t xml:space="preserve">Konieczność wydania nowego rozporządzenia wynika z nowego brzmienia </w:t>
      </w:r>
      <w:r w:rsidR="00231575">
        <w:t xml:space="preserve">art. 26g </w:t>
      </w:r>
      <w:r>
        <w:t>n</w:t>
      </w:r>
      <w:r w:rsidRPr="009D40AB">
        <w:t>adane</w:t>
      </w:r>
      <w:r>
        <w:t>go</w:t>
      </w:r>
      <w:r w:rsidRPr="009D40AB">
        <w:t xml:space="preserve"> </w:t>
      </w:r>
      <w:r w:rsidR="000164B2">
        <w:t xml:space="preserve">na </w:t>
      </w:r>
      <w:r w:rsidRPr="009D40AB">
        <w:t>moc</w:t>
      </w:r>
      <w:r w:rsidR="000164B2">
        <w:t>y</w:t>
      </w:r>
      <w:r w:rsidRPr="009D40AB">
        <w:t xml:space="preserve"> art. 68 pkt 4 ustawy z dnia 5 sierpnia 2022 r. o ekonomii społecznej (Dz.</w:t>
      </w:r>
      <w:r w:rsidR="004B42BF">
        <w:t xml:space="preserve"> </w:t>
      </w:r>
      <w:r w:rsidRPr="009D40AB">
        <w:t>U. poz. 1812</w:t>
      </w:r>
      <w:r w:rsidR="004B42BF">
        <w:t xml:space="preserve">, z </w:t>
      </w:r>
      <w:proofErr w:type="spellStart"/>
      <w:r w:rsidR="004B42BF">
        <w:t>późn</w:t>
      </w:r>
      <w:proofErr w:type="spellEnd"/>
      <w:r w:rsidR="004B42BF">
        <w:t>. zm.</w:t>
      </w:r>
      <w:r w:rsidRPr="009D40AB">
        <w:t>)</w:t>
      </w:r>
      <w:r>
        <w:t xml:space="preserve">. </w:t>
      </w:r>
    </w:p>
    <w:p w14:paraId="387DCECD" w14:textId="0EB2C131" w:rsidR="009D40AB" w:rsidRDefault="009D40AB" w:rsidP="004B42BF">
      <w:pPr>
        <w:pStyle w:val="Standard"/>
        <w:spacing w:line="360" w:lineRule="auto"/>
        <w:ind w:firstLine="709"/>
        <w:jc w:val="both"/>
      </w:pPr>
      <w:r>
        <w:t xml:space="preserve">W art. </w:t>
      </w:r>
      <w:r w:rsidRPr="009D40AB">
        <w:t>81</w:t>
      </w:r>
      <w:r>
        <w:t xml:space="preserve"> ustawy o ekonomii społecznej określono, że</w:t>
      </w:r>
      <w:r w:rsidRPr="009D40AB">
        <w:t xml:space="preserve"> dotychczasowe przepisy wykonawcze wydane na podstawie art. 26g ust. 5 ustawy </w:t>
      </w:r>
      <w:r w:rsidR="000164B2" w:rsidRPr="000164B2">
        <w:t xml:space="preserve">o rehabilitacji </w:t>
      </w:r>
      <w:r w:rsidRPr="009D40AB">
        <w:t xml:space="preserve">zachowują moc do dnia wejścia w życie przepisów wykonawczych wydanych na podstawie art. 26g ust. 7 ustawy </w:t>
      </w:r>
      <w:r w:rsidR="000164B2" w:rsidRPr="000164B2">
        <w:t>o rehabilitacji</w:t>
      </w:r>
      <w:r w:rsidRPr="009D40AB">
        <w:t xml:space="preserve"> </w:t>
      </w:r>
      <w:r w:rsidR="000164B2">
        <w:t>w obe</w:t>
      </w:r>
      <w:r w:rsidR="00011343">
        <w:t>c</w:t>
      </w:r>
      <w:r w:rsidR="000164B2">
        <w:t>nie obowiązującym brzmieniu.</w:t>
      </w:r>
    </w:p>
    <w:p w14:paraId="5EAAC116" w14:textId="13A7D33D" w:rsidR="00186040" w:rsidRPr="00186040" w:rsidRDefault="009374CD" w:rsidP="00231575">
      <w:pPr>
        <w:pStyle w:val="Standard"/>
        <w:spacing w:line="360" w:lineRule="auto"/>
        <w:ind w:firstLine="709"/>
        <w:jc w:val="both"/>
      </w:pPr>
      <w:r>
        <w:t xml:space="preserve">Projektowane rozporządzenie </w:t>
      </w:r>
      <w:r w:rsidR="00186040" w:rsidRPr="00186040">
        <w:t xml:space="preserve">przewiduje możliwość przyznania </w:t>
      </w:r>
      <w:r w:rsidR="009D40AB">
        <w:t xml:space="preserve">przedsiębiorstwom społecznym oraz </w:t>
      </w:r>
      <w:r w:rsidR="00186040" w:rsidRPr="00186040">
        <w:t>spółdzielniom socjalnym jednorazowego wsparcia ze</w:t>
      </w:r>
      <w:r w:rsidR="00787F2B">
        <w:t xml:space="preserve"> </w:t>
      </w:r>
      <w:r w:rsidR="00186040" w:rsidRPr="00186040">
        <w:t>środków Państwowego Funduszu Rehabilitacji Osób N</w:t>
      </w:r>
      <w:r w:rsidR="00186040">
        <w:t xml:space="preserve">iepełnosprawnych </w:t>
      </w:r>
      <w:r w:rsidR="005504D7">
        <w:t xml:space="preserve">(PFRON) </w:t>
      </w:r>
      <w:r w:rsidR="00186040">
        <w:t>na</w:t>
      </w:r>
      <w:r w:rsidR="00787F2B">
        <w:t xml:space="preserve"> </w:t>
      </w:r>
      <w:r w:rsidR="00186040" w:rsidRPr="00186040">
        <w:t>utworzenie stanowiska pracy dla osoby niepełnosprawnej zarejestrowanej w</w:t>
      </w:r>
      <w:r w:rsidR="00787F2B">
        <w:t xml:space="preserve"> </w:t>
      </w:r>
      <w:r w:rsidR="00186040" w:rsidRPr="00186040">
        <w:t>powiatowym urzędzie pracy jako bezrobotna albo poszukująca pracy niepozostająca w</w:t>
      </w:r>
      <w:r w:rsidR="00787F2B">
        <w:t xml:space="preserve"> </w:t>
      </w:r>
      <w:r w:rsidR="00186040" w:rsidRPr="00186040">
        <w:t>zatrudnieniu,</w:t>
      </w:r>
      <w:r w:rsidR="00045638">
        <w:t xml:space="preserve"> zwanej dalej „osobą niepełnosprawną</w:t>
      </w:r>
      <w:r w:rsidR="00821721">
        <w:t>”</w:t>
      </w:r>
      <w:r w:rsidR="00045638">
        <w:t>,</w:t>
      </w:r>
      <w:r w:rsidR="00186040" w:rsidRPr="00186040">
        <w:t xml:space="preserve"> a także środków na</w:t>
      </w:r>
      <w:r w:rsidR="00787F2B">
        <w:t xml:space="preserve"> </w:t>
      </w:r>
      <w:r w:rsidR="00186040" w:rsidRPr="00186040">
        <w:t xml:space="preserve">finansowanie kosztów </w:t>
      </w:r>
      <w:r w:rsidR="009D40AB">
        <w:t>płacy</w:t>
      </w:r>
      <w:r w:rsidR="00186040" w:rsidRPr="00186040">
        <w:t xml:space="preserve"> tej osoby.</w:t>
      </w:r>
    </w:p>
    <w:p w14:paraId="57BE5530" w14:textId="77777777" w:rsidR="00186040" w:rsidRPr="00186040" w:rsidRDefault="00186040" w:rsidP="004B42BF">
      <w:pPr>
        <w:pStyle w:val="Standard"/>
        <w:spacing w:line="360" w:lineRule="auto"/>
        <w:ind w:firstLine="709"/>
      </w:pPr>
      <w:r w:rsidRPr="00186040">
        <w:t>Projekt rozporządzenia określa:</w:t>
      </w:r>
    </w:p>
    <w:p w14:paraId="3C4B27A1" w14:textId="768956D8" w:rsidR="003932A8" w:rsidRPr="003932A8" w:rsidRDefault="003932A8" w:rsidP="003932A8">
      <w:pPr>
        <w:pStyle w:val="Standard"/>
        <w:shd w:val="clear" w:color="auto" w:fill="FFFFFF"/>
        <w:spacing w:line="360" w:lineRule="auto"/>
        <w:ind w:firstLine="709"/>
        <w:jc w:val="both"/>
      </w:pPr>
      <w:r w:rsidRPr="003932A8">
        <w:t xml:space="preserve">1) szczegółowe zasady i tryb przyznawania, wypłaty, rozliczania i zwrotu przez przedsiębiorstwo społeczne lub spółdzielnię socjalną środków </w:t>
      </w:r>
      <w:r w:rsidR="000164B2" w:rsidRPr="000164B2">
        <w:t>na utworzenie stanowiska pracy dla skierowanej  osoby niepełnosprawnej zarejestrowanej w powiatowym urzędzie pracy jako bezrobotna albo poszukująca pracy niepozostająca w zatrudnieniu,</w:t>
      </w:r>
      <w:r w:rsidR="000164B2">
        <w:t xml:space="preserve"> a</w:t>
      </w:r>
      <w:r w:rsidR="000164B2" w:rsidRPr="000164B2">
        <w:t xml:space="preserve"> także środków na finansowanie kosztów płacy tej osoby</w:t>
      </w:r>
      <w:r w:rsidRPr="003932A8">
        <w:t>,</w:t>
      </w:r>
    </w:p>
    <w:p w14:paraId="2A3C0D6D" w14:textId="27CCA602" w:rsidR="003932A8" w:rsidRPr="003932A8" w:rsidRDefault="003932A8" w:rsidP="003932A8">
      <w:pPr>
        <w:pStyle w:val="Standard"/>
        <w:shd w:val="clear" w:color="auto" w:fill="FFFFFF"/>
        <w:spacing w:line="360" w:lineRule="auto"/>
        <w:ind w:firstLine="709"/>
        <w:jc w:val="both"/>
      </w:pPr>
      <w:r w:rsidRPr="003932A8">
        <w:t>2) wzory wniosków o przyznanie i wypłatę</w:t>
      </w:r>
      <w:r w:rsidR="000164B2">
        <w:t xml:space="preserve"> tych</w:t>
      </w:r>
      <w:r w:rsidRPr="003932A8">
        <w:t xml:space="preserve"> środków, oraz wzór </w:t>
      </w:r>
      <w:r w:rsidR="000164B2">
        <w:t xml:space="preserve">ich </w:t>
      </w:r>
      <w:r w:rsidRPr="003932A8">
        <w:t>rozliczenia,</w:t>
      </w:r>
    </w:p>
    <w:p w14:paraId="5CDBE271" w14:textId="573EC366" w:rsidR="003932A8" w:rsidRPr="003932A8" w:rsidRDefault="003932A8" w:rsidP="003932A8">
      <w:pPr>
        <w:pStyle w:val="Standard"/>
        <w:shd w:val="clear" w:color="auto" w:fill="FFFFFF"/>
        <w:spacing w:line="360" w:lineRule="auto"/>
        <w:ind w:firstLine="709"/>
        <w:jc w:val="both"/>
      </w:pPr>
      <w:r w:rsidRPr="003932A8">
        <w:t>3) elementy umów dotyczących przyznania</w:t>
      </w:r>
      <w:r w:rsidR="000164B2">
        <w:t xml:space="preserve"> tych</w:t>
      </w:r>
      <w:r w:rsidRPr="003932A8">
        <w:t xml:space="preserve"> środków oraz dokumentację niezbędną do ich realizacji,</w:t>
      </w:r>
    </w:p>
    <w:p w14:paraId="7A8AECB4" w14:textId="1BE0C7F3" w:rsidR="003932A8" w:rsidRPr="003932A8" w:rsidRDefault="003932A8" w:rsidP="003932A8">
      <w:pPr>
        <w:pStyle w:val="Standard"/>
        <w:shd w:val="clear" w:color="auto" w:fill="FFFFFF"/>
        <w:spacing w:line="360" w:lineRule="auto"/>
        <w:ind w:firstLine="709"/>
        <w:jc w:val="both"/>
      </w:pPr>
      <w:r w:rsidRPr="003932A8">
        <w:t>4) szczegółowe zasady zabezpieczenia zwrotu</w:t>
      </w:r>
      <w:r w:rsidR="000164B2">
        <w:t xml:space="preserve"> tych</w:t>
      </w:r>
      <w:r w:rsidRPr="003932A8">
        <w:t xml:space="preserve"> środków, </w:t>
      </w:r>
    </w:p>
    <w:p w14:paraId="1E21B47D" w14:textId="453B985E" w:rsidR="003932A8" w:rsidRDefault="001A7D42" w:rsidP="001A7D42">
      <w:pPr>
        <w:pStyle w:val="Standard"/>
        <w:shd w:val="clear" w:color="auto" w:fill="FFFFFF"/>
        <w:spacing w:line="360" w:lineRule="auto"/>
        <w:jc w:val="both"/>
      </w:pPr>
      <w:r>
        <w:t>z uwzględnieniem</w:t>
      </w:r>
      <w:r w:rsidR="003932A8" w:rsidRPr="003932A8">
        <w:t xml:space="preserve"> zwiększeni</w:t>
      </w:r>
      <w:r>
        <w:t>a</w:t>
      </w:r>
      <w:r w:rsidR="003932A8" w:rsidRPr="003932A8">
        <w:t xml:space="preserve"> mobilności oraz poziomu zatrudnienia osób niepełnosprawnych, o których mowa w art. 11 ust. 1</w:t>
      </w:r>
      <w:r w:rsidR="000164B2">
        <w:t xml:space="preserve"> </w:t>
      </w:r>
      <w:r w:rsidR="000164B2" w:rsidRPr="000164B2">
        <w:t>ustawy o rehabilitacji</w:t>
      </w:r>
      <w:r w:rsidR="003932A8" w:rsidRPr="003932A8">
        <w:t>, zapewnieni</w:t>
      </w:r>
      <w:r>
        <w:t>a</w:t>
      </w:r>
      <w:r w:rsidR="003932A8" w:rsidRPr="003932A8">
        <w:t xml:space="preserve"> zgodności udzielania pomocy z</w:t>
      </w:r>
      <w:r w:rsidR="00763BFF">
        <w:t> </w:t>
      </w:r>
      <w:r w:rsidR="003932A8" w:rsidRPr="003932A8">
        <w:t xml:space="preserve">zasadami przyznawania pomocy de </w:t>
      </w:r>
      <w:proofErr w:type="spellStart"/>
      <w:r w:rsidR="003932A8" w:rsidRPr="003932A8">
        <w:t>minimis</w:t>
      </w:r>
      <w:proofErr w:type="spellEnd"/>
      <w:r w:rsidR="003932A8" w:rsidRPr="003932A8">
        <w:t>, racjonalne</w:t>
      </w:r>
      <w:r>
        <w:t>go</w:t>
      </w:r>
      <w:r w:rsidR="003932A8" w:rsidRPr="003932A8">
        <w:t xml:space="preserve"> gospodarowani</w:t>
      </w:r>
      <w:r>
        <w:t xml:space="preserve">a </w:t>
      </w:r>
      <w:r w:rsidR="003932A8" w:rsidRPr="003932A8">
        <w:t xml:space="preserve">środkami </w:t>
      </w:r>
      <w:r w:rsidR="005504D7">
        <w:t>PFRON</w:t>
      </w:r>
      <w:r w:rsidR="003932A8" w:rsidRPr="003932A8">
        <w:t>, z</w:t>
      </w:r>
      <w:r w:rsidR="00763BFF">
        <w:t> </w:t>
      </w:r>
      <w:r w:rsidR="003932A8" w:rsidRPr="003932A8">
        <w:t xml:space="preserve">uwzględnieniem efektywności przyznawania środków, w tym w zakresie odpowiedniego wykorzystania i utrzymania rzeczy i zwierząt finansowanych z przyznanych środków, a także </w:t>
      </w:r>
      <w:r w:rsidR="003932A8" w:rsidRPr="003932A8">
        <w:lastRenderedPageBreak/>
        <w:t>zapewnieni</w:t>
      </w:r>
      <w:r>
        <w:t>a</w:t>
      </w:r>
      <w:r w:rsidR="003932A8" w:rsidRPr="003932A8">
        <w:t xml:space="preserve"> dostępności postępowania w sprawie przyznawania, wypłaty i rozliczania środków oraz dostępności, kompletności i spójności wzorów wniosków i rozliczenia.</w:t>
      </w:r>
    </w:p>
    <w:p w14:paraId="12C0E19B" w14:textId="2D129089" w:rsidR="00256834" w:rsidRDefault="009374CD" w:rsidP="003932A8">
      <w:pPr>
        <w:pStyle w:val="Standard"/>
        <w:shd w:val="clear" w:color="auto" w:fill="FFFFFF"/>
        <w:spacing w:line="360" w:lineRule="auto"/>
        <w:ind w:firstLine="709"/>
        <w:jc w:val="both"/>
      </w:pPr>
      <w:r>
        <w:t>W § 2</w:t>
      </w:r>
      <w:r w:rsidR="00162B38">
        <w:t xml:space="preserve"> projektu</w:t>
      </w:r>
      <w:r>
        <w:t xml:space="preserve"> określono, </w:t>
      </w:r>
      <w:r w:rsidR="009D15D2">
        <w:t>iż ś</w:t>
      </w:r>
      <w:r w:rsidR="004667FB">
        <w:t>rodki</w:t>
      </w:r>
      <w:r>
        <w:t xml:space="preserve"> na </w:t>
      </w:r>
      <w:r w:rsidR="009C010F">
        <w:t xml:space="preserve">utworzenie </w:t>
      </w:r>
      <w:r>
        <w:t xml:space="preserve">stanowiska pracy będą mogły być przyznane na poniesienie </w:t>
      </w:r>
      <w:r w:rsidR="009D15D2">
        <w:t xml:space="preserve">planowanych </w:t>
      </w:r>
      <w:r>
        <w:t xml:space="preserve">wydatków </w:t>
      </w:r>
      <w:r w:rsidR="00DE1F0E">
        <w:t>na</w:t>
      </w:r>
      <w:r>
        <w:t xml:space="preserve"> utworzenia stanowiska pracy dla osoby niepełnosprawnej</w:t>
      </w:r>
      <w:r w:rsidR="00256834">
        <w:t xml:space="preserve"> </w:t>
      </w:r>
      <w:r w:rsidR="009D15D2">
        <w:t>uwzględnione we wniosku o przyznanie środków na utworzenie stanowiska pracy lub</w:t>
      </w:r>
      <w:r w:rsidR="00256834">
        <w:t xml:space="preserve"> na</w:t>
      </w:r>
      <w:r w:rsidR="009D15D2">
        <w:t xml:space="preserve"> finansowanie kosztów wynagrodzenia osób niepełnosprawnych. </w:t>
      </w:r>
    </w:p>
    <w:p w14:paraId="4D88D4F2" w14:textId="3A75F05A" w:rsidR="00256834" w:rsidRDefault="009D15D2" w:rsidP="001A7D42">
      <w:pPr>
        <w:pStyle w:val="Standard"/>
        <w:shd w:val="clear" w:color="auto" w:fill="FFFFFF"/>
        <w:spacing w:line="360" w:lineRule="auto"/>
        <w:ind w:firstLine="709"/>
        <w:jc w:val="both"/>
      </w:pPr>
      <w:r>
        <w:t xml:space="preserve">W przypadku środków na utworzenie stanowiska pracy osoby niepełnosprawnej </w:t>
      </w:r>
      <w:r w:rsidR="009374CD">
        <w:t xml:space="preserve">będą </w:t>
      </w:r>
      <w:r w:rsidR="001A7D42">
        <w:t xml:space="preserve">one </w:t>
      </w:r>
      <w:r w:rsidR="009374CD">
        <w:t xml:space="preserve">wypłacane w kwotach brutto, jednak w wyniku ich rozliczenia lub zwrotów odliczonego </w:t>
      </w:r>
      <w:r w:rsidR="009C010F">
        <w:t>l</w:t>
      </w:r>
      <w:r w:rsidR="009374CD">
        <w:t>ub zwróconego wnioskodawcy podatku wsparcie obejmie tylko kwotę niepodlegającego odliczeniu podatku od towarów i usług</w:t>
      </w:r>
      <w:r w:rsidR="00DA5AA1">
        <w:t>.</w:t>
      </w:r>
      <w:r w:rsidR="00A46C4D">
        <w:t xml:space="preserve"> </w:t>
      </w:r>
    </w:p>
    <w:p w14:paraId="20ABE20B" w14:textId="173A689A" w:rsidR="006132F5" w:rsidRDefault="00A46C4D" w:rsidP="001A7D42">
      <w:pPr>
        <w:pStyle w:val="Standard"/>
        <w:shd w:val="clear" w:color="auto" w:fill="FFFFFF"/>
        <w:spacing w:line="360" w:lineRule="auto"/>
        <w:ind w:firstLine="709"/>
        <w:jc w:val="both"/>
      </w:pPr>
      <w:r>
        <w:t xml:space="preserve">Ponadto zostało wskazane, że </w:t>
      </w:r>
      <w:r w:rsidR="00256834">
        <w:t xml:space="preserve">wydatki są finansowane w części, w jakiej nie zostały sfinansowane w ramach pomocy udzielonej z innych środków publicznych na ten sam cel. </w:t>
      </w:r>
    </w:p>
    <w:p w14:paraId="1AF64B97" w14:textId="37F2D8C2" w:rsidR="00256834" w:rsidRDefault="009374CD" w:rsidP="00231575">
      <w:pPr>
        <w:pStyle w:val="Standard"/>
        <w:shd w:val="clear" w:color="auto" w:fill="FFFFFF"/>
        <w:spacing w:line="360" w:lineRule="auto"/>
        <w:ind w:firstLine="709"/>
        <w:jc w:val="both"/>
      </w:pPr>
      <w:r>
        <w:t>W § 3</w:t>
      </w:r>
      <w:r w:rsidR="00162B38">
        <w:t xml:space="preserve"> projektu</w:t>
      </w:r>
      <w:r>
        <w:t xml:space="preserve"> wskazano na wnioskowy charakter instrumentu</w:t>
      </w:r>
      <w:r w:rsidR="00490FB0">
        <w:t>.</w:t>
      </w:r>
      <w:r w:rsidR="00490FB0" w:rsidRPr="00490FB0">
        <w:t xml:space="preserve"> </w:t>
      </w:r>
      <w:r w:rsidR="00490FB0">
        <w:t>Składając wniosek</w:t>
      </w:r>
      <w:r w:rsidR="00A941E4">
        <w:t>,</w:t>
      </w:r>
      <w:r w:rsidR="00490FB0">
        <w:t xml:space="preserve"> wnioskodawca będzie mógł ubiegać się o przyznanie środków na utworzenie stanowiska pracy, finansowanie kosztów wynagrodzenia osób niepełnosprawnych lub </w:t>
      </w:r>
      <w:r w:rsidR="00162B38">
        <w:t xml:space="preserve">o możliwość skorzystania z </w:t>
      </w:r>
      <w:r w:rsidR="00490FB0">
        <w:t>ob</w:t>
      </w:r>
      <w:r w:rsidR="00162B38">
        <w:t>u</w:t>
      </w:r>
      <w:r w:rsidR="00490FB0">
        <w:t xml:space="preserve"> instrument</w:t>
      </w:r>
      <w:r w:rsidR="00162B38">
        <w:t>ów</w:t>
      </w:r>
      <w:r w:rsidR="00490FB0">
        <w:t xml:space="preserve"> wsparcia jednocześnie. Określono również w</w:t>
      </w:r>
      <w:r w:rsidR="00DA5AA1">
        <w:t>łaściwość miejscową wniosku</w:t>
      </w:r>
      <w:r w:rsidR="00A941E4">
        <w:t xml:space="preserve"> </w:t>
      </w:r>
      <w:r w:rsidR="005504D7">
        <w:t>– jest to starosta właściwy ze względu na miejsce zarejestrowania osoby niepełnosprawnej</w:t>
      </w:r>
      <w:r w:rsidR="003932A8">
        <w:t>. Wzór wniosku określa załącznik nr 1 do</w:t>
      </w:r>
      <w:r w:rsidR="00162B38">
        <w:t xml:space="preserve"> projektu</w:t>
      </w:r>
      <w:r w:rsidR="003932A8">
        <w:t xml:space="preserve"> rozporządzenia.</w:t>
      </w:r>
      <w:r w:rsidR="00EA24F1">
        <w:t xml:space="preserve"> Wniosek dotyczy obu instrumentów wsparcia, natomiast wnioskodawca będzie zobowiązany do wypełniania go w określonym zakresie, jeżeli będzie ubiegał się tylko o jeden z nich.</w:t>
      </w:r>
    </w:p>
    <w:p w14:paraId="7D0B70D9" w14:textId="5994C59B" w:rsidR="006132F5" w:rsidRDefault="00256834" w:rsidP="00A941E4">
      <w:pPr>
        <w:pStyle w:val="Standard"/>
        <w:shd w:val="clear" w:color="auto" w:fill="FFFFFF"/>
        <w:spacing w:line="360" w:lineRule="auto"/>
        <w:ind w:firstLine="709"/>
        <w:jc w:val="both"/>
      </w:pPr>
      <w:r>
        <w:t>W § 3</w:t>
      </w:r>
      <w:r w:rsidR="00162B38">
        <w:t xml:space="preserve"> projektu</w:t>
      </w:r>
      <w:r>
        <w:t xml:space="preserve"> </w:t>
      </w:r>
      <w:r w:rsidR="005504D7">
        <w:t>z</w:t>
      </w:r>
      <w:r>
        <w:t xml:space="preserve">obowiązano także wnioskodawcę do dołączenia wszystkich zaświadczeń o pomocy de </w:t>
      </w:r>
      <w:proofErr w:type="spellStart"/>
      <w:r>
        <w:t>minimis</w:t>
      </w:r>
      <w:proofErr w:type="spellEnd"/>
      <w:r>
        <w:t xml:space="preserve"> z danego roku oraz dwóch lat poprzedzających.</w:t>
      </w:r>
      <w:r w:rsidR="00EA24F1">
        <w:t xml:space="preserve">  </w:t>
      </w:r>
    </w:p>
    <w:p w14:paraId="409E8ED2" w14:textId="7A72496A" w:rsidR="00C10584" w:rsidRDefault="00843B4C" w:rsidP="00231575">
      <w:pPr>
        <w:pStyle w:val="Standard"/>
        <w:shd w:val="clear" w:color="auto" w:fill="FFFFFF"/>
        <w:spacing w:line="360" w:lineRule="auto"/>
        <w:ind w:firstLine="709"/>
        <w:jc w:val="both"/>
      </w:pPr>
      <w:r w:rsidRPr="00A35D2A">
        <w:t xml:space="preserve">Zgodnie z </w:t>
      </w:r>
      <w:r w:rsidR="00DA5AA1" w:rsidRPr="00A35D2A">
        <w:t>§ 4</w:t>
      </w:r>
      <w:r w:rsidR="00322F00" w:rsidRPr="00A35D2A">
        <w:t xml:space="preserve"> projektu</w:t>
      </w:r>
      <w:r w:rsidRPr="00A35D2A">
        <w:t xml:space="preserve"> starosta nie bierze pod uwagę zastosowanych przez wnioskodawcę fotokodów, w tym kodów QR, oznaczeń lub etykiet ułatwiających identyfikację dokumentu, w tym etykiet dźwiękowych i etykiet pisanych alfabetem Braille`a, ułatwiających identyfikację złożonego wniosku oraz dokumentów, w związku z wnioskowaniem o środki oraz rozliczeniem się z nich. </w:t>
      </w:r>
      <w:r w:rsidR="009374CD" w:rsidRPr="00A35D2A">
        <w:t xml:space="preserve">Rozwiązanie to jest sukcesywnie wprowadzane we wszystkich aktach wykonawczych do ustawy o rehabilitacji. Pozwala ono osobom niewidomym lub silnie niedowidzącym używającym odpowiednio oprogramowanych urządzeń przenośnych (np. smartfonów) na zidentyfikowanie rodzaju wniosku oraz co najmniej podstawowych danych wykazanych we wniosku – po jego wydrukowaniu. Wnioskodawca będzie mógł wybrać najbardziej odpowiadający mu środek. Zastosowanie go nie będzie wymagało ponoszenia dodatkowych kosztów. Osoby używające oznaczeń lub etykiet dla innych celów będą mogły je wykorzystać także do zidentyfikowania wniosku, zaś używające odpowiednio oprogramowanych urządzeń przenośnych (np. smartfonów) będą mogły, bez ponoszenia dodatkowych kosztów, generować oraz skanować i odczytywać fotokody. Dla osób </w:t>
      </w:r>
      <w:r w:rsidR="009374CD" w:rsidRPr="00A35D2A">
        <w:lastRenderedPageBreak/>
        <w:t xml:space="preserve">niepełnosprawnych z dysfunkcją narządu wzroku będzie to stanowiło dodatkowe ważne usprawnienie bez ponoszenia dodatkowych kosztów. </w:t>
      </w:r>
      <w:r w:rsidR="00C10584" w:rsidRPr="00A35D2A">
        <w:t>W celu wyeliminowania potencjalnych trudności z przyjęciem wniosku przez starostę przepis w § 4 ust. 1 rozporządzenia wprost zabezpiecza prawo osób niepełnosprawnych do powyższych działań. Celem jest umożliwienie osobie niepełnosprawnej (niewidomej) samodzielne</w:t>
      </w:r>
      <w:r w:rsidR="00366138" w:rsidRPr="00A35D2A">
        <w:t>go</w:t>
      </w:r>
      <w:r w:rsidR="00C10584" w:rsidRPr="00A35D2A">
        <w:t xml:space="preserve"> załatwieni</w:t>
      </w:r>
      <w:r w:rsidR="00366138" w:rsidRPr="00A35D2A">
        <w:t>a</w:t>
      </w:r>
      <w:r w:rsidR="00C10584" w:rsidRPr="00A35D2A">
        <w:t xml:space="preserve"> sprawy w urzędzie. Organ nie będzie mógł uznać, że złożony egzemplarz wniosku nie jest zgodny z przepisami</w:t>
      </w:r>
      <w:r w:rsidR="00366138" w:rsidRPr="00A35D2A">
        <w:t xml:space="preserve"> niniejszego projektu</w:t>
      </w:r>
      <w:r w:rsidR="00C10584" w:rsidRPr="00A35D2A">
        <w:t xml:space="preserve"> w związku z tym, że zawiera dodatkowe elementy w postaci jednego lub wielu kodów QR lub etykiet umieszczonych przez składającego na wniosku.</w:t>
      </w:r>
      <w:r w:rsidR="00C10584">
        <w:t xml:space="preserve"> </w:t>
      </w:r>
    </w:p>
    <w:p w14:paraId="5C51E280" w14:textId="417993B0" w:rsidR="006132F5" w:rsidRDefault="00C10584" w:rsidP="00231575">
      <w:pPr>
        <w:pStyle w:val="Standard"/>
        <w:spacing w:line="360" w:lineRule="auto"/>
        <w:jc w:val="both"/>
      </w:pPr>
      <w:r>
        <w:t xml:space="preserve"> </w:t>
      </w:r>
      <w:r w:rsidR="009374CD">
        <w:t xml:space="preserve"> </w:t>
      </w:r>
      <w:r>
        <w:tab/>
      </w:r>
      <w:r w:rsidR="007531A8">
        <w:t xml:space="preserve"> </w:t>
      </w:r>
      <w:r w:rsidR="00383029">
        <w:t>Przepis § 5</w:t>
      </w:r>
      <w:r w:rsidR="00C223C3">
        <w:t xml:space="preserve"> projektu</w:t>
      </w:r>
      <w:r w:rsidR="009374CD">
        <w:t xml:space="preserve"> zawiera warunki rozpatrywania wniosku, uzupełniania braków</w:t>
      </w:r>
      <w:r w:rsidR="00C223C3">
        <w:t xml:space="preserve"> wniosku</w:t>
      </w:r>
      <w:r w:rsidR="00EB7B72">
        <w:t xml:space="preserve"> i przedłużenia</w:t>
      </w:r>
      <w:r w:rsidR="00843B4C">
        <w:t xml:space="preserve"> terminów.</w:t>
      </w:r>
      <w:r w:rsidR="00383029">
        <w:t xml:space="preserve"> </w:t>
      </w:r>
    </w:p>
    <w:p w14:paraId="4C6B3106" w14:textId="7765F329" w:rsidR="006132F5" w:rsidRDefault="00383029" w:rsidP="00231575">
      <w:pPr>
        <w:pStyle w:val="Standard"/>
        <w:shd w:val="clear" w:color="auto" w:fill="FFFFFF"/>
        <w:spacing w:line="360" w:lineRule="auto"/>
        <w:ind w:firstLine="709"/>
        <w:jc w:val="both"/>
      </w:pPr>
      <w:r>
        <w:t>W § 6</w:t>
      </w:r>
      <w:r w:rsidR="00C223C3">
        <w:t xml:space="preserve"> projektu</w:t>
      </w:r>
      <w:r w:rsidR="009374CD">
        <w:t xml:space="preserve"> przewidziano unormowania związane ze sposobem załatwienia wniosku. </w:t>
      </w:r>
      <w:r w:rsidR="00E632A4">
        <w:t>D</w:t>
      </w:r>
      <w:r w:rsidR="009374CD">
        <w:t>oprecyzowano</w:t>
      </w:r>
      <w:r w:rsidR="00E632A4">
        <w:t xml:space="preserve"> </w:t>
      </w:r>
      <w:r w:rsidR="0025240B">
        <w:t>również</w:t>
      </w:r>
      <w:r w:rsidR="00E632A4">
        <w:t xml:space="preserve">, </w:t>
      </w:r>
      <w:r>
        <w:t xml:space="preserve">że po upływie 14 dni </w:t>
      </w:r>
      <w:r w:rsidR="009374CD">
        <w:t xml:space="preserve">od dnia </w:t>
      </w:r>
      <w:r>
        <w:t xml:space="preserve">doręczenia </w:t>
      </w:r>
      <w:r w:rsidR="009374CD">
        <w:t>wezwania do negocjacji umowy nie zawiera się.</w:t>
      </w:r>
    </w:p>
    <w:p w14:paraId="3CB9C9F1" w14:textId="0F3D85A1" w:rsidR="0064589C" w:rsidRPr="002F7942" w:rsidRDefault="00383029" w:rsidP="00231575">
      <w:pPr>
        <w:pStyle w:val="Standard"/>
        <w:shd w:val="clear" w:color="auto" w:fill="FFFFFF"/>
        <w:spacing w:line="360" w:lineRule="auto"/>
        <w:ind w:firstLine="709"/>
        <w:jc w:val="both"/>
        <w:rPr>
          <w:color w:val="000000" w:themeColor="text1"/>
        </w:rPr>
      </w:pPr>
      <w:r w:rsidRPr="002F7942">
        <w:rPr>
          <w:color w:val="000000" w:themeColor="text1"/>
        </w:rPr>
        <w:t>W § 7</w:t>
      </w:r>
      <w:r w:rsidR="00C223C3">
        <w:rPr>
          <w:color w:val="000000" w:themeColor="text1"/>
        </w:rPr>
        <w:t xml:space="preserve"> projektu</w:t>
      </w:r>
      <w:r w:rsidR="009374CD" w:rsidRPr="002F7942">
        <w:rPr>
          <w:color w:val="000000" w:themeColor="text1"/>
        </w:rPr>
        <w:t xml:space="preserve"> określono warunki umowy w zakresie dotyczącym zobowiązania starosty oraz wnioskodawcy. </w:t>
      </w:r>
      <w:r w:rsidR="00ED4D29" w:rsidRPr="002F7942">
        <w:rPr>
          <w:color w:val="000000" w:themeColor="text1"/>
        </w:rPr>
        <w:t>Katalog</w:t>
      </w:r>
      <w:r w:rsidR="009374CD" w:rsidRPr="002F7942">
        <w:rPr>
          <w:color w:val="000000" w:themeColor="text1"/>
        </w:rPr>
        <w:t xml:space="preserve"> elementów umowy uwzględnia zakres wynikający </w:t>
      </w:r>
      <w:r w:rsidR="00ED4D29" w:rsidRPr="002F7942">
        <w:rPr>
          <w:color w:val="000000" w:themeColor="text1"/>
        </w:rPr>
        <w:t>z</w:t>
      </w:r>
      <w:r w:rsidR="008E0F36">
        <w:rPr>
          <w:color w:val="000000" w:themeColor="text1"/>
        </w:rPr>
        <w:t xml:space="preserve"> </w:t>
      </w:r>
      <w:r w:rsidR="009374CD" w:rsidRPr="002F7942">
        <w:rPr>
          <w:color w:val="000000" w:themeColor="text1"/>
        </w:rPr>
        <w:t>art. 26g ustawy o</w:t>
      </w:r>
      <w:r w:rsidR="00256834">
        <w:rPr>
          <w:color w:val="000000" w:themeColor="text1"/>
        </w:rPr>
        <w:t> </w:t>
      </w:r>
      <w:r w:rsidR="009374CD" w:rsidRPr="002F7942">
        <w:rPr>
          <w:color w:val="000000" w:themeColor="text1"/>
        </w:rPr>
        <w:t>rehabilitacji</w:t>
      </w:r>
      <w:r w:rsidR="00FB5FC0" w:rsidRPr="002F7942">
        <w:rPr>
          <w:color w:val="000000" w:themeColor="text1"/>
        </w:rPr>
        <w:t xml:space="preserve">. </w:t>
      </w:r>
      <w:r w:rsidR="00DE4738" w:rsidRPr="002F7942">
        <w:rPr>
          <w:color w:val="000000" w:themeColor="text1"/>
        </w:rPr>
        <w:t>Ponadto wskazano, że wnioskodawca, który nabył prawo do odliczenia podatku naliczonego, będzie miał obowiązek zwrotu kwoty stanowiącej równowartość tego podatku w</w:t>
      </w:r>
      <w:r w:rsidR="003932A8">
        <w:rPr>
          <w:color w:val="000000" w:themeColor="text1"/>
        </w:rPr>
        <w:t> </w:t>
      </w:r>
      <w:r w:rsidR="00DE4738" w:rsidRPr="002F7942">
        <w:rPr>
          <w:color w:val="000000" w:themeColor="text1"/>
        </w:rPr>
        <w:t xml:space="preserve">przypadku, gdy skorzysta z prawa do odliczenia podatku (złoży deklaracje, w której wykaże podatek naliczony). </w:t>
      </w:r>
      <w:r w:rsidRPr="002F7942">
        <w:rPr>
          <w:color w:val="000000" w:themeColor="text1"/>
        </w:rPr>
        <w:t>D</w:t>
      </w:r>
      <w:r w:rsidR="009374CD" w:rsidRPr="002F7942">
        <w:rPr>
          <w:color w:val="000000" w:themeColor="text1"/>
        </w:rPr>
        <w:t xml:space="preserve">oprecyzowano </w:t>
      </w:r>
      <w:r w:rsidR="00110374">
        <w:rPr>
          <w:color w:val="000000" w:themeColor="text1"/>
        </w:rPr>
        <w:t>kwestię</w:t>
      </w:r>
      <w:r w:rsidR="009374CD" w:rsidRPr="002F7942">
        <w:rPr>
          <w:color w:val="000000" w:themeColor="text1"/>
        </w:rPr>
        <w:t xml:space="preserve"> zwrotu środków wraz z</w:t>
      </w:r>
      <w:r w:rsidR="003932A8">
        <w:rPr>
          <w:color w:val="000000" w:themeColor="text1"/>
        </w:rPr>
        <w:t> </w:t>
      </w:r>
      <w:r w:rsidR="009374CD" w:rsidRPr="002F7942">
        <w:rPr>
          <w:color w:val="000000" w:themeColor="text1"/>
        </w:rPr>
        <w:t>odsetkami w przypa</w:t>
      </w:r>
      <w:r w:rsidR="00983C97" w:rsidRPr="002F7942">
        <w:rPr>
          <w:color w:val="000000" w:themeColor="text1"/>
        </w:rPr>
        <w:t>dku naruszenia warunków umowy</w:t>
      </w:r>
      <w:r w:rsidR="00C45209" w:rsidRPr="002F7942">
        <w:rPr>
          <w:color w:val="000000" w:themeColor="text1"/>
        </w:rPr>
        <w:t>. Dotyczy to sytuacji</w:t>
      </w:r>
      <w:r w:rsidR="00A72E12" w:rsidRPr="002F7942">
        <w:rPr>
          <w:color w:val="000000" w:themeColor="text1"/>
        </w:rPr>
        <w:t>,</w:t>
      </w:r>
      <w:r w:rsidR="00C45209" w:rsidRPr="002F7942">
        <w:rPr>
          <w:color w:val="000000" w:themeColor="text1"/>
        </w:rPr>
        <w:t xml:space="preserve"> w jakich wnioskodawca nie wywiązuje się z</w:t>
      </w:r>
      <w:r w:rsidR="00A368D8">
        <w:rPr>
          <w:color w:val="000000" w:themeColor="text1"/>
        </w:rPr>
        <w:t> </w:t>
      </w:r>
      <w:r w:rsidR="00C45209" w:rsidRPr="002F7942">
        <w:rPr>
          <w:color w:val="000000" w:themeColor="text1"/>
        </w:rPr>
        <w:t>obowiązku poinformowania starosty o dalszym zatrudnieniu osoby niepełnosprawnej, istnieniu stanowiska pracy oraz sposobie jego wykorzystania, w terminie 12 miesięcy po upływie okresu</w:t>
      </w:r>
      <w:r w:rsidR="00A72E12" w:rsidRPr="002F7942">
        <w:rPr>
          <w:color w:val="000000" w:themeColor="text1"/>
        </w:rPr>
        <w:t>,</w:t>
      </w:r>
      <w:r w:rsidR="00C45209" w:rsidRPr="002F7942">
        <w:rPr>
          <w:color w:val="000000" w:themeColor="text1"/>
        </w:rPr>
        <w:t xml:space="preserve"> na jaki umowa została zwarta (w takich przypadkach nie nalicza się kwoty zwrotu środków oraz odsetek od środków).</w:t>
      </w:r>
      <w:r w:rsidR="00CA2D7C" w:rsidRPr="00CA2D7C">
        <w:t xml:space="preserve"> </w:t>
      </w:r>
      <w:r w:rsidR="00CA2D7C" w:rsidRPr="00CA2D7C">
        <w:rPr>
          <w:color w:val="000000" w:themeColor="text1"/>
        </w:rPr>
        <w:t>W § 7</w:t>
      </w:r>
      <w:r w:rsidR="00CA2D7C">
        <w:rPr>
          <w:color w:val="000000" w:themeColor="text1"/>
        </w:rPr>
        <w:t xml:space="preserve"> wskazano także d</w:t>
      </w:r>
      <w:r w:rsidR="00CA2D7C" w:rsidRPr="00CA2D7C">
        <w:rPr>
          <w:color w:val="000000" w:themeColor="text1"/>
        </w:rPr>
        <w:t xml:space="preserve">opuszczalne formy zabezpieczenia </w:t>
      </w:r>
      <w:r w:rsidR="00863199">
        <w:rPr>
          <w:color w:val="000000" w:themeColor="text1"/>
        </w:rPr>
        <w:t xml:space="preserve">zwrotu </w:t>
      </w:r>
      <w:r w:rsidR="00CA2D7C" w:rsidRPr="00CA2D7C">
        <w:rPr>
          <w:color w:val="000000" w:themeColor="text1"/>
        </w:rPr>
        <w:t>środków</w:t>
      </w:r>
      <w:r w:rsidR="00F62BD2">
        <w:rPr>
          <w:color w:val="000000" w:themeColor="text1"/>
        </w:rPr>
        <w:t>,</w:t>
      </w:r>
      <w:r w:rsidR="00755A38" w:rsidRPr="00755A38">
        <w:t xml:space="preserve"> </w:t>
      </w:r>
      <w:r w:rsidR="00755A38" w:rsidRPr="00755A38">
        <w:rPr>
          <w:color w:val="000000" w:themeColor="text1"/>
        </w:rPr>
        <w:t xml:space="preserve">o których mowa w § 1 </w:t>
      </w:r>
      <w:bookmarkStart w:id="0" w:name="_GoBack"/>
      <w:r w:rsidR="00755A38" w:rsidRPr="00755A38">
        <w:rPr>
          <w:color w:val="000000" w:themeColor="text1"/>
        </w:rPr>
        <w:t xml:space="preserve">pkt 1 </w:t>
      </w:r>
      <w:bookmarkEnd w:id="0"/>
      <w:r w:rsidR="00755A38" w:rsidRPr="00755A38">
        <w:rPr>
          <w:color w:val="000000" w:themeColor="text1"/>
        </w:rPr>
        <w:t>lub 2</w:t>
      </w:r>
      <w:r w:rsidR="00CA2D7C">
        <w:rPr>
          <w:color w:val="000000" w:themeColor="text1"/>
        </w:rPr>
        <w:t>.</w:t>
      </w:r>
    </w:p>
    <w:p w14:paraId="2E1ED0C1" w14:textId="708EBC16" w:rsidR="006132F5" w:rsidRDefault="0064589C" w:rsidP="00231575">
      <w:pPr>
        <w:pStyle w:val="Standard"/>
        <w:shd w:val="clear" w:color="auto" w:fill="FFFFFF"/>
        <w:spacing w:line="360" w:lineRule="auto"/>
        <w:ind w:firstLine="709"/>
        <w:jc w:val="both"/>
      </w:pPr>
      <w:r w:rsidRPr="002F7942">
        <w:rPr>
          <w:color w:val="000000" w:themeColor="text1"/>
        </w:rPr>
        <w:t xml:space="preserve"> </w:t>
      </w:r>
      <w:r w:rsidR="00383029" w:rsidRPr="002F7942">
        <w:rPr>
          <w:color w:val="000000" w:themeColor="text1"/>
        </w:rPr>
        <w:t>Przepis § 8</w:t>
      </w:r>
      <w:r w:rsidR="009374CD" w:rsidRPr="002F7942">
        <w:rPr>
          <w:color w:val="000000" w:themeColor="text1"/>
        </w:rPr>
        <w:t xml:space="preserve"> dotyczy wypłaty środków.</w:t>
      </w:r>
      <w:r w:rsidR="005E5EE7" w:rsidRPr="002F7942">
        <w:rPr>
          <w:color w:val="000000" w:themeColor="text1"/>
        </w:rPr>
        <w:t xml:space="preserve"> Został określony termin, w którym </w:t>
      </w:r>
      <w:r w:rsidR="005E5EE7">
        <w:t>starosta jest zobowiązany do przekazania środków na rachunek bankowy wskazany w umowie</w:t>
      </w:r>
      <w:r w:rsidR="0069041D">
        <w:t xml:space="preserve">. </w:t>
      </w:r>
      <w:r w:rsidR="000E10A9">
        <w:t>Z</w:t>
      </w:r>
      <w:r w:rsidR="0069041D">
        <w:t xml:space="preserve">obowiązano wnioskodawcę do przedstawienia dokumentów niezbędnych </w:t>
      </w:r>
      <w:r w:rsidR="00821721">
        <w:t xml:space="preserve">do sfinansowania kosztów </w:t>
      </w:r>
      <w:r w:rsidR="00FB178E">
        <w:t>wynagrodzenia osoby niepełnosprawnej</w:t>
      </w:r>
      <w:r w:rsidR="00763BFF">
        <w:t xml:space="preserve"> oraz rozliczenia wsparcia </w:t>
      </w:r>
      <w:r w:rsidR="00F671A3">
        <w:t>na formularzu rozliczenia</w:t>
      </w:r>
      <w:r w:rsidR="00763BFF">
        <w:t xml:space="preserve"> – wskazano, że wzór rozliczenia stanowi załącznik nr 2.</w:t>
      </w:r>
    </w:p>
    <w:p w14:paraId="50213D0C" w14:textId="32FFB941" w:rsidR="006132F5" w:rsidRDefault="00FB178E" w:rsidP="00231575">
      <w:pPr>
        <w:pStyle w:val="Standard"/>
        <w:shd w:val="clear" w:color="auto" w:fill="FFFFFF"/>
        <w:spacing w:line="360" w:lineRule="auto"/>
        <w:ind w:firstLine="709"/>
        <w:jc w:val="both"/>
      </w:pPr>
      <w:r>
        <w:t xml:space="preserve"> </w:t>
      </w:r>
      <w:r w:rsidR="009374CD">
        <w:t>Środki, o których mowa w art. 26g ustawy o rehabilitacji, mogą być przyznawane podmiotom działającym w zróżnic</w:t>
      </w:r>
      <w:r w:rsidR="00383029">
        <w:t>o</w:t>
      </w:r>
      <w:r>
        <w:t>wanych zakresach. Dlatego w § 9</w:t>
      </w:r>
      <w:r w:rsidR="009374CD">
        <w:t xml:space="preserve"> konieczne było powołanie trzech rozporządzeń Komisji Europejskiej</w:t>
      </w:r>
      <w:r w:rsidR="003839F5">
        <w:t>,</w:t>
      </w:r>
      <w:r w:rsidR="009374CD">
        <w:t xml:space="preserve"> stosowanych bezpośrednio w zakresie dotyczącym ramowych warunków udzielania pomocy de </w:t>
      </w:r>
      <w:proofErr w:type="spellStart"/>
      <w:r w:rsidR="009374CD">
        <w:t>minimis</w:t>
      </w:r>
      <w:proofErr w:type="spellEnd"/>
      <w:r w:rsidR="009374CD">
        <w:t xml:space="preserve">, pomocy de </w:t>
      </w:r>
      <w:proofErr w:type="spellStart"/>
      <w:r w:rsidR="009374CD">
        <w:t>minimis</w:t>
      </w:r>
      <w:proofErr w:type="spellEnd"/>
      <w:r w:rsidR="009374CD">
        <w:t xml:space="preserve"> w rolnictwie oraz pomocy de </w:t>
      </w:r>
      <w:proofErr w:type="spellStart"/>
      <w:r w:rsidR="009374CD">
        <w:t>minimis</w:t>
      </w:r>
      <w:proofErr w:type="spellEnd"/>
      <w:r w:rsidR="009374CD">
        <w:t xml:space="preserve"> w sektorach rybołówstwa i akwakultury. </w:t>
      </w:r>
    </w:p>
    <w:p w14:paraId="5FBF4662" w14:textId="10B47B5E" w:rsidR="00337A98" w:rsidRDefault="003932A8" w:rsidP="00231575">
      <w:pPr>
        <w:pStyle w:val="Standard"/>
        <w:shd w:val="clear" w:color="auto" w:fill="FFFFFF"/>
        <w:spacing w:line="360" w:lineRule="auto"/>
        <w:ind w:firstLine="709"/>
        <w:jc w:val="both"/>
      </w:pPr>
      <w:r>
        <w:lastRenderedPageBreak/>
        <w:t xml:space="preserve">W § 10 </w:t>
      </w:r>
      <w:r w:rsidR="00337A98">
        <w:t>zawiera przepis przejściowy</w:t>
      </w:r>
      <w:r w:rsidR="004621E3">
        <w:t xml:space="preserve"> </w:t>
      </w:r>
      <w:r w:rsidR="00A941E4">
        <w:t>w związku z</w:t>
      </w:r>
      <w:r w:rsidR="004621E3">
        <w:t xml:space="preserve"> art. 78 ustawy o ekonomii społecznej</w:t>
      </w:r>
      <w:r w:rsidR="00337A98">
        <w:t xml:space="preserve">. </w:t>
      </w:r>
      <w:r w:rsidR="004621E3">
        <w:t>Na mocy wskazane</w:t>
      </w:r>
      <w:r w:rsidR="00A941E4">
        <w:t>go</w:t>
      </w:r>
      <w:r w:rsidR="004621E3">
        <w:t xml:space="preserve"> przepisu do spraw wszczętych a niezakończonych stosuje się przepisy dotychczasowe. Uzasadnieniem takiego rozwiązania jest to, że projekt przewiduje nowe </w:t>
      </w:r>
      <w:r w:rsidR="00763BFF">
        <w:t>warunki przyznania</w:t>
      </w:r>
      <w:r w:rsidR="004621E3">
        <w:t xml:space="preserve"> wsparcia (takie jak przewidziano w art. 26h</w:t>
      </w:r>
      <w:r w:rsidR="00F671A3">
        <w:t xml:space="preserve"> ustawy o rehabilitacji</w:t>
      </w:r>
      <w:r w:rsidR="004621E3">
        <w:t>) nieznane w momencie rozpoczęcia procedowania wniosków.</w:t>
      </w:r>
    </w:p>
    <w:p w14:paraId="2EA91F12" w14:textId="6DDBFA9A" w:rsidR="00975DC0" w:rsidRPr="00BD6865" w:rsidRDefault="009374CD" w:rsidP="00231575">
      <w:pPr>
        <w:pStyle w:val="Standard"/>
        <w:shd w:val="clear" w:color="auto" w:fill="FFFFFF"/>
        <w:spacing w:line="360" w:lineRule="auto"/>
        <w:ind w:firstLine="709"/>
        <w:jc w:val="both"/>
      </w:pPr>
      <w:r>
        <w:t xml:space="preserve">Rozporządzenie wchodzi w życie z dniem </w:t>
      </w:r>
      <w:r w:rsidR="00513B0C">
        <w:t xml:space="preserve">następującym po dniu </w:t>
      </w:r>
      <w:r>
        <w:t>ogłoszenia</w:t>
      </w:r>
      <w:r w:rsidR="00FB178E">
        <w:t xml:space="preserve"> (§ 11</w:t>
      </w:r>
      <w:r w:rsidR="003839F5">
        <w:t xml:space="preserve"> projektu</w:t>
      </w:r>
      <w:r w:rsidR="00FB178E">
        <w:t>)</w:t>
      </w:r>
      <w:r>
        <w:t xml:space="preserve">. </w:t>
      </w:r>
      <w:r w:rsidR="00763BFF">
        <w:t>Projekt w</w:t>
      </w:r>
      <w:r w:rsidR="00F671A3">
        <w:t> </w:t>
      </w:r>
      <w:r w:rsidR="00763BFF">
        <w:t>większości powiela unormowania poprzednio obowiązującego rozporządzenia, dlatego należy uznać, że o</w:t>
      </w:r>
      <w:r>
        <w:t>kres</w:t>
      </w:r>
      <w:r w:rsidR="003839F5">
        <w:t xml:space="preserve"> ten</w:t>
      </w:r>
      <w:r>
        <w:t xml:space="preserve"> </w:t>
      </w:r>
      <w:r w:rsidR="003839F5">
        <w:t>będzie</w:t>
      </w:r>
      <w:r w:rsidR="00763BFF">
        <w:t xml:space="preserve"> </w:t>
      </w:r>
      <w:r>
        <w:t>wystarczający na dostosowanie się odbiorców do nowej sytuacji prawnej.</w:t>
      </w:r>
      <w:r w:rsidR="00C91D6F">
        <w:t xml:space="preserve"> </w:t>
      </w:r>
      <w:r w:rsidR="00975DC0">
        <w:t>W</w:t>
      </w:r>
      <w:r w:rsidR="00975DC0" w:rsidRPr="00005ED9">
        <w:rPr>
          <w:kern w:val="0"/>
          <w:lang w:bidi="ar-SA"/>
        </w:rPr>
        <w:t>yznaczenie</w:t>
      </w:r>
      <w:r w:rsidR="00975DC0">
        <w:rPr>
          <w:kern w:val="0"/>
          <w:lang w:bidi="ar-SA"/>
        </w:rPr>
        <w:t xml:space="preserve"> </w:t>
      </w:r>
      <w:r w:rsidR="00975DC0" w:rsidRPr="00005ED9">
        <w:rPr>
          <w:kern w:val="0"/>
          <w:lang w:bidi="ar-SA"/>
        </w:rPr>
        <w:t xml:space="preserve">takiego terminu wejścia w życie przepisów </w:t>
      </w:r>
      <w:r w:rsidR="003839F5">
        <w:rPr>
          <w:kern w:val="0"/>
          <w:lang w:bidi="ar-SA"/>
        </w:rPr>
        <w:t>będzie</w:t>
      </w:r>
      <w:r w:rsidR="003839F5" w:rsidRPr="00005ED9">
        <w:rPr>
          <w:kern w:val="0"/>
          <w:lang w:bidi="ar-SA"/>
        </w:rPr>
        <w:t xml:space="preserve"> </w:t>
      </w:r>
      <w:r w:rsidR="00975DC0" w:rsidRPr="00005ED9">
        <w:rPr>
          <w:kern w:val="0"/>
          <w:lang w:bidi="ar-SA"/>
        </w:rPr>
        <w:t>korzystne dla adresatów tych norm</w:t>
      </w:r>
      <w:r w:rsidR="003839F5">
        <w:rPr>
          <w:kern w:val="0"/>
          <w:lang w:bidi="ar-SA"/>
        </w:rPr>
        <w:t xml:space="preserve"> </w:t>
      </w:r>
      <w:r w:rsidR="00975DC0" w:rsidRPr="00005ED9">
        <w:rPr>
          <w:kern w:val="0"/>
          <w:lang w:bidi="ar-SA"/>
        </w:rPr>
        <w:t>i nie</w:t>
      </w:r>
      <w:r w:rsidR="00975DC0">
        <w:rPr>
          <w:kern w:val="0"/>
          <w:lang w:bidi="ar-SA"/>
        </w:rPr>
        <w:t xml:space="preserve"> </w:t>
      </w:r>
      <w:r w:rsidR="00975DC0" w:rsidRPr="00005ED9">
        <w:rPr>
          <w:kern w:val="0"/>
          <w:lang w:bidi="ar-SA"/>
        </w:rPr>
        <w:t>będzie sprzeczne z zasadami demokratycznego państwa prawnego. Ważnym interesem</w:t>
      </w:r>
      <w:r w:rsidR="00975DC0">
        <w:rPr>
          <w:kern w:val="0"/>
          <w:lang w:bidi="ar-SA"/>
        </w:rPr>
        <w:t xml:space="preserve"> </w:t>
      </w:r>
      <w:r w:rsidR="00975DC0" w:rsidRPr="00005ED9">
        <w:rPr>
          <w:kern w:val="0"/>
          <w:lang w:bidi="ar-SA"/>
        </w:rPr>
        <w:t>państwa</w:t>
      </w:r>
      <w:r w:rsidR="003839F5">
        <w:rPr>
          <w:kern w:val="0"/>
          <w:lang w:bidi="ar-SA"/>
        </w:rPr>
        <w:t>,</w:t>
      </w:r>
      <w:r w:rsidR="00975DC0" w:rsidRPr="00005ED9">
        <w:rPr>
          <w:kern w:val="0"/>
          <w:lang w:bidi="ar-SA"/>
        </w:rPr>
        <w:t xml:space="preserve"> uzasadniającym wejście w życie</w:t>
      </w:r>
      <w:r w:rsidR="00975DC0">
        <w:rPr>
          <w:kern w:val="0"/>
          <w:lang w:bidi="ar-SA"/>
        </w:rPr>
        <w:t xml:space="preserve"> rozporządzenia</w:t>
      </w:r>
      <w:r w:rsidR="00975DC0" w:rsidRPr="00005ED9">
        <w:rPr>
          <w:kern w:val="0"/>
          <w:lang w:bidi="ar-SA"/>
        </w:rPr>
        <w:t xml:space="preserve"> w dniu następującym po dniu ogłoszenia jest</w:t>
      </w:r>
      <w:r w:rsidR="00975DC0">
        <w:rPr>
          <w:kern w:val="0"/>
          <w:lang w:bidi="ar-SA"/>
        </w:rPr>
        <w:t xml:space="preserve"> </w:t>
      </w:r>
      <w:r w:rsidR="00975DC0" w:rsidRPr="00005ED9">
        <w:rPr>
          <w:kern w:val="0"/>
          <w:lang w:bidi="ar-SA"/>
        </w:rPr>
        <w:t xml:space="preserve">potrzeba </w:t>
      </w:r>
      <w:r w:rsidR="00EB7B72">
        <w:rPr>
          <w:kern w:val="0"/>
          <w:lang w:bidi="ar-SA"/>
        </w:rPr>
        <w:t xml:space="preserve">jak najszybszego </w:t>
      </w:r>
      <w:r w:rsidR="00975DC0">
        <w:rPr>
          <w:kern w:val="0"/>
          <w:lang w:bidi="ar-SA"/>
        </w:rPr>
        <w:t xml:space="preserve">umożliwienia zawierania przez starostę umów i </w:t>
      </w:r>
      <w:r w:rsidR="00975DC0" w:rsidRPr="00005ED9">
        <w:rPr>
          <w:kern w:val="0"/>
          <w:lang w:bidi="ar-SA"/>
        </w:rPr>
        <w:t>przekazania</w:t>
      </w:r>
      <w:r w:rsidR="00975DC0">
        <w:rPr>
          <w:kern w:val="0"/>
          <w:lang w:bidi="ar-SA"/>
        </w:rPr>
        <w:t xml:space="preserve"> wnioskodawcy</w:t>
      </w:r>
      <w:r w:rsidR="00975DC0" w:rsidRPr="00005ED9">
        <w:rPr>
          <w:kern w:val="0"/>
          <w:lang w:bidi="ar-SA"/>
        </w:rPr>
        <w:t xml:space="preserve"> środków </w:t>
      </w:r>
      <w:r w:rsidR="00975DC0" w:rsidRPr="00BD6865">
        <w:t xml:space="preserve">na </w:t>
      </w:r>
      <w:r w:rsidR="00975DC0">
        <w:t xml:space="preserve">utworzenie stanowiska pracy i finansowanie kosztów wynagrodzenia osób niepełnosprawnych. </w:t>
      </w:r>
    </w:p>
    <w:p w14:paraId="36EEC0EB" w14:textId="49BFC483" w:rsidR="003839F5" w:rsidRDefault="003839F5" w:rsidP="003839F5">
      <w:pPr>
        <w:pStyle w:val="Standard"/>
        <w:shd w:val="clear" w:color="auto" w:fill="FFFFFF"/>
        <w:spacing w:line="360" w:lineRule="auto"/>
        <w:ind w:firstLine="709"/>
        <w:jc w:val="both"/>
      </w:pPr>
      <w:r>
        <w:t>Stosownie do postanowień art. 5 ustawy z dnia 7 lipca 2005 r. o działalności lobbingowej w procesie stanowienia prawa (Dz. U. z 2017 r. poz. 248) oraz § 52 uchwały nr 190 Rady Ministrów z dnia 29 października 2013 r. – Regulamin pracy Rady Ministrów (M.P. z 2022 r. poz. 348) projekt rozporządzenia został udostępniony w Biuletynie Informacji Publicznej Rządowego Centrum Legislacji na stronie internetowej Rządowego Centrum Legislacji, w serwisie Rządowy Proces Legislacyjny oraz w Biuletynie Informacji Publicznej Ministerstwa Rodziny i Polityki Społecznej.</w:t>
      </w:r>
    </w:p>
    <w:p w14:paraId="061005B8" w14:textId="33566B47" w:rsidR="006132F5" w:rsidRDefault="003839F5" w:rsidP="00231575">
      <w:pPr>
        <w:pStyle w:val="Standard"/>
        <w:shd w:val="clear" w:color="auto" w:fill="FFFFFF"/>
        <w:spacing w:line="360" w:lineRule="auto"/>
        <w:ind w:firstLine="709"/>
        <w:jc w:val="both"/>
        <w:rPr>
          <w:rFonts w:eastAsia="Times New Roman"/>
          <w:lang w:eastAsia="pl-PL"/>
        </w:rPr>
      </w:pPr>
      <w:r w:rsidRPr="003839F5">
        <w:t>W opinii projektodawców projekt rozporządzenia jest zgodny z prawem Unii Europejskiej i nie podlega obowiązkowi przedstawienia właściwym instytucjom Unii Europejskiej, w tym Europejskiemu Bankowi Centralnemu, w celu uzyskania opinii, dokonania powiadomienia, konsultacji albo uzgodnienia.</w:t>
      </w:r>
      <w:r w:rsidR="00011343">
        <w:t xml:space="preserve"> </w:t>
      </w:r>
      <w:r w:rsidR="009374CD">
        <w:t>Projekt</w:t>
      </w:r>
      <w:r w:rsidR="009374CD">
        <w:rPr>
          <w:rFonts w:eastAsia="Times New Roman"/>
          <w:lang w:eastAsia="pl-PL"/>
        </w:rPr>
        <w:t xml:space="preserve"> rozporządzenia nie podlega procedurze notyfikacji aktów prawnych określonej w przepisach rozporządzenia Rady Ministrów z dnia 23 grudnia 2002 r. w sprawie sposobu funkcjonowania krajowego systemu notyfikacji norm i aktów prawnych (Dz. U. poz. 2039</w:t>
      </w:r>
      <w:r w:rsidR="00A941E4">
        <w:rPr>
          <w:rFonts w:eastAsia="Times New Roman"/>
          <w:lang w:eastAsia="pl-PL"/>
        </w:rPr>
        <w:t xml:space="preserve">, z </w:t>
      </w:r>
      <w:proofErr w:type="spellStart"/>
      <w:r w:rsidR="00A941E4">
        <w:rPr>
          <w:rFonts w:eastAsia="Times New Roman"/>
          <w:lang w:eastAsia="pl-PL"/>
        </w:rPr>
        <w:t>późn</w:t>
      </w:r>
      <w:proofErr w:type="spellEnd"/>
      <w:r w:rsidR="00A941E4">
        <w:rPr>
          <w:rFonts w:eastAsia="Times New Roman"/>
          <w:lang w:eastAsia="pl-PL"/>
        </w:rPr>
        <w:t>. zm.</w:t>
      </w:r>
      <w:r w:rsidR="009374CD">
        <w:rPr>
          <w:rFonts w:eastAsia="Times New Roman"/>
          <w:lang w:eastAsia="pl-PL"/>
        </w:rPr>
        <w:t>).</w:t>
      </w:r>
    </w:p>
    <w:p w14:paraId="0E941B23" w14:textId="1C5AB372" w:rsidR="003839F5" w:rsidRDefault="003839F5" w:rsidP="00231575">
      <w:pPr>
        <w:pStyle w:val="Standard"/>
        <w:shd w:val="clear" w:color="auto" w:fill="FFFFFF"/>
        <w:spacing w:line="360" w:lineRule="auto"/>
        <w:ind w:firstLine="709"/>
        <w:jc w:val="both"/>
      </w:pPr>
      <w:r w:rsidRPr="003839F5">
        <w:t>Projektowana regulacja nie stwarza zagrożeń korupcyjnych.</w:t>
      </w:r>
    </w:p>
    <w:p w14:paraId="468B5DA1" w14:textId="6ADF53D5" w:rsidR="006132F5" w:rsidRDefault="006132F5" w:rsidP="00231575">
      <w:pPr>
        <w:pStyle w:val="Standard"/>
        <w:shd w:val="clear" w:color="auto" w:fill="FFFFFF"/>
        <w:spacing w:line="360" w:lineRule="auto"/>
        <w:ind w:firstLine="709"/>
        <w:jc w:val="both"/>
      </w:pPr>
    </w:p>
    <w:sectPr w:rsidR="006132F5">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3C9C6" w14:textId="77777777" w:rsidR="00E7473B" w:rsidRDefault="00E7473B">
      <w:r>
        <w:separator/>
      </w:r>
    </w:p>
  </w:endnote>
  <w:endnote w:type="continuationSeparator" w:id="0">
    <w:p w14:paraId="0A15951F" w14:textId="77777777" w:rsidR="00E7473B" w:rsidRDefault="00E7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roid Sans">
    <w:altName w:val="Yu Gothic UI"/>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80"/>
    <w:family w:val="swiss"/>
    <w:notTrueType/>
    <w:pitch w:val="default"/>
    <w:sig w:usb0="00000001" w:usb1="08070000" w:usb2="00000010" w:usb3="00000000" w:csb0="00020000" w:csb1="00000000"/>
  </w:font>
  <w:font w:name="Times">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29939"/>
      <w:docPartObj>
        <w:docPartGallery w:val="Page Numbers (Bottom of Page)"/>
        <w:docPartUnique/>
      </w:docPartObj>
    </w:sdtPr>
    <w:sdtEndPr/>
    <w:sdtContent>
      <w:p w14:paraId="5E1CCE7E" w14:textId="18DB8877" w:rsidR="00412BAC" w:rsidRDefault="00412BAC">
        <w:pPr>
          <w:pStyle w:val="Stopka"/>
          <w:jc w:val="right"/>
        </w:pPr>
        <w:r>
          <w:fldChar w:fldCharType="begin"/>
        </w:r>
        <w:r>
          <w:instrText>PAGE   \* MERGEFORMAT</w:instrText>
        </w:r>
        <w:r>
          <w:fldChar w:fldCharType="separate"/>
        </w:r>
        <w:r w:rsidR="00F62BD2">
          <w:rPr>
            <w:noProof/>
          </w:rPr>
          <w:t>4</w:t>
        </w:r>
        <w:r>
          <w:fldChar w:fldCharType="end"/>
        </w:r>
      </w:p>
    </w:sdtContent>
  </w:sdt>
  <w:p w14:paraId="2D3EAF5B" w14:textId="77777777" w:rsidR="00412BAC" w:rsidRDefault="00412B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C48D" w14:textId="77777777" w:rsidR="00E7473B" w:rsidRDefault="00E7473B">
      <w:r>
        <w:separator/>
      </w:r>
    </w:p>
  </w:footnote>
  <w:footnote w:type="continuationSeparator" w:id="0">
    <w:p w14:paraId="499D9E75" w14:textId="77777777" w:rsidR="00E7473B" w:rsidRDefault="00E7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A15"/>
    <w:multiLevelType w:val="multilevel"/>
    <w:tmpl w:val="F72C1E3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4C90BE4"/>
    <w:multiLevelType w:val="multilevel"/>
    <w:tmpl w:val="AC1ADC1C"/>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2CE5163E"/>
    <w:multiLevelType w:val="multilevel"/>
    <w:tmpl w:val="08A060A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5AB80468"/>
    <w:multiLevelType w:val="multilevel"/>
    <w:tmpl w:val="A888DE1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F5"/>
    <w:rsid w:val="00011343"/>
    <w:rsid w:val="000164B2"/>
    <w:rsid w:val="00021093"/>
    <w:rsid w:val="00034BAF"/>
    <w:rsid w:val="00045638"/>
    <w:rsid w:val="00091A43"/>
    <w:rsid w:val="000D4C9C"/>
    <w:rsid w:val="000E10A9"/>
    <w:rsid w:val="000E446A"/>
    <w:rsid w:val="00110374"/>
    <w:rsid w:val="001400C3"/>
    <w:rsid w:val="00162B38"/>
    <w:rsid w:val="00167099"/>
    <w:rsid w:val="00181111"/>
    <w:rsid w:val="00186040"/>
    <w:rsid w:val="00195575"/>
    <w:rsid w:val="001A7026"/>
    <w:rsid w:val="001A7D42"/>
    <w:rsid w:val="001C49A7"/>
    <w:rsid w:val="00231575"/>
    <w:rsid w:val="0023759B"/>
    <w:rsid w:val="00241FB8"/>
    <w:rsid w:val="00243AB8"/>
    <w:rsid w:val="0025240B"/>
    <w:rsid w:val="00256834"/>
    <w:rsid w:val="0027079F"/>
    <w:rsid w:val="002802C3"/>
    <w:rsid w:val="002F7942"/>
    <w:rsid w:val="00302FBA"/>
    <w:rsid w:val="00322F00"/>
    <w:rsid w:val="00333F16"/>
    <w:rsid w:val="00337A98"/>
    <w:rsid w:val="00366138"/>
    <w:rsid w:val="00371203"/>
    <w:rsid w:val="00374B79"/>
    <w:rsid w:val="00383029"/>
    <w:rsid w:val="003839F5"/>
    <w:rsid w:val="003932A8"/>
    <w:rsid w:val="003E1ED7"/>
    <w:rsid w:val="00402EEC"/>
    <w:rsid w:val="00412BAC"/>
    <w:rsid w:val="004621E3"/>
    <w:rsid w:val="004667FB"/>
    <w:rsid w:val="004865FE"/>
    <w:rsid w:val="00490FB0"/>
    <w:rsid w:val="004A7043"/>
    <w:rsid w:val="004B42BF"/>
    <w:rsid w:val="004B7F56"/>
    <w:rsid w:val="00513B0C"/>
    <w:rsid w:val="005504D7"/>
    <w:rsid w:val="00573B58"/>
    <w:rsid w:val="005945F3"/>
    <w:rsid w:val="00597676"/>
    <w:rsid w:val="005B1E8D"/>
    <w:rsid w:val="005B7C35"/>
    <w:rsid w:val="005E5EE7"/>
    <w:rsid w:val="006132F5"/>
    <w:rsid w:val="0064589C"/>
    <w:rsid w:val="0069041D"/>
    <w:rsid w:val="00722DC4"/>
    <w:rsid w:val="007531A8"/>
    <w:rsid w:val="00755A38"/>
    <w:rsid w:val="00763BFF"/>
    <w:rsid w:val="00787F2B"/>
    <w:rsid w:val="007A19E4"/>
    <w:rsid w:val="007A511F"/>
    <w:rsid w:val="007D06BB"/>
    <w:rsid w:val="007E1968"/>
    <w:rsid w:val="00821721"/>
    <w:rsid w:val="008253DC"/>
    <w:rsid w:val="008311FC"/>
    <w:rsid w:val="00843B4C"/>
    <w:rsid w:val="00863199"/>
    <w:rsid w:val="00876747"/>
    <w:rsid w:val="00882474"/>
    <w:rsid w:val="00884CA9"/>
    <w:rsid w:val="008E0F36"/>
    <w:rsid w:val="00916FA9"/>
    <w:rsid w:val="009374CD"/>
    <w:rsid w:val="00975DC0"/>
    <w:rsid w:val="00983C97"/>
    <w:rsid w:val="009C010F"/>
    <w:rsid w:val="009D15D2"/>
    <w:rsid w:val="009D40AB"/>
    <w:rsid w:val="00A253A8"/>
    <w:rsid w:val="00A33EC2"/>
    <w:rsid w:val="00A35D2A"/>
    <w:rsid w:val="00A368D8"/>
    <w:rsid w:val="00A46C4D"/>
    <w:rsid w:val="00A61B52"/>
    <w:rsid w:val="00A649FE"/>
    <w:rsid w:val="00A679CD"/>
    <w:rsid w:val="00A72E12"/>
    <w:rsid w:val="00A941E4"/>
    <w:rsid w:val="00BA1A68"/>
    <w:rsid w:val="00BB18F8"/>
    <w:rsid w:val="00BC2C12"/>
    <w:rsid w:val="00BD7974"/>
    <w:rsid w:val="00C10584"/>
    <w:rsid w:val="00C223C3"/>
    <w:rsid w:val="00C36510"/>
    <w:rsid w:val="00C45209"/>
    <w:rsid w:val="00C54FAD"/>
    <w:rsid w:val="00C91D6F"/>
    <w:rsid w:val="00CA2D7C"/>
    <w:rsid w:val="00CB406A"/>
    <w:rsid w:val="00CF4EA9"/>
    <w:rsid w:val="00D142C9"/>
    <w:rsid w:val="00D16A15"/>
    <w:rsid w:val="00D25910"/>
    <w:rsid w:val="00D34332"/>
    <w:rsid w:val="00D51FDC"/>
    <w:rsid w:val="00D55EEA"/>
    <w:rsid w:val="00D90B59"/>
    <w:rsid w:val="00DA2AC7"/>
    <w:rsid w:val="00DA5AA1"/>
    <w:rsid w:val="00DD4AED"/>
    <w:rsid w:val="00DE1F0E"/>
    <w:rsid w:val="00DE4738"/>
    <w:rsid w:val="00E17C6B"/>
    <w:rsid w:val="00E24641"/>
    <w:rsid w:val="00E632A4"/>
    <w:rsid w:val="00E7473B"/>
    <w:rsid w:val="00EA24F1"/>
    <w:rsid w:val="00EB7B72"/>
    <w:rsid w:val="00ED4D29"/>
    <w:rsid w:val="00EE1D47"/>
    <w:rsid w:val="00F56C82"/>
    <w:rsid w:val="00F57BFC"/>
    <w:rsid w:val="00F62BD2"/>
    <w:rsid w:val="00F66CC4"/>
    <w:rsid w:val="00F671A3"/>
    <w:rsid w:val="00F729C5"/>
    <w:rsid w:val="00F733DB"/>
    <w:rsid w:val="00F865F3"/>
    <w:rsid w:val="00F87B34"/>
    <w:rsid w:val="00FA6FA3"/>
    <w:rsid w:val="00FB178E"/>
    <w:rsid w:val="00FB41D9"/>
    <w:rsid w:val="00FB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E800"/>
  <w15:docId w15:val="{BC5ABFEC-5157-42B7-9BBD-632E4A48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w:hAnsi="Times New Roman" w:cs="Times New Roman"/>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RTartustawynprozporzdzenia">
    <w:name w:val="ART(§) – art. ustawy (§ np. rozporządzenia)"/>
    <w:uiPriority w:val="11"/>
    <w:qFormat/>
    <w:pPr>
      <w:widowControl/>
      <w:spacing w:before="120" w:line="360" w:lineRule="auto"/>
      <w:ind w:firstLine="510"/>
      <w:jc w:val="both"/>
    </w:pPr>
    <w:rPr>
      <w:rFonts w:ascii="Times" w:hAnsi="Times" w:cs="Arial"/>
      <w:szCs w:val="20"/>
      <w:lang w:eastAsia="pl-PL"/>
    </w:rPr>
  </w:style>
  <w:style w:type="paragraph" w:customStyle="1" w:styleId="divpoint">
    <w:name w:val="div.point"/>
    <w:rPr>
      <w:rFonts w:ascii="Helvetica" w:eastAsia="Times New Roman" w:hAnsi="Helvetica" w:cs="Helvetica"/>
      <w:sz w:val="18"/>
      <w:szCs w:val="18"/>
      <w:lang w:eastAsia="pl-PL"/>
    </w:rPr>
  </w:style>
  <w:style w:type="paragraph" w:customStyle="1" w:styleId="divpkt">
    <w:name w:val="div.pkt"/>
    <w:pPr>
      <w:ind w:left="240"/>
      <w:jc w:val="both"/>
    </w:pPr>
    <w:rPr>
      <w:rFonts w:ascii="Helvetica" w:eastAsia="Times New Roman" w:hAnsi="Helvetica" w:cs="Helvetica"/>
      <w:sz w:val="18"/>
      <w:szCs w:val="18"/>
      <w:lang w:eastAsia="pl-PL"/>
    </w:rPr>
  </w:style>
  <w:style w:type="character" w:customStyle="1" w:styleId="ListLabel2">
    <w:name w:val="ListLabel 2"/>
    <w:rPr>
      <w:rFonts w:cs="Times New Roman"/>
    </w:rPr>
  </w:style>
  <w:style w:type="numbering" w:customStyle="1" w:styleId="WWNum3">
    <w:name w:val="WWNum3"/>
    <w:basedOn w:val="Bezlisty"/>
    <w:pPr>
      <w:numPr>
        <w:numId w:val="1"/>
      </w:numPr>
    </w:pPr>
  </w:style>
  <w:style w:type="numbering" w:customStyle="1" w:styleId="WWNum18">
    <w:name w:val="WWNum18"/>
    <w:basedOn w:val="Bezlisty"/>
    <w:pPr>
      <w:numPr>
        <w:numId w:val="2"/>
      </w:numPr>
    </w:pPr>
  </w:style>
  <w:style w:type="numbering" w:customStyle="1" w:styleId="WWNum9">
    <w:name w:val="WWNum9"/>
    <w:basedOn w:val="Bezlisty"/>
    <w:pPr>
      <w:numPr>
        <w:numId w:val="3"/>
      </w:numPr>
    </w:pPr>
  </w:style>
  <w:style w:type="paragraph" w:styleId="Tekstdymka">
    <w:name w:val="Balloon Text"/>
    <w:basedOn w:val="Normalny"/>
    <w:link w:val="TekstdymkaZnak"/>
    <w:uiPriority w:val="99"/>
    <w:semiHidden/>
    <w:unhideWhenUsed/>
    <w:rsid w:val="00186040"/>
    <w:rPr>
      <w:rFonts w:ascii="Segoe UI" w:hAnsi="Segoe UI" w:cs="Mangal"/>
      <w:sz w:val="18"/>
      <w:szCs w:val="16"/>
    </w:rPr>
  </w:style>
  <w:style w:type="character" w:customStyle="1" w:styleId="TekstdymkaZnak">
    <w:name w:val="Tekst dymka Znak"/>
    <w:basedOn w:val="Domylnaczcionkaakapitu"/>
    <w:link w:val="Tekstdymka"/>
    <w:uiPriority w:val="99"/>
    <w:semiHidden/>
    <w:rsid w:val="00186040"/>
    <w:rPr>
      <w:rFonts w:ascii="Segoe UI" w:hAnsi="Segoe UI" w:cs="Mangal"/>
      <w:sz w:val="18"/>
      <w:szCs w:val="16"/>
    </w:rPr>
  </w:style>
  <w:style w:type="character" w:styleId="Odwoaniedokomentarza">
    <w:name w:val="annotation reference"/>
    <w:basedOn w:val="Domylnaczcionkaakapitu"/>
    <w:uiPriority w:val="99"/>
    <w:semiHidden/>
    <w:unhideWhenUsed/>
    <w:rsid w:val="00186040"/>
    <w:rPr>
      <w:sz w:val="16"/>
      <w:szCs w:val="16"/>
    </w:rPr>
  </w:style>
  <w:style w:type="paragraph" w:styleId="Tekstkomentarza">
    <w:name w:val="annotation text"/>
    <w:basedOn w:val="Normalny"/>
    <w:link w:val="TekstkomentarzaZnak"/>
    <w:uiPriority w:val="99"/>
    <w:semiHidden/>
    <w:unhideWhenUsed/>
    <w:rsid w:val="00186040"/>
    <w:rPr>
      <w:rFonts w:cs="Mangal"/>
      <w:sz w:val="20"/>
      <w:szCs w:val="18"/>
    </w:rPr>
  </w:style>
  <w:style w:type="character" w:customStyle="1" w:styleId="TekstkomentarzaZnak">
    <w:name w:val="Tekst komentarza Znak"/>
    <w:basedOn w:val="Domylnaczcionkaakapitu"/>
    <w:link w:val="Tekstkomentarza"/>
    <w:uiPriority w:val="99"/>
    <w:semiHidden/>
    <w:rsid w:val="00186040"/>
    <w:rPr>
      <w:rFonts w:cs="Mangal"/>
      <w:sz w:val="20"/>
      <w:szCs w:val="18"/>
    </w:rPr>
  </w:style>
  <w:style w:type="paragraph" w:styleId="Tematkomentarza">
    <w:name w:val="annotation subject"/>
    <w:basedOn w:val="Tekstkomentarza"/>
    <w:next w:val="Tekstkomentarza"/>
    <w:link w:val="TematkomentarzaZnak"/>
    <w:uiPriority w:val="99"/>
    <w:semiHidden/>
    <w:unhideWhenUsed/>
    <w:rsid w:val="00186040"/>
    <w:rPr>
      <w:b/>
      <w:bCs/>
    </w:rPr>
  </w:style>
  <w:style w:type="character" w:customStyle="1" w:styleId="TematkomentarzaZnak">
    <w:name w:val="Temat komentarza Znak"/>
    <w:basedOn w:val="TekstkomentarzaZnak"/>
    <w:link w:val="Tematkomentarza"/>
    <w:uiPriority w:val="99"/>
    <w:semiHidden/>
    <w:rsid w:val="00186040"/>
    <w:rPr>
      <w:rFonts w:cs="Mangal"/>
      <w:b/>
      <w:bCs/>
      <w:sz w:val="20"/>
      <w:szCs w:val="18"/>
    </w:rPr>
  </w:style>
  <w:style w:type="paragraph" w:styleId="Nagwek">
    <w:name w:val="header"/>
    <w:basedOn w:val="Normalny"/>
    <w:link w:val="NagwekZnak"/>
    <w:uiPriority w:val="99"/>
    <w:unhideWhenUsed/>
    <w:rsid w:val="00412B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12BAC"/>
    <w:rPr>
      <w:rFonts w:cs="Mangal"/>
      <w:szCs w:val="21"/>
    </w:rPr>
  </w:style>
  <w:style w:type="paragraph" w:styleId="Stopka">
    <w:name w:val="footer"/>
    <w:basedOn w:val="Normalny"/>
    <w:link w:val="StopkaZnak"/>
    <w:uiPriority w:val="99"/>
    <w:unhideWhenUsed/>
    <w:rsid w:val="00412B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12BA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Klimkiewicz</dc:creator>
  <cp:lastModifiedBy>Zbigniew Sepioł</cp:lastModifiedBy>
  <cp:revision>5</cp:revision>
  <dcterms:created xsi:type="dcterms:W3CDTF">2023-02-23T15:33:00Z</dcterms:created>
  <dcterms:modified xsi:type="dcterms:W3CDTF">2023-02-28T13:10:00Z</dcterms:modified>
</cp:coreProperties>
</file>