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D76F" w14:textId="310E6DCB" w:rsidR="005B19EE" w:rsidRPr="00FB4E68" w:rsidRDefault="00B95DBC" w:rsidP="00BA16CB">
      <w:pPr>
        <w:pStyle w:val="OZNRODZAKTUtznustawalubrozporzdzenieiorganwydajcy"/>
        <w:spacing w:after="0" w:line="240" w:lineRule="auto"/>
        <w:jc w:val="right"/>
        <w:rPr>
          <w:rFonts w:ascii="Times New Roman" w:hAnsi="Times New Roman"/>
          <w:b w:val="0"/>
          <w:bCs w:val="0"/>
          <w:spacing w:val="0"/>
        </w:rPr>
      </w:pPr>
      <w:r>
        <w:rPr>
          <w:rFonts w:ascii="Times New Roman" w:hAnsi="Times New Roman"/>
          <w:b w:val="0"/>
          <w:bCs w:val="0"/>
          <w:spacing w:val="0"/>
        </w:rPr>
        <w:t>03</w:t>
      </w:r>
      <w:r w:rsidR="005D2C08">
        <w:rPr>
          <w:rFonts w:ascii="Times New Roman" w:hAnsi="Times New Roman"/>
          <w:b w:val="0"/>
          <w:bCs w:val="0"/>
          <w:spacing w:val="0"/>
        </w:rPr>
        <w:t>.</w:t>
      </w:r>
      <w:r w:rsidR="00BA4F60">
        <w:rPr>
          <w:rFonts w:ascii="Times New Roman" w:hAnsi="Times New Roman"/>
          <w:b w:val="0"/>
          <w:bCs w:val="0"/>
          <w:spacing w:val="0"/>
        </w:rPr>
        <w:t>0</w:t>
      </w:r>
      <w:r>
        <w:rPr>
          <w:rFonts w:ascii="Times New Roman" w:hAnsi="Times New Roman"/>
          <w:b w:val="0"/>
          <w:bCs w:val="0"/>
          <w:spacing w:val="0"/>
        </w:rPr>
        <w:t>2</w:t>
      </w:r>
      <w:r w:rsidR="005D2C08">
        <w:rPr>
          <w:rFonts w:ascii="Times New Roman" w:hAnsi="Times New Roman"/>
          <w:b w:val="0"/>
          <w:bCs w:val="0"/>
          <w:spacing w:val="0"/>
        </w:rPr>
        <w:t>.</w:t>
      </w:r>
      <w:r w:rsidR="00BA4F60">
        <w:rPr>
          <w:rFonts w:ascii="Times New Roman" w:hAnsi="Times New Roman"/>
          <w:b w:val="0"/>
          <w:bCs w:val="0"/>
          <w:spacing w:val="0"/>
        </w:rPr>
        <w:t>2023</w:t>
      </w:r>
    </w:p>
    <w:p w14:paraId="5F54ECBC" w14:textId="77777777" w:rsidR="005B19EE" w:rsidRPr="00FB4E68" w:rsidRDefault="005B19EE" w:rsidP="00BA16CB">
      <w:pPr>
        <w:pStyle w:val="OZNRODZAKTUtznustawalubrozporzdzenieiorganwydajcy"/>
        <w:spacing w:after="0" w:line="240" w:lineRule="auto"/>
        <w:rPr>
          <w:rFonts w:ascii="Times New Roman" w:hAnsi="Times New Roman"/>
          <w:spacing w:val="0"/>
        </w:rPr>
      </w:pPr>
    </w:p>
    <w:p w14:paraId="4C7CD8DB" w14:textId="7E9976AA" w:rsidR="004E3550" w:rsidRDefault="004E3550" w:rsidP="00BA16CB">
      <w:pPr>
        <w:pStyle w:val="OZNRODZAKTUtznustawalubrozporzdzenieiorganwydajcy"/>
        <w:spacing w:after="0" w:line="240" w:lineRule="auto"/>
        <w:rPr>
          <w:rFonts w:ascii="Times New Roman" w:hAnsi="Times New Roman"/>
          <w:spacing w:val="0"/>
        </w:rPr>
      </w:pPr>
      <w:r w:rsidRPr="00FB4E68">
        <w:rPr>
          <w:rFonts w:ascii="Times New Roman" w:hAnsi="Times New Roman"/>
          <w:spacing w:val="0"/>
        </w:rPr>
        <w:t>UZASADNIENIE</w:t>
      </w:r>
    </w:p>
    <w:p w14:paraId="6C9816F5" w14:textId="3DD15429" w:rsidR="004E3550" w:rsidRDefault="004E3550" w:rsidP="00BA16CB">
      <w:pPr>
        <w:spacing w:line="240" w:lineRule="auto"/>
        <w:ind w:firstLine="426"/>
        <w:jc w:val="both"/>
        <w:rPr>
          <w:rFonts w:cs="Times New Roman"/>
          <w:szCs w:val="24"/>
        </w:rPr>
      </w:pPr>
    </w:p>
    <w:p w14:paraId="22967267" w14:textId="77777777" w:rsidR="00DE2C30" w:rsidRPr="00FB4E68" w:rsidRDefault="00DE2C30" w:rsidP="00BA16CB">
      <w:pPr>
        <w:spacing w:line="240" w:lineRule="auto"/>
        <w:ind w:firstLine="426"/>
        <w:jc w:val="both"/>
        <w:rPr>
          <w:rFonts w:cs="Times New Roman"/>
          <w:szCs w:val="24"/>
        </w:rPr>
      </w:pPr>
    </w:p>
    <w:p w14:paraId="3282838F" w14:textId="77777777" w:rsidR="00BC6485" w:rsidRPr="00E84EA8" w:rsidRDefault="00BC6485" w:rsidP="00BC6485">
      <w:pPr>
        <w:pStyle w:val="Akapitzlist"/>
        <w:keepNext/>
        <w:widowControl/>
        <w:numPr>
          <w:ilvl w:val="0"/>
          <w:numId w:val="7"/>
        </w:numPr>
        <w:suppressAutoHyphens/>
        <w:autoSpaceDE/>
        <w:autoSpaceDN/>
        <w:adjustRightInd/>
        <w:spacing w:line="276" w:lineRule="auto"/>
        <w:ind w:left="284" w:hanging="284"/>
        <w:jc w:val="both"/>
        <w:rPr>
          <w:rFonts w:eastAsia="Calibri" w:cs="Times New Roman"/>
          <w:lang w:eastAsia="ar-SA"/>
        </w:rPr>
      </w:pPr>
      <w:r w:rsidRPr="00E84EA8">
        <w:rPr>
          <w:rFonts w:eastAsia="Calibri" w:cs="Times New Roman"/>
          <w:b/>
          <w:lang w:eastAsia="ar-SA"/>
        </w:rPr>
        <w:t>Potrzeba i cel wydania</w:t>
      </w:r>
      <w:r w:rsidRPr="00E84EA8">
        <w:rPr>
          <w:rFonts w:eastAsia="Calibri" w:cs="Times New Roman"/>
          <w:lang w:eastAsia="ar-SA"/>
        </w:rPr>
        <w:t xml:space="preserve"> </w:t>
      </w:r>
    </w:p>
    <w:p w14:paraId="53FDC2EA" w14:textId="77777777" w:rsidR="00BC6485" w:rsidRDefault="00BC6485" w:rsidP="00BC6485">
      <w:pPr>
        <w:keepNext/>
        <w:suppressAutoHyphens/>
        <w:spacing w:line="276" w:lineRule="auto"/>
        <w:rPr>
          <w:rFonts w:eastAsia="Calibri" w:cs="Times New Roman"/>
          <w:lang w:eastAsia="ar-SA"/>
        </w:rPr>
      </w:pPr>
    </w:p>
    <w:p w14:paraId="492B6D2A" w14:textId="19DA83CF" w:rsidR="00BC6485" w:rsidRPr="007251E1" w:rsidRDefault="00BC6485" w:rsidP="007251E1">
      <w:pPr>
        <w:keepNext/>
        <w:suppressAutoHyphens/>
        <w:spacing w:line="240" w:lineRule="auto"/>
        <w:jc w:val="both"/>
        <w:rPr>
          <w:rFonts w:eastAsia="Calibri" w:cs="Times New Roman"/>
          <w:szCs w:val="24"/>
          <w:lang w:eastAsia="ar-SA"/>
        </w:rPr>
      </w:pPr>
      <w:r w:rsidRPr="007251E1">
        <w:rPr>
          <w:rFonts w:eastAsia="Calibri" w:cs="Times New Roman"/>
          <w:szCs w:val="24"/>
          <w:lang w:eastAsia="ar-SA"/>
        </w:rPr>
        <w:t xml:space="preserve">W związku z transpozycją do prawa krajowego postanowień dyrektywy </w:t>
      </w:r>
      <w:r w:rsidR="00386D73">
        <w:rPr>
          <w:rFonts w:eastAsia="Calibri" w:cs="Times New Roman"/>
          <w:szCs w:val="24"/>
          <w:lang w:eastAsia="ar-SA"/>
        </w:rPr>
        <w:t xml:space="preserve">Parlamentu Europejskiego i Rady </w:t>
      </w:r>
      <w:r w:rsidRPr="007251E1">
        <w:rPr>
          <w:rFonts w:eastAsia="Calibri" w:cs="Times New Roman"/>
          <w:szCs w:val="24"/>
          <w:lang w:eastAsia="ar-SA"/>
        </w:rPr>
        <w:t>2010/75/</w:t>
      </w:r>
      <w:r w:rsidR="00386D73">
        <w:rPr>
          <w:rFonts w:eastAsia="Calibri" w:cs="Times New Roman"/>
          <w:szCs w:val="24"/>
          <w:lang w:eastAsia="ar-SA"/>
        </w:rPr>
        <w:t>UE z dnia 24 listopada 2010 r.</w:t>
      </w:r>
      <w:r w:rsidR="00386D73" w:rsidRPr="007251E1">
        <w:rPr>
          <w:rFonts w:eastAsia="Calibri" w:cs="Times New Roman"/>
          <w:szCs w:val="24"/>
          <w:lang w:eastAsia="ar-SA"/>
        </w:rPr>
        <w:t xml:space="preserve"> </w:t>
      </w:r>
      <w:r w:rsidR="00386D73">
        <w:rPr>
          <w:rFonts w:eastAsia="Calibri" w:cs="Times New Roman"/>
          <w:szCs w:val="24"/>
          <w:lang w:eastAsia="ar-SA"/>
        </w:rPr>
        <w:t>w sprawie</w:t>
      </w:r>
      <w:r w:rsidR="00386D73" w:rsidRPr="007251E1">
        <w:rPr>
          <w:rFonts w:eastAsia="Calibri" w:cs="Times New Roman"/>
          <w:szCs w:val="24"/>
          <w:lang w:eastAsia="ar-SA"/>
        </w:rPr>
        <w:t xml:space="preserve"> </w:t>
      </w:r>
      <w:r w:rsidRPr="007251E1">
        <w:rPr>
          <w:rFonts w:eastAsia="Calibri" w:cs="Times New Roman"/>
          <w:szCs w:val="24"/>
          <w:lang w:eastAsia="ar-SA"/>
        </w:rPr>
        <w:t>emisji  przemysłowych</w:t>
      </w:r>
      <w:r w:rsidR="00386D73">
        <w:rPr>
          <w:rFonts w:eastAsia="Calibri" w:cs="Times New Roman"/>
          <w:szCs w:val="24"/>
          <w:lang w:eastAsia="ar-SA"/>
        </w:rPr>
        <w:t xml:space="preserve"> (zintegrowane zapobieganie zanieczyszczeniom i ich kontrola) (Dz. Urz. UE L 334 </w:t>
      </w:r>
      <w:r w:rsidR="005817D0">
        <w:rPr>
          <w:rFonts w:eastAsia="Calibri" w:cs="Times New Roman"/>
          <w:szCs w:val="24"/>
          <w:lang w:eastAsia="ar-SA"/>
        </w:rPr>
        <w:t xml:space="preserve">z 17.12.2010, str. 17, z późn. zm.), zwanej </w:t>
      </w:r>
      <w:r w:rsidR="00AE35AA">
        <w:rPr>
          <w:rFonts w:eastAsia="Calibri" w:cs="Times New Roman"/>
          <w:szCs w:val="24"/>
          <w:lang w:eastAsia="ar-SA"/>
        </w:rPr>
        <w:t xml:space="preserve">dalej </w:t>
      </w:r>
      <w:r w:rsidR="005817D0">
        <w:rPr>
          <w:rFonts w:eastAsia="Calibri" w:cs="Times New Roman"/>
          <w:szCs w:val="24"/>
          <w:lang w:eastAsia="ar-SA"/>
        </w:rPr>
        <w:t>„</w:t>
      </w:r>
      <w:r w:rsidRPr="007251E1">
        <w:rPr>
          <w:rFonts w:eastAsia="Calibri" w:cs="Times New Roman"/>
          <w:szCs w:val="24"/>
          <w:lang w:eastAsia="ar-SA"/>
        </w:rPr>
        <w:t>IED</w:t>
      </w:r>
      <w:r w:rsidR="005817D0">
        <w:rPr>
          <w:rFonts w:eastAsia="Calibri" w:cs="Times New Roman"/>
          <w:szCs w:val="24"/>
          <w:lang w:eastAsia="ar-SA"/>
        </w:rPr>
        <w:t>”</w:t>
      </w:r>
      <w:r w:rsidRPr="007251E1">
        <w:rPr>
          <w:rFonts w:eastAsia="Calibri" w:cs="Times New Roman"/>
          <w:szCs w:val="24"/>
          <w:lang w:eastAsia="ar-SA"/>
        </w:rPr>
        <w:t xml:space="preserve"> warunki korzystania ze środowiska określane w pozwoleniach zintegrowanych w znacznej mierze wynikają z decyzji wykonawczych Komisji </w:t>
      </w:r>
      <w:r w:rsidR="004010F1">
        <w:rPr>
          <w:rFonts w:eastAsia="Calibri" w:cs="Times New Roman"/>
          <w:szCs w:val="24"/>
          <w:lang w:eastAsia="ar-SA"/>
        </w:rPr>
        <w:t xml:space="preserve">Europejskiej </w:t>
      </w:r>
      <w:r w:rsidRPr="007251E1">
        <w:rPr>
          <w:rFonts w:eastAsia="Calibri" w:cs="Times New Roman"/>
          <w:szCs w:val="24"/>
          <w:lang w:eastAsia="ar-SA"/>
        </w:rPr>
        <w:t xml:space="preserve">ustanawiających </w:t>
      </w:r>
      <w:r w:rsidR="00380614">
        <w:rPr>
          <w:rFonts w:eastAsia="Calibri" w:cs="Times New Roman"/>
          <w:szCs w:val="24"/>
          <w:lang w:eastAsia="ar-SA"/>
        </w:rPr>
        <w:t>k</w:t>
      </w:r>
      <w:r w:rsidR="004010F1" w:rsidRPr="007251E1">
        <w:rPr>
          <w:rFonts w:eastAsia="Calibri" w:cs="Times New Roman"/>
          <w:szCs w:val="24"/>
          <w:lang w:eastAsia="ar-SA"/>
        </w:rPr>
        <w:t>onkluzje</w:t>
      </w:r>
      <w:r w:rsidR="00380614">
        <w:rPr>
          <w:rFonts w:eastAsia="Calibri" w:cs="Times New Roman"/>
          <w:szCs w:val="24"/>
          <w:lang w:eastAsia="ar-SA"/>
        </w:rPr>
        <w:t xml:space="preserve"> dotyczące najlepszych dostępnych technik</w:t>
      </w:r>
      <w:r w:rsidR="00380614" w:rsidRPr="00380614">
        <w:rPr>
          <w:rFonts w:eastAsia="Calibri" w:cs="Times New Roman"/>
          <w:szCs w:val="24"/>
          <w:lang w:eastAsia="ar-SA"/>
        </w:rPr>
        <w:t xml:space="preserve"> </w:t>
      </w:r>
      <w:r w:rsidR="00380614">
        <w:rPr>
          <w:rFonts w:eastAsia="Calibri" w:cs="Times New Roman"/>
          <w:szCs w:val="24"/>
          <w:lang w:eastAsia="ar-SA"/>
        </w:rPr>
        <w:t>(konkluzj</w:t>
      </w:r>
      <w:r w:rsidR="005817D0">
        <w:rPr>
          <w:rFonts w:eastAsia="Calibri" w:cs="Times New Roman"/>
          <w:szCs w:val="24"/>
          <w:lang w:eastAsia="ar-SA"/>
        </w:rPr>
        <w:t>e</w:t>
      </w:r>
      <w:r w:rsidR="00380614">
        <w:rPr>
          <w:rFonts w:eastAsia="Calibri" w:cs="Times New Roman"/>
          <w:szCs w:val="24"/>
          <w:lang w:eastAsia="ar-SA"/>
        </w:rPr>
        <w:t xml:space="preserve"> </w:t>
      </w:r>
      <w:r w:rsidR="00380614" w:rsidRPr="007251E1">
        <w:rPr>
          <w:rFonts w:eastAsia="Calibri" w:cs="Times New Roman"/>
          <w:szCs w:val="24"/>
          <w:lang w:eastAsia="ar-SA"/>
        </w:rPr>
        <w:t>BAT</w:t>
      </w:r>
      <w:r w:rsidR="00380614">
        <w:rPr>
          <w:rFonts w:eastAsia="Calibri" w:cs="Times New Roman"/>
          <w:szCs w:val="24"/>
          <w:lang w:eastAsia="ar-SA"/>
        </w:rPr>
        <w:t>)</w:t>
      </w:r>
      <w:r w:rsidR="00380614" w:rsidRPr="007251E1">
        <w:rPr>
          <w:rFonts w:eastAsia="Calibri" w:cs="Times New Roman"/>
          <w:szCs w:val="24"/>
          <w:lang w:eastAsia="ar-SA"/>
        </w:rPr>
        <w:t xml:space="preserve"> </w:t>
      </w:r>
      <w:r w:rsidR="004010F1" w:rsidRPr="007251E1">
        <w:rPr>
          <w:rFonts w:eastAsia="Calibri" w:cs="Times New Roman"/>
          <w:szCs w:val="24"/>
          <w:lang w:eastAsia="ar-SA"/>
        </w:rPr>
        <w:t xml:space="preserve"> </w:t>
      </w:r>
      <w:r w:rsidRPr="007251E1">
        <w:rPr>
          <w:rFonts w:eastAsia="Calibri" w:cs="Times New Roman"/>
          <w:szCs w:val="24"/>
          <w:lang w:eastAsia="ar-SA"/>
        </w:rPr>
        <w:t>dla poszczególnych branż przemysłowych. Szczególnie istotne są</w:t>
      </w:r>
      <w:r w:rsidR="0067472F">
        <w:rPr>
          <w:rFonts w:eastAsia="Calibri" w:cs="Times New Roman"/>
          <w:szCs w:val="24"/>
          <w:lang w:eastAsia="ar-SA"/>
        </w:rPr>
        <w:t xml:space="preserve"> określone w tych decyzjach </w:t>
      </w:r>
      <w:r w:rsidRPr="007251E1">
        <w:rPr>
          <w:rFonts w:eastAsia="Calibri" w:cs="Times New Roman"/>
          <w:szCs w:val="24"/>
          <w:lang w:eastAsia="ar-SA"/>
        </w:rPr>
        <w:t>graniczne wielkości misyjne (tzw</w:t>
      </w:r>
      <w:r w:rsidR="004010F1">
        <w:rPr>
          <w:rFonts w:eastAsia="Calibri" w:cs="Times New Roman"/>
          <w:szCs w:val="24"/>
          <w:lang w:eastAsia="ar-SA"/>
        </w:rPr>
        <w:t>.</w:t>
      </w:r>
      <w:r w:rsidRPr="007251E1">
        <w:rPr>
          <w:rFonts w:eastAsia="Calibri" w:cs="Times New Roman"/>
          <w:szCs w:val="24"/>
          <w:lang w:eastAsia="ar-SA"/>
        </w:rPr>
        <w:t xml:space="preserve"> BAT AELs) oraz wymagania dotyczące monitorowania emisji</w:t>
      </w:r>
      <w:r w:rsidR="00852E93">
        <w:rPr>
          <w:rFonts w:eastAsia="Calibri" w:cs="Times New Roman"/>
          <w:szCs w:val="24"/>
          <w:lang w:eastAsia="ar-SA"/>
        </w:rPr>
        <w:t>.</w:t>
      </w:r>
    </w:p>
    <w:p w14:paraId="2207BC27" w14:textId="6B620993" w:rsidR="00BC6485" w:rsidRPr="007251E1" w:rsidRDefault="00BC6485" w:rsidP="007251E1">
      <w:pPr>
        <w:keepNext/>
        <w:suppressAutoHyphens/>
        <w:spacing w:line="240" w:lineRule="auto"/>
        <w:jc w:val="both"/>
        <w:rPr>
          <w:rFonts w:eastAsia="Calibri" w:cs="Times New Roman"/>
          <w:szCs w:val="24"/>
          <w:lang w:eastAsia="ar-SA"/>
        </w:rPr>
      </w:pPr>
      <w:r w:rsidRPr="007251E1">
        <w:rPr>
          <w:rFonts w:eastAsia="Calibri" w:cs="Times New Roman"/>
          <w:szCs w:val="24"/>
          <w:lang w:eastAsia="ar-SA"/>
        </w:rPr>
        <w:t xml:space="preserve">Z uwagi na sposób opracowywania </w:t>
      </w:r>
      <w:r w:rsidR="00380614">
        <w:rPr>
          <w:rFonts w:eastAsia="Calibri" w:cs="Times New Roman"/>
          <w:szCs w:val="24"/>
          <w:lang w:eastAsia="ar-SA"/>
        </w:rPr>
        <w:t>k</w:t>
      </w:r>
      <w:r w:rsidR="00380614" w:rsidRPr="007251E1">
        <w:rPr>
          <w:rFonts w:eastAsia="Calibri" w:cs="Times New Roman"/>
          <w:szCs w:val="24"/>
          <w:lang w:eastAsia="ar-SA"/>
        </w:rPr>
        <w:t xml:space="preserve">onkluzji </w:t>
      </w:r>
      <w:r w:rsidRPr="007251E1">
        <w:rPr>
          <w:rFonts w:eastAsia="Calibri" w:cs="Times New Roman"/>
          <w:szCs w:val="24"/>
          <w:lang w:eastAsia="ar-SA"/>
        </w:rPr>
        <w:t>BAT, gdzie dla każdej branży powoływana jest osobna Techniczna Grupa Robocza oraz specyfikę tych branż</w:t>
      </w:r>
      <w:r w:rsidR="004A0AC1" w:rsidRPr="007251E1">
        <w:rPr>
          <w:rFonts w:eastAsia="Calibri" w:cs="Times New Roman"/>
          <w:szCs w:val="24"/>
          <w:lang w:eastAsia="ar-SA"/>
        </w:rPr>
        <w:t>,</w:t>
      </w:r>
      <w:r w:rsidRPr="007251E1">
        <w:rPr>
          <w:rFonts w:eastAsia="Calibri" w:cs="Times New Roman"/>
          <w:szCs w:val="24"/>
          <w:lang w:eastAsia="ar-SA"/>
        </w:rPr>
        <w:t xml:space="preserve"> poszczególne decyzje wykonawcze mogą w sposób niejednolity odnosić się np. do wymagań emisyjnych lub pomiarowych w zakresie ustalonych warunków referencyjnych czy okresów uśredniania. </w:t>
      </w:r>
    </w:p>
    <w:p w14:paraId="489D86A9" w14:textId="1CF8F7E5" w:rsidR="00BC6485" w:rsidRPr="007251E1" w:rsidRDefault="00BC6485" w:rsidP="007251E1">
      <w:pPr>
        <w:keepNext/>
        <w:suppressAutoHyphens/>
        <w:spacing w:line="240" w:lineRule="auto"/>
        <w:jc w:val="both"/>
        <w:rPr>
          <w:rFonts w:eastAsia="Calibri" w:cs="Times New Roman"/>
          <w:szCs w:val="24"/>
          <w:lang w:eastAsia="ar-SA"/>
        </w:rPr>
      </w:pPr>
      <w:r w:rsidRPr="007251E1">
        <w:rPr>
          <w:rFonts w:eastAsia="Calibri" w:cs="Times New Roman"/>
          <w:szCs w:val="24"/>
          <w:lang w:eastAsia="ar-SA"/>
        </w:rPr>
        <w:t xml:space="preserve">Na powyższe nakładają się także przepisy krajowe, które w zależności od rodzaju działalności, na różnym stopniu szczegółowości </w:t>
      </w:r>
      <w:r w:rsidR="00416878" w:rsidRPr="007251E1">
        <w:rPr>
          <w:rFonts w:eastAsia="Calibri" w:cs="Times New Roman"/>
          <w:szCs w:val="24"/>
          <w:lang w:eastAsia="ar-SA"/>
        </w:rPr>
        <w:t>uzupełni</w:t>
      </w:r>
      <w:r w:rsidR="00416878">
        <w:rPr>
          <w:rFonts w:eastAsia="Calibri" w:cs="Times New Roman"/>
          <w:szCs w:val="24"/>
          <w:lang w:eastAsia="ar-SA"/>
        </w:rPr>
        <w:t>ają</w:t>
      </w:r>
      <w:r w:rsidR="00416878" w:rsidRPr="007251E1">
        <w:rPr>
          <w:rFonts w:eastAsia="Calibri" w:cs="Times New Roman"/>
          <w:szCs w:val="24"/>
          <w:lang w:eastAsia="ar-SA"/>
        </w:rPr>
        <w:t xml:space="preserve"> </w:t>
      </w:r>
      <w:r w:rsidRPr="007251E1">
        <w:rPr>
          <w:rFonts w:eastAsia="Calibri" w:cs="Times New Roman"/>
          <w:szCs w:val="24"/>
          <w:lang w:eastAsia="ar-SA"/>
        </w:rPr>
        <w:t>wymaga</w:t>
      </w:r>
      <w:r w:rsidR="00CC539D">
        <w:rPr>
          <w:rFonts w:eastAsia="Calibri" w:cs="Times New Roman"/>
          <w:szCs w:val="24"/>
          <w:lang w:eastAsia="ar-SA"/>
        </w:rPr>
        <w:t>nia</w:t>
      </w:r>
      <w:r w:rsidRPr="007251E1">
        <w:rPr>
          <w:rFonts w:eastAsia="Calibri" w:cs="Times New Roman"/>
          <w:szCs w:val="24"/>
          <w:lang w:eastAsia="ar-SA"/>
        </w:rPr>
        <w:t xml:space="preserve"> wynikające z </w:t>
      </w:r>
      <w:r w:rsidR="00416878">
        <w:rPr>
          <w:rFonts w:eastAsia="Calibri" w:cs="Times New Roman"/>
          <w:szCs w:val="24"/>
          <w:lang w:eastAsia="ar-SA"/>
        </w:rPr>
        <w:t>k</w:t>
      </w:r>
      <w:r w:rsidR="00416878" w:rsidRPr="007251E1">
        <w:rPr>
          <w:rFonts w:eastAsia="Calibri" w:cs="Times New Roman"/>
          <w:szCs w:val="24"/>
          <w:lang w:eastAsia="ar-SA"/>
        </w:rPr>
        <w:t xml:space="preserve">onkluzji </w:t>
      </w:r>
      <w:r w:rsidRPr="007251E1">
        <w:rPr>
          <w:rFonts w:eastAsia="Calibri" w:cs="Times New Roman"/>
          <w:szCs w:val="24"/>
          <w:lang w:eastAsia="ar-SA"/>
        </w:rPr>
        <w:t xml:space="preserve">BAT. Szczególnego podkreślenia wymaga problem związany z podejściem do niepewności pomiarowych przy uznawaniu granicznych wielkości emisyjnych za dotrzymane. </w:t>
      </w:r>
    </w:p>
    <w:p w14:paraId="1DC9DA1E" w14:textId="164ADC98" w:rsidR="00BC6485" w:rsidRPr="007251E1" w:rsidRDefault="00BC6485" w:rsidP="007251E1">
      <w:pPr>
        <w:keepNext/>
        <w:suppressAutoHyphens/>
        <w:spacing w:line="240" w:lineRule="auto"/>
        <w:jc w:val="both"/>
        <w:rPr>
          <w:rFonts w:eastAsia="Calibri" w:cs="Times New Roman"/>
          <w:szCs w:val="24"/>
          <w:lang w:eastAsia="ar-SA"/>
        </w:rPr>
      </w:pPr>
      <w:r w:rsidRPr="007251E1">
        <w:rPr>
          <w:rFonts w:eastAsia="Calibri" w:cs="Times New Roman"/>
          <w:szCs w:val="24"/>
          <w:lang w:eastAsia="ar-SA"/>
        </w:rPr>
        <w:t xml:space="preserve">Wielu prowadzących instalacje objęte zakresem IED zobowiązanych jest (lub będzie w perspektywie kilku najbliższych lat) do prowadzenia ciągłych pomiarów wielkości emisji do powietrza, głównie w celu wykazania zgodności z granicznymi wielkościami emisyjnymi (BAT AELs) określonymi w </w:t>
      </w:r>
      <w:r w:rsidR="00416878">
        <w:rPr>
          <w:rFonts w:eastAsia="Calibri" w:cs="Times New Roman"/>
          <w:szCs w:val="24"/>
          <w:lang w:eastAsia="ar-SA"/>
        </w:rPr>
        <w:t>k</w:t>
      </w:r>
      <w:r w:rsidR="00416878" w:rsidRPr="007251E1">
        <w:rPr>
          <w:rFonts w:eastAsia="Calibri" w:cs="Times New Roman"/>
          <w:szCs w:val="24"/>
          <w:lang w:eastAsia="ar-SA"/>
        </w:rPr>
        <w:t xml:space="preserve">onkluzjach </w:t>
      </w:r>
      <w:r w:rsidRPr="007251E1">
        <w:rPr>
          <w:rFonts w:eastAsia="Calibri" w:cs="Times New Roman"/>
          <w:szCs w:val="24"/>
          <w:lang w:eastAsia="ar-SA"/>
        </w:rPr>
        <w:t xml:space="preserve">BAT. </w:t>
      </w:r>
    </w:p>
    <w:p w14:paraId="72ADBF2F" w14:textId="50FD62DF" w:rsidR="00BC6485" w:rsidRPr="007251E1" w:rsidRDefault="00BC6485" w:rsidP="007251E1">
      <w:pPr>
        <w:keepNext/>
        <w:suppressAutoHyphens/>
        <w:spacing w:line="240" w:lineRule="auto"/>
        <w:jc w:val="both"/>
        <w:rPr>
          <w:rFonts w:eastAsia="Calibri" w:cs="Times New Roman"/>
          <w:szCs w:val="24"/>
          <w:lang w:eastAsia="ar-SA"/>
        </w:rPr>
      </w:pPr>
      <w:r w:rsidRPr="007251E1">
        <w:rPr>
          <w:rFonts w:eastAsia="Calibri" w:cs="Times New Roman"/>
          <w:szCs w:val="24"/>
          <w:lang w:eastAsia="ar-SA"/>
        </w:rPr>
        <w:t xml:space="preserve">Konkluzje BAT są dokumentami technicznymi nie obejmują więc kwestii związanych z ich implementacją, dotyczących chociażby oceny dotrzymywania BAT AELs, w tym podejścia </w:t>
      </w:r>
      <w:r w:rsidRPr="007251E1">
        <w:rPr>
          <w:rFonts w:eastAsia="Calibri" w:cs="Times New Roman"/>
          <w:szCs w:val="24"/>
          <w:lang w:eastAsia="ar-SA"/>
        </w:rPr>
        <w:br/>
        <w:t xml:space="preserve">do niepewności pomiarowych. Zagadnienia te, zgodnie ze stanowiskiem Komisji Europejskiej, powinny być regulowane indywidualnie przez poszczególne </w:t>
      </w:r>
      <w:r w:rsidR="004010F1">
        <w:rPr>
          <w:rFonts w:eastAsia="Calibri" w:cs="Times New Roman"/>
          <w:szCs w:val="24"/>
          <w:lang w:eastAsia="ar-SA"/>
        </w:rPr>
        <w:t>k</w:t>
      </w:r>
      <w:r w:rsidRPr="007251E1">
        <w:rPr>
          <w:rFonts w:eastAsia="Calibri" w:cs="Times New Roman"/>
          <w:szCs w:val="24"/>
          <w:lang w:eastAsia="ar-SA"/>
        </w:rPr>
        <w:t xml:space="preserve">raje </w:t>
      </w:r>
      <w:r w:rsidR="004010F1">
        <w:rPr>
          <w:rFonts w:eastAsia="Calibri" w:cs="Times New Roman"/>
          <w:szCs w:val="24"/>
          <w:lang w:eastAsia="ar-SA"/>
        </w:rPr>
        <w:t>c</w:t>
      </w:r>
      <w:r w:rsidRPr="007251E1">
        <w:rPr>
          <w:rFonts w:eastAsia="Calibri" w:cs="Times New Roman"/>
          <w:szCs w:val="24"/>
          <w:lang w:eastAsia="ar-SA"/>
        </w:rPr>
        <w:t>złonkowskie</w:t>
      </w:r>
      <w:r w:rsidR="00C6546E" w:rsidRPr="007251E1">
        <w:rPr>
          <w:rFonts w:eastAsia="Calibri" w:cs="Times New Roman"/>
          <w:szCs w:val="24"/>
          <w:lang w:eastAsia="ar-SA"/>
        </w:rPr>
        <w:t>.</w:t>
      </w:r>
      <w:r w:rsidRPr="007251E1">
        <w:rPr>
          <w:rFonts w:eastAsia="Calibri" w:cs="Times New Roman"/>
          <w:szCs w:val="24"/>
          <w:lang w:eastAsia="ar-SA"/>
        </w:rPr>
        <w:t xml:space="preserve"> </w:t>
      </w:r>
    </w:p>
    <w:p w14:paraId="63C18258" w14:textId="231368CD" w:rsidR="00BC6485" w:rsidRPr="007251E1" w:rsidRDefault="00BC6485" w:rsidP="007251E1">
      <w:pPr>
        <w:keepNext/>
        <w:suppressAutoHyphens/>
        <w:spacing w:line="240" w:lineRule="auto"/>
        <w:jc w:val="both"/>
        <w:rPr>
          <w:rFonts w:eastAsia="Calibri" w:cs="Times New Roman"/>
          <w:szCs w:val="24"/>
          <w:lang w:eastAsia="ar-SA"/>
        </w:rPr>
      </w:pPr>
      <w:r w:rsidRPr="007251E1">
        <w:rPr>
          <w:rFonts w:eastAsia="Calibri" w:cs="Times New Roman"/>
          <w:szCs w:val="24"/>
          <w:lang w:eastAsia="ar-SA"/>
        </w:rPr>
        <w:t xml:space="preserve">Aktualnie przepisy krajowe nie regulują zasad postępowania z niepewnością pomiarową </w:t>
      </w:r>
      <w:r w:rsidRPr="007251E1">
        <w:rPr>
          <w:rFonts w:eastAsia="Calibri" w:cs="Times New Roman"/>
          <w:szCs w:val="24"/>
          <w:lang w:eastAsia="ar-SA"/>
        </w:rPr>
        <w:br/>
        <w:t>w odniesieniu do BAT AELs</w:t>
      </w:r>
      <w:r w:rsidR="004010F1">
        <w:rPr>
          <w:rFonts w:eastAsia="Calibri" w:cs="Times New Roman"/>
          <w:szCs w:val="24"/>
          <w:lang w:eastAsia="ar-SA"/>
        </w:rPr>
        <w:t>,</w:t>
      </w:r>
      <w:r w:rsidRPr="007251E1">
        <w:rPr>
          <w:rFonts w:eastAsia="Calibri" w:cs="Times New Roman"/>
          <w:szCs w:val="24"/>
          <w:lang w:eastAsia="ar-SA"/>
        </w:rPr>
        <w:t xml:space="preserve"> co nie</w:t>
      </w:r>
      <w:r w:rsidR="00EA1E7C" w:rsidRPr="007251E1">
        <w:rPr>
          <w:rFonts w:eastAsia="Calibri" w:cs="Times New Roman"/>
          <w:szCs w:val="24"/>
          <w:lang w:eastAsia="ar-SA"/>
        </w:rPr>
        <w:t xml:space="preserve"> </w:t>
      </w:r>
      <w:r w:rsidRPr="007251E1">
        <w:rPr>
          <w:rFonts w:eastAsia="Calibri" w:cs="Times New Roman"/>
          <w:szCs w:val="24"/>
          <w:lang w:eastAsia="ar-SA"/>
        </w:rPr>
        <w:t>sprzyja jednoznaczności i łatwości stosowania przepisów</w:t>
      </w:r>
      <w:r w:rsidR="00416878">
        <w:rPr>
          <w:rFonts w:eastAsia="Calibri" w:cs="Times New Roman"/>
          <w:szCs w:val="24"/>
          <w:lang w:eastAsia="ar-SA"/>
        </w:rPr>
        <w:t>,</w:t>
      </w:r>
      <w:r w:rsidRPr="007251E1">
        <w:rPr>
          <w:rFonts w:eastAsia="Calibri" w:cs="Times New Roman"/>
          <w:szCs w:val="24"/>
          <w:lang w:eastAsia="ar-SA"/>
        </w:rPr>
        <w:t xml:space="preserve"> jak również może wpływać na konkurencyjność podmiotów gospodarczych.</w:t>
      </w:r>
    </w:p>
    <w:p w14:paraId="11B254D2" w14:textId="1C12435E" w:rsidR="00BC6485" w:rsidRPr="007251E1" w:rsidRDefault="00BC6485" w:rsidP="007251E1">
      <w:pPr>
        <w:keepNext/>
        <w:suppressAutoHyphens/>
        <w:spacing w:line="240" w:lineRule="auto"/>
        <w:jc w:val="both"/>
        <w:rPr>
          <w:rFonts w:eastAsia="Calibri" w:cs="Times New Roman"/>
          <w:szCs w:val="24"/>
          <w:lang w:eastAsia="ar-SA"/>
        </w:rPr>
      </w:pPr>
      <w:r w:rsidRPr="007251E1">
        <w:rPr>
          <w:rFonts w:eastAsia="Calibri" w:cs="Times New Roman"/>
          <w:szCs w:val="24"/>
          <w:lang w:eastAsia="ar-SA"/>
        </w:rPr>
        <w:br/>
        <w:t>Wytyczne na temat monitorowania emisji z instalacji objętych zakresem IED dostępne są</w:t>
      </w:r>
      <w:r w:rsidR="004010F1">
        <w:rPr>
          <w:rFonts w:eastAsia="Calibri" w:cs="Times New Roman"/>
          <w:szCs w:val="24"/>
          <w:lang w:eastAsia="ar-SA"/>
        </w:rPr>
        <w:t xml:space="preserve"> </w:t>
      </w:r>
      <w:r w:rsidRPr="007251E1">
        <w:rPr>
          <w:rFonts w:eastAsia="Calibri" w:cs="Times New Roman"/>
          <w:szCs w:val="24"/>
          <w:lang w:eastAsia="ar-SA"/>
        </w:rPr>
        <w:t>w Raporcie Europejskiego Biura IPPC, dotyczącym ogólnych zasad monitoringu (ROM)</w:t>
      </w:r>
      <w:r w:rsidRPr="007251E1">
        <w:rPr>
          <w:rStyle w:val="Odwoanieprzypisudolnego"/>
          <w:rFonts w:eastAsia="Calibri" w:cs="Times New Roman"/>
          <w:szCs w:val="24"/>
          <w:lang w:eastAsia="ar-SA"/>
        </w:rPr>
        <w:footnoteReference w:id="1"/>
      </w:r>
      <w:r w:rsidR="004010F1">
        <w:rPr>
          <w:rFonts w:eastAsia="Calibri" w:cs="Times New Roman"/>
          <w:szCs w:val="24"/>
          <w:vertAlign w:val="superscript"/>
          <w:lang w:eastAsia="ar-SA"/>
        </w:rPr>
        <w:t>)</w:t>
      </w:r>
      <w:r w:rsidRPr="007251E1">
        <w:rPr>
          <w:rFonts w:eastAsia="Calibri" w:cs="Times New Roman"/>
          <w:szCs w:val="24"/>
          <w:lang w:eastAsia="ar-SA"/>
        </w:rPr>
        <w:t>. Dokument ten wskazuje, że niepewność pomiarowa jest często uwzględniana w celu weryfikacji zgodności z poziomami emisji ustalonymi w pozwoleniu</w:t>
      </w:r>
      <w:r w:rsidR="00EA2CB1">
        <w:rPr>
          <w:rFonts w:eastAsia="Calibri" w:cs="Times New Roman"/>
          <w:szCs w:val="24"/>
          <w:lang w:eastAsia="ar-SA"/>
        </w:rPr>
        <w:t xml:space="preserve"> zintegrowanym</w:t>
      </w:r>
      <w:r w:rsidRPr="007251E1">
        <w:rPr>
          <w:rFonts w:eastAsia="Calibri" w:cs="Times New Roman"/>
          <w:szCs w:val="24"/>
          <w:lang w:eastAsia="ar-SA"/>
        </w:rPr>
        <w:t xml:space="preserve">. Dodatkowo wymiana informacji, w zakresie praktycznych aspektów wdrażania IED, prowadzona między </w:t>
      </w:r>
      <w:r w:rsidR="004010F1">
        <w:rPr>
          <w:rFonts w:eastAsia="Calibri" w:cs="Times New Roman"/>
          <w:szCs w:val="24"/>
          <w:lang w:eastAsia="ar-SA"/>
        </w:rPr>
        <w:t>k</w:t>
      </w:r>
      <w:r w:rsidRPr="007251E1">
        <w:rPr>
          <w:rFonts w:eastAsia="Calibri" w:cs="Times New Roman"/>
          <w:szCs w:val="24"/>
          <w:lang w:eastAsia="ar-SA"/>
        </w:rPr>
        <w:t xml:space="preserve">rajami </w:t>
      </w:r>
      <w:r w:rsidR="004010F1">
        <w:rPr>
          <w:rFonts w:eastAsia="Calibri" w:cs="Times New Roman"/>
          <w:szCs w:val="24"/>
          <w:lang w:eastAsia="ar-SA"/>
        </w:rPr>
        <w:t>c</w:t>
      </w:r>
      <w:r w:rsidRPr="007251E1">
        <w:rPr>
          <w:rFonts w:eastAsia="Calibri" w:cs="Times New Roman"/>
          <w:szCs w:val="24"/>
          <w:lang w:eastAsia="ar-SA"/>
        </w:rPr>
        <w:t xml:space="preserve">złonkowskimi wskazuje, że w większości z nich niepewność jest brana pod uwagę przy ocenie zgodności wyników pomiarów z warunkami pozwolenia. Tym niemniej, co również podkreśla ROM, praktyka w poszczególnych </w:t>
      </w:r>
      <w:r w:rsidR="004010F1">
        <w:rPr>
          <w:rFonts w:eastAsia="Calibri" w:cs="Times New Roman"/>
          <w:szCs w:val="24"/>
          <w:lang w:eastAsia="ar-SA"/>
        </w:rPr>
        <w:t>k</w:t>
      </w:r>
      <w:r w:rsidRPr="007251E1">
        <w:rPr>
          <w:rFonts w:eastAsia="Calibri" w:cs="Times New Roman"/>
          <w:szCs w:val="24"/>
          <w:lang w:eastAsia="ar-SA"/>
        </w:rPr>
        <w:t xml:space="preserve">rajach różni się, jeżeli chodzi o szczegóły. </w:t>
      </w:r>
    </w:p>
    <w:p w14:paraId="41BC8295" w14:textId="1F278ADE" w:rsidR="00BC6485" w:rsidRPr="007251E1" w:rsidRDefault="00BC6485" w:rsidP="007251E1">
      <w:pPr>
        <w:keepNext/>
        <w:suppressAutoHyphens/>
        <w:spacing w:line="240" w:lineRule="auto"/>
        <w:jc w:val="both"/>
        <w:rPr>
          <w:rFonts w:cs="Times New Roman"/>
          <w:szCs w:val="24"/>
        </w:rPr>
      </w:pPr>
      <w:r w:rsidRPr="007251E1">
        <w:rPr>
          <w:rFonts w:eastAsia="Calibri" w:cs="Times New Roman"/>
          <w:szCs w:val="24"/>
          <w:lang w:eastAsia="ar-SA"/>
        </w:rPr>
        <w:t>W związku z powyższym zasadne jest uregulowanie podejścia do niepewności pomiarowych także w przepisach krajowych. Jest to celowe również z technicznego punktu widzenia</w:t>
      </w:r>
      <w:r w:rsidR="004010F1">
        <w:rPr>
          <w:rFonts w:eastAsia="Calibri" w:cs="Times New Roman"/>
          <w:szCs w:val="24"/>
          <w:lang w:eastAsia="ar-SA"/>
        </w:rPr>
        <w:t>,</w:t>
      </w:r>
      <w:r w:rsidRPr="007251E1">
        <w:rPr>
          <w:rFonts w:eastAsia="Calibri" w:cs="Times New Roman"/>
          <w:szCs w:val="24"/>
          <w:lang w:eastAsia="ar-SA"/>
        </w:rPr>
        <w:t xml:space="preserve"> gdyż zgodnie z teorią prowadzenia pomiarów i badań wynik jest tylko przybliżeniem wartości </w:t>
      </w:r>
      <w:r w:rsidRPr="007251E1">
        <w:rPr>
          <w:rFonts w:eastAsia="Calibri" w:cs="Times New Roman"/>
          <w:szCs w:val="24"/>
          <w:lang w:eastAsia="ar-SA"/>
        </w:rPr>
        <w:lastRenderedPageBreak/>
        <w:t xml:space="preserve">mierzonej i można go uznać za pełny tylko gdy jest podany wraz z niepewnością. </w:t>
      </w:r>
      <w:r w:rsidRPr="007251E1">
        <w:rPr>
          <w:rFonts w:cs="Times New Roman"/>
          <w:szCs w:val="24"/>
        </w:rPr>
        <w:t xml:space="preserve">Wpływ niepewności pomiarowej na ocenę dotrzymywania wymagań emisyjnych odzwierciedla niedoskonałość automatycznych systemów pomiarowych (AMS), które w oparciu o dostępny poziom wiedzy, stopień zawansowania technicznego urządzeń i przy zastosowaniu aktualnych norm, nie są w stanie zagwarantować 100% dokładności wyników. </w:t>
      </w:r>
    </w:p>
    <w:p w14:paraId="77EA64AB" w14:textId="1C0D51B1" w:rsidR="00BC6485" w:rsidRPr="007251E1" w:rsidRDefault="00BC6485" w:rsidP="007251E1">
      <w:pPr>
        <w:spacing w:line="240" w:lineRule="auto"/>
        <w:jc w:val="both"/>
        <w:rPr>
          <w:rFonts w:cs="Times New Roman"/>
          <w:szCs w:val="24"/>
        </w:rPr>
      </w:pPr>
      <w:r w:rsidRPr="007251E1">
        <w:rPr>
          <w:rFonts w:cs="Times New Roman"/>
          <w:szCs w:val="24"/>
        </w:rPr>
        <w:t xml:space="preserve">Termin wynik pomiaru odnosi się do pojęcia </w:t>
      </w:r>
      <w:r w:rsidRPr="00BC6475">
        <w:rPr>
          <w:rFonts w:cs="Times New Roman"/>
          <w:szCs w:val="24"/>
        </w:rPr>
        <w:t>wielkości mierzonej</w:t>
      </w:r>
      <w:r w:rsidRPr="007251E1">
        <w:rPr>
          <w:rFonts w:cs="Times New Roman"/>
          <w:szCs w:val="24"/>
        </w:rPr>
        <w:t xml:space="preserve"> rozumianej jako określona cecha ilościowa stanowiąca przedmiot pomiaru. W wyniku pomiaru uzyskiwana jest wielkość nazywana </w:t>
      </w:r>
      <w:r w:rsidRPr="00BC6475">
        <w:rPr>
          <w:rFonts w:cs="Times New Roman"/>
          <w:szCs w:val="24"/>
        </w:rPr>
        <w:t>wielkością zmierzoną</w:t>
      </w:r>
      <w:r w:rsidRPr="007251E1">
        <w:rPr>
          <w:rFonts w:cs="Times New Roman"/>
          <w:szCs w:val="24"/>
        </w:rPr>
        <w:t xml:space="preserve">, która różni się od wielkości mierzonej. Wynik pomiaru należy więc traktować jako oszacowanie wielkości mierzonej i jest on kompletny oraz wiarygodny, gdy zawiera zarówno wartość wielkości zmierzonej, jak i niepewność </w:t>
      </w:r>
      <w:r w:rsidR="002020DC" w:rsidRPr="007251E1">
        <w:rPr>
          <w:rFonts w:cs="Times New Roman"/>
          <w:szCs w:val="24"/>
        </w:rPr>
        <w:t>pomiar</w:t>
      </w:r>
      <w:r w:rsidR="002020DC">
        <w:rPr>
          <w:rFonts w:cs="Times New Roman"/>
          <w:szCs w:val="24"/>
        </w:rPr>
        <w:t>owa</w:t>
      </w:r>
      <w:r w:rsidRPr="007251E1">
        <w:rPr>
          <w:rFonts w:cs="Times New Roman"/>
          <w:szCs w:val="24"/>
        </w:rPr>
        <w:t xml:space="preserve">, związaną </w:t>
      </w:r>
      <w:r w:rsidR="00BC6475">
        <w:rPr>
          <w:rFonts w:cs="Times New Roman"/>
          <w:szCs w:val="24"/>
        </w:rPr>
        <w:br/>
      </w:r>
      <w:r w:rsidRPr="007251E1">
        <w:rPr>
          <w:rFonts w:cs="Times New Roman"/>
          <w:szCs w:val="24"/>
        </w:rPr>
        <w:t xml:space="preserve">z uzyskanym wynikiem. </w:t>
      </w:r>
    </w:p>
    <w:p w14:paraId="7624F7EB" w14:textId="590F77F4" w:rsidR="00BC6485" w:rsidRPr="007251E1" w:rsidRDefault="00BC6485" w:rsidP="007251E1">
      <w:pPr>
        <w:spacing w:line="240" w:lineRule="auto"/>
        <w:jc w:val="both"/>
        <w:rPr>
          <w:rFonts w:cs="Times New Roman"/>
          <w:szCs w:val="24"/>
        </w:rPr>
      </w:pPr>
      <w:r w:rsidRPr="007251E1">
        <w:rPr>
          <w:rFonts w:cs="Times New Roman"/>
          <w:szCs w:val="24"/>
        </w:rPr>
        <w:t xml:space="preserve">Możliwość rozliczania niepewności pomiarowej na korzyść prowadzącego instalację uwzględnia więc niedoskonałość dostępnych metod pomiarowych i </w:t>
      </w:r>
      <w:r w:rsidR="00EA1E7C" w:rsidRPr="007251E1">
        <w:rPr>
          <w:rFonts w:cs="Times New Roman"/>
          <w:szCs w:val="24"/>
        </w:rPr>
        <w:t>powoduje</w:t>
      </w:r>
      <w:r w:rsidRPr="007251E1">
        <w:rPr>
          <w:rFonts w:cs="Times New Roman"/>
          <w:szCs w:val="24"/>
        </w:rPr>
        <w:t xml:space="preserve">, że ewentualne sankcje związane z niedotrzymaniem </w:t>
      </w:r>
      <w:r w:rsidR="00EA1E7C" w:rsidRPr="007251E1">
        <w:rPr>
          <w:rFonts w:cs="Times New Roman"/>
          <w:szCs w:val="24"/>
        </w:rPr>
        <w:t>wielkości dopuszczalnej emisji</w:t>
      </w:r>
      <w:r w:rsidRPr="007251E1">
        <w:rPr>
          <w:rFonts w:cs="Times New Roman"/>
          <w:szCs w:val="24"/>
        </w:rPr>
        <w:t xml:space="preserve"> mają zastosowanie</w:t>
      </w:r>
      <w:r w:rsidR="00083B79">
        <w:rPr>
          <w:rFonts w:cs="Times New Roman"/>
          <w:szCs w:val="24"/>
        </w:rPr>
        <w:t>,</w:t>
      </w:r>
      <w:r w:rsidRPr="007251E1">
        <w:rPr>
          <w:rFonts w:cs="Times New Roman"/>
          <w:szCs w:val="24"/>
        </w:rPr>
        <w:t xml:space="preserve"> gdy przekroczenie jest „pewne” – (w podejściu przyjętym w projektowanym rozporządzeniu poziom pewności wynosi 95%). Warto tu podkreślić, że </w:t>
      </w:r>
      <w:r w:rsidR="00643AF4">
        <w:rPr>
          <w:rFonts w:cs="Times New Roman"/>
          <w:szCs w:val="24"/>
        </w:rPr>
        <w:t>zakładane</w:t>
      </w:r>
      <w:r w:rsidR="00CC539D">
        <w:rPr>
          <w:rFonts w:cs="Times New Roman"/>
          <w:szCs w:val="24"/>
        </w:rPr>
        <w:t xml:space="preserve"> w projektow</w:t>
      </w:r>
      <w:r w:rsidR="002020DC">
        <w:rPr>
          <w:rFonts w:cs="Times New Roman"/>
          <w:szCs w:val="24"/>
        </w:rPr>
        <w:t>a</w:t>
      </w:r>
      <w:r w:rsidR="00CC539D">
        <w:rPr>
          <w:rFonts w:cs="Times New Roman"/>
          <w:szCs w:val="24"/>
        </w:rPr>
        <w:t xml:space="preserve">nym rozporządzeniu </w:t>
      </w:r>
      <w:r w:rsidRPr="007251E1">
        <w:rPr>
          <w:rFonts w:cs="Times New Roman"/>
          <w:szCs w:val="24"/>
        </w:rPr>
        <w:t xml:space="preserve">pomniejszanie wyników pomiarów o niepewność pomiarową ma zastosowanie wyłącznie w odniesieniu do oceny zgodności z dopuszczalnymi wielkościami emisji. W innych przypadkach np. na potrzeby obliczania wysokości opłat za korzystanie ze środowiska tzw. raport masowy emisji, powinien być generowany bez uwzględniania niepewności </w:t>
      </w:r>
      <w:r w:rsidR="002020DC" w:rsidRPr="007251E1">
        <w:rPr>
          <w:rFonts w:cs="Times New Roman"/>
          <w:szCs w:val="24"/>
        </w:rPr>
        <w:t>pomiar</w:t>
      </w:r>
      <w:r w:rsidR="002020DC">
        <w:rPr>
          <w:rFonts w:cs="Times New Roman"/>
          <w:szCs w:val="24"/>
        </w:rPr>
        <w:t>owej</w:t>
      </w:r>
      <w:r w:rsidRPr="007251E1">
        <w:rPr>
          <w:rFonts w:cs="Times New Roman"/>
          <w:szCs w:val="24"/>
        </w:rPr>
        <w:t>. Także w przypadkach, gdzie stwierdzone zostanie przekroczenie emisji dopuszczalnej, wielkość przekroczenia powinna być określana na podstawie wielkości zmierzonej, niekorygowanej o niepewność pomiaru.</w:t>
      </w:r>
    </w:p>
    <w:p w14:paraId="775D63BC" w14:textId="7E4EEA53" w:rsidR="00BC6485" w:rsidRPr="007251E1" w:rsidRDefault="00BC6485" w:rsidP="00D35A1C">
      <w:pPr>
        <w:keepNext/>
        <w:suppressAutoHyphens/>
        <w:spacing w:line="240" w:lineRule="auto"/>
        <w:jc w:val="both"/>
        <w:rPr>
          <w:rFonts w:eastAsia="Calibri" w:cs="Times New Roman"/>
          <w:szCs w:val="24"/>
          <w:lang w:eastAsia="ar-SA"/>
        </w:rPr>
      </w:pPr>
      <w:r w:rsidRPr="007251E1">
        <w:rPr>
          <w:rFonts w:eastAsia="Calibri" w:cs="Times New Roman"/>
          <w:szCs w:val="24"/>
          <w:lang w:eastAsia="ar-SA"/>
        </w:rPr>
        <w:t>W kontekście uznawania wielkości granicznych za dotrzymanie istotne jest jasne wskazanie</w:t>
      </w:r>
      <w:r w:rsidR="00117DE2">
        <w:rPr>
          <w:rFonts w:eastAsia="Calibri" w:cs="Times New Roman"/>
          <w:szCs w:val="24"/>
          <w:lang w:eastAsia="ar-SA"/>
        </w:rPr>
        <w:t>,</w:t>
      </w:r>
      <w:r w:rsidRPr="007251E1">
        <w:rPr>
          <w:rFonts w:eastAsia="Calibri" w:cs="Times New Roman"/>
          <w:szCs w:val="24"/>
          <w:lang w:eastAsia="ar-SA"/>
        </w:rPr>
        <w:t xml:space="preserve"> </w:t>
      </w:r>
      <w:r w:rsidR="00902E67" w:rsidRPr="007251E1">
        <w:rPr>
          <w:rFonts w:eastAsia="Calibri" w:cs="Times New Roman"/>
          <w:szCs w:val="24"/>
          <w:lang w:eastAsia="ar-SA"/>
        </w:rPr>
        <w:br/>
      </w:r>
      <w:r w:rsidRPr="007251E1">
        <w:rPr>
          <w:rFonts w:eastAsia="Calibri" w:cs="Times New Roman"/>
          <w:szCs w:val="24"/>
          <w:lang w:eastAsia="ar-SA"/>
        </w:rPr>
        <w:t xml:space="preserve">w jakich przypadkach niepewność pomiarowa powinna być odejmowana od wyniku pomiaru, w jaki sposób należy to robić oraz jakie są maksymalne wartości niepewności </w:t>
      </w:r>
      <w:r w:rsidR="002020DC">
        <w:rPr>
          <w:rFonts w:eastAsia="Calibri" w:cs="Times New Roman"/>
          <w:szCs w:val="24"/>
          <w:lang w:eastAsia="ar-SA"/>
        </w:rPr>
        <w:t>pomiarowej</w:t>
      </w:r>
      <w:r w:rsidRPr="007251E1">
        <w:rPr>
          <w:rFonts w:eastAsia="Calibri" w:cs="Times New Roman"/>
          <w:szCs w:val="24"/>
          <w:lang w:eastAsia="ar-SA"/>
        </w:rPr>
        <w:t>.</w:t>
      </w:r>
    </w:p>
    <w:p w14:paraId="54C82CB7" w14:textId="77777777" w:rsidR="00BC6485" w:rsidRPr="007251E1" w:rsidRDefault="00BC6485" w:rsidP="007251E1">
      <w:pPr>
        <w:keepNext/>
        <w:suppressAutoHyphens/>
        <w:spacing w:line="240" w:lineRule="auto"/>
        <w:rPr>
          <w:rFonts w:eastAsia="Calibri" w:cs="Times New Roman"/>
          <w:szCs w:val="24"/>
          <w:lang w:eastAsia="ar-SA"/>
        </w:rPr>
      </w:pPr>
    </w:p>
    <w:p w14:paraId="1E685E58" w14:textId="77777777" w:rsidR="00BC6485" w:rsidRPr="007251E1" w:rsidRDefault="00BC6485" w:rsidP="007251E1">
      <w:pPr>
        <w:pStyle w:val="Akapitzlist"/>
        <w:keepNext/>
        <w:widowControl/>
        <w:numPr>
          <w:ilvl w:val="0"/>
          <w:numId w:val="7"/>
        </w:numPr>
        <w:suppressAutoHyphens/>
        <w:autoSpaceDE/>
        <w:autoSpaceDN/>
        <w:adjustRightInd/>
        <w:spacing w:line="240" w:lineRule="auto"/>
        <w:ind w:left="426" w:hanging="426"/>
        <w:rPr>
          <w:rFonts w:eastAsia="Calibri" w:cs="Times New Roman"/>
          <w:b/>
          <w:bCs/>
          <w:szCs w:val="24"/>
          <w:lang w:eastAsia="ar-SA"/>
        </w:rPr>
      </w:pPr>
      <w:r w:rsidRPr="007251E1">
        <w:rPr>
          <w:rFonts w:eastAsia="Calibri" w:cs="Times New Roman"/>
          <w:b/>
          <w:bCs/>
          <w:szCs w:val="24"/>
          <w:lang w:eastAsia="ar-SA"/>
        </w:rPr>
        <w:t>Uzasadnienie szczegółowe</w:t>
      </w:r>
    </w:p>
    <w:p w14:paraId="24F82518" w14:textId="77777777" w:rsidR="00BC6485" w:rsidRPr="007251E1" w:rsidRDefault="00BC6485" w:rsidP="00BC6475">
      <w:pPr>
        <w:keepNext/>
        <w:suppressAutoHyphens/>
        <w:spacing w:line="240" w:lineRule="auto"/>
        <w:jc w:val="both"/>
        <w:rPr>
          <w:rFonts w:eastAsia="Calibri" w:cs="Times New Roman"/>
          <w:b/>
          <w:bCs/>
          <w:szCs w:val="24"/>
          <w:lang w:eastAsia="ar-SA"/>
        </w:rPr>
      </w:pPr>
    </w:p>
    <w:p w14:paraId="5EB3DC5D" w14:textId="54ABBB8E" w:rsidR="00BC6485" w:rsidRPr="007251E1" w:rsidRDefault="00BC6485" w:rsidP="002020DC">
      <w:pPr>
        <w:spacing w:line="240" w:lineRule="auto"/>
        <w:jc w:val="both"/>
        <w:rPr>
          <w:rFonts w:cs="Times New Roman"/>
          <w:szCs w:val="24"/>
        </w:rPr>
      </w:pPr>
      <w:r w:rsidRPr="007251E1">
        <w:rPr>
          <w:rFonts w:cs="Times New Roman"/>
          <w:szCs w:val="24"/>
        </w:rPr>
        <w:t>Dotychczasowa praktyka związana z publikacją 1</w:t>
      </w:r>
      <w:r w:rsidR="00EA1E7C" w:rsidRPr="007251E1">
        <w:rPr>
          <w:rFonts w:cs="Times New Roman"/>
          <w:szCs w:val="24"/>
        </w:rPr>
        <w:t>9</w:t>
      </w:r>
      <w:r w:rsidRPr="007251E1">
        <w:rPr>
          <w:rFonts w:cs="Times New Roman"/>
          <w:szCs w:val="24"/>
        </w:rPr>
        <w:t xml:space="preserve"> decyzji wykonawczych</w:t>
      </w:r>
      <w:r w:rsidR="005817D0">
        <w:rPr>
          <w:rFonts w:cs="Times New Roman"/>
          <w:szCs w:val="24"/>
        </w:rPr>
        <w:t xml:space="preserve"> Komisji Europejskiej</w:t>
      </w:r>
      <w:r w:rsidRPr="007251E1">
        <w:rPr>
          <w:rFonts w:cs="Times New Roman"/>
          <w:szCs w:val="24"/>
        </w:rPr>
        <w:t xml:space="preserve">, pokazuje, że obowiązujące w Polsce podejście polegające na bezpośrednim stosowaniu </w:t>
      </w:r>
      <w:r w:rsidR="005817D0">
        <w:rPr>
          <w:rFonts w:cs="Times New Roman"/>
          <w:szCs w:val="24"/>
        </w:rPr>
        <w:t>k</w:t>
      </w:r>
      <w:r w:rsidR="005817D0" w:rsidRPr="007251E1">
        <w:rPr>
          <w:rFonts w:cs="Times New Roman"/>
          <w:szCs w:val="24"/>
        </w:rPr>
        <w:t xml:space="preserve">onkluzji </w:t>
      </w:r>
      <w:r w:rsidRPr="007251E1">
        <w:rPr>
          <w:rFonts w:cs="Times New Roman"/>
          <w:szCs w:val="24"/>
        </w:rPr>
        <w:t>BAT w procesie wydawania</w:t>
      </w:r>
      <w:r w:rsidR="003F2612">
        <w:rPr>
          <w:rFonts w:cs="Times New Roman"/>
          <w:szCs w:val="24"/>
        </w:rPr>
        <w:t xml:space="preserve"> lub </w:t>
      </w:r>
      <w:r w:rsidRPr="007251E1">
        <w:rPr>
          <w:rFonts w:cs="Times New Roman"/>
          <w:szCs w:val="24"/>
        </w:rPr>
        <w:t xml:space="preserve">aktualizacji pozwoleń zintegrowanych, w oparciu o ramy prawne wynikające z IED, jest co do zasady słuszne. Tym niemniej mając na uwadze </w:t>
      </w:r>
      <w:r w:rsidR="00902E67" w:rsidRPr="007251E1">
        <w:rPr>
          <w:rFonts w:cs="Times New Roman"/>
          <w:szCs w:val="24"/>
        </w:rPr>
        <w:t xml:space="preserve">scharakteryzowane </w:t>
      </w:r>
      <w:r w:rsidRPr="007251E1">
        <w:rPr>
          <w:rFonts w:cs="Times New Roman"/>
          <w:szCs w:val="24"/>
        </w:rPr>
        <w:t xml:space="preserve">powyżej </w:t>
      </w:r>
      <w:r w:rsidR="00EA1E7C" w:rsidRPr="007251E1">
        <w:rPr>
          <w:rFonts w:cs="Times New Roman"/>
          <w:szCs w:val="24"/>
        </w:rPr>
        <w:t>zagadnienie</w:t>
      </w:r>
      <w:r w:rsidR="00902E67" w:rsidRPr="007251E1">
        <w:rPr>
          <w:rFonts w:cs="Times New Roman"/>
          <w:szCs w:val="24"/>
        </w:rPr>
        <w:t>,</w:t>
      </w:r>
      <w:r w:rsidR="00EA1E7C" w:rsidRPr="007251E1">
        <w:rPr>
          <w:rFonts w:cs="Times New Roman"/>
          <w:szCs w:val="24"/>
        </w:rPr>
        <w:t xml:space="preserve"> </w:t>
      </w:r>
      <w:r w:rsidRPr="007251E1">
        <w:rPr>
          <w:rFonts w:cs="Times New Roman"/>
          <w:szCs w:val="24"/>
        </w:rPr>
        <w:t>zasadne jest doprecyzowani</w:t>
      </w:r>
      <w:r w:rsidR="00902E67" w:rsidRPr="007251E1">
        <w:rPr>
          <w:rFonts w:cs="Times New Roman"/>
          <w:szCs w:val="24"/>
        </w:rPr>
        <w:t>e</w:t>
      </w:r>
      <w:r w:rsidRPr="007251E1">
        <w:rPr>
          <w:rFonts w:cs="Times New Roman"/>
          <w:szCs w:val="24"/>
        </w:rPr>
        <w:t xml:space="preserve"> kwestii szczegółowych istotnych dla realizacji postanowień wynikających z </w:t>
      </w:r>
      <w:r w:rsidR="005817D0">
        <w:rPr>
          <w:rFonts w:cs="Times New Roman"/>
          <w:szCs w:val="24"/>
        </w:rPr>
        <w:t>k</w:t>
      </w:r>
      <w:r w:rsidR="005817D0" w:rsidRPr="007251E1">
        <w:rPr>
          <w:rFonts w:cs="Times New Roman"/>
          <w:szCs w:val="24"/>
        </w:rPr>
        <w:t xml:space="preserve">onkluzji </w:t>
      </w:r>
      <w:r w:rsidRPr="007251E1">
        <w:rPr>
          <w:rFonts w:cs="Times New Roman"/>
          <w:szCs w:val="24"/>
        </w:rPr>
        <w:t xml:space="preserve">BAT, tak by </w:t>
      </w:r>
      <w:r w:rsidR="00902E67" w:rsidRPr="007251E1">
        <w:rPr>
          <w:rFonts w:cs="Times New Roman"/>
          <w:szCs w:val="24"/>
        </w:rPr>
        <w:t>wyjaśnić</w:t>
      </w:r>
      <w:r w:rsidRPr="007251E1">
        <w:rPr>
          <w:rFonts w:cs="Times New Roman"/>
          <w:szCs w:val="24"/>
        </w:rPr>
        <w:t xml:space="preserve"> </w:t>
      </w:r>
      <w:r w:rsidR="005817D0" w:rsidRPr="007251E1">
        <w:rPr>
          <w:rFonts w:cs="Times New Roman"/>
          <w:szCs w:val="24"/>
        </w:rPr>
        <w:t>sposoby</w:t>
      </w:r>
      <w:r w:rsidR="00902E67" w:rsidRPr="007251E1">
        <w:rPr>
          <w:rFonts w:cs="Times New Roman"/>
          <w:szCs w:val="24"/>
        </w:rPr>
        <w:t xml:space="preserve"> </w:t>
      </w:r>
      <w:r w:rsidRPr="007251E1">
        <w:rPr>
          <w:rFonts w:cs="Times New Roman"/>
          <w:szCs w:val="24"/>
        </w:rPr>
        <w:t>postępowania w obszarach nieregulowanych przepisami krajowymi oraz ujednolicić postępowanie tam</w:t>
      </w:r>
      <w:r w:rsidR="003F2612">
        <w:rPr>
          <w:rFonts w:cs="Times New Roman"/>
          <w:szCs w:val="24"/>
        </w:rPr>
        <w:t>,</w:t>
      </w:r>
      <w:r w:rsidRPr="007251E1">
        <w:rPr>
          <w:rFonts w:cs="Times New Roman"/>
          <w:szCs w:val="24"/>
        </w:rPr>
        <w:t xml:space="preserve"> gdzie przepisy krajowe mają zastosowanie. </w:t>
      </w:r>
    </w:p>
    <w:p w14:paraId="3519C30A" w14:textId="0154DFCE" w:rsidR="00BC6485" w:rsidRPr="007251E1" w:rsidRDefault="00BC6485" w:rsidP="007251E1">
      <w:pPr>
        <w:spacing w:line="240" w:lineRule="auto"/>
        <w:jc w:val="both"/>
        <w:rPr>
          <w:rFonts w:cs="Times New Roman"/>
          <w:szCs w:val="24"/>
        </w:rPr>
      </w:pPr>
      <w:r w:rsidRPr="007251E1">
        <w:rPr>
          <w:rFonts w:cs="Times New Roman"/>
          <w:szCs w:val="24"/>
        </w:rPr>
        <w:t>Jeżeli chodzi o postępowanie z niepewnością pomiarową</w:t>
      </w:r>
      <w:r w:rsidR="00902E67" w:rsidRPr="007251E1">
        <w:rPr>
          <w:rFonts w:cs="Times New Roman"/>
          <w:szCs w:val="24"/>
        </w:rPr>
        <w:t>, aktualnie</w:t>
      </w:r>
      <w:r w:rsidRPr="007251E1">
        <w:rPr>
          <w:rFonts w:cs="Times New Roman"/>
          <w:szCs w:val="24"/>
        </w:rPr>
        <w:t xml:space="preserve"> przepisy krajowe odnoszą się tylko do dużych obiektów spalania (LCP), instalacji spalania i współspalania odpadów (WI) oraz instalacji do produkcji dwutlenku tytanu (TiO</w:t>
      </w:r>
      <w:r w:rsidRPr="00BC6475">
        <w:rPr>
          <w:rFonts w:cs="Times New Roman"/>
          <w:szCs w:val="24"/>
          <w:vertAlign w:val="subscript"/>
        </w:rPr>
        <w:t>2</w:t>
      </w:r>
      <w:r w:rsidRPr="007251E1">
        <w:rPr>
          <w:rFonts w:cs="Times New Roman"/>
          <w:szCs w:val="24"/>
        </w:rPr>
        <w:t xml:space="preserve">) - w zakresie dotyczącym </w:t>
      </w:r>
      <w:r w:rsidRPr="007251E1">
        <w:rPr>
          <w:rFonts w:eastAsia="Times New Roman"/>
          <w:szCs w:val="24"/>
        </w:rPr>
        <w:t>wielkości dopuszczaln</w:t>
      </w:r>
      <w:r w:rsidR="00CC539D">
        <w:rPr>
          <w:rFonts w:eastAsia="Times New Roman"/>
          <w:szCs w:val="24"/>
        </w:rPr>
        <w:t>ych</w:t>
      </w:r>
      <w:r w:rsidRPr="007251E1">
        <w:rPr>
          <w:rFonts w:eastAsia="Times New Roman"/>
          <w:szCs w:val="24"/>
        </w:rPr>
        <w:t xml:space="preserve"> emisji określonych w pozwoleniach, zgodnie z rozporządzeniem </w:t>
      </w:r>
      <w:r w:rsidRPr="007251E1">
        <w:rPr>
          <w:szCs w:val="24"/>
        </w:rPr>
        <w:t>Ministra Klimatu z dnia 24 września 2020 r. w sprawie standardów emisyjnych dla niektórych rodzajów instalacji, źródeł spalania paliw oraz urządzeń spalania lub współspalania odpadów (Dz.</w:t>
      </w:r>
      <w:r w:rsidR="003F2612">
        <w:rPr>
          <w:szCs w:val="24"/>
        </w:rPr>
        <w:t xml:space="preserve"> </w:t>
      </w:r>
      <w:r w:rsidRPr="007251E1">
        <w:rPr>
          <w:szCs w:val="24"/>
        </w:rPr>
        <w:t>U. poz. 1860)</w:t>
      </w:r>
      <w:r w:rsidRPr="007251E1">
        <w:rPr>
          <w:rFonts w:cs="Times New Roman"/>
          <w:szCs w:val="24"/>
        </w:rPr>
        <w:t xml:space="preserve">. W myśl obowiązujących przepisów wartość 95% przedziału ufności dla pojedynczego wyniku pomiaru może być uwzględniana podczas oceny zgodności z wielkościami dopuszczalnej emisji jedynie w precyzyjnie określonych przypadkach. Wynika to z rozporządzenia </w:t>
      </w:r>
      <w:r w:rsidRPr="007251E1">
        <w:rPr>
          <w:rFonts w:eastAsia="Times New Roman"/>
          <w:szCs w:val="24"/>
        </w:rPr>
        <w:t>Ministra Klimatu i Środowiska z dnia 7 września 2021 r. w sprawie wymagań w zakresie prowadzenia pomiarów wielkości emisji (Dz.</w:t>
      </w:r>
      <w:r w:rsidR="003F2612">
        <w:rPr>
          <w:rFonts w:eastAsia="Times New Roman"/>
          <w:szCs w:val="24"/>
        </w:rPr>
        <w:t xml:space="preserve"> </w:t>
      </w:r>
      <w:r w:rsidRPr="007251E1">
        <w:rPr>
          <w:rFonts w:eastAsia="Times New Roman"/>
          <w:szCs w:val="24"/>
        </w:rPr>
        <w:t>U. poz. 1710</w:t>
      </w:r>
      <w:r w:rsidR="0010374D">
        <w:rPr>
          <w:rFonts w:eastAsia="Times New Roman"/>
          <w:szCs w:val="24"/>
        </w:rPr>
        <w:t>,</w:t>
      </w:r>
      <w:r w:rsidR="006A615E">
        <w:rPr>
          <w:rFonts w:eastAsia="Times New Roman"/>
          <w:szCs w:val="24"/>
        </w:rPr>
        <w:t xml:space="preserve"> z późn. zm.</w:t>
      </w:r>
      <w:r w:rsidR="00902E67" w:rsidRPr="007251E1">
        <w:rPr>
          <w:rFonts w:eastAsia="Times New Roman"/>
          <w:szCs w:val="24"/>
        </w:rPr>
        <w:t>)</w:t>
      </w:r>
      <w:r w:rsidRPr="007251E1">
        <w:rPr>
          <w:rFonts w:cs="Times New Roman"/>
          <w:szCs w:val="24"/>
        </w:rPr>
        <w:t xml:space="preserve">. Uwagi zawarte w załącznikach nr 1, 3 i 5 do tego rozporządzenia zwierają wskazania dla ustalania wartości przedziału ufności pojedynczego wyniku pomiaru, dla określonych rodzajów </w:t>
      </w:r>
      <w:r w:rsidRPr="007251E1">
        <w:rPr>
          <w:rFonts w:cs="Times New Roman"/>
          <w:szCs w:val="24"/>
        </w:rPr>
        <w:lastRenderedPageBreak/>
        <w:t>działalności (LCP, WI i TiO</w:t>
      </w:r>
      <w:r w:rsidRPr="002020DC">
        <w:rPr>
          <w:rFonts w:cs="Times New Roman"/>
          <w:szCs w:val="24"/>
          <w:vertAlign w:val="subscript"/>
        </w:rPr>
        <w:t>2</w:t>
      </w:r>
      <w:r w:rsidRPr="007251E1">
        <w:rPr>
          <w:rFonts w:cs="Times New Roman"/>
          <w:szCs w:val="24"/>
        </w:rPr>
        <w:t xml:space="preserve">) oraz zamkniętej grupy zanieczyszczeń objętych standardami emisyjnymi. Jest to podejście wynikające z transpozycji IED, gdzie w załącznikach V, VI i VIII (obejmujących wspomniane powyżej branże) </w:t>
      </w:r>
      <w:r w:rsidR="006A615E">
        <w:rPr>
          <w:rFonts w:cs="Times New Roman"/>
          <w:szCs w:val="24"/>
        </w:rPr>
        <w:t>są</w:t>
      </w:r>
      <w:r w:rsidR="006A615E" w:rsidRPr="007251E1">
        <w:rPr>
          <w:rFonts w:cs="Times New Roman"/>
          <w:szCs w:val="24"/>
        </w:rPr>
        <w:t xml:space="preserve"> </w:t>
      </w:r>
      <w:r w:rsidR="006A615E">
        <w:rPr>
          <w:rFonts w:cs="Times New Roman"/>
          <w:szCs w:val="24"/>
        </w:rPr>
        <w:t>postanowienia</w:t>
      </w:r>
      <w:r w:rsidR="006A615E" w:rsidRPr="007251E1">
        <w:rPr>
          <w:rFonts w:cs="Times New Roman"/>
          <w:szCs w:val="24"/>
        </w:rPr>
        <w:t xml:space="preserve"> </w:t>
      </w:r>
      <w:r w:rsidRPr="007251E1">
        <w:rPr>
          <w:rFonts w:cs="Times New Roman"/>
          <w:szCs w:val="24"/>
        </w:rPr>
        <w:t>mówiące</w:t>
      </w:r>
      <w:r w:rsidR="006A615E">
        <w:rPr>
          <w:rFonts w:cs="Times New Roman"/>
          <w:szCs w:val="24"/>
        </w:rPr>
        <w:t xml:space="preserve"> przykładowo o tym, </w:t>
      </w:r>
      <w:r w:rsidRPr="007251E1">
        <w:rPr>
          <w:rFonts w:cs="Times New Roman"/>
          <w:szCs w:val="24"/>
        </w:rPr>
        <w:t>iż „zatwierdzone godzinne i dzienne wartości średnie ustalane są ze zmierzonych ważnych średnich wartości godzinnych po odjęciu wartości przedziału ufności”.</w:t>
      </w:r>
    </w:p>
    <w:p w14:paraId="385C15A6" w14:textId="1F2830B2" w:rsidR="00BC6485" w:rsidRPr="007251E1" w:rsidRDefault="00BC6485" w:rsidP="007251E1">
      <w:pPr>
        <w:spacing w:line="240" w:lineRule="auto"/>
        <w:jc w:val="both"/>
        <w:rPr>
          <w:rFonts w:cs="Times New Roman"/>
          <w:szCs w:val="24"/>
        </w:rPr>
      </w:pPr>
      <w:r w:rsidRPr="007251E1">
        <w:rPr>
          <w:rFonts w:cs="Times New Roman"/>
          <w:szCs w:val="24"/>
        </w:rPr>
        <w:t>Podobne uregulowania nie występują w prawie krajowym (ani UE) w odniesieniu do innych wymagań emisyjnych. Dotyczy to chociażby oceny zgodności z granicznymi wielkościami emisji</w:t>
      </w:r>
      <w:r w:rsidR="00902E67" w:rsidRPr="007251E1">
        <w:rPr>
          <w:rFonts w:cs="Times New Roman"/>
          <w:szCs w:val="24"/>
        </w:rPr>
        <w:t xml:space="preserve"> </w:t>
      </w:r>
      <w:r w:rsidRPr="007251E1">
        <w:rPr>
          <w:rFonts w:cs="Times New Roman"/>
          <w:szCs w:val="24"/>
        </w:rPr>
        <w:t xml:space="preserve">ustalonymi w </w:t>
      </w:r>
      <w:r w:rsidR="006A615E">
        <w:rPr>
          <w:rFonts w:cs="Times New Roman"/>
          <w:szCs w:val="24"/>
        </w:rPr>
        <w:t>k</w:t>
      </w:r>
      <w:r w:rsidR="006A615E" w:rsidRPr="007251E1">
        <w:rPr>
          <w:rFonts w:cs="Times New Roman"/>
          <w:szCs w:val="24"/>
        </w:rPr>
        <w:t xml:space="preserve">onkluzjach </w:t>
      </w:r>
      <w:r w:rsidRPr="007251E1">
        <w:rPr>
          <w:rFonts w:cs="Times New Roman"/>
          <w:szCs w:val="24"/>
        </w:rPr>
        <w:t xml:space="preserve">BAT – zarówno w odniesieniu do np. LCP i WI, jak również innych branż przemysłowych. </w:t>
      </w:r>
      <w:r w:rsidRPr="00DE2C30">
        <w:rPr>
          <w:rFonts w:cs="Times New Roman"/>
          <w:szCs w:val="24"/>
        </w:rPr>
        <w:t xml:space="preserve">Należy także zaznaczyć, że uregulowanie podejścia do niepewności pomiarowych, w odniesieniu do BAT AELs, na bazie rozporządzenia Ministra </w:t>
      </w:r>
      <w:r w:rsidR="00902E67" w:rsidRPr="00DE2C30">
        <w:rPr>
          <w:rFonts w:cs="Times New Roman"/>
          <w:szCs w:val="24"/>
        </w:rPr>
        <w:t>Klimatu</w:t>
      </w:r>
      <w:r w:rsidR="00012192">
        <w:rPr>
          <w:rFonts w:cs="Times New Roman"/>
          <w:szCs w:val="24"/>
        </w:rPr>
        <w:t xml:space="preserve"> i Środowiska</w:t>
      </w:r>
      <w:r w:rsidRPr="00DE2C30">
        <w:rPr>
          <w:rFonts w:cs="Times New Roman"/>
          <w:szCs w:val="24"/>
        </w:rPr>
        <w:t xml:space="preserve"> </w:t>
      </w:r>
      <w:r w:rsidR="00012192">
        <w:rPr>
          <w:rFonts w:cs="Times New Roman"/>
          <w:szCs w:val="24"/>
        </w:rPr>
        <w:t xml:space="preserve">z dnia </w:t>
      </w:r>
      <w:r w:rsidR="00012192" w:rsidRPr="007251E1">
        <w:rPr>
          <w:rFonts w:eastAsia="Times New Roman"/>
          <w:szCs w:val="24"/>
        </w:rPr>
        <w:t>7 września 2021 r. w sprawie wymagań w zakresie</w:t>
      </w:r>
      <w:r w:rsidRPr="00DE2C30">
        <w:rPr>
          <w:rFonts w:cs="Times New Roman"/>
          <w:szCs w:val="24"/>
        </w:rPr>
        <w:t xml:space="preserve"> prowadzenia pomiarów wielkości emisji nie jest możliwe, gdyż jego zakres jest, co do zasady, ograniczony do kilku rodzajów instalacji, dla których określone zostały standardy emisyjne.</w:t>
      </w:r>
    </w:p>
    <w:p w14:paraId="3FB751EE" w14:textId="63E0E5DE" w:rsidR="00BC6485" w:rsidRPr="007251E1" w:rsidRDefault="00BC6485" w:rsidP="007251E1">
      <w:pPr>
        <w:spacing w:line="240" w:lineRule="auto"/>
        <w:jc w:val="both"/>
        <w:rPr>
          <w:rFonts w:cs="Times New Roman"/>
          <w:szCs w:val="24"/>
        </w:rPr>
      </w:pPr>
      <w:r w:rsidRPr="007251E1">
        <w:rPr>
          <w:rFonts w:cs="Times New Roman"/>
          <w:szCs w:val="24"/>
        </w:rPr>
        <w:t>Dla szeregu instalacji przemysłowych podstawowym czynnikiem kształtującym wielkości dopuszczalnej emisji ustalane w pozwoleniach zintegrowanych są konkluzje BAT, a dokładniej graniczne wielkości emisyjne w nich zawarte. Zgodnie z art. 204 ust. 1 ustawy z dnia 27 kwietnia 2001 r.</w:t>
      </w:r>
      <w:r w:rsidR="007B3241">
        <w:rPr>
          <w:rFonts w:cs="Times New Roman"/>
          <w:szCs w:val="24"/>
        </w:rPr>
        <w:t xml:space="preserve"> -</w:t>
      </w:r>
      <w:r w:rsidRPr="007251E1">
        <w:rPr>
          <w:rFonts w:cs="Times New Roman"/>
          <w:szCs w:val="24"/>
        </w:rPr>
        <w:t xml:space="preserve"> Prawo ochrony środowiska </w:t>
      </w:r>
      <w:r w:rsidRPr="00DE2C30">
        <w:rPr>
          <w:rFonts w:cs="Times New Roman"/>
          <w:szCs w:val="24"/>
        </w:rPr>
        <w:t>(Dz.</w:t>
      </w:r>
      <w:r w:rsidR="00D35A1C">
        <w:rPr>
          <w:rFonts w:cs="Times New Roman"/>
          <w:szCs w:val="24"/>
        </w:rPr>
        <w:t xml:space="preserve"> </w:t>
      </w:r>
      <w:r w:rsidRPr="00DE2C30">
        <w:rPr>
          <w:rFonts w:cs="Times New Roman"/>
          <w:szCs w:val="24"/>
        </w:rPr>
        <w:t xml:space="preserve">U. </w:t>
      </w:r>
      <w:r w:rsidR="007B3241">
        <w:rPr>
          <w:rFonts w:cs="Times New Roman"/>
          <w:szCs w:val="24"/>
        </w:rPr>
        <w:t xml:space="preserve">z </w:t>
      </w:r>
      <w:r w:rsidRPr="00DE2C30">
        <w:rPr>
          <w:rFonts w:cs="Times New Roman"/>
          <w:szCs w:val="24"/>
        </w:rPr>
        <w:t>202</w:t>
      </w:r>
      <w:r w:rsidR="00DE2C30" w:rsidRPr="00DE2C30">
        <w:rPr>
          <w:rFonts w:cs="Times New Roman"/>
          <w:szCs w:val="24"/>
        </w:rPr>
        <w:t>2</w:t>
      </w:r>
      <w:r w:rsidRPr="00DE2C30">
        <w:rPr>
          <w:rFonts w:cs="Times New Roman"/>
          <w:szCs w:val="24"/>
        </w:rPr>
        <w:t xml:space="preserve"> </w:t>
      </w:r>
      <w:r w:rsidR="00613D17">
        <w:rPr>
          <w:rFonts w:cs="Times New Roman"/>
          <w:szCs w:val="24"/>
        </w:rPr>
        <w:t xml:space="preserve">r. </w:t>
      </w:r>
      <w:r w:rsidRPr="00DE2C30">
        <w:rPr>
          <w:rFonts w:cs="Times New Roman"/>
          <w:szCs w:val="24"/>
        </w:rPr>
        <w:t xml:space="preserve">poz. </w:t>
      </w:r>
      <w:r w:rsidR="00DE2C30" w:rsidRPr="00DE2C30">
        <w:rPr>
          <w:rFonts w:cs="Times New Roman"/>
          <w:szCs w:val="24"/>
        </w:rPr>
        <w:t>2556</w:t>
      </w:r>
      <w:r w:rsidR="00012192">
        <w:rPr>
          <w:rFonts w:cs="Times New Roman"/>
          <w:szCs w:val="24"/>
        </w:rPr>
        <w:t>, z późn. zm.</w:t>
      </w:r>
      <w:r w:rsidRPr="007251E1">
        <w:rPr>
          <w:rFonts w:cs="Times New Roman"/>
          <w:szCs w:val="24"/>
        </w:rPr>
        <w:t>)</w:t>
      </w:r>
      <w:r w:rsidR="00012192">
        <w:rPr>
          <w:rFonts w:cs="Times New Roman"/>
          <w:szCs w:val="24"/>
        </w:rPr>
        <w:t xml:space="preserve">, zwanej </w:t>
      </w:r>
      <w:r w:rsidR="0079704E" w:rsidRPr="007251E1">
        <w:rPr>
          <w:rFonts w:cs="Times New Roman"/>
          <w:szCs w:val="24"/>
        </w:rPr>
        <w:t xml:space="preserve">dalej </w:t>
      </w:r>
      <w:r w:rsidR="00012192">
        <w:rPr>
          <w:rFonts w:cs="Times New Roman"/>
          <w:szCs w:val="24"/>
        </w:rPr>
        <w:t>„</w:t>
      </w:r>
      <w:r w:rsidR="007B3241" w:rsidRPr="007251E1">
        <w:rPr>
          <w:rFonts w:cs="Times New Roman"/>
          <w:szCs w:val="24"/>
        </w:rPr>
        <w:t>ustaw</w:t>
      </w:r>
      <w:r w:rsidR="007B3241">
        <w:rPr>
          <w:rFonts w:cs="Times New Roman"/>
          <w:szCs w:val="24"/>
        </w:rPr>
        <w:t>ą</w:t>
      </w:r>
      <w:r w:rsidR="007B3241" w:rsidRPr="007251E1">
        <w:rPr>
          <w:rFonts w:cs="Times New Roman"/>
          <w:szCs w:val="24"/>
        </w:rPr>
        <w:t xml:space="preserve"> </w:t>
      </w:r>
      <w:r w:rsidR="0079704E" w:rsidRPr="007251E1">
        <w:rPr>
          <w:rFonts w:cs="Times New Roman"/>
          <w:szCs w:val="24"/>
        </w:rPr>
        <w:t>Poś</w:t>
      </w:r>
      <w:r w:rsidR="00012192">
        <w:rPr>
          <w:rFonts w:cs="Times New Roman"/>
          <w:szCs w:val="24"/>
        </w:rPr>
        <w:t>”</w:t>
      </w:r>
      <w:r w:rsidR="00012192" w:rsidRPr="007251E1">
        <w:rPr>
          <w:rFonts w:cs="Times New Roman"/>
          <w:szCs w:val="24"/>
        </w:rPr>
        <w:t xml:space="preserve">, </w:t>
      </w:r>
      <w:r w:rsidRPr="007251E1">
        <w:rPr>
          <w:rFonts w:cs="Times New Roman"/>
          <w:szCs w:val="24"/>
        </w:rPr>
        <w:t>instalacje wymagające pozwolenia zintegrowanego spełniają wymagania ochrony środowiska wynikające z najlepszych dostępnych technik, a w szczególności nie mogą powodować przekroczenia granicznych wielkości emisyjnych. Ponadto zgodnie z art. 211 ust</w:t>
      </w:r>
      <w:r w:rsidR="00012192">
        <w:rPr>
          <w:rFonts w:cs="Times New Roman"/>
          <w:szCs w:val="24"/>
        </w:rPr>
        <w:t>.</w:t>
      </w:r>
      <w:r w:rsidRPr="007251E1">
        <w:rPr>
          <w:rFonts w:cs="Times New Roman"/>
          <w:szCs w:val="24"/>
        </w:rPr>
        <w:t xml:space="preserve"> 5 ustawy </w:t>
      </w:r>
      <w:r w:rsidR="00012192">
        <w:rPr>
          <w:rFonts w:cs="Times New Roman"/>
          <w:szCs w:val="24"/>
        </w:rPr>
        <w:t>Poś</w:t>
      </w:r>
      <w:r w:rsidRPr="007251E1">
        <w:rPr>
          <w:rFonts w:cs="Times New Roman"/>
          <w:szCs w:val="24"/>
        </w:rPr>
        <w:t xml:space="preserve">, w pozwoleniu zintegrowanym określa się – dla instalacji wymagających uzyskania pozwolenia zintegrowanego – zakres i sposób monitorowania wielkości emisji zgodny z wymaganiami dotyczącymi monitorowania określonymi w konkluzjach BAT. Tym samym obowiązek prowadzenia pomiarów ciągłych obejmuje dużo szerszą (niż wynika to z załączników do IED czy </w:t>
      </w:r>
      <w:r w:rsidR="002B0BD2" w:rsidRPr="007251E1">
        <w:rPr>
          <w:rFonts w:cs="Times New Roman"/>
          <w:szCs w:val="24"/>
        </w:rPr>
        <w:t>przepisów krajowych</w:t>
      </w:r>
      <w:r w:rsidRPr="007251E1">
        <w:rPr>
          <w:rFonts w:cs="Times New Roman"/>
          <w:szCs w:val="24"/>
        </w:rPr>
        <w:t>) grupę rodzajów instalacji</w:t>
      </w:r>
      <w:r w:rsidR="00012192">
        <w:rPr>
          <w:rFonts w:cs="Times New Roman"/>
          <w:szCs w:val="24"/>
        </w:rPr>
        <w:t>,</w:t>
      </w:r>
      <w:r w:rsidRPr="007251E1">
        <w:rPr>
          <w:rFonts w:cs="Times New Roman"/>
          <w:szCs w:val="24"/>
        </w:rPr>
        <w:t xml:space="preserve"> jak również dodatkowe zanieczyszczenia.</w:t>
      </w:r>
    </w:p>
    <w:p w14:paraId="279C82D1" w14:textId="08964307" w:rsidR="00F26A5C" w:rsidRDefault="00BC6485" w:rsidP="007251E1">
      <w:pPr>
        <w:spacing w:line="240" w:lineRule="auto"/>
        <w:jc w:val="both"/>
        <w:rPr>
          <w:rFonts w:cs="Times New Roman"/>
          <w:szCs w:val="24"/>
        </w:rPr>
      </w:pPr>
      <w:r w:rsidRPr="007251E1">
        <w:rPr>
          <w:rFonts w:cs="Times New Roman"/>
          <w:szCs w:val="24"/>
        </w:rPr>
        <w:t xml:space="preserve">Projektowane rozporządzenie określi sposoby uwzględniania niepewności pomiarowej przy ocenie dotrzymywania wielkości dopuszczalnej emisji (także gdy wynikają one z zastosowania </w:t>
      </w:r>
      <w:r w:rsidR="00012192">
        <w:rPr>
          <w:rFonts w:cs="Times New Roman"/>
          <w:szCs w:val="24"/>
        </w:rPr>
        <w:t>k</w:t>
      </w:r>
      <w:r w:rsidR="00012192" w:rsidRPr="007251E1">
        <w:rPr>
          <w:rFonts w:cs="Times New Roman"/>
          <w:szCs w:val="24"/>
        </w:rPr>
        <w:t xml:space="preserve">onkluzji </w:t>
      </w:r>
      <w:r w:rsidRPr="007251E1">
        <w:rPr>
          <w:rFonts w:cs="Times New Roman"/>
          <w:szCs w:val="24"/>
        </w:rPr>
        <w:t>BAT)</w:t>
      </w:r>
      <w:r w:rsidR="00012192">
        <w:rPr>
          <w:rFonts w:cs="Times New Roman"/>
          <w:szCs w:val="24"/>
        </w:rPr>
        <w:t>,</w:t>
      </w:r>
      <w:r w:rsidRPr="007251E1">
        <w:rPr>
          <w:rFonts w:cs="Times New Roman"/>
          <w:szCs w:val="24"/>
        </w:rPr>
        <w:t xml:space="preserve"> w przypadkach gdy ocena ta odbywa się na podstawie ciągłych pomiarów emisji do powietrza.</w:t>
      </w:r>
    </w:p>
    <w:p w14:paraId="411AC776" w14:textId="368767E8" w:rsidR="00F26A5C" w:rsidRDefault="00F26A5C" w:rsidP="007251E1">
      <w:pPr>
        <w:spacing w:line="240" w:lineRule="auto"/>
        <w:jc w:val="both"/>
        <w:rPr>
          <w:rFonts w:cs="Times New Roman"/>
          <w:szCs w:val="24"/>
        </w:rPr>
      </w:pPr>
      <w:r>
        <w:rPr>
          <w:rFonts w:cs="Times New Roman"/>
          <w:szCs w:val="24"/>
        </w:rPr>
        <w:t xml:space="preserve">W rozporządzeniu </w:t>
      </w:r>
      <w:r w:rsidR="000D34D5">
        <w:rPr>
          <w:rFonts w:cs="Times New Roman"/>
          <w:szCs w:val="24"/>
        </w:rPr>
        <w:t xml:space="preserve">zaproponowano pewien mechanizm </w:t>
      </w:r>
      <w:r w:rsidR="009F356D">
        <w:rPr>
          <w:rFonts w:cs="Times New Roman"/>
          <w:szCs w:val="24"/>
        </w:rPr>
        <w:t>polegający</w:t>
      </w:r>
      <w:r w:rsidR="000D34D5">
        <w:rPr>
          <w:rFonts w:cs="Times New Roman"/>
          <w:szCs w:val="24"/>
        </w:rPr>
        <w:t xml:space="preserve"> na pom</w:t>
      </w:r>
      <w:r w:rsidR="009D3B3B">
        <w:rPr>
          <w:rFonts w:cs="Times New Roman"/>
          <w:szCs w:val="24"/>
        </w:rPr>
        <w:t>niejszeniu ważnych średnich krótkookresowych o niepewność pomiarową w celu uzyskania tzw. zatwierdzonych średnich krótkookresowych. Wartości te mogą być bezpośrednio porównywane z wielkościami dopuszczalnej emisji lub wykorzystane do obliczenia średnich długookresowych – w zależności do konstrukcji wymagań zawartych w pozwoleniu. Dodatkowo projekt zawiera definicje kluczowych pojęć istotnych z punktu widzenia stosowania wynikających z jego treści wymagań.</w:t>
      </w:r>
    </w:p>
    <w:p w14:paraId="4B6B890A" w14:textId="77777777" w:rsidR="00F26A5C" w:rsidRDefault="00F26A5C" w:rsidP="007251E1">
      <w:pPr>
        <w:spacing w:line="240" w:lineRule="auto"/>
        <w:jc w:val="both"/>
        <w:rPr>
          <w:rFonts w:cs="Times New Roman"/>
          <w:szCs w:val="24"/>
        </w:rPr>
      </w:pPr>
    </w:p>
    <w:p w14:paraId="76CEDC04" w14:textId="3FCC5C70" w:rsidR="00BC6485" w:rsidRPr="007251E1" w:rsidRDefault="00BC6485" w:rsidP="007251E1">
      <w:pPr>
        <w:spacing w:line="240" w:lineRule="auto"/>
        <w:jc w:val="both"/>
        <w:rPr>
          <w:rFonts w:cs="Times New Roman"/>
          <w:szCs w:val="24"/>
        </w:rPr>
      </w:pPr>
      <w:r w:rsidRPr="007251E1">
        <w:rPr>
          <w:rFonts w:cs="Times New Roman"/>
          <w:szCs w:val="24"/>
        </w:rPr>
        <w:t xml:space="preserve">Projekt zakłada zastosowanie niepewności rozszerzonej dla 95% przedziału ufności celem zachowania spójności z obowiązującymi regulacjami wynikającymi z przepisów UE oraz zagwarantowania, że </w:t>
      </w:r>
      <w:r w:rsidR="009D3B3B">
        <w:rPr>
          <w:rFonts w:cs="Times New Roman"/>
          <w:szCs w:val="24"/>
        </w:rPr>
        <w:t xml:space="preserve">ewentualne </w:t>
      </w:r>
      <w:r w:rsidRPr="007251E1">
        <w:rPr>
          <w:rFonts w:cs="Times New Roman"/>
          <w:szCs w:val="24"/>
        </w:rPr>
        <w:t>sankcje związane z naruszeniem warunków pozwolenia nakładane będą tylko w przypadkach</w:t>
      </w:r>
      <w:r w:rsidR="00D35A1C">
        <w:rPr>
          <w:rFonts w:cs="Times New Roman"/>
          <w:szCs w:val="24"/>
        </w:rPr>
        <w:t xml:space="preserve">, </w:t>
      </w:r>
      <w:r w:rsidRPr="007251E1">
        <w:rPr>
          <w:rFonts w:cs="Times New Roman"/>
          <w:szCs w:val="24"/>
        </w:rPr>
        <w:t>gdzie przekroczenie zostało maksymalnie uprawdopodobnione. Wyjaśnienia wymaga, iż alternatywą dla przyjętego podejścia było wykorzystanie odchylenia standardowego zamiast niepewności rozszerzonej co w praktyce oznaczałoby, że wyniki pomiarów byłyby korygowane o wartości w przybliżeniu dwukrotnie mniejsze. Tym niemniej konsekwencją byłoby to, że przedział ufności wynosiłby ok</w:t>
      </w:r>
      <w:r w:rsidR="00D35A1C">
        <w:rPr>
          <w:rFonts w:cs="Times New Roman"/>
          <w:szCs w:val="24"/>
        </w:rPr>
        <w:t>oło</w:t>
      </w:r>
      <w:r w:rsidRPr="007251E1">
        <w:rPr>
          <w:rFonts w:cs="Times New Roman"/>
          <w:szCs w:val="24"/>
        </w:rPr>
        <w:t xml:space="preserve"> 68%, pozostawiając nadal istotną niepewność co do tego czy przekroczenie faktycznie nastąpiło. Dlatego też mając na uwadze, że celem regulacji jest wykorzystanie niepewności pomiarowej do ograniczenia ryzyka nakładania administracyjnych kar pieniężnych tam</w:t>
      </w:r>
      <w:r w:rsidR="00AF6D18">
        <w:rPr>
          <w:rFonts w:cs="Times New Roman"/>
          <w:szCs w:val="24"/>
        </w:rPr>
        <w:t>,</w:t>
      </w:r>
      <w:r w:rsidRPr="007251E1">
        <w:rPr>
          <w:rFonts w:cs="Times New Roman"/>
          <w:szCs w:val="24"/>
        </w:rPr>
        <w:t xml:space="preserve"> gdzie mogło nie dojść do faktycznego przekroczenia </w:t>
      </w:r>
      <w:r w:rsidR="002B0BD2" w:rsidRPr="007251E1">
        <w:rPr>
          <w:rFonts w:cs="Times New Roman"/>
          <w:szCs w:val="24"/>
        </w:rPr>
        <w:t>warunków pozwolenia</w:t>
      </w:r>
      <w:r w:rsidRPr="007251E1">
        <w:rPr>
          <w:rFonts w:cs="Times New Roman"/>
          <w:szCs w:val="24"/>
        </w:rPr>
        <w:t xml:space="preserve">, zaproponowano rozwiązanie </w:t>
      </w:r>
      <w:r w:rsidRPr="007251E1">
        <w:rPr>
          <w:rFonts w:cs="Times New Roman"/>
          <w:szCs w:val="24"/>
        </w:rPr>
        <w:lastRenderedPageBreak/>
        <w:t xml:space="preserve">oparte na niepewności rozszerzonej dla 95% przedziału ufności.  </w:t>
      </w:r>
    </w:p>
    <w:p w14:paraId="78DB8D5F" w14:textId="58BA3ABD" w:rsidR="00BC6485" w:rsidRPr="007251E1" w:rsidRDefault="00BC6485" w:rsidP="007251E1">
      <w:pPr>
        <w:spacing w:line="240" w:lineRule="auto"/>
        <w:jc w:val="both"/>
        <w:rPr>
          <w:rFonts w:cs="Times New Roman"/>
          <w:szCs w:val="24"/>
        </w:rPr>
      </w:pPr>
      <w:r w:rsidRPr="007251E1">
        <w:rPr>
          <w:rFonts w:cs="Times New Roman"/>
          <w:szCs w:val="24"/>
        </w:rPr>
        <w:t xml:space="preserve">Jednocześnie wartość charakteryzująca niepewność </w:t>
      </w:r>
      <w:r w:rsidR="00D7339F" w:rsidRPr="007251E1">
        <w:rPr>
          <w:rFonts w:cs="Times New Roman"/>
          <w:szCs w:val="24"/>
        </w:rPr>
        <w:t>pomiar</w:t>
      </w:r>
      <w:r w:rsidR="00D7339F">
        <w:rPr>
          <w:rFonts w:cs="Times New Roman"/>
          <w:szCs w:val="24"/>
        </w:rPr>
        <w:t>ow</w:t>
      </w:r>
      <w:r w:rsidR="009D3B3B">
        <w:rPr>
          <w:rFonts w:cs="Times New Roman"/>
          <w:szCs w:val="24"/>
        </w:rPr>
        <w:t>ą</w:t>
      </w:r>
      <w:r w:rsidR="00D7339F" w:rsidRPr="007251E1">
        <w:rPr>
          <w:rFonts w:cs="Times New Roman"/>
          <w:szCs w:val="24"/>
        </w:rPr>
        <w:t xml:space="preserve"> </w:t>
      </w:r>
      <w:r w:rsidRPr="007251E1">
        <w:rPr>
          <w:rFonts w:cs="Times New Roman"/>
          <w:szCs w:val="24"/>
        </w:rPr>
        <w:t xml:space="preserve">będzie wyliczana indywidulanie dla każdej instalacji (lub jej części), w ramach procedury </w:t>
      </w:r>
      <w:r w:rsidR="009D3B3B">
        <w:rPr>
          <w:rFonts w:cs="Times New Roman"/>
          <w:szCs w:val="24"/>
        </w:rPr>
        <w:t xml:space="preserve">QAL 2, </w:t>
      </w:r>
      <w:r w:rsidR="00373B74">
        <w:rPr>
          <w:rFonts w:cs="Times New Roman"/>
          <w:szCs w:val="24"/>
        </w:rPr>
        <w:t xml:space="preserve">przeprowadzanej </w:t>
      </w:r>
      <w:r w:rsidR="009D3B3B">
        <w:rPr>
          <w:rFonts w:cs="Times New Roman"/>
          <w:szCs w:val="24"/>
        </w:rPr>
        <w:t>zgodnie z</w:t>
      </w:r>
      <w:r w:rsidR="009F356D">
        <w:rPr>
          <w:rFonts w:cs="Times New Roman"/>
          <w:szCs w:val="24"/>
        </w:rPr>
        <w:t xml:space="preserve"> obowiązującą </w:t>
      </w:r>
      <w:r w:rsidR="009D3B3B">
        <w:rPr>
          <w:rFonts w:cs="Times New Roman"/>
          <w:szCs w:val="24"/>
        </w:rPr>
        <w:t>normą PN-EN: 14181</w:t>
      </w:r>
      <w:r w:rsidRPr="007251E1">
        <w:rPr>
          <w:rFonts w:cs="Times New Roman"/>
          <w:szCs w:val="24"/>
        </w:rPr>
        <w:t xml:space="preserve">. </w:t>
      </w:r>
      <w:r w:rsidR="00373B74">
        <w:rPr>
          <w:rFonts w:cs="Times New Roman"/>
          <w:szCs w:val="24"/>
        </w:rPr>
        <w:t>Takie podejście zapewni, że niepewność pomiarowa zostanie obliczona prawidłowo</w:t>
      </w:r>
      <w:r w:rsidR="00D35A1C">
        <w:rPr>
          <w:rFonts w:cs="Times New Roman"/>
          <w:szCs w:val="24"/>
        </w:rPr>
        <w:t>,</w:t>
      </w:r>
      <w:r w:rsidR="00373B74">
        <w:rPr>
          <w:rFonts w:cs="Times New Roman"/>
          <w:szCs w:val="24"/>
        </w:rPr>
        <w:t xml:space="preserve"> gdyż zgodnie z art. 147a ustawy Poś p</w:t>
      </w:r>
      <w:r w:rsidR="00373B74" w:rsidRPr="00373B74">
        <w:rPr>
          <w:rFonts w:cs="Times New Roman"/>
          <w:szCs w:val="24"/>
        </w:rPr>
        <w:t>rowadzący instalację oraz użytkownik urządzenia są</w:t>
      </w:r>
      <w:r w:rsidR="00BC6475">
        <w:rPr>
          <w:rFonts w:cs="Times New Roman"/>
          <w:szCs w:val="24"/>
        </w:rPr>
        <w:t xml:space="preserve"> </w:t>
      </w:r>
      <w:r w:rsidR="00373B74" w:rsidRPr="00373B74">
        <w:rPr>
          <w:rFonts w:cs="Times New Roman"/>
          <w:szCs w:val="24"/>
        </w:rPr>
        <w:t>obowiązani zapewnić wykonanie pomiarów wielkości emisji lub innych warunków</w:t>
      </w:r>
      <w:r w:rsidR="00BC6475">
        <w:rPr>
          <w:rFonts w:cs="Times New Roman"/>
          <w:szCs w:val="24"/>
        </w:rPr>
        <w:t xml:space="preserve"> </w:t>
      </w:r>
      <w:r w:rsidR="00373B74" w:rsidRPr="00373B74">
        <w:rPr>
          <w:rFonts w:cs="Times New Roman"/>
          <w:szCs w:val="24"/>
        </w:rPr>
        <w:t>korzystania ze środowiska, w tym pobieranie próbek przez</w:t>
      </w:r>
      <w:r w:rsidR="00373B74">
        <w:rPr>
          <w:rFonts w:cs="Times New Roman"/>
          <w:szCs w:val="24"/>
        </w:rPr>
        <w:t xml:space="preserve"> laboratorium akredytowane lub certyfikowane jednostki badawcze. W przypadku pomiarów ciągłych obejmuje to także nadzór nad jakością AMS wynikający z normy PN EN 14181</w:t>
      </w:r>
      <w:r w:rsidR="00D35A1C">
        <w:rPr>
          <w:rFonts w:cs="Times New Roman"/>
          <w:szCs w:val="24"/>
        </w:rPr>
        <w:t xml:space="preserve">, </w:t>
      </w:r>
      <w:r w:rsidR="00373B74">
        <w:rPr>
          <w:rFonts w:cs="Times New Roman"/>
          <w:szCs w:val="24"/>
        </w:rPr>
        <w:t xml:space="preserve">czyli </w:t>
      </w:r>
      <w:r w:rsidR="00DA730C">
        <w:rPr>
          <w:rFonts w:cs="Times New Roman"/>
          <w:szCs w:val="24"/>
        </w:rPr>
        <w:t>m.in</w:t>
      </w:r>
      <w:r w:rsidR="00373B74">
        <w:rPr>
          <w:rFonts w:cs="Times New Roman"/>
          <w:szCs w:val="24"/>
        </w:rPr>
        <w:t xml:space="preserve">. procedurę QAL 2. </w:t>
      </w:r>
      <w:r w:rsidRPr="007251E1">
        <w:rPr>
          <w:rFonts w:cs="Times New Roman"/>
          <w:szCs w:val="24"/>
        </w:rPr>
        <w:t>Wyeliminuje to</w:t>
      </w:r>
      <w:r w:rsidR="009D3B3B">
        <w:rPr>
          <w:rFonts w:cs="Times New Roman"/>
          <w:szCs w:val="24"/>
        </w:rPr>
        <w:t xml:space="preserve"> nieuzasadnione</w:t>
      </w:r>
      <w:r w:rsidRPr="007251E1">
        <w:rPr>
          <w:rFonts w:cs="Times New Roman"/>
          <w:szCs w:val="24"/>
        </w:rPr>
        <w:t xml:space="preserve"> przyjmowanie maksymalnej dozwolonej wartości charakteryzującej niepewność, bez jej wcześniejszego, rzetelnego oszacowania</w:t>
      </w:r>
      <w:r w:rsidR="00DA730C">
        <w:rPr>
          <w:rFonts w:cs="Times New Roman"/>
          <w:szCs w:val="24"/>
        </w:rPr>
        <w:t>, w odniesieniu do konkretnego AMS i mierzonych substancji</w:t>
      </w:r>
      <w:r w:rsidRPr="007251E1">
        <w:rPr>
          <w:rFonts w:cs="Times New Roman"/>
          <w:szCs w:val="24"/>
        </w:rPr>
        <w:t>.</w:t>
      </w:r>
    </w:p>
    <w:p w14:paraId="7445F7BE" w14:textId="7B6C55A6" w:rsidR="005E57F5" w:rsidRPr="007251E1" w:rsidRDefault="00BC6485" w:rsidP="007251E1">
      <w:pPr>
        <w:spacing w:line="240" w:lineRule="auto"/>
        <w:jc w:val="both"/>
        <w:rPr>
          <w:rFonts w:cs="Times New Roman"/>
          <w:szCs w:val="24"/>
        </w:rPr>
      </w:pPr>
      <w:r w:rsidRPr="007251E1">
        <w:rPr>
          <w:rFonts w:cs="Times New Roman"/>
          <w:szCs w:val="24"/>
        </w:rPr>
        <w:t>Projektowane rozporządzenia opisuje ponadto sposób postępowania</w:t>
      </w:r>
      <w:r w:rsidR="00AF6D18">
        <w:rPr>
          <w:rFonts w:cs="Times New Roman"/>
          <w:szCs w:val="24"/>
        </w:rPr>
        <w:t>,</w:t>
      </w:r>
      <w:r w:rsidRPr="007251E1">
        <w:rPr>
          <w:rFonts w:cs="Times New Roman"/>
          <w:szCs w:val="24"/>
        </w:rPr>
        <w:t xml:space="preserve"> w sytuacji gdy </w:t>
      </w:r>
      <w:r w:rsidR="002B0BD2" w:rsidRPr="007251E1">
        <w:rPr>
          <w:rFonts w:cs="Times New Roman"/>
          <w:szCs w:val="24"/>
        </w:rPr>
        <w:t>niepewność</w:t>
      </w:r>
      <w:r w:rsidRPr="007251E1">
        <w:rPr>
          <w:rFonts w:cs="Times New Roman"/>
          <w:szCs w:val="24"/>
        </w:rPr>
        <w:t xml:space="preserve"> </w:t>
      </w:r>
      <w:r w:rsidR="002B0BD2" w:rsidRPr="007251E1">
        <w:rPr>
          <w:rFonts w:cs="Times New Roman"/>
          <w:szCs w:val="24"/>
        </w:rPr>
        <w:t xml:space="preserve">rozszerzona </w:t>
      </w:r>
      <w:r w:rsidRPr="007251E1">
        <w:rPr>
          <w:rFonts w:cs="Times New Roman"/>
          <w:szCs w:val="24"/>
        </w:rPr>
        <w:t>wyznaczona przez laboratorium akredytowan</w:t>
      </w:r>
      <w:r w:rsidR="002B0BD2" w:rsidRPr="007251E1">
        <w:rPr>
          <w:rFonts w:cs="Times New Roman"/>
          <w:szCs w:val="24"/>
        </w:rPr>
        <w:t>e</w:t>
      </w:r>
      <w:r w:rsidRPr="007251E1">
        <w:rPr>
          <w:rFonts w:cs="Times New Roman"/>
          <w:szCs w:val="24"/>
        </w:rPr>
        <w:t xml:space="preserve"> będzie większa od wyniku pomiaru. W takich przypadkach</w:t>
      </w:r>
      <w:r w:rsidR="00AF6D18">
        <w:rPr>
          <w:rFonts w:cs="Times New Roman"/>
          <w:szCs w:val="24"/>
        </w:rPr>
        <w:t>,</w:t>
      </w:r>
      <w:r w:rsidRPr="007251E1">
        <w:rPr>
          <w:rFonts w:cs="Times New Roman"/>
          <w:szCs w:val="24"/>
        </w:rPr>
        <w:t xml:space="preserve"> aby uniknąć generowania przez </w:t>
      </w:r>
      <w:r w:rsidR="002B0BD2" w:rsidRPr="007251E1">
        <w:rPr>
          <w:rFonts w:cs="Times New Roman"/>
          <w:szCs w:val="24"/>
        </w:rPr>
        <w:t>AMS</w:t>
      </w:r>
      <w:r w:rsidRPr="007251E1">
        <w:rPr>
          <w:rFonts w:cs="Times New Roman"/>
          <w:szCs w:val="24"/>
        </w:rPr>
        <w:t xml:space="preserve"> w</w:t>
      </w:r>
      <w:r w:rsidR="002B0BD2" w:rsidRPr="007251E1">
        <w:rPr>
          <w:rFonts w:cs="Times New Roman"/>
          <w:szCs w:val="24"/>
        </w:rPr>
        <w:t>artości</w:t>
      </w:r>
      <w:r w:rsidRPr="007251E1">
        <w:rPr>
          <w:rFonts w:cs="Times New Roman"/>
          <w:szCs w:val="24"/>
        </w:rPr>
        <w:t xml:space="preserve"> ujemnych zaproponowano, że wynik pomiaru będzie korygowany o wielkość stanowiącą, wskazany w załączniku do rozporządzenia procent, odnoszony do tego wyniku.</w:t>
      </w:r>
      <w:r w:rsidR="005E57F5">
        <w:rPr>
          <w:rFonts w:cs="Times New Roman"/>
          <w:szCs w:val="24"/>
        </w:rPr>
        <w:t xml:space="preserve"> </w:t>
      </w:r>
    </w:p>
    <w:p w14:paraId="2A8FE056" w14:textId="5C2540B2" w:rsidR="00BC6485" w:rsidRPr="007251E1" w:rsidRDefault="00BC6485" w:rsidP="007B3241">
      <w:pPr>
        <w:spacing w:line="240" w:lineRule="auto"/>
        <w:jc w:val="both"/>
        <w:rPr>
          <w:rFonts w:cs="Times New Roman"/>
          <w:szCs w:val="24"/>
        </w:rPr>
      </w:pPr>
      <w:r w:rsidRPr="007251E1">
        <w:rPr>
          <w:rFonts w:cs="Times New Roman"/>
          <w:szCs w:val="24"/>
        </w:rPr>
        <w:t xml:space="preserve">Warto także zwrócić uwagę na maksymalną niepewność </w:t>
      </w:r>
      <w:r w:rsidR="001922DC" w:rsidRPr="007251E1">
        <w:rPr>
          <w:rFonts w:cs="Times New Roman"/>
          <w:szCs w:val="24"/>
        </w:rPr>
        <w:t>pomiar</w:t>
      </w:r>
      <w:r w:rsidR="001922DC">
        <w:rPr>
          <w:rFonts w:cs="Times New Roman"/>
          <w:szCs w:val="24"/>
        </w:rPr>
        <w:t>ową</w:t>
      </w:r>
      <w:r w:rsidR="001922DC" w:rsidRPr="007251E1">
        <w:rPr>
          <w:rFonts w:cs="Times New Roman"/>
          <w:szCs w:val="24"/>
        </w:rPr>
        <w:t xml:space="preserve"> </w:t>
      </w:r>
      <w:r w:rsidRPr="007251E1">
        <w:rPr>
          <w:rFonts w:cs="Times New Roman"/>
          <w:szCs w:val="24"/>
        </w:rPr>
        <w:t xml:space="preserve">określoną </w:t>
      </w:r>
      <w:r w:rsidR="00BC6475">
        <w:rPr>
          <w:rFonts w:cs="Times New Roman"/>
          <w:szCs w:val="24"/>
        </w:rPr>
        <w:br/>
      </w:r>
      <w:r w:rsidRPr="007251E1">
        <w:rPr>
          <w:rFonts w:cs="Times New Roman"/>
          <w:szCs w:val="24"/>
        </w:rPr>
        <w:t>w obowiązujących przepisach jako procent standardu emisyjnego. W przypadku LCP</w:t>
      </w:r>
      <w:r w:rsidR="000150F9" w:rsidRPr="007251E1">
        <w:rPr>
          <w:rFonts w:cs="Times New Roman"/>
          <w:szCs w:val="24"/>
        </w:rPr>
        <w:t>,</w:t>
      </w:r>
      <w:r w:rsidRPr="007251E1">
        <w:rPr>
          <w:rFonts w:cs="Times New Roman"/>
          <w:szCs w:val="24"/>
        </w:rPr>
        <w:t xml:space="preserve"> </w:t>
      </w:r>
      <w:r w:rsidR="00AF6D18">
        <w:rPr>
          <w:rFonts w:cs="Times New Roman"/>
          <w:szCs w:val="24"/>
        </w:rPr>
        <w:t xml:space="preserve">zarówno </w:t>
      </w:r>
      <w:r w:rsidR="000150F9" w:rsidRPr="007251E1">
        <w:rPr>
          <w:rFonts w:cs="Times New Roman"/>
          <w:szCs w:val="24"/>
        </w:rPr>
        <w:t>w</w:t>
      </w:r>
      <w:r w:rsidR="00AF6D18">
        <w:rPr>
          <w:rFonts w:cs="Times New Roman"/>
          <w:szCs w:val="24"/>
        </w:rPr>
        <w:t xml:space="preserve"> </w:t>
      </w:r>
      <w:r w:rsidR="000150F9" w:rsidRPr="007251E1">
        <w:rPr>
          <w:rFonts w:cs="Times New Roman"/>
          <w:szCs w:val="24"/>
        </w:rPr>
        <w:t>IED</w:t>
      </w:r>
      <w:r w:rsidR="00AF6D18">
        <w:rPr>
          <w:rFonts w:cs="Times New Roman"/>
          <w:szCs w:val="24"/>
        </w:rPr>
        <w:t>,</w:t>
      </w:r>
      <w:r w:rsidR="000150F9" w:rsidRPr="007251E1">
        <w:rPr>
          <w:rFonts w:cs="Times New Roman"/>
          <w:szCs w:val="24"/>
        </w:rPr>
        <w:t xml:space="preserve"> jak i w przepisach krajowych, </w:t>
      </w:r>
      <w:r w:rsidRPr="007251E1">
        <w:rPr>
          <w:rFonts w:cs="Times New Roman"/>
          <w:szCs w:val="24"/>
        </w:rPr>
        <w:t>określono ją dla czterech substancji (SO</w:t>
      </w:r>
      <w:r w:rsidRPr="007251E1">
        <w:rPr>
          <w:rFonts w:cs="Times New Roman"/>
          <w:szCs w:val="24"/>
          <w:vertAlign w:val="subscript"/>
        </w:rPr>
        <w:t>2</w:t>
      </w:r>
      <w:r w:rsidRPr="007251E1">
        <w:rPr>
          <w:rFonts w:cs="Times New Roman"/>
          <w:szCs w:val="24"/>
        </w:rPr>
        <w:t xml:space="preserve">, NOx, pyłu </w:t>
      </w:r>
      <w:r w:rsidR="00BC6475">
        <w:rPr>
          <w:rFonts w:cs="Times New Roman"/>
          <w:szCs w:val="24"/>
        </w:rPr>
        <w:br/>
      </w:r>
      <w:r w:rsidRPr="007251E1">
        <w:rPr>
          <w:rFonts w:cs="Times New Roman"/>
          <w:szCs w:val="24"/>
        </w:rPr>
        <w:t xml:space="preserve">i CO) a w przypadku WI dodatkowo dla kolejnych trzech (HCl, HF i całkowitego węgla organicznego). W sumie obejmuje to niemal wszystkie uwzględnione w </w:t>
      </w:r>
      <w:r w:rsidR="00AF6D18">
        <w:rPr>
          <w:rFonts w:cs="Times New Roman"/>
          <w:szCs w:val="24"/>
        </w:rPr>
        <w:t>k</w:t>
      </w:r>
      <w:r w:rsidR="00AF6D18" w:rsidRPr="007251E1">
        <w:rPr>
          <w:rFonts w:cs="Times New Roman"/>
          <w:szCs w:val="24"/>
        </w:rPr>
        <w:t xml:space="preserve">onkluzjach </w:t>
      </w:r>
      <w:r w:rsidRPr="007251E1">
        <w:rPr>
          <w:rFonts w:cs="Times New Roman"/>
          <w:szCs w:val="24"/>
        </w:rPr>
        <w:t>BAT zanieczyszczenia (poza Hg i NH</w:t>
      </w:r>
      <w:r w:rsidRPr="007251E1">
        <w:rPr>
          <w:rFonts w:cs="Times New Roman"/>
          <w:szCs w:val="24"/>
          <w:vertAlign w:val="subscript"/>
        </w:rPr>
        <w:t>3</w:t>
      </w:r>
      <w:r w:rsidRPr="007251E1">
        <w:rPr>
          <w:rFonts w:cs="Times New Roman"/>
          <w:szCs w:val="24"/>
        </w:rPr>
        <w:t xml:space="preserve">), które zgodnie z tymi </w:t>
      </w:r>
      <w:r w:rsidR="00AF6D18" w:rsidRPr="007251E1">
        <w:rPr>
          <w:rFonts w:cs="Times New Roman"/>
          <w:szCs w:val="24"/>
        </w:rPr>
        <w:t>decyzj</w:t>
      </w:r>
      <w:r w:rsidR="00AF6D18">
        <w:rPr>
          <w:rFonts w:cs="Times New Roman"/>
          <w:szCs w:val="24"/>
        </w:rPr>
        <w:t>ami</w:t>
      </w:r>
      <w:r w:rsidR="00AF6D18" w:rsidRPr="007251E1">
        <w:rPr>
          <w:rFonts w:cs="Times New Roman"/>
          <w:szCs w:val="24"/>
        </w:rPr>
        <w:t xml:space="preserve"> </w:t>
      </w:r>
      <w:r w:rsidRPr="007251E1">
        <w:rPr>
          <w:rFonts w:cs="Times New Roman"/>
          <w:szCs w:val="24"/>
        </w:rPr>
        <w:t xml:space="preserve">monitorowane mogą być </w:t>
      </w:r>
      <w:r w:rsidR="00BC6475">
        <w:rPr>
          <w:rFonts w:cs="Times New Roman"/>
          <w:szCs w:val="24"/>
        </w:rPr>
        <w:br/>
      </w:r>
      <w:r w:rsidRPr="007251E1">
        <w:rPr>
          <w:rFonts w:cs="Times New Roman"/>
          <w:szCs w:val="24"/>
        </w:rPr>
        <w:t xml:space="preserve">w sposób ciągły. </w:t>
      </w:r>
    </w:p>
    <w:p w14:paraId="6C9E106A" w14:textId="3E1051CB" w:rsidR="00BC6485" w:rsidRPr="007251E1" w:rsidRDefault="000150F9" w:rsidP="007251E1">
      <w:pPr>
        <w:spacing w:line="240" w:lineRule="auto"/>
        <w:jc w:val="both"/>
        <w:rPr>
          <w:rFonts w:cs="Times New Roman"/>
          <w:szCs w:val="24"/>
        </w:rPr>
      </w:pPr>
      <w:r w:rsidRPr="007251E1">
        <w:rPr>
          <w:rFonts w:cs="Times New Roman"/>
          <w:szCs w:val="24"/>
        </w:rPr>
        <w:t>Z uwagi na fakt, że</w:t>
      </w:r>
      <w:r w:rsidR="00BC6485" w:rsidRPr="007251E1">
        <w:rPr>
          <w:rFonts w:cs="Times New Roman"/>
          <w:szCs w:val="24"/>
        </w:rPr>
        <w:t xml:space="preserve"> te same metodyki pomiarowe stosowane są do pomiarów ciągłych prowadzonych na różnych rodzajowo instalacjach niezależnie od przypisanej im branży, należy przyjąć, że wartości procentowe, charakteryzujące maksymalną niepewność jaka może zostać odjęta od wielkości zmierzonej, określone w IED jak i przepisach krajowych dla WI, powinny mieć zastosowanie w odniesieniu do innych branż. Dla Hg i NH</w:t>
      </w:r>
      <w:r w:rsidR="00BC6485" w:rsidRPr="007251E1">
        <w:rPr>
          <w:rFonts w:cs="Times New Roman"/>
          <w:szCs w:val="24"/>
          <w:vertAlign w:val="subscript"/>
        </w:rPr>
        <w:t>3</w:t>
      </w:r>
      <w:r w:rsidR="00BC6485" w:rsidRPr="007251E1">
        <w:rPr>
          <w:rFonts w:cs="Times New Roman"/>
          <w:szCs w:val="24"/>
        </w:rPr>
        <w:t xml:space="preserve">, uwzględniając wymagania obowiązujących norm oraz kryteria dotyczące niepewności przyjmowane podczas certyfikowania analizatorów zgodnie z procedurą QAL 1 </w:t>
      </w:r>
      <w:r w:rsidRPr="007251E1">
        <w:rPr>
          <w:rFonts w:cs="Times New Roman"/>
          <w:szCs w:val="24"/>
        </w:rPr>
        <w:t>przyjęto</w:t>
      </w:r>
      <w:r w:rsidR="00BC6485" w:rsidRPr="007251E1">
        <w:rPr>
          <w:rFonts w:cs="Times New Roman"/>
          <w:szCs w:val="24"/>
        </w:rPr>
        <w:t xml:space="preserve">, że maksymalna niepewność pomiarowa nie przekracza 40% dopuszczalnej wielkości emisji, która mieści się w przedziale stanowiącym BAT AELs. </w:t>
      </w:r>
    </w:p>
    <w:p w14:paraId="06E8B629" w14:textId="6473EFA9" w:rsidR="00BC6485" w:rsidRDefault="00BC6485" w:rsidP="007251E1">
      <w:pPr>
        <w:spacing w:line="240" w:lineRule="auto"/>
        <w:jc w:val="both"/>
        <w:rPr>
          <w:rFonts w:cs="Times New Roman"/>
          <w:szCs w:val="24"/>
        </w:rPr>
      </w:pPr>
      <w:r w:rsidRPr="007251E1">
        <w:rPr>
          <w:rFonts w:cs="Times New Roman"/>
          <w:szCs w:val="24"/>
        </w:rPr>
        <w:t xml:space="preserve">Dodatkowo dla niektórych substancji maksymalna wartość niepewności </w:t>
      </w:r>
      <w:r w:rsidR="009F0FD9">
        <w:rPr>
          <w:rFonts w:cs="Times New Roman"/>
          <w:szCs w:val="24"/>
        </w:rPr>
        <w:t xml:space="preserve">pomiarowej </w:t>
      </w:r>
      <w:r w:rsidRPr="007251E1">
        <w:rPr>
          <w:rFonts w:cs="Times New Roman"/>
          <w:szCs w:val="24"/>
        </w:rPr>
        <w:t xml:space="preserve">została wskazana jako wielkość bezwzględna a nie jako określony procent wielkości dopuszczalnej emisji. Wynika to z bardzo niskich stężeń tych substancji jakie mogą być ustalane w pozwoleniach a w konsekwencji z jeszcze niższych wyników pomiarów. To co do zasady pozytywne zjawisko powoduje jednak trudności w kalibracji AMS, przy założeniu, że niepewność </w:t>
      </w:r>
      <w:r w:rsidR="009F0FD9" w:rsidRPr="007251E1">
        <w:rPr>
          <w:rFonts w:cs="Times New Roman"/>
          <w:szCs w:val="24"/>
        </w:rPr>
        <w:t>pomiar</w:t>
      </w:r>
      <w:r w:rsidR="009F0FD9">
        <w:rPr>
          <w:rFonts w:cs="Times New Roman"/>
          <w:szCs w:val="24"/>
        </w:rPr>
        <w:t>owa</w:t>
      </w:r>
      <w:r w:rsidR="009F0FD9" w:rsidRPr="007251E1">
        <w:rPr>
          <w:rFonts w:cs="Times New Roman"/>
          <w:szCs w:val="24"/>
        </w:rPr>
        <w:t xml:space="preserve"> </w:t>
      </w:r>
      <w:r w:rsidRPr="007251E1">
        <w:rPr>
          <w:rFonts w:cs="Times New Roman"/>
          <w:szCs w:val="24"/>
        </w:rPr>
        <w:t>metod</w:t>
      </w:r>
      <w:r w:rsidR="009F356D">
        <w:rPr>
          <w:rFonts w:cs="Times New Roman"/>
          <w:szCs w:val="24"/>
        </w:rPr>
        <w:t>y</w:t>
      </w:r>
      <w:r w:rsidRPr="007251E1">
        <w:rPr>
          <w:rFonts w:cs="Times New Roman"/>
          <w:szCs w:val="24"/>
        </w:rPr>
        <w:t xml:space="preserve"> referencyjn</w:t>
      </w:r>
      <w:r w:rsidR="009F356D">
        <w:rPr>
          <w:rFonts w:cs="Times New Roman"/>
          <w:szCs w:val="24"/>
        </w:rPr>
        <w:t>ej</w:t>
      </w:r>
      <w:r w:rsidRPr="007251E1">
        <w:rPr>
          <w:rFonts w:cs="Times New Roman"/>
          <w:szCs w:val="24"/>
        </w:rPr>
        <w:t xml:space="preserve"> powinna być</w:t>
      </w:r>
      <w:r w:rsidR="0079704E" w:rsidRPr="007251E1">
        <w:rPr>
          <w:rFonts w:cs="Times New Roman"/>
          <w:szCs w:val="24"/>
        </w:rPr>
        <w:t xml:space="preserve"> istotnie</w:t>
      </w:r>
      <w:r w:rsidRPr="007251E1">
        <w:rPr>
          <w:rFonts w:cs="Times New Roman"/>
          <w:szCs w:val="24"/>
        </w:rPr>
        <w:t xml:space="preserve"> mniejsza od niepewności </w:t>
      </w:r>
      <w:r w:rsidR="009F356D">
        <w:rPr>
          <w:rFonts w:cs="Times New Roman"/>
          <w:szCs w:val="24"/>
        </w:rPr>
        <w:t xml:space="preserve">pomiarowej </w:t>
      </w:r>
      <w:r w:rsidRPr="007251E1">
        <w:rPr>
          <w:rFonts w:cs="Times New Roman"/>
          <w:szCs w:val="24"/>
        </w:rPr>
        <w:t>AMS.</w:t>
      </w:r>
      <w:r w:rsidR="009F356D">
        <w:rPr>
          <w:rFonts w:cs="Times New Roman"/>
          <w:szCs w:val="24"/>
        </w:rPr>
        <w:t xml:space="preserve"> </w:t>
      </w:r>
    </w:p>
    <w:p w14:paraId="5F8D9E7E" w14:textId="0032E3CD" w:rsidR="00C92A08" w:rsidRPr="007251E1" w:rsidRDefault="00C92A08" w:rsidP="007251E1">
      <w:pPr>
        <w:spacing w:line="240" w:lineRule="auto"/>
        <w:jc w:val="both"/>
        <w:rPr>
          <w:rFonts w:cs="Times New Roman"/>
          <w:szCs w:val="24"/>
        </w:rPr>
      </w:pPr>
      <w:r>
        <w:rPr>
          <w:rFonts w:cs="Times New Roman"/>
          <w:szCs w:val="24"/>
        </w:rPr>
        <w:t xml:space="preserve">Ponadto </w:t>
      </w:r>
      <w:r w:rsidR="00BE3516">
        <w:rPr>
          <w:rFonts w:cs="Times New Roman"/>
          <w:szCs w:val="24"/>
        </w:rPr>
        <w:t>potencjalnie problematyczne są sytuacje</w:t>
      </w:r>
      <w:r w:rsidR="00D35A1C">
        <w:rPr>
          <w:rFonts w:cs="Times New Roman"/>
          <w:szCs w:val="24"/>
        </w:rPr>
        <w:t>,</w:t>
      </w:r>
      <w:r w:rsidR="00BE3516">
        <w:rPr>
          <w:rFonts w:cs="Times New Roman"/>
          <w:szCs w:val="24"/>
        </w:rPr>
        <w:t xml:space="preserve"> gdzie (np. okresowo) stężenie danego zanieczyszczenia jest poniżej progu oznaczalności metodyki pomiarowej</w:t>
      </w:r>
      <w:r w:rsidR="00915226">
        <w:rPr>
          <w:rFonts w:cs="Times New Roman"/>
          <w:szCs w:val="24"/>
        </w:rPr>
        <w:t>. Obecnie brak jest regulacji dotyczących pomiarów emisji do powietrza wskazujących jaką wartość w takiej sytuacji należy przyjąć np. czy ma to być zero, granica oznaczalności czy jakaś wartość pomiędzy zerem a granicą oznaczalności. W rozporządzeniu zaproponowano</w:t>
      </w:r>
      <w:r w:rsidR="00D35A1C">
        <w:rPr>
          <w:rFonts w:cs="Times New Roman"/>
          <w:szCs w:val="24"/>
        </w:rPr>
        <w:t>,</w:t>
      </w:r>
      <w:r w:rsidR="00915226">
        <w:rPr>
          <w:rFonts w:cs="Times New Roman"/>
          <w:szCs w:val="24"/>
        </w:rPr>
        <w:t xml:space="preserve"> aby wzorem </w:t>
      </w:r>
      <w:r w:rsidR="00AE341A">
        <w:rPr>
          <w:rFonts w:cs="Times New Roman"/>
          <w:szCs w:val="24"/>
        </w:rPr>
        <w:t>podejścia stosowanego w badaniach jakości wód powierzchniowych przyjąć, że wynik ustalany jest na poziomie połowy wartości granicy oznaczalności.</w:t>
      </w:r>
    </w:p>
    <w:p w14:paraId="2593BA51" w14:textId="3C9EBBC1" w:rsidR="0079704E" w:rsidRPr="007251E1" w:rsidRDefault="0079704E" w:rsidP="007251E1">
      <w:pPr>
        <w:spacing w:line="240" w:lineRule="auto"/>
        <w:jc w:val="both"/>
        <w:rPr>
          <w:rFonts w:cs="Times New Roman"/>
          <w:szCs w:val="24"/>
        </w:rPr>
      </w:pPr>
      <w:r w:rsidRPr="007251E1">
        <w:rPr>
          <w:rFonts w:cs="Times New Roman"/>
          <w:szCs w:val="24"/>
        </w:rPr>
        <w:t>Mając na uwadze</w:t>
      </w:r>
      <w:r w:rsidR="001922DC">
        <w:rPr>
          <w:rFonts w:cs="Times New Roman"/>
          <w:szCs w:val="24"/>
        </w:rPr>
        <w:t xml:space="preserve"> </w:t>
      </w:r>
      <w:r w:rsidRPr="007251E1">
        <w:rPr>
          <w:rFonts w:cs="Times New Roman"/>
          <w:szCs w:val="24"/>
        </w:rPr>
        <w:t xml:space="preserve">art. 211 ust. 5a ustawy Poś obowiązek prowadzenia ciągłych pomiarów wielkości emisji do powietrza może także wynikać z zaostrzenia, przez organ właściwy do wydania pozwolenia zintegrowanego, wymagań dotyczących monitorowania emisji, ponad to </w:t>
      </w:r>
      <w:r w:rsidRPr="007251E1">
        <w:rPr>
          <w:rFonts w:cs="Times New Roman"/>
          <w:szCs w:val="24"/>
        </w:rPr>
        <w:lastRenderedPageBreak/>
        <w:t xml:space="preserve">co wynika z </w:t>
      </w:r>
      <w:r w:rsidR="009F0FD9">
        <w:rPr>
          <w:rFonts w:cs="Times New Roman"/>
          <w:szCs w:val="24"/>
        </w:rPr>
        <w:t>k</w:t>
      </w:r>
      <w:r w:rsidR="009F0FD9" w:rsidRPr="007251E1">
        <w:rPr>
          <w:rFonts w:cs="Times New Roman"/>
          <w:szCs w:val="24"/>
        </w:rPr>
        <w:t xml:space="preserve">onkluzji </w:t>
      </w:r>
      <w:r w:rsidRPr="007251E1">
        <w:rPr>
          <w:rFonts w:cs="Times New Roman"/>
          <w:szCs w:val="24"/>
        </w:rPr>
        <w:t xml:space="preserve">BAT. Dlatego też w projekcie rozporządzenia wskazano, że dla zanieczyszczeń nieuwzględnionych w </w:t>
      </w:r>
      <w:r w:rsidR="009F0FD9">
        <w:rPr>
          <w:rFonts w:cs="Times New Roman"/>
          <w:szCs w:val="24"/>
        </w:rPr>
        <w:t>z</w:t>
      </w:r>
      <w:r w:rsidR="009F0FD9" w:rsidRPr="007251E1">
        <w:rPr>
          <w:rFonts w:cs="Times New Roman"/>
          <w:szCs w:val="24"/>
        </w:rPr>
        <w:t>ałączniku</w:t>
      </w:r>
      <w:r w:rsidR="009F0FD9">
        <w:rPr>
          <w:rFonts w:cs="Times New Roman"/>
          <w:szCs w:val="24"/>
        </w:rPr>
        <w:t xml:space="preserve"> do rozporządzenia</w:t>
      </w:r>
      <w:r w:rsidR="001569AA" w:rsidRPr="007251E1">
        <w:rPr>
          <w:rFonts w:cs="Times New Roman"/>
          <w:szCs w:val="24"/>
        </w:rPr>
        <w:t>,</w:t>
      </w:r>
      <w:r w:rsidRPr="007251E1">
        <w:rPr>
          <w:rFonts w:cs="Times New Roman"/>
          <w:szCs w:val="24"/>
        </w:rPr>
        <w:t xml:space="preserve"> maksymalna wartość niepewności nie powinna być większa niż 40% wielkości dopuszczalnej emisji</w:t>
      </w:r>
      <w:r w:rsidR="001569AA" w:rsidRPr="007251E1">
        <w:rPr>
          <w:rFonts w:cs="Times New Roman"/>
          <w:szCs w:val="24"/>
        </w:rPr>
        <w:t>.</w:t>
      </w:r>
    </w:p>
    <w:p w14:paraId="28A0FBEB" w14:textId="4194080C" w:rsidR="00BC6485" w:rsidRPr="007251E1" w:rsidRDefault="00BC6485" w:rsidP="007251E1">
      <w:pPr>
        <w:spacing w:line="240" w:lineRule="auto"/>
        <w:jc w:val="both"/>
        <w:rPr>
          <w:rFonts w:cs="Times New Roman"/>
          <w:szCs w:val="24"/>
        </w:rPr>
      </w:pPr>
      <w:r w:rsidRPr="007251E1">
        <w:rPr>
          <w:rFonts w:cs="Times New Roman"/>
          <w:szCs w:val="24"/>
        </w:rPr>
        <w:t xml:space="preserve">W rozporządzeniu doprecyzowano także sposoby rozliczania przekroczeń wielkości dopuszczalnej emisji wskazując m.in., że w sytuacjach gdzie określane są one w pozwoleniu w różnych okresach uśredniania (np. średnie dobowe i średnia roczna) to dotrzymywana powinna być każda z nich. </w:t>
      </w:r>
      <w:r w:rsidR="001569AA" w:rsidRPr="007251E1">
        <w:rPr>
          <w:rFonts w:cs="Times New Roman"/>
          <w:szCs w:val="24"/>
        </w:rPr>
        <w:t>Wielkość przekroczenia powinna być obliczana np. dla każdej doby</w:t>
      </w:r>
      <w:r w:rsidR="009F0FD9">
        <w:rPr>
          <w:rFonts w:cs="Times New Roman"/>
          <w:szCs w:val="24"/>
        </w:rPr>
        <w:t>,</w:t>
      </w:r>
      <w:r w:rsidR="001569AA" w:rsidRPr="007251E1">
        <w:rPr>
          <w:rFonts w:cs="Times New Roman"/>
          <w:szCs w:val="24"/>
        </w:rPr>
        <w:t xml:space="preserve"> w której nie dotrzymane były wielkości dopuszczalnej emisji jak również dla całego roku</w:t>
      </w:r>
      <w:r w:rsidR="009F0FD9">
        <w:rPr>
          <w:rFonts w:cs="Times New Roman"/>
          <w:szCs w:val="24"/>
        </w:rPr>
        <w:t>,</w:t>
      </w:r>
      <w:r w:rsidR="001569AA" w:rsidRPr="007251E1">
        <w:rPr>
          <w:rFonts w:cs="Times New Roman"/>
          <w:szCs w:val="24"/>
        </w:rPr>
        <w:t xml:space="preserve"> jeżeli przekroczona została wartość średnioroczna. Ustalenie w </w:t>
      </w:r>
      <w:r w:rsidR="009F0FD9">
        <w:rPr>
          <w:rFonts w:cs="Times New Roman"/>
          <w:szCs w:val="24"/>
        </w:rPr>
        <w:t>k</w:t>
      </w:r>
      <w:r w:rsidR="009F0FD9" w:rsidRPr="007251E1">
        <w:rPr>
          <w:rFonts w:cs="Times New Roman"/>
          <w:szCs w:val="24"/>
        </w:rPr>
        <w:t xml:space="preserve">onkluzjach </w:t>
      </w:r>
      <w:r w:rsidR="001569AA" w:rsidRPr="007251E1">
        <w:rPr>
          <w:rFonts w:cs="Times New Roman"/>
          <w:szCs w:val="24"/>
        </w:rPr>
        <w:t xml:space="preserve">BAT jak i w pozwoleniu wielkości emisji dla dwóch okresów uśredniania ma określony cel związany z ograniczaniem odziaływań krótko i długookresowych. Konieczne jest więc zapewnienie, że obydwie wartości są równorzędnie traktowane i dotrzymywane. Ponadto </w:t>
      </w:r>
      <w:r w:rsidR="00E67CF9" w:rsidRPr="007251E1">
        <w:rPr>
          <w:rFonts w:cs="Times New Roman"/>
          <w:szCs w:val="24"/>
        </w:rPr>
        <w:t>AMS daje możliwość realnej kontroli nad aktualną emisyjnością instalacji i odpowiedniego reagowania np. na przekroczenia śre</w:t>
      </w:r>
      <w:r w:rsidR="007D1E15" w:rsidRPr="007251E1">
        <w:rPr>
          <w:rFonts w:cs="Times New Roman"/>
          <w:szCs w:val="24"/>
        </w:rPr>
        <w:t>dnich krótkookresowych tak</w:t>
      </w:r>
      <w:r w:rsidR="009F0FD9">
        <w:rPr>
          <w:rFonts w:cs="Times New Roman"/>
          <w:szCs w:val="24"/>
        </w:rPr>
        <w:t>,</w:t>
      </w:r>
      <w:r w:rsidR="007D1E15" w:rsidRPr="007251E1">
        <w:rPr>
          <w:rFonts w:cs="Times New Roman"/>
          <w:szCs w:val="24"/>
        </w:rPr>
        <w:t xml:space="preserve"> </w:t>
      </w:r>
      <w:r w:rsidR="00E67CF9" w:rsidRPr="007251E1">
        <w:rPr>
          <w:rFonts w:cs="Times New Roman"/>
          <w:szCs w:val="24"/>
        </w:rPr>
        <w:t xml:space="preserve">by nie </w:t>
      </w:r>
      <w:r w:rsidR="007D1E15" w:rsidRPr="007251E1">
        <w:rPr>
          <w:rFonts w:cs="Times New Roman"/>
          <w:szCs w:val="24"/>
        </w:rPr>
        <w:t xml:space="preserve">dopuścić do przekroczenia średniej długookresowej. </w:t>
      </w:r>
    </w:p>
    <w:p w14:paraId="261CAF7C" w14:textId="77777777" w:rsidR="007D1E15" w:rsidRPr="007251E1" w:rsidRDefault="007D1E15" w:rsidP="007251E1">
      <w:pPr>
        <w:spacing w:line="240" w:lineRule="auto"/>
        <w:jc w:val="both"/>
        <w:rPr>
          <w:rFonts w:cs="Times New Roman"/>
          <w:szCs w:val="24"/>
        </w:rPr>
      </w:pPr>
    </w:p>
    <w:p w14:paraId="42ED229D" w14:textId="5319DEBE" w:rsidR="00BC6485" w:rsidRDefault="00D95A39" w:rsidP="007251E1">
      <w:pPr>
        <w:spacing w:line="240" w:lineRule="auto"/>
        <w:jc w:val="both"/>
        <w:rPr>
          <w:rFonts w:cs="Times New Roman"/>
          <w:szCs w:val="24"/>
        </w:rPr>
      </w:pPr>
      <w:r>
        <w:rPr>
          <w:rFonts w:cs="Times New Roman"/>
          <w:szCs w:val="24"/>
        </w:rPr>
        <w:t>Projektowane</w:t>
      </w:r>
      <w:r w:rsidR="00BC6485" w:rsidRPr="007251E1">
        <w:rPr>
          <w:rFonts w:cs="Times New Roman"/>
          <w:szCs w:val="24"/>
        </w:rPr>
        <w:t xml:space="preserve"> rozporządzenie obejmie nieuregulowany dotychczas obszar</w:t>
      </w:r>
      <w:r w:rsidR="009F0FD9">
        <w:rPr>
          <w:rFonts w:cs="Times New Roman"/>
          <w:szCs w:val="24"/>
        </w:rPr>
        <w:t>,</w:t>
      </w:r>
      <w:r w:rsidR="00BC6485" w:rsidRPr="007251E1">
        <w:rPr>
          <w:rFonts w:cs="Times New Roman"/>
          <w:szCs w:val="24"/>
        </w:rPr>
        <w:t xml:space="preserve"> co wpłynie na ujednolicenie podejścia do </w:t>
      </w:r>
      <w:r w:rsidR="00F96575">
        <w:rPr>
          <w:rFonts w:cs="Times New Roman"/>
          <w:szCs w:val="24"/>
        </w:rPr>
        <w:t xml:space="preserve">oceny wyników ciągłych </w:t>
      </w:r>
      <w:r w:rsidR="00BC6485" w:rsidRPr="007251E1">
        <w:rPr>
          <w:rFonts w:cs="Times New Roman"/>
          <w:szCs w:val="24"/>
        </w:rPr>
        <w:t xml:space="preserve"> pomiarów wielkości </w:t>
      </w:r>
      <w:r w:rsidR="007D1E15" w:rsidRPr="007251E1">
        <w:rPr>
          <w:rFonts w:cs="Times New Roman"/>
          <w:szCs w:val="24"/>
        </w:rPr>
        <w:t xml:space="preserve"> </w:t>
      </w:r>
      <w:r w:rsidR="00BC6485" w:rsidRPr="007251E1">
        <w:rPr>
          <w:rFonts w:cs="Times New Roman"/>
          <w:szCs w:val="24"/>
        </w:rPr>
        <w:t xml:space="preserve">emisji </w:t>
      </w:r>
      <w:r w:rsidR="000F2C80">
        <w:rPr>
          <w:rFonts w:cs="Times New Roman"/>
          <w:szCs w:val="24"/>
        </w:rPr>
        <w:br/>
      </w:r>
      <w:r w:rsidR="00BC6485" w:rsidRPr="007251E1">
        <w:rPr>
          <w:rFonts w:cs="Times New Roman"/>
          <w:szCs w:val="24"/>
        </w:rPr>
        <w:t>w różnych sektorach przemysłu</w:t>
      </w:r>
      <w:r w:rsidR="007D1E15" w:rsidRPr="007251E1">
        <w:rPr>
          <w:rFonts w:cs="Times New Roman"/>
          <w:szCs w:val="24"/>
        </w:rPr>
        <w:t>,</w:t>
      </w:r>
      <w:r w:rsidR="00F96575">
        <w:rPr>
          <w:rFonts w:cs="Times New Roman"/>
          <w:szCs w:val="24"/>
        </w:rPr>
        <w:t xml:space="preserve"> w odniesieniu do instalacji wymagających pozwoleń zintegrowanych, dla których wielkości dopuszczalnej emisji są określane z uwzględnieniem wymagań </w:t>
      </w:r>
      <w:r w:rsidR="0054566A">
        <w:rPr>
          <w:rFonts w:cs="Times New Roman"/>
          <w:szCs w:val="24"/>
        </w:rPr>
        <w:t>k</w:t>
      </w:r>
      <w:r w:rsidR="00F96575">
        <w:rPr>
          <w:rFonts w:cs="Times New Roman"/>
          <w:szCs w:val="24"/>
        </w:rPr>
        <w:t xml:space="preserve">onkluzji BAT. Jednocześnie nowe regulacje </w:t>
      </w:r>
      <w:r w:rsidR="00D35A1C" w:rsidRPr="007251E1">
        <w:rPr>
          <w:rFonts w:cs="Times New Roman"/>
          <w:szCs w:val="24"/>
        </w:rPr>
        <w:t>spójnią</w:t>
      </w:r>
      <w:r w:rsidR="00BC6485" w:rsidRPr="007251E1">
        <w:rPr>
          <w:rFonts w:cs="Times New Roman"/>
          <w:szCs w:val="24"/>
        </w:rPr>
        <w:t xml:space="preserve"> </w:t>
      </w:r>
      <w:r w:rsidR="007D1E15" w:rsidRPr="007251E1">
        <w:rPr>
          <w:rFonts w:cs="Times New Roman"/>
          <w:szCs w:val="24"/>
        </w:rPr>
        <w:t xml:space="preserve">sposoby określania wielkości ewentualnych przekroczeń </w:t>
      </w:r>
      <w:r w:rsidR="00F96575">
        <w:rPr>
          <w:rFonts w:cs="Times New Roman"/>
          <w:szCs w:val="24"/>
        </w:rPr>
        <w:t xml:space="preserve">dla takich instalacji, </w:t>
      </w:r>
      <w:r w:rsidR="00BC6485" w:rsidRPr="007251E1">
        <w:rPr>
          <w:rFonts w:cs="Times New Roman"/>
          <w:szCs w:val="24"/>
        </w:rPr>
        <w:t>jak również spowoduj</w:t>
      </w:r>
      <w:r w:rsidR="00F96575">
        <w:rPr>
          <w:rFonts w:cs="Times New Roman"/>
          <w:szCs w:val="24"/>
        </w:rPr>
        <w:t>ą</w:t>
      </w:r>
      <w:r w:rsidR="00BC6485" w:rsidRPr="007251E1">
        <w:rPr>
          <w:rFonts w:cs="Times New Roman"/>
          <w:szCs w:val="24"/>
        </w:rPr>
        <w:t xml:space="preserve">, że instalacje krajowe będą </w:t>
      </w:r>
      <w:r w:rsidR="007D1E15" w:rsidRPr="007251E1">
        <w:rPr>
          <w:rFonts w:cs="Times New Roman"/>
          <w:szCs w:val="24"/>
        </w:rPr>
        <w:t>rozliczan</w:t>
      </w:r>
      <w:r w:rsidR="00F96575">
        <w:rPr>
          <w:rFonts w:cs="Times New Roman"/>
          <w:szCs w:val="24"/>
        </w:rPr>
        <w:t>e</w:t>
      </w:r>
      <w:r w:rsidR="007D1E15" w:rsidRPr="007251E1">
        <w:rPr>
          <w:rFonts w:cs="Times New Roman"/>
          <w:szCs w:val="24"/>
        </w:rPr>
        <w:t xml:space="preserve"> z dotrzymywania </w:t>
      </w:r>
      <w:r w:rsidR="007251E1" w:rsidRPr="007251E1">
        <w:rPr>
          <w:rFonts w:cs="Times New Roman"/>
          <w:szCs w:val="24"/>
        </w:rPr>
        <w:t>warunków</w:t>
      </w:r>
      <w:r w:rsidR="00F96575">
        <w:rPr>
          <w:rFonts w:cs="Times New Roman"/>
          <w:szCs w:val="24"/>
        </w:rPr>
        <w:t xml:space="preserve"> wynikających z</w:t>
      </w:r>
      <w:r w:rsidR="007251E1" w:rsidRPr="007251E1">
        <w:rPr>
          <w:rFonts w:cs="Times New Roman"/>
          <w:szCs w:val="24"/>
        </w:rPr>
        <w:t xml:space="preserve"> pozwolenia</w:t>
      </w:r>
      <w:r w:rsidR="00F96575">
        <w:rPr>
          <w:rFonts w:cs="Times New Roman"/>
          <w:szCs w:val="24"/>
        </w:rPr>
        <w:t xml:space="preserve"> zintegrowanego</w:t>
      </w:r>
      <w:r w:rsidR="00BC6485" w:rsidRPr="007251E1">
        <w:rPr>
          <w:rFonts w:cs="Times New Roman"/>
          <w:szCs w:val="24"/>
        </w:rPr>
        <w:t xml:space="preserve"> </w:t>
      </w:r>
      <w:r w:rsidR="00BC6475">
        <w:rPr>
          <w:rFonts w:cs="Times New Roman"/>
          <w:szCs w:val="24"/>
        </w:rPr>
        <w:br/>
      </w:r>
      <w:r w:rsidR="00BC6485" w:rsidRPr="007251E1">
        <w:rPr>
          <w:rFonts w:cs="Times New Roman"/>
          <w:szCs w:val="24"/>
        </w:rPr>
        <w:t xml:space="preserve">w myśl ogólnych zasad </w:t>
      </w:r>
      <w:r w:rsidR="00F96575">
        <w:rPr>
          <w:rFonts w:cs="Times New Roman"/>
          <w:szCs w:val="24"/>
        </w:rPr>
        <w:t xml:space="preserve">odpowiadającym podejściom stosowanym </w:t>
      </w:r>
      <w:r w:rsidR="00BC6485" w:rsidRPr="007251E1">
        <w:rPr>
          <w:rFonts w:cs="Times New Roman"/>
          <w:szCs w:val="24"/>
        </w:rPr>
        <w:t xml:space="preserve">w innych </w:t>
      </w:r>
      <w:r w:rsidR="00D35A1C">
        <w:rPr>
          <w:rFonts w:cs="Times New Roman"/>
          <w:szCs w:val="24"/>
        </w:rPr>
        <w:t>k</w:t>
      </w:r>
      <w:r w:rsidR="00BC6485" w:rsidRPr="007251E1">
        <w:rPr>
          <w:rFonts w:cs="Times New Roman"/>
          <w:szCs w:val="24"/>
        </w:rPr>
        <w:t xml:space="preserve">rajach </w:t>
      </w:r>
      <w:r w:rsidR="00D35A1C">
        <w:rPr>
          <w:rFonts w:cs="Times New Roman"/>
          <w:szCs w:val="24"/>
        </w:rPr>
        <w:t>c</w:t>
      </w:r>
      <w:r w:rsidR="00BC6485" w:rsidRPr="007251E1">
        <w:rPr>
          <w:rFonts w:cs="Times New Roman"/>
          <w:szCs w:val="24"/>
        </w:rPr>
        <w:t>złonkowskich UE.</w:t>
      </w:r>
    </w:p>
    <w:p w14:paraId="42BA5E7F" w14:textId="02C7FA7E" w:rsidR="007251E1" w:rsidRDefault="007251E1" w:rsidP="007251E1">
      <w:pPr>
        <w:spacing w:line="240" w:lineRule="auto"/>
        <w:jc w:val="both"/>
        <w:rPr>
          <w:rFonts w:cs="Times New Roman"/>
          <w:szCs w:val="24"/>
        </w:rPr>
      </w:pPr>
    </w:p>
    <w:p w14:paraId="7B0E26C5" w14:textId="4055372F" w:rsidR="000F2C80" w:rsidRDefault="007251E1" w:rsidP="007251E1">
      <w:pPr>
        <w:spacing w:line="240" w:lineRule="auto"/>
        <w:jc w:val="both"/>
        <w:rPr>
          <w:rFonts w:cs="Times New Roman"/>
          <w:szCs w:val="24"/>
        </w:rPr>
      </w:pPr>
      <w:r>
        <w:rPr>
          <w:rFonts w:cs="Times New Roman"/>
          <w:szCs w:val="24"/>
        </w:rPr>
        <w:t xml:space="preserve">Rozporządzenie nie transponuje bezpośrednio przepisów UE jednak stanowi ich </w:t>
      </w:r>
      <w:r w:rsidR="00F96575">
        <w:rPr>
          <w:rFonts w:cs="Times New Roman"/>
          <w:szCs w:val="24"/>
        </w:rPr>
        <w:t xml:space="preserve">istotne </w:t>
      </w:r>
      <w:r>
        <w:rPr>
          <w:rFonts w:cs="Times New Roman"/>
          <w:szCs w:val="24"/>
        </w:rPr>
        <w:t xml:space="preserve">uzupełnienie.  </w:t>
      </w:r>
    </w:p>
    <w:p w14:paraId="4CE16AC5" w14:textId="635E22B6" w:rsidR="007251E1" w:rsidRDefault="007251E1" w:rsidP="007251E1">
      <w:pPr>
        <w:spacing w:line="240" w:lineRule="auto"/>
        <w:jc w:val="both"/>
        <w:rPr>
          <w:rFonts w:cs="Times New Roman"/>
          <w:szCs w:val="24"/>
        </w:rPr>
      </w:pPr>
      <w:r>
        <w:rPr>
          <w:rFonts w:cs="Times New Roman"/>
          <w:szCs w:val="24"/>
        </w:rPr>
        <w:t>Z uwagi na regulowany obszar projektowan</w:t>
      </w:r>
      <w:r w:rsidR="000F2C80">
        <w:rPr>
          <w:rFonts w:cs="Times New Roman"/>
          <w:szCs w:val="24"/>
        </w:rPr>
        <w:t>e</w:t>
      </w:r>
      <w:r>
        <w:rPr>
          <w:rFonts w:cs="Times New Roman"/>
          <w:szCs w:val="24"/>
        </w:rPr>
        <w:t xml:space="preserve"> przepisy zostaną poddane notyfikacji technicznej</w:t>
      </w:r>
      <w:r w:rsidR="000F2C80">
        <w:rPr>
          <w:rFonts w:cs="Times New Roman"/>
          <w:szCs w:val="24"/>
        </w:rPr>
        <w:t>.</w:t>
      </w:r>
    </w:p>
    <w:p w14:paraId="2D668798" w14:textId="19BAADBB" w:rsidR="000F2C80" w:rsidRPr="007251E1" w:rsidRDefault="000F2C80" w:rsidP="005E57F5">
      <w:pPr>
        <w:spacing w:line="240" w:lineRule="auto"/>
        <w:jc w:val="both"/>
        <w:rPr>
          <w:rFonts w:cs="Times New Roman"/>
          <w:szCs w:val="24"/>
        </w:rPr>
      </w:pPr>
      <w:r>
        <w:rPr>
          <w:rFonts w:cs="Times New Roman"/>
          <w:szCs w:val="24"/>
        </w:rPr>
        <w:t xml:space="preserve">Projekt nie wpłynie na działalność </w:t>
      </w:r>
      <w:r w:rsidRPr="00D06C79">
        <w:rPr>
          <w:rFonts w:cs="Times New Roman"/>
          <w:szCs w:val="24"/>
        </w:rPr>
        <w:t>mikroprzedsiębiorców oraz małych i średnich przedsiębiorców</w:t>
      </w:r>
      <w:r w:rsidR="00D35A1C">
        <w:rPr>
          <w:rFonts w:cs="Times New Roman"/>
          <w:szCs w:val="24"/>
        </w:rPr>
        <w:t>,</w:t>
      </w:r>
      <w:r>
        <w:rPr>
          <w:rFonts w:cs="Times New Roman"/>
          <w:szCs w:val="24"/>
        </w:rPr>
        <w:t xml:space="preserve"> gdyż obowiązek prowadzenia ciągłych pomiarów wielkości emisji do powietrza obejmuje duże instalacje przemysłowe wprowadzające do środowiska znaczne ilości substancji lub energii. </w:t>
      </w:r>
    </w:p>
    <w:p w14:paraId="1E55BC60" w14:textId="04D9BA5B" w:rsidR="00BC6485" w:rsidRDefault="00BC6485" w:rsidP="005E57F5">
      <w:pPr>
        <w:spacing w:line="240" w:lineRule="auto"/>
        <w:jc w:val="both"/>
        <w:rPr>
          <w:rFonts w:cs="Times New Roman"/>
        </w:rPr>
      </w:pPr>
    </w:p>
    <w:p w14:paraId="2FCEE889" w14:textId="001D478F" w:rsidR="000F2C80" w:rsidRDefault="00AE341A" w:rsidP="005E57F5">
      <w:pPr>
        <w:spacing w:line="240" w:lineRule="auto"/>
        <w:jc w:val="both"/>
        <w:rPr>
          <w:rFonts w:cs="Times New Roman"/>
        </w:rPr>
      </w:pPr>
      <w:r>
        <w:rPr>
          <w:rFonts w:cs="Times New Roman"/>
        </w:rPr>
        <w:t>Jako datę</w:t>
      </w:r>
      <w:r w:rsidR="000F2C80">
        <w:rPr>
          <w:rFonts w:cs="Times New Roman"/>
        </w:rPr>
        <w:t xml:space="preserve"> wejścia w życie rozporządzenia</w:t>
      </w:r>
      <w:r>
        <w:rPr>
          <w:rFonts w:cs="Times New Roman"/>
        </w:rPr>
        <w:t xml:space="preserve"> wskazano </w:t>
      </w:r>
      <w:r w:rsidR="0054567B">
        <w:rPr>
          <w:rFonts w:cs="Times New Roman"/>
        </w:rPr>
        <w:t>1 stycznia 2024</w:t>
      </w:r>
      <w:r w:rsidR="00D35A1C">
        <w:rPr>
          <w:rFonts w:cs="Times New Roman"/>
        </w:rPr>
        <w:t xml:space="preserve"> r.</w:t>
      </w:r>
      <w:r w:rsidR="0054567B">
        <w:rPr>
          <w:rFonts w:cs="Times New Roman"/>
        </w:rPr>
        <w:t xml:space="preserve"> tak</w:t>
      </w:r>
      <w:r w:rsidR="0054566A">
        <w:rPr>
          <w:rFonts w:cs="Times New Roman"/>
        </w:rPr>
        <w:t>,</w:t>
      </w:r>
      <w:r w:rsidR="0054567B">
        <w:rPr>
          <w:rFonts w:cs="Times New Roman"/>
        </w:rPr>
        <w:t xml:space="preserve"> aby nowe sposoby </w:t>
      </w:r>
      <w:r w:rsidR="00997B21">
        <w:rPr>
          <w:rFonts w:cs="Times New Roman"/>
        </w:rPr>
        <w:t>oceny</w:t>
      </w:r>
      <w:r w:rsidR="0054567B">
        <w:rPr>
          <w:rFonts w:cs="Times New Roman"/>
        </w:rPr>
        <w:t xml:space="preserve"> dotrzymywania wielkości dopuszczalnej emisji miały zastosowanie w kolejnym okresie rozliczeniowym. Należy także zaznaczyć, że w rozporządzeniu można wyróżnić dwie zasadnicze grupy przepisów.</w:t>
      </w:r>
      <w:r w:rsidR="0054566A">
        <w:rPr>
          <w:rFonts w:cs="Times New Roman"/>
        </w:rPr>
        <w:t xml:space="preserve"> </w:t>
      </w:r>
      <w:r w:rsidR="0054567B">
        <w:rPr>
          <w:rFonts w:cs="Times New Roman"/>
        </w:rPr>
        <w:t>Pierwsza obejmuje sposoby uwzględniania niepewności pomiarowej, uzależniając taką możliwość od tego czy instalacja jest w stanie stosować kryteria wskazane w rozporządzeniu. Druga opisuje sposoby rozliczania przekroczeń – co powinno odbywać się w oparciu o wyniki nie</w:t>
      </w:r>
      <w:r w:rsidR="00893BE2">
        <w:rPr>
          <w:rFonts w:cs="Times New Roman"/>
        </w:rPr>
        <w:t>pomniejszone o niepewność pomiarową</w:t>
      </w:r>
      <w:r w:rsidR="00D664E9">
        <w:rPr>
          <w:rFonts w:cs="Times New Roman"/>
        </w:rPr>
        <w:t xml:space="preserve"> i</w:t>
      </w:r>
      <w:r w:rsidR="00893BE2">
        <w:rPr>
          <w:rFonts w:cs="Times New Roman"/>
        </w:rPr>
        <w:t xml:space="preserve"> ma zastosowanie ogólne. W efekcie, od dnia 1 stycznia 2024</w:t>
      </w:r>
      <w:r w:rsidR="00D35A1C">
        <w:rPr>
          <w:rFonts w:cs="Times New Roman"/>
        </w:rPr>
        <w:t xml:space="preserve"> r.</w:t>
      </w:r>
      <w:r w:rsidR="00893BE2">
        <w:rPr>
          <w:rFonts w:cs="Times New Roman"/>
        </w:rPr>
        <w:t>, rozporządzenie będ</w:t>
      </w:r>
      <w:r w:rsidR="0054566A">
        <w:rPr>
          <w:rFonts w:cs="Times New Roman"/>
        </w:rPr>
        <w:t>zie</w:t>
      </w:r>
      <w:r w:rsidR="00893BE2">
        <w:rPr>
          <w:rFonts w:cs="Times New Roman"/>
        </w:rPr>
        <w:t xml:space="preserve"> obowiązywać wszystkie objęte jego zakresem instalacje w zakresie rozliczania wielkości przekroczeń</w:t>
      </w:r>
      <w:r w:rsidR="0006009F">
        <w:rPr>
          <w:rFonts w:cs="Times New Roman"/>
        </w:rPr>
        <w:t xml:space="preserve"> (</w:t>
      </w:r>
      <w:r w:rsidR="0006009F" w:rsidRPr="004B3E19">
        <w:t>§</w:t>
      </w:r>
      <w:r w:rsidR="0006009F">
        <w:t xml:space="preserve"> 7)</w:t>
      </w:r>
      <w:r w:rsidR="00893BE2">
        <w:rPr>
          <w:rFonts w:cs="Times New Roman"/>
        </w:rPr>
        <w:t>. Natomiast jeżeli chodzi</w:t>
      </w:r>
      <w:r w:rsidR="0054566A">
        <w:rPr>
          <w:rFonts w:cs="Times New Roman"/>
        </w:rPr>
        <w:t xml:space="preserve"> o</w:t>
      </w:r>
      <w:r w:rsidR="00893BE2">
        <w:rPr>
          <w:rFonts w:cs="Times New Roman"/>
        </w:rPr>
        <w:t xml:space="preserve"> sposoby uwzględniania niepewności </w:t>
      </w:r>
      <w:r w:rsidR="00D664E9">
        <w:rPr>
          <w:rFonts w:cs="Times New Roman"/>
        </w:rPr>
        <w:t>pomiarowej</w:t>
      </w:r>
      <w:r w:rsidR="0006009F">
        <w:rPr>
          <w:rFonts w:cs="Times New Roman"/>
        </w:rPr>
        <w:t xml:space="preserve"> (</w:t>
      </w:r>
      <w:r w:rsidR="0006009F" w:rsidRPr="004B3E19">
        <w:t>§</w:t>
      </w:r>
      <w:r w:rsidR="0006009F">
        <w:t xml:space="preserve"> 2-5)</w:t>
      </w:r>
      <w:r w:rsidR="00893BE2">
        <w:rPr>
          <w:rFonts w:cs="Times New Roman"/>
        </w:rPr>
        <w:t xml:space="preserve"> i de facto </w:t>
      </w:r>
      <w:r w:rsidR="00D664E9">
        <w:rPr>
          <w:rFonts w:cs="Times New Roman"/>
        </w:rPr>
        <w:t xml:space="preserve">możliwość </w:t>
      </w:r>
      <w:r w:rsidR="00A11918">
        <w:rPr>
          <w:rFonts w:cs="Times New Roman"/>
        </w:rPr>
        <w:t>pomniejszenia wyników o niepewność pomiar</w:t>
      </w:r>
      <w:r w:rsidR="0006009F">
        <w:rPr>
          <w:rFonts w:cs="Times New Roman"/>
        </w:rPr>
        <w:t>ową</w:t>
      </w:r>
      <w:r w:rsidR="00D664E9">
        <w:rPr>
          <w:rFonts w:cs="Times New Roman"/>
        </w:rPr>
        <w:t xml:space="preserve"> przy ocenie dotrzymywania wielkości dopuszczalnej emisji</w:t>
      </w:r>
      <w:r w:rsidR="00BC6475">
        <w:rPr>
          <w:rFonts w:cs="Times New Roman"/>
        </w:rPr>
        <w:t xml:space="preserve"> wynikających z dostosowania do konkluzji BAT</w:t>
      </w:r>
      <w:r w:rsidR="00D664E9">
        <w:rPr>
          <w:rFonts w:cs="Times New Roman"/>
        </w:rPr>
        <w:t xml:space="preserve">, taka </w:t>
      </w:r>
      <w:r w:rsidR="00BC6475">
        <w:rPr>
          <w:rFonts w:cs="Times New Roman"/>
        </w:rPr>
        <w:t>sposobność</w:t>
      </w:r>
      <w:r w:rsidR="00D664E9">
        <w:rPr>
          <w:rFonts w:cs="Times New Roman"/>
        </w:rPr>
        <w:t xml:space="preserve"> zaistnieje od 1 stycznia 2024 </w:t>
      </w:r>
      <w:r w:rsidR="00A11918">
        <w:rPr>
          <w:rFonts w:cs="Times New Roman"/>
        </w:rPr>
        <w:t xml:space="preserve">r., w odniesieniu do instalacji spełniających kryteria określone w rozporządzeniu, a w przypadku tych niespełniających od daty ich </w:t>
      </w:r>
      <w:r w:rsidR="0006009F">
        <w:rPr>
          <w:rFonts w:cs="Times New Roman"/>
        </w:rPr>
        <w:t xml:space="preserve">faktycznego </w:t>
      </w:r>
      <w:r w:rsidR="00A11918">
        <w:rPr>
          <w:rFonts w:cs="Times New Roman"/>
        </w:rPr>
        <w:t>dostosowania.</w:t>
      </w:r>
      <w:r w:rsidR="00893BE2">
        <w:rPr>
          <w:rFonts w:cs="Times New Roman"/>
        </w:rPr>
        <w:t xml:space="preserve"> </w:t>
      </w:r>
      <w:r w:rsidR="00BC6475">
        <w:rPr>
          <w:rFonts w:cs="Times New Roman"/>
        </w:rPr>
        <w:t xml:space="preserve">Zapewni to </w:t>
      </w:r>
      <w:r w:rsidR="0006009F">
        <w:rPr>
          <w:rFonts w:cs="Times New Roman"/>
        </w:rPr>
        <w:t xml:space="preserve">niezbędną elastyczność umożliwiając prowadzącym instalacje dostosowanie systemów do pomiarów ciągłych (o ile będzie to konieczne) w wybranym przez siebie momencie. </w:t>
      </w:r>
    </w:p>
    <w:sectPr w:rsidR="000F2C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3648" w14:textId="77777777" w:rsidR="007A73C2" w:rsidRDefault="007A73C2" w:rsidP="00BC6485">
      <w:pPr>
        <w:spacing w:line="240" w:lineRule="auto"/>
      </w:pPr>
      <w:r>
        <w:separator/>
      </w:r>
    </w:p>
  </w:endnote>
  <w:endnote w:type="continuationSeparator" w:id="0">
    <w:p w14:paraId="4C7FF1FB" w14:textId="77777777" w:rsidR="007A73C2" w:rsidRDefault="007A73C2" w:rsidP="00BC6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28202"/>
      <w:docPartObj>
        <w:docPartGallery w:val="Page Numbers (Bottom of Page)"/>
        <w:docPartUnique/>
      </w:docPartObj>
    </w:sdtPr>
    <w:sdtContent>
      <w:p w14:paraId="54F46854" w14:textId="68AFA0A2" w:rsidR="00117DE2" w:rsidRDefault="00117DE2">
        <w:pPr>
          <w:pStyle w:val="Stopka"/>
          <w:jc w:val="center"/>
        </w:pPr>
        <w:r>
          <w:fldChar w:fldCharType="begin"/>
        </w:r>
        <w:r>
          <w:instrText>PAGE   \* MERGEFORMAT</w:instrText>
        </w:r>
        <w:r>
          <w:fldChar w:fldCharType="separate"/>
        </w:r>
        <w:r>
          <w:t>2</w:t>
        </w:r>
        <w:r>
          <w:fldChar w:fldCharType="end"/>
        </w:r>
      </w:p>
    </w:sdtContent>
  </w:sdt>
  <w:p w14:paraId="5E490B35" w14:textId="77777777" w:rsidR="00117DE2" w:rsidRDefault="00117D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DE5" w14:textId="77777777" w:rsidR="007A73C2" w:rsidRDefault="007A73C2" w:rsidP="00BC6485">
      <w:pPr>
        <w:spacing w:line="240" w:lineRule="auto"/>
      </w:pPr>
      <w:r>
        <w:separator/>
      </w:r>
    </w:p>
  </w:footnote>
  <w:footnote w:type="continuationSeparator" w:id="0">
    <w:p w14:paraId="423F717B" w14:textId="77777777" w:rsidR="007A73C2" w:rsidRDefault="007A73C2" w:rsidP="00BC6485">
      <w:pPr>
        <w:spacing w:line="240" w:lineRule="auto"/>
      </w:pPr>
      <w:r>
        <w:continuationSeparator/>
      </w:r>
    </w:p>
  </w:footnote>
  <w:footnote w:id="1">
    <w:p w14:paraId="5A287276" w14:textId="06823CBE" w:rsidR="00BC6485" w:rsidRDefault="00BC6485" w:rsidP="00BC6485">
      <w:pPr>
        <w:pStyle w:val="Tekstprzypisudolnego"/>
      </w:pPr>
      <w:r>
        <w:rPr>
          <w:rStyle w:val="Odwoanieprzypisudolnego"/>
        </w:rPr>
        <w:footnoteRef/>
      </w:r>
      <w:r w:rsidR="004010F1">
        <w:rPr>
          <w:vertAlign w:val="superscript"/>
        </w:rPr>
        <w:t>)</w:t>
      </w:r>
      <w:r>
        <w:t xml:space="preserve"> </w:t>
      </w:r>
      <w:r w:rsidRPr="005B3A4C">
        <w:t>https://eippcb.jrc.ec.europa.eu/reference/monitoring-emissions-air-and-water-ied-installations-0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06C"/>
    <w:multiLevelType w:val="hybridMultilevel"/>
    <w:tmpl w:val="54465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5F2C7D"/>
    <w:multiLevelType w:val="hybridMultilevel"/>
    <w:tmpl w:val="8DD82818"/>
    <w:lvl w:ilvl="0" w:tplc="028ABBA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9B714C"/>
    <w:multiLevelType w:val="hybridMultilevel"/>
    <w:tmpl w:val="7EA05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F83811"/>
    <w:multiLevelType w:val="hybridMultilevel"/>
    <w:tmpl w:val="3D6CC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EA5BE3"/>
    <w:multiLevelType w:val="hybridMultilevel"/>
    <w:tmpl w:val="A48CFC82"/>
    <w:lvl w:ilvl="0" w:tplc="14E2A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69531A"/>
    <w:multiLevelType w:val="hybridMultilevel"/>
    <w:tmpl w:val="17602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E17230"/>
    <w:multiLevelType w:val="hybridMultilevel"/>
    <w:tmpl w:val="FDDC9DB2"/>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6006570">
    <w:abstractNumId w:val="2"/>
  </w:num>
  <w:num w:numId="2" w16cid:durableId="1552423802">
    <w:abstractNumId w:val="0"/>
  </w:num>
  <w:num w:numId="3" w16cid:durableId="1361248980">
    <w:abstractNumId w:val="3"/>
  </w:num>
  <w:num w:numId="4" w16cid:durableId="442968520">
    <w:abstractNumId w:val="5"/>
  </w:num>
  <w:num w:numId="5" w16cid:durableId="1513914286">
    <w:abstractNumId w:val="6"/>
  </w:num>
  <w:num w:numId="6" w16cid:durableId="500780438">
    <w:abstractNumId w:val="4"/>
  </w:num>
  <w:num w:numId="7" w16cid:durableId="1078282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FF"/>
    <w:rsid w:val="00012192"/>
    <w:rsid w:val="000150F9"/>
    <w:rsid w:val="0006009F"/>
    <w:rsid w:val="00061BDC"/>
    <w:rsid w:val="00066187"/>
    <w:rsid w:val="00083B79"/>
    <w:rsid w:val="0009062D"/>
    <w:rsid w:val="000964CB"/>
    <w:rsid w:val="000C63D5"/>
    <w:rsid w:val="000D34D5"/>
    <w:rsid w:val="000E282C"/>
    <w:rsid w:val="000E4263"/>
    <w:rsid w:val="000E5FD9"/>
    <w:rsid w:val="000F2C80"/>
    <w:rsid w:val="0010374D"/>
    <w:rsid w:val="00116411"/>
    <w:rsid w:val="00117DE2"/>
    <w:rsid w:val="00122146"/>
    <w:rsid w:val="001569AA"/>
    <w:rsid w:val="00156C78"/>
    <w:rsid w:val="001922DC"/>
    <w:rsid w:val="001A5168"/>
    <w:rsid w:val="001E63D5"/>
    <w:rsid w:val="001E6AE7"/>
    <w:rsid w:val="001F0F9C"/>
    <w:rsid w:val="002020DC"/>
    <w:rsid w:val="00205476"/>
    <w:rsid w:val="002A7E04"/>
    <w:rsid w:val="002B0BD2"/>
    <w:rsid w:val="002C1B7F"/>
    <w:rsid w:val="002C413E"/>
    <w:rsid w:val="00373B74"/>
    <w:rsid w:val="00380614"/>
    <w:rsid w:val="00386D73"/>
    <w:rsid w:val="003E563A"/>
    <w:rsid w:val="003F2612"/>
    <w:rsid w:val="004010F1"/>
    <w:rsid w:val="00416878"/>
    <w:rsid w:val="00435EFF"/>
    <w:rsid w:val="004A0AC1"/>
    <w:rsid w:val="004A4CD3"/>
    <w:rsid w:val="004B0BF7"/>
    <w:rsid w:val="004E3550"/>
    <w:rsid w:val="0054566A"/>
    <w:rsid w:val="0054567B"/>
    <w:rsid w:val="00554053"/>
    <w:rsid w:val="005817D0"/>
    <w:rsid w:val="005A52B6"/>
    <w:rsid w:val="005B19EE"/>
    <w:rsid w:val="005D2C08"/>
    <w:rsid w:val="005E57F5"/>
    <w:rsid w:val="005F2C58"/>
    <w:rsid w:val="00613D17"/>
    <w:rsid w:val="006234B2"/>
    <w:rsid w:val="00637A47"/>
    <w:rsid w:val="006418FE"/>
    <w:rsid w:val="00643AF4"/>
    <w:rsid w:val="006604A4"/>
    <w:rsid w:val="00660C17"/>
    <w:rsid w:val="0067472F"/>
    <w:rsid w:val="006A615E"/>
    <w:rsid w:val="007011A8"/>
    <w:rsid w:val="007251E1"/>
    <w:rsid w:val="00750DFF"/>
    <w:rsid w:val="007914F1"/>
    <w:rsid w:val="0079704E"/>
    <w:rsid w:val="007A6FD0"/>
    <w:rsid w:val="007A73C2"/>
    <w:rsid w:val="007B3241"/>
    <w:rsid w:val="007D1E15"/>
    <w:rsid w:val="00820D61"/>
    <w:rsid w:val="00844E34"/>
    <w:rsid w:val="00852E93"/>
    <w:rsid w:val="00893BE2"/>
    <w:rsid w:val="008E5836"/>
    <w:rsid w:val="00902E67"/>
    <w:rsid w:val="009075ED"/>
    <w:rsid w:val="00915226"/>
    <w:rsid w:val="00932214"/>
    <w:rsid w:val="00972AB6"/>
    <w:rsid w:val="00977821"/>
    <w:rsid w:val="00980D7E"/>
    <w:rsid w:val="009864C9"/>
    <w:rsid w:val="00997B21"/>
    <w:rsid w:val="009C64D9"/>
    <w:rsid w:val="009D3B3B"/>
    <w:rsid w:val="009F0C89"/>
    <w:rsid w:val="009F0FD9"/>
    <w:rsid w:val="009F356D"/>
    <w:rsid w:val="00A026DB"/>
    <w:rsid w:val="00A11918"/>
    <w:rsid w:val="00A13403"/>
    <w:rsid w:val="00A17E1F"/>
    <w:rsid w:val="00A630EB"/>
    <w:rsid w:val="00A64B82"/>
    <w:rsid w:val="00A86FAD"/>
    <w:rsid w:val="00A95AD7"/>
    <w:rsid w:val="00AB1BC8"/>
    <w:rsid w:val="00AE341A"/>
    <w:rsid w:val="00AE35AA"/>
    <w:rsid w:val="00AF6D18"/>
    <w:rsid w:val="00B13013"/>
    <w:rsid w:val="00B62235"/>
    <w:rsid w:val="00B82662"/>
    <w:rsid w:val="00B83FEC"/>
    <w:rsid w:val="00B95278"/>
    <w:rsid w:val="00B95DBC"/>
    <w:rsid w:val="00BA16CB"/>
    <w:rsid w:val="00BA4F60"/>
    <w:rsid w:val="00BC06B1"/>
    <w:rsid w:val="00BC6475"/>
    <w:rsid w:val="00BC6485"/>
    <w:rsid w:val="00BD6896"/>
    <w:rsid w:val="00BE3516"/>
    <w:rsid w:val="00C007CA"/>
    <w:rsid w:val="00C20F7B"/>
    <w:rsid w:val="00C26FEB"/>
    <w:rsid w:val="00C55881"/>
    <w:rsid w:val="00C6546E"/>
    <w:rsid w:val="00C92A08"/>
    <w:rsid w:val="00CA0021"/>
    <w:rsid w:val="00CC3654"/>
    <w:rsid w:val="00CC539D"/>
    <w:rsid w:val="00D06C79"/>
    <w:rsid w:val="00D2049A"/>
    <w:rsid w:val="00D23684"/>
    <w:rsid w:val="00D35A1C"/>
    <w:rsid w:val="00D664E9"/>
    <w:rsid w:val="00D7159D"/>
    <w:rsid w:val="00D7339F"/>
    <w:rsid w:val="00D95A39"/>
    <w:rsid w:val="00DA730C"/>
    <w:rsid w:val="00DB0301"/>
    <w:rsid w:val="00DB5425"/>
    <w:rsid w:val="00DD4C85"/>
    <w:rsid w:val="00DE2C30"/>
    <w:rsid w:val="00E16960"/>
    <w:rsid w:val="00E2467E"/>
    <w:rsid w:val="00E44060"/>
    <w:rsid w:val="00E61066"/>
    <w:rsid w:val="00E64EB2"/>
    <w:rsid w:val="00E67CF9"/>
    <w:rsid w:val="00EA1E7C"/>
    <w:rsid w:val="00EA2CB1"/>
    <w:rsid w:val="00EB778B"/>
    <w:rsid w:val="00EE60BE"/>
    <w:rsid w:val="00F146FD"/>
    <w:rsid w:val="00F26A5C"/>
    <w:rsid w:val="00F33754"/>
    <w:rsid w:val="00F96575"/>
    <w:rsid w:val="00FB4E68"/>
    <w:rsid w:val="00FC6BFE"/>
    <w:rsid w:val="00FE0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DB94"/>
  <w15:chartTrackingRefBased/>
  <w15:docId w15:val="{B92FC878-63E4-4C3E-BAA6-D6FFC572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E68"/>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355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550"/>
    <w:rPr>
      <w:rFonts w:ascii="Segoe UI" w:hAnsi="Segoe UI" w:cs="Segoe UI"/>
      <w:sz w:val="18"/>
      <w:szCs w:val="18"/>
    </w:rPr>
  </w:style>
  <w:style w:type="paragraph" w:customStyle="1" w:styleId="ARTartustawynprozporzdzenia">
    <w:name w:val="ART(§) – art. ustawy (§ np. rozporządzenia)"/>
    <w:uiPriority w:val="14"/>
    <w:qFormat/>
    <w:rsid w:val="004E355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E3550"/>
    <w:rPr>
      <w:bCs/>
    </w:rPr>
  </w:style>
  <w:style w:type="paragraph" w:customStyle="1" w:styleId="OZNRODZAKTUtznustawalubrozporzdzenieiorganwydajcy">
    <w:name w:val="OZN_RODZ_AKTU – tzn. ustawa lub rozporządzenie i organ wydający"/>
    <w:next w:val="Normalny"/>
    <w:uiPriority w:val="5"/>
    <w:qFormat/>
    <w:rsid w:val="004E3550"/>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styleId="Odwoaniedokomentarza">
    <w:name w:val="annotation reference"/>
    <w:basedOn w:val="Domylnaczcionkaakapitu"/>
    <w:uiPriority w:val="99"/>
    <w:semiHidden/>
    <w:rsid w:val="004E3550"/>
    <w:rPr>
      <w:sz w:val="16"/>
      <w:szCs w:val="16"/>
    </w:rPr>
  </w:style>
  <w:style w:type="paragraph" w:styleId="Tekstkomentarza">
    <w:name w:val="annotation text"/>
    <w:basedOn w:val="Normalny"/>
    <w:link w:val="TekstkomentarzaZnak"/>
    <w:uiPriority w:val="99"/>
    <w:semiHidden/>
    <w:rsid w:val="004E3550"/>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E3550"/>
    <w:rPr>
      <w:rFonts w:ascii="Times" w:eastAsia="Times New Roman" w:hAnsi="Times" w:cs="Times New Roman"/>
      <w:sz w:val="24"/>
      <w:szCs w:val="24"/>
      <w:lang w:eastAsia="pl-PL"/>
    </w:rPr>
  </w:style>
  <w:style w:type="paragraph" w:styleId="Akapitzlist">
    <w:name w:val="List Paragraph"/>
    <w:basedOn w:val="Normalny"/>
    <w:uiPriority w:val="34"/>
    <w:qFormat/>
    <w:rsid w:val="009075ED"/>
    <w:pPr>
      <w:ind w:left="720"/>
      <w:contextualSpacing/>
    </w:pPr>
  </w:style>
  <w:style w:type="paragraph" w:styleId="Tematkomentarza">
    <w:name w:val="annotation subject"/>
    <w:basedOn w:val="Tekstkomentarza"/>
    <w:next w:val="Tekstkomentarza"/>
    <w:link w:val="TematkomentarzaZnak"/>
    <w:uiPriority w:val="99"/>
    <w:semiHidden/>
    <w:unhideWhenUsed/>
    <w:rsid w:val="009075ED"/>
    <w:pPr>
      <w:spacing w:line="240" w:lineRule="auto"/>
    </w:pPr>
    <w:rPr>
      <w:rFonts w:ascii="Times New Roman" w:eastAsiaTheme="minorEastAsia" w:hAnsi="Times New Roman" w:cs="Arial"/>
      <w:b/>
      <w:bCs/>
      <w:sz w:val="20"/>
      <w:szCs w:val="20"/>
    </w:rPr>
  </w:style>
  <w:style w:type="character" w:customStyle="1" w:styleId="TematkomentarzaZnak">
    <w:name w:val="Temat komentarza Znak"/>
    <w:basedOn w:val="TekstkomentarzaZnak"/>
    <w:link w:val="Tematkomentarza"/>
    <w:uiPriority w:val="99"/>
    <w:semiHidden/>
    <w:rsid w:val="009075ED"/>
    <w:rPr>
      <w:rFonts w:ascii="Times New Roman" w:eastAsiaTheme="minorEastAsia" w:hAnsi="Times New Roman" w:cs="Arial"/>
      <w:b/>
      <w:bCs/>
      <w:sz w:val="20"/>
      <w:szCs w:val="20"/>
      <w:lang w:eastAsia="pl-PL"/>
    </w:rPr>
  </w:style>
  <w:style w:type="character" w:customStyle="1" w:styleId="articletitle">
    <w:name w:val="articletitle"/>
    <w:basedOn w:val="Domylnaczcionkaakapitu"/>
    <w:rsid w:val="009075ED"/>
  </w:style>
  <w:style w:type="character" w:customStyle="1" w:styleId="highlight">
    <w:name w:val="highlight"/>
    <w:basedOn w:val="Domylnaczcionkaakapitu"/>
    <w:rsid w:val="00932214"/>
  </w:style>
  <w:style w:type="character" w:styleId="Hipercze">
    <w:name w:val="Hyperlink"/>
    <w:uiPriority w:val="99"/>
    <w:unhideWhenUsed/>
    <w:rsid w:val="003E563A"/>
    <w:rPr>
      <w:color w:val="0000FF"/>
      <w:u w:val="single"/>
    </w:rPr>
  </w:style>
  <w:style w:type="paragraph" w:styleId="NormalnyWeb">
    <w:name w:val="Normal (Web)"/>
    <w:basedOn w:val="Normalny"/>
    <w:uiPriority w:val="99"/>
    <w:semiHidden/>
    <w:unhideWhenUsed/>
    <w:rsid w:val="00EB778B"/>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uiPriority w:val="20"/>
    <w:qFormat/>
    <w:rsid w:val="00EB778B"/>
    <w:rPr>
      <w:i/>
      <w:iCs/>
    </w:rPr>
  </w:style>
  <w:style w:type="character" w:styleId="Pogrubienie">
    <w:name w:val="Strong"/>
    <w:basedOn w:val="Domylnaczcionkaakapitu"/>
    <w:uiPriority w:val="22"/>
    <w:qFormat/>
    <w:rsid w:val="00EB778B"/>
    <w:rPr>
      <w:b/>
      <w:bCs/>
    </w:rPr>
  </w:style>
  <w:style w:type="character" w:styleId="Nierozpoznanawzmianka">
    <w:name w:val="Unresolved Mention"/>
    <w:basedOn w:val="Domylnaczcionkaakapitu"/>
    <w:uiPriority w:val="99"/>
    <w:semiHidden/>
    <w:unhideWhenUsed/>
    <w:rsid w:val="005F2C58"/>
    <w:rPr>
      <w:color w:val="605E5C"/>
      <w:shd w:val="clear" w:color="auto" w:fill="E1DFDD"/>
    </w:rPr>
  </w:style>
  <w:style w:type="paragraph" w:styleId="Tekstprzypisudolnego">
    <w:name w:val="footnote text"/>
    <w:basedOn w:val="Normalny"/>
    <w:link w:val="TekstprzypisudolnegoZnak"/>
    <w:uiPriority w:val="99"/>
    <w:semiHidden/>
    <w:unhideWhenUsed/>
    <w:rsid w:val="00BC6485"/>
    <w:pPr>
      <w:widowControl/>
      <w:autoSpaceDE/>
      <w:autoSpaceDN/>
      <w:adjustRightInd/>
      <w:spacing w:line="240" w:lineRule="auto"/>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BC6485"/>
    <w:rPr>
      <w:sz w:val="20"/>
      <w:szCs w:val="20"/>
    </w:rPr>
  </w:style>
  <w:style w:type="character" w:styleId="Odwoanieprzypisudolnego">
    <w:name w:val="footnote reference"/>
    <w:basedOn w:val="Domylnaczcionkaakapitu"/>
    <w:uiPriority w:val="99"/>
    <w:semiHidden/>
    <w:unhideWhenUsed/>
    <w:rsid w:val="00BC6485"/>
    <w:rPr>
      <w:vertAlign w:val="superscript"/>
    </w:rPr>
  </w:style>
  <w:style w:type="paragraph" w:styleId="Poprawka">
    <w:name w:val="Revision"/>
    <w:hidden/>
    <w:uiPriority w:val="99"/>
    <w:semiHidden/>
    <w:rsid w:val="00C6546E"/>
    <w:pPr>
      <w:spacing w:after="0" w:line="240" w:lineRule="auto"/>
    </w:pPr>
    <w:rPr>
      <w:rFonts w:ascii="Times New Roman" w:eastAsiaTheme="minorEastAsia" w:hAnsi="Times New Roman" w:cs="Arial"/>
      <w:sz w:val="24"/>
      <w:szCs w:val="20"/>
      <w:lang w:eastAsia="pl-PL"/>
    </w:rPr>
  </w:style>
  <w:style w:type="paragraph" w:styleId="Nagwek">
    <w:name w:val="header"/>
    <w:basedOn w:val="Normalny"/>
    <w:link w:val="NagwekZnak"/>
    <w:uiPriority w:val="99"/>
    <w:unhideWhenUsed/>
    <w:rsid w:val="00117DE2"/>
    <w:pPr>
      <w:tabs>
        <w:tab w:val="center" w:pos="4536"/>
        <w:tab w:val="right" w:pos="9072"/>
      </w:tabs>
      <w:spacing w:line="240" w:lineRule="auto"/>
    </w:pPr>
  </w:style>
  <w:style w:type="character" w:customStyle="1" w:styleId="NagwekZnak">
    <w:name w:val="Nagłówek Znak"/>
    <w:basedOn w:val="Domylnaczcionkaakapitu"/>
    <w:link w:val="Nagwek"/>
    <w:uiPriority w:val="99"/>
    <w:rsid w:val="00117DE2"/>
    <w:rPr>
      <w:rFonts w:ascii="Times New Roman" w:eastAsiaTheme="minorEastAsia" w:hAnsi="Times New Roman" w:cs="Arial"/>
      <w:sz w:val="24"/>
      <w:szCs w:val="20"/>
      <w:lang w:eastAsia="pl-PL"/>
    </w:rPr>
  </w:style>
  <w:style w:type="paragraph" w:styleId="Stopka">
    <w:name w:val="footer"/>
    <w:basedOn w:val="Normalny"/>
    <w:link w:val="StopkaZnak"/>
    <w:uiPriority w:val="99"/>
    <w:unhideWhenUsed/>
    <w:rsid w:val="00117DE2"/>
    <w:pPr>
      <w:tabs>
        <w:tab w:val="center" w:pos="4536"/>
        <w:tab w:val="right" w:pos="9072"/>
      </w:tabs>
      <w:spacing w:line="240" w:lineRule="auto"/>
    </w:pPr>
  </w:style>
  <w:style w:type="character" w:customStyle="1" w:styleId="StopkaZnak">
    <w:name w:val="Stopka Znak"/>
    <w:basedOn w:val="Domylnaczcionkaakapitu"/>
    <w:link w:val="Stopka"/>
    <w:uiPriority w:val="99"/>
    <w:rsid w:val="00117DE2"/>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4578">
      <w:bodyDiv w:val="1"/>
      <w:marLeft w:val="0"/>
      <w:marRight w:val="0"/>
      <w:marTop w:val="0"/>
      <w:marBottom w:val="0"/>
      <w:divBdr>
        <w:top w:val="none" w:sz="0" w:space="0" w:color="auto"/>
        <w:left w:val="none" w:sz="0" w:space="0" w:color="auto"/>
        <w:bottom w:val="none" w:sz="0" w:space="0" w:color="auto"/>
        <w:right w:val="none" w:sz="0" w:space="0" w:color="auto"/>
      </w:divBdr>
      <w:divsChild>
        <w:div w:id="1765880229">
          <w:marLeft w:val="0"/>
          <w:marRight w:val="0"/>
          <w:marTop w:val="0"/>
          <w:marBottom w:val="0"/>
          <w:divBdr>
            <w:top w:val="none" w:sz="0" w:space="0" w:color="auto"/>
            <w:left w:val="none" w:sz="0" w:space="0" w:color="auto"/>
            <w:bottom w:val="none" w:sz="0" w:space="0" w:color="auto"/>
            <w:right w:val="none" w:sz="0" w:space="0" w:color="auto"/>
          </w:divBdr>
        </w:div>
      </w:divsChild>
    </w:div>
    <w:div w:id="664356482">
      <w:bodyDiv w:val="1"/>
      <w:marLeft w:val="0"/>
      <w:marRight w:val="0"/>
      <w:marTop w:val="0"/>
      <w:marBottom w:val="0"/>
      <w:divBdr>
        <w:top w:val="none" w:sz="0" w:space="0" w:color="auto"/>
        <w:left w:val="none" w:sz="0" w:space="0" w:color="auto"/>
        <w:bottom w:val="none" w:sz="0" w:space="0" w:color="auto"/>
        <w:right w:val="none" w:sz="0" w:space="0" w:color="auto"/>
      </w:divBdr>
      <w:divsChild>
        <w:div w:id="1603338933">
          <w:marLeft w:val="0"/>
          <w:marRight w:val="0"/>
          <w:marTop w:val="0"/>
          <w:marBottom w:val="0"/>
          <w:divBdr>
            <w:top w:val="none" w:sz="0" w:space="0" w:color="auto"/>
            <w:left w:val="none" w:sz="0" w:space="0" w:color="auto"/>
            <w:bottom w:val="none" w:sz="0" w:space="0" w:color="auto"/>
            <w:right w:val="none" w:sz="0" w:space="0" w:color="auto"/>
          </w:divBdr>
        </w:div>
        <w:div w:id="835220038">
          <w:marLeft w:val="0"/>
          <w:marRight w:val="0"/>
          <w:marTop w:val="0"/>
          <w:marBottom w:val="0"/>
          <w:divBdr>
            <w:top w:val="none" w:sz="0" w:space="0" w:color="auto"/>
            <w:left w:val="none" w:sz="0" w:space="0" w:color="auto"/>
            <w:bottom w:val="none" w:sz="0" w:space="0" w:color="auto"/>
            <w:right w:val="none" w:sz="0" w:space="0" w:color="auto"/>
          </w:divBdr>
          <w:divsChild>
            <w:div w:id="1394231396">
              <w:marLeft w:val="0"/>
              <w:marRight w:val="0"/>
              <w:marTop w:val="0"/>
              <w:marBottom w:val="0"/>
              <w:divBdr>
                <w:top w:val="none" w:sz="0" w:space="0" w:color="auto"/>
                <w:left w:val="none" w:sz="0" w:space="0" w:color="auto"/>
                <w:bottom w:val="none" w:sz="0" w:space="0" w:color="auto"/>
                <w:right w:val="none" w:sz="0" w:space="0" w:color="auto"/>
              </w:divBdr>
            </w:div>
          </w:divsChild>
        </w:div>
        <w:div w:id="101075635">
          <w:marLeft w:val="0"/>
          <w:marRight w:val="0"/>
          <w:marTop w:val="0"/>
          <w:marBottom w:val="0"/>
          <w:divBdr>
            <w:top w:val="none" w:sz="0" w:space="0" w:color="auto"/>
            <w:left w:val="none" w:sz="0" w:space="0" w:color="auto"/>
            <w:bottom w:val="none" w:sz="0" w:space="0" w:color="auto"/>
            <w:right w:val="none" w:sz="0" w:space="0" w:color="auto"/>
          </w:divBdr>
          <w:divsChild>
            <w:div w:id="49499975">
              <w:marLeft w:val="0"/>
              <w:marRight w:val="0"/>
              <w:marTop w:val="0"/>
              <w:marBottom w:val="0"/>
              <w:divBdr>
                <w:top w:val="none" w:sz="0" w:space="0" w:color="auto"/>
                <w:left w:val="none" w:sz="0" w:space="0" w:color="auto"/>
                <w:bottom w:val="none" w:sz="0" w:space="0" w:color="auto"/>
                <w:right w:val="none" w:sz="0" w:space="0" w:color="auto"/>
              </w:divBdr>
            </w:div>
          </w:divsChild>
        </w:div>
        <w:div w:id="836118267">
          <w:marLeft w:val="0"/>
          <w:marRight w:val="0"/>
          <w:marTop w:val="0"/>
          <w:marBottom w:val="0"/>
          <w:divBdr>
            <w:top w:val="none" w:sz="0" w:space="0" w:color="auto"/>
            <w:left w:val="none" w:sz="0" w:space="0" w:color="auto"/>
            <w:bottom w:val="none" w:sz="0" w:space="0" w:color="auto"/>
            <w:right w:val="none" w:sz="0" w:space="0" w:color="auto"/>
          </w:divBdr>
          <w:divsChild>
            <w:div w:id="1246961403">
              <w:marLeft w:val="0"/>
              <w:marRight w:val="0"/>
              <w:marTop w:val="0"/>
              <w:marBottom w:val="0"/>
              <w:divBdr>
                <w:top w:val="none" w:sz="0" w:space="0" w:color="auto"/>
                <w:left w:val="none" w:sz="0" w:space="0" w:color="auto"/>
                <w:bottom w:val="none" w:sz="0" w:space="0" w:color="auto"/>
                <w:right w:val="none" w:sz="0" w:space="0" w:color="auto"/>
              </w:divBdr>
            </w:div>
            <w:div w:id="707029454">
              <w:marLeft w:val="0"/>
              <w:marRight w:val="0"/>
              <w:marTop w:val="0"/>
              <w:marBottom w:val="0"/>
              <w:divBdr>
                <w:top w:val="none" w:sz="0" w:space="0" w:color="auto"/>
                <w:left w:val="none" w:sz="0" w:space="0" w:color="auto"/>
                <w:bottom w:val="none" w:sz="0" w:space="0" w:color="auto"/>
                <w:right w:val="none" w:sz="0" w:space="0" w:color="auto"/>
              </w:divBdr>
              <w:divsChild>
                <w:div w:id="509878732">
                  <w:marLeft w:val="0"/>
                  <w:marRight w:val="0"/>
                  <w:marTop w:val="0"/>
                  <w:marBottom w:val="0"/>
                  <w:divBdr>
                    <w:top w:val="none" w:sz="0" w:space="0" w:color="auto"/>
                    <w:left w:val="none" w:sz="0" w:space="0" w:color="auto"/>
                    <w:bottom w:val="none" w:sz="0" w:space="0" w:color="auto"/>
                    <w:right w:val="none" w:sz="0" w:space="0" w:color="auto"/>
                  </w:divBdr>
                  <w:divsChild>
                    <w:div w:id="1947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139">
              <w:marLeft w:val="0"/>
              <w:marRight w:val="0"/>
              <w:marTop w:val="0"/>
              <w:marBottom w:val="0"/>
              <w:divBdr>
                <w:top w:val="none" w:sz="0" w:space="0" w:color="auto"/>
                <w:left w:val="none" w:sz="0" w:space="0" w:color="auto"/>
                <w:bottom w:val="none" w:sz="0" w:space="0" w:color="auto"/>
                <w:right w:val="none" w:sz="0" w:space="0" w:color="auto"/>
              </w:divBdr>
              <w:divsChild>
                <w:div w:id="685257562">
                  <w:marLeft w:val="0"/>
                  <w:marRight w:val="0"/>
                  <w:marTop w:val="0"/>
                  <w:marBottom w:val="0"/>
                  <w:divBdr>
                    <w:top w:val="none" w:sz="0" w:space="0" w:color="auto"/>
                    <w:left w:val="none" w:sz="0" w:space="0" w:color="auto"/>
                    <w:bottom w:val="none" w:sz="0" w:space="0" w:color="auto"/>
                    <w:right w:val="none" w:sz="0" w:space="0" w:color="auto"/>
                  </w:divBdr>
                  <w:divsChild>
                    <w:div w:id="8127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7355">
              <w:marLeft w:val="0"/>
              <w:marRight w:val="0"/>
              <w:marTop w:val="0"/>
              <w:marBottom w:val="0"/>
              <w:divBdr>
                <w:top w:val="none" w:sz="0" w:space="0" w:color="auto"/>
                <w:left w:val="none" w:sz="0" w:space="0" w:color="auto"/>
                <w:bottom w:val="none" w:sz="0" w:space="0" w:color="auto"/>
                <w:right w:val="none" w:sz="0" w:space="0" w:color="auto"/>
              </w:divBdr>
              <w:divsChild>
                <w:div w:id="793599316">
                  <w:marLeft w:val="0"/>
                  <w:marRight w:val="0"/>
                  <w:marTop w:val="0"/>
                  <w:marBottom w:val="0"/>
                  <w:divBdr>
                    <w:top w:val="none" w:sz="0" w:space="0" w:color="auto"/>
                    <w:left w:val="none" w:sz="0" w:space="0" w:color="auto"/>
                    <w:bottom w:val="none" w:sz="0" w:space="0" w:color="auto"/>
                    <w:right w:val="none" w:sz="0" w:space="0" w:color="auto"/>
                  </w:divBdr>
                  <w:divsChild>
                    <w:div w:id="8439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5089">
              <w:marLeft w:val="0"/>
              <w:marRight w:val="0"/>
              <w:marTop w:val="0"/>
              <w:marBottom w:val="0"/>
              <w:divBdr>
                <w:top w:val="none" w:sz="0" w:space="0" w:color="auto"/>
                <w:left w:val="none" w:sz="0" w:space="0" w:color="auto"/>
                <w:bottom w:val="none" w:sz="0" w:space="0" w:color="auto"/>
                <w:right w:val="none" w:sz="0" w:space="0" w:color="auto"/>
              </w:divBdr>
              <w:divsChild>
                <w:div w:id="476727307">
                  <w:marLeft w:val="0"/>
                  <w:marRight w:val="0"/>
                  <w:marTop w:val="0"/>
                  <w:marBottom w:val="0"/>
                  <w:divBdr>
                    <w:top w:val="none" w:sz="0" w:space="0" w:color="auto"/>
                    <w:left w:val="none" w:sz="0" w:space="0" w:color="auto"/>
                    <w:bottom w:val="none" w:sz="0" w:space="0" w:color="auto"/>
                    <w:right w:val="none" w:sz="0" w:space="0" w:color="auto"/>
                  </w:divBdr>
                  <w:divsChild>
                    <w:div w:id="1014959899">
                      <w:marLeft w:val="0"/>
                      <w:marRight w:val="0"/>
                      <w:marTop w:val="0"/>
                      <w:marBottom w:val="0"/>
                      <w:divBdr>
                        <w:top w:val="none" w:sz="0" w:space="0" w:color="auto"/>
                        <w:left w:val="none" w:sz="0" w:space="0" w:color="auto"/>
                        <w:bottom w:val="none" w:sz="0" w:space="0" w:color="auto"/>
                        <w:right w:val="none" w:sz="0" w:space="0" w:color="auto"/>
                      </w:divBdr>
                    </w:div>
                    <w:div w:id="1880241137">
                      <w:marLeft w:val="0"/>
                      <w:marRight w:val="0"/>
                      <w:marTop w:val="0"/>
                      <w:marBottom w:val="0"/>
                      <w:divBdr>
                        <w:top w:val="none" w:sz="0" w:space="0" w:color="auto"/>
                        <w:left w:val="none" w:sz="0" w:space="0" w:color="auto"/>
                        <w:bottom w:val="none" w:sz="0" w:space="0" w:color="auto"/>
                        <w:right w:val="none" w:sz="0" w:space="0" w:color="auto"/>
                      </w:divBdr>
                      <w:divsChild>
                        <w:div w:id="493379343">
                          <w:marLeft w:val="0"/>
                          <w:marRight w:val="0"/>
                          <w:marTop w:val="0"/>
                          <w:marBottom w:val="0"/>
                          <w:divBdr>
                            <w:top w:val="none" w:sz="0" w:space="0" w:color="auto"/>
                            <w:left w:val="none" w:sz="0" w:space="0" w:color="auto"/>
                            <w:bottom w:val="none" w:sz="0" w:space="0" w:color="auto"/>
                            <w:right w:val="none" w:sz="0" w:space="0" w:color="auto"/>
                          </w:divBdr>
                        </w:div>
                      </w:divsChild>
                    </w:div>
                    <w:div w:id="833112567">
                      <w:marLeft w:val="0"/>
                      <w:marRight w:val="0"/>
                      <w:marTop w:val="0"/>
                      <w:marBottom w:val="0"/>
                      <w:divBdr>
                        <w:top w:val="none" w:sz="0" w:space="0" w:color="auto"/>
                        <w:left w:val="none" w:sz="0" w:space="0" w:color="auto"/>
                        <w:bottom w:val="none" w:sz="0" w:space="0" w:color="auto"/>
                        <w:right w:val="none" w:sz="0" w:space="0" w:color="auto"/>
                      </w:divBdr>
                      <w:divsChild>
                        <w:div w:id="12509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064">
          <w:marLeft w:val="0"/>
          <w:marRight w:val="0"/>
          <w:marTop w:val="0"/>
          <w:marBottom w:val="0"/>
          <w:divBdr>
            <w:top w:val="none" w:sz="0" w:space="0" w:color="auto"/>
            <w:left w:val="none" w:sz="0" w:space="0" w:color="auto"/>
            <w:bottom w:val="none" w:sz="0" w:space="0" w:color="auto"/>
            <w:right w:val="none" w:sz="0" w:space="0" w:color="auto"/>
          </w:divBdr>
          <w:divsChild>
            <w:div w:id="2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7167">
      <w:bodyDiv w:val="1"/>
      <w:marLeft w:val="0"/>
      <w:marRight w:val="0"/>
      <w:marTop w:val="0"/>
      <w:marBottom w:val="0"/>
      <w:divBdr>
        <w:top w:val="none" w:sz="0" w:space="0" w:color="auto"/>
        <w:left w:val="none" w:sz="0" w:space="0" w:color="auto"/>
        <w:bottom w:val="none" w:sz="0" w:space="0" w:color="auto"/>
        <w:right w:val="none" w:sz="0" w:space="0" w:color="auto"/>
      </w:divBdr>
    </w:div>
    <w:div w:id="1646274677">
      <w:bodyDiv w:val="1"/>
      <w:marLeft w:val="0"/>
      <w:marRight w:val="0"/>
      <w:marTop w:val="0"/>
      <w:marBottom w:val="0"/>
      <w:divBdr>
        <w:top w:val="none" w:sz="0" w:space="0" w:color="auto"/>
        <w:left w:val="none" w:sz="0" w:space="0" w:color="auto"/>
        <w:bottom w:val="none" w:sz="0" w:space="0" w:color="auto"/>
        <w:right w:val="none" w:sz="0" w:space="0" w:color="auto"/>
      </w:divBdr>
      <w:divsChild>
        <w:div w:id="1379671921">
          <w:marLeft w:val="0"/>
          <w:marRight w:val="0"/>
          <w:marTop w:val="0"/>
          <w:marBottom w:val="0"/>
          <w:divBdr>
            <w:top w:val="none" w:sz="0" w:space="0" w:color="auto"/>
            <w:left w:val="none" w:sz="0" w:space="0" w:color="auto"/>
            <w:bottom w:val="none" w:sz="0" w:space="0" w:color="auto"/>
            <w:right w:val="none" w:sz="0" w:space="0" w:color="auto"/>
          </w:divBdr>
        </w:div>
        <w:div w:id="1793665138">
          <w:marLeft w:val="0"/>
          <w:marRight w:val="0"/>
          <w:marTop w:val="0"/>
          <w:marBottom w:val="0"/>
          <w:divBdr>
            <w:top w:val="none" w:sz="0" w:space="0" w:color="auto"/>
            <w:left w:val="none" w:sz="0" w:space="0" w:color="auto"/>
            <w:bottom w:val="none" w:sz="0" w:space="0" w:color="auto"/>
            <w:right w:val="none" w:sz="0" w:space="0" w:color="auto"/>
          </w:divBdr>
          <w:divsChild>
            <w:div w:id="1064992366">
              <w:marLeft w:val="0"/>
              <w:marRight w:val="0"/>
              <w:marTop w:val="0"/>
              <w:marBottom w:val="0"/>
              <w:divBdr>
                <w:top w:val="none" w:sz="0" w:space="0" w:color="auto"/>
                <w:left w:val="none" w:sz="0" w:space="0" w:color="auto"/>
                <w:bottom w:val="none" w:sz="0" w:space="0" w:color="auto"/>
                <w:right w:val="none" w:sz="0" w:space="0" w:color="auto"/>
              </w:divBdr>
            </w:div>
          </w:divsChild>
        </w:div>
        <w:div w:id="126246011">
          <w:marLeft w:val="0"/>
          <w:marRight w:val="0"/>
          <w:marTop w:val="0"/>
          <w:marBottom w:val="0"/>
          <w:divBdr>
            <w:top w:val="none" w:sz="0" w:space="0" w:color="auto"/>
            <w:left w:val="none" w:sz="0" w:space="0" w:color="auto"/>
            <w:bottom w:val="none" w:sz="0" w:space="0" w:color="auto"/>
            <w:right w:val="none" w:sz="0" w:space="0" w:color="auto"/>
          </w:divBdr>
          <w:divsChild>
            <w:div w:id="817570528">
              <w:marLeft w:val="0"/>
              <w:marRight w:val="0"/>
              <w:marTop w:val="0"/>
              <w:marBottom w:val="0"/>
              <w:divBdr>
                <w:top w:val="none" w:sz="0" w:space="0" w:color="auto"/>
                <w:left w:val="none" w:sz="0" w:space="0" w:color="auto"/>
                <w:bottom w:val="none" w:sz="0" w:space="0" w:color="auto"/>
                <w:right w:val="none" w:sz="0" w:space="0" w:color="auto"/>
              </w:divBdr>
            </w:div>
          </w:divsChild>
        </w:div>
        <w:div w:id="1771272413">
          <w:marLeft w:val="0"/>
          <w:marRight w:val="0"/>
          <w:marTop w:val="0"/>
          <w:marBottom w:val="0"/>
          <w:divBdr>
            <w:top w:val="none" w:sz="0" w:space="0" w:color="auto"/>
            <w:left w:val="none" w:sz="0" w:space="0" w:color="auto"/>
            <w:bottom w:val="none" w:sz="0" w:space="0" w:color="auto"/>
            <w:right w:val="none" w:sz="0" w:space="0" w:color="auto"/>
          </w:divBdr>
          <w:divsChild>
            <w:div w:id="207298237">
              <w:marLeft w:val="0"/>
              <w:marRight w:val="0"/>
              <w:marTop w:val="0"/>
              <w:marBottom w:val="0"/>
              <w:divBdr>
                <w:top w:val="none" w:sz="0" w:space="0" w:color="auto"/>
                <w:left w:val="none" w:sz="0" w:space="0" w:color="auto"/>
                <w:bottom w:val="none" w:sz="0" w:space="0" w:color="auto"/>
                <w:right w:val="none" w:sz="0" w:space="0" w:color="auto"/>
              </w:divBdr>
            </w:div>
            <w:div w:id="374815256">
              <w:marLeft w:val="0"/>
              <w:marRight w:val="0"/>
              <w:marTop w:val="0"/>
              <w:marBottom w:val="0"/>
              <w:divBdr>
                <w:top w:val="none" w:sz="0" w:space="0" w:color="auto"/>
                <w:left w:val="none" w:sz="0" w:space="0" w:color="auto"/>
                <w:bottom w:val="none" w:sz="0" w:space="0" w:color="auto"/>
                <w:right w:val="none" w:sz="0" w:space="0" w:color="auto"/>
              </w:divBdr>
              <w:divsChild>
                <w:div w:id="1796677851">
                  <w:marLeft w:val="0"/>
                  <w:marRight w:val="0"/>
                  <w:marTop w:val="0"/>
                  <w:marBottom w:val="0"/>
                  <w:divBdr>
                    <w:top w:val="none" w:sz="0" w:space="0" w:color="auto"/>
                    <w:left w:val="none" w:sz="0" w:space="0" w:color="auto"/>
                    <w:bottom w:val="none" w:sz="0" w:space="0" w:color="auto"/>
                    <w:right w:val="none" w:sz="0" w:space="0" w:color="auto"/>
                  </w:divBdr>
                  <w:divsChild>
                    <w:div w:id="10284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7499">
              <w:marLeft w:val="0"/>
              <w:marRight w:val="0"/>
              <w:marTop w:val="0"/>
              <w:marBottom w:val="0"/>
              <w:divBdr>
                <w:top w:val="none" w:sz="0" w:space="0" w:color="auto"/>
                <w:left w:val="none" w:sz="0" w:space="0" w:color="auto"/>
                <w:bottom w:val="none" w:sz="0" w:space="0" w:color="auto"/>
                <w:right w:val="none" w:sz="0" w:space="0" w:color="auto"/>
              </w:divBdr>
              <w:divsChild>
                <w:div w:id="1514102072">
                  <w:marLeft w:val="0"/>
                  <w:marRight w:val="0"/>
                  <w:marTop w:val="0"/>
                  <w:marBottom w:val="0"/>
                  <w:divBdr>
                    <w:top w:val="none" w:sz="0" w:space="0" w:color="auto"/>
                    <w:left w:val="none" w:sz="0" w:space="0" w:color="auto"/>
                    <w:bottom w:val="none" w:sz="0" w:space="0" w:color="auto"/>
                    <w:right w:val="none" w:sz="0" w:space="0" w:color="auto"/>
                  </w:divBdr>
                  <w:divsChild>
                    <w:div w:id="915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7567">
              <w:marLeft w:val="0"/>
              <w:marRight w:val="0"/>
              <w:marTop w:val="0"/>
              <w:marBottom w:val="0"/>
              <w:divBdr>
                <w:top w:val="none" w:sz="0" w:space="0" w:color="auto"/>
                <w:left w:val="none" w:sz="0" w:space="0" w:color="auto"/>
                <w:bottom w:val="none" w:sz="0" w:space="0" w:color="auto"/>
                <w:right w:val="none" w:sz="0" w:space="0" w:color="auto"/>
              </w:divBdr>
              <w:divsChild>
                <w:div w:id="431823349">
                  <w:marLeft w:val="0"/>
                  <w:marRight w:val="0"/>
                  <w:marTop w:val="0"/>
                  <w:marBottom w:val="0"/>
                  <w:divBdr>
                    <w:top w:val="none" w:sz="0" w:space="0" w:color="auto"/>
                    <w:left w:val="none" w:sz="0" w:space="0" w:color="auto"/>
                    <w:bottom w:val="none" w:sz="0" w:space="0" w:color="auto"/>
                    <w:right w:val="none" w:sz="0" w:space="0" w:color="auto"/>
                  </w:divBdr>
                  <w:divsChild>
                    <w:div w:id="9488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9433">
              <w:marLeft w:val="0"/>
              <w:marRight w:val="0"/>
              <w:marTop w:val="0"/>
              <w:marBottom w:val="0"/>
              <w:divBdr>
                <w:top w:val="none" w:sz="0" w:space="0" w:color="auto"/>
                <w:left w:val="none" w:sz="0" w:space="0" w:color="auto"/>
                <w:bottom w:val="none" w:sz="0" w:space="0" w:color="auto"/>
                <w:right w:val="none" w:sz="0" w:space="0" w:color="auto"/>
              </w:divBdr>
              <w:divsChild>
                <w:div w:id="1241596198">
                  <w:marLeft w:val="0"/>
                  <w:marRight w:val="0"/>
                  <w:marTop w:val="0"/>
                  <w:marBottom w:val="0"/>
                  <w:divBdr>
                    <w:top w:val="none" w:sz="0" w:space="0" w:color="auto"/>
                    <w:left w:val="none" w:sz="0" w:space="0" w:color="auto"/>
                    <w:bottom w:val="none" w:sz="0" w:space="0" w:color="auto"/>
                    <w:right w:val="none" w:sz="0" w:space="0" w:color="auto"/>
                  </w:divBdr>
                  <w:divsChild>
                    <w:div w:id="449711956">
                      <w:marLeft w:val="0"/>
                      <w:marRight w:val="0"/>
                      <w:marTop w:val="0"/>
                      <w:marBottom w:val="0"/>
                      <w:divBdr>
                        <w:top w:val="none" w:sz="0" w:space="0" w:color="auto"/>
                        <w:left w:val="none" w:sz="0" w:space="0" w:color="auto"/>
                        <w:bottom w:val="none" w:sz="0" w:space="0" w:color="auto"/>
                        <w:right w:val="none" w:sz="0" w:space="0" w:color="auto"/>
                      </w:divBdr>
                    </w:div>
                    <w:div w:id="1179001140">
                      <w:marLeft w:val="0"/>
                      <w:marRight w:val="0"/>
                      <w:marTop w:val="0"/>
                      <w:marBottom w:val="0"/>
                      <w:divBdr>
                        <w:top w:val="none" w:sz="0" w:space="0" w:color="auto"/>
                        <w:left w:val="none" w:sz="0" w:space="0" w:color="auto"/>
                        <w:bottom w:val="none" w:sz="0" w:space="0" w:color="auto"/>
                        <w:right w:val="none" w:sz="0" w:space="0" w:color="auto"/>
                      </w:divBdr>
                      <w:divsChild>
                        <w:div w:id="219100089">
                          <w:marLeft w:val="0"/>
                          <w:marRight w:val="0"/>
                          <w:marTop w:val="0"/>
                          <w:marBottom w:val="0"/>
                          <w:divBdr>
                            <w:top w:val="none" w:sz="0" w:space="0" w:color="auto"/>
                            <w:left w:val="none" w:sz="0" w:space="0" w:color="auto"/>
                            <w:bottom w:val="none" w:sz="0" w:space="0" w:color="auto"/>
                            <w:right w:val="none" w:sz="0" w:space="0" w:color="auto"/>
                          </w:divBdr>
                        </w:div>
                      </w:divsChild>
                    </w:div>
                    <w:div w:id="1165630458">
                      <w:marLeft w:val="0"/>
                      <w:marRight w:val="0"/>
                      <w:marTop w:val="0"/>
                      <w:marBottom w:val="0"/>
                      <w:divBdr>
                        <w:top w:val="none" w:sz="0" w:space="0" w:color="auto"/>
                        <w:left w:val="none" w:sz="0" w:space="0" w:color="auto"/>
                        <w:bottom w:val="none" w:sz="0" w:space="0" w:color="auto"/>
                        <w:right w:val="none" w:sz="0" w:space="0" w:color="auto"/>
                      </w:divBdr>
                      <w:divsChild>
                        <w:div w:id="13108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7383">
          <w:marLeft w:val="0"/>
          <w:marRight w:val="0"/>
          <w:marTop w:val="0"/>
          <w:marBottom w:val="0"/>
          <w:divBdr>
            <w:top w:val="none" w:sz="0" w:space="0" w:color="auto"/>
            <w:left w:val="none" w:sz="0" w:space="0" w:color="auto"/>
            <w:bottom w:val="none" w:sz="0" w:space="0" w:color="auto"/>
            <w:right w:val="none" w:sz="0" w:space="0" w:color="auto"/>
          </w:divBdr>
          <w:divsChild>
            <w:div w:id="17485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899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71">
          <w:marLeft w:val="0"/>
          <w:marRight w:val="0"/>
          <w:marTop w:val="0"/>
          <w:marBottom w:val="0"/>
          <w:divBdr>
            <w:top w:val="none" w:sz="0" w:space="0" w:color="auto"/>
            <w:left w:val="none" w:sz="0" w:space="0" w:color="auto"/>
            <w:bottom w:val="none" w:sz="0" w:space="0" w:color="auto"/>
            <w:right w:val="none" w:sz="0" w:space="0" w:color="auto"/>
          </w:divBdr>
        </w:div>
        <w:div w:id="626277554">
          <w:marLeft w:val="0"/>
          <w:marRight w:val="0"/>
          <w:marTop w:val="0"/>
          <w:marBottom w:val="0"/>
          <w:divBdr>
            <w:top w:val="none" w:sz="0" w:space="0" w:color="auto"/>
            <w:left w:val="none" w:sz="0" w:space="0" w:color="auto"/>
            <w:bottom w:val="none" w:sz="0" w:space="0" w:color="auto"/>
            <w:right w:val="none" w:sz="0" w:space="0" w:color="auto"/>
          </w:divBdr>
          <w:divsChild>
            <w:div w:id="1892382167">
              <w:marLeft w:val="0"/>
              <w:marRight w:val="0"/>
              <w:marTop w:val="0"/>
              <w:marBottom w:val="0"/>
              <w:divBdr>
                <w:top w:val="none" w:sz="0" w:space="0" w:color="auto"/>
                <w:left w:val="none" w:sz="0" w:space="0" w:color="auto"/>
                <w:bottom w:val="none" w:sz="0" w:space="0" w:color="auto"/>
                <w:right w:val="none" w:sz="0" w:space="0" w:color="auto"/>
              </w:divBdr>
            </w:div>
            <w:div w:id="60177533">
              <w:marLeft w:val="0"/>
              <w:marRight w:val="0"/>
              <w:marTop w:val="0"/>
              <w:marBottom w:val="0"/>
              <w:divBdr>
                <w:top w:val="none" w:sz="0" w:space="0" w:color="auto"/>
                <w:left w:val="none" w:sz="0" w:space="0" w:color="auto"/>
                <w:bottom w:val="none" w:sz="0" w:space="0" w:color="auto"/>
                <w:right w:val="none" w:sz="0" w:space="0" w:color="auto"/>
              </w:divBdr>
              <w:divsChild>
                <w:div w:id="1710299191">
                  <w:marLeft w:val="0"/>
                  <w:marRight w:val="0"/>
                  <w:marTop w:val="0"/>
                  <w:marBottom w:val="0"/>
                  <w:divBdr>
                    <w:top w:val="none" w:sz="0" w:space="0" w:color="auto"/>
                    <w:left w:val="none" w:sz="0" w:space="0" w:color="auto"/>
                    <w:bottom w:val="none" w:sz="0" w:space="0" w:color="auto"/>
                    <w:right w:val="none" w:sz="0" w:space="0" w:color="auto"/>
                  </w:divBdr>
                  <w:divsChild>
                    <w:div w:id="19885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009">
              <w:marLeft w:val="0"/>
              <w:marRight w:val="0"/>
              <w:marTop w:val="0"/>
              <w:marBottom w:val="0"/>
              <w:divBdr>
                <w:top w:val="none" w:sz="0" w:space="0" w:color="auto"/>
                <w:left w:val="none" w:sz="0" w:space="0" w:color="auto"/>
                <w:bottom w:val="none" w:sz="0" w:space="0" w:color="auto"/>
                <w:right w:val="none" w:sz="0" w:space="0" w:color="auto"/>
              </w:divBdr>
              <w:divsChild>
                <w:div w:id="623116581">
                  <w:marLeft w:val="0"/>
                  <w:marRight w:val="0"/>
                  <w:marTop w:val="0"/>
                  <w:marBottom w:val="0"/>
                  <w:divBdr>
                    <w:top w:val="none" w:sz="0" w:space="0" w:color="auto"/>
                    <w:left w:val="none" w:sz="0" w:space="0" w:color="auto"/>
                    <w:bottom w:val="none" w:sz="0" w:space="0" w:color="auto"/>
                    <w:right w:val="none" w:sz="0" w:space="0" w:color="auto"/>
                  </w:divBdr>
                  <w:divsChild>
                    <w:div w:id="511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4670">
          <w:marLeft w:val="0"/>
          <w:marRight w:val="0"/>
          <w:marTop w:val="0"/>
          <w:marBottom w:val="0"/>
          <w:divBdr>
            <w:top w:val="none" w:sz="0" w:space="0" w:color="auto"/>
            <w:left w:val="none" w:sz="0" w:space="0" w:color="auto"/>
            <w:bottom w:val="none" w:sz="0" w:space="0" w:color="auto"/>
            <w:right w:val="none" w:sz="0" w:space="0" w:color="auto"/>
          </w:divBdr>
          <w:divsChild>
            <w:div w:id="4978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2714</Words>
  <Characters>16286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CHYLIŃSKA Anna</cp:lastModifiedBy>
  <cp:revision>4</cp:revision>
  <dcterms:created xsi:type="dcterms:W3CDTF">2023-03-03T14:07:00Z</dcterms:created>
  <dcterms:modified xsi:type="dcterms:W3CDTF">2023-03-06T13:22:00Z</dcterms:modified>
</cp:coreProperties>
</file>