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593"/>
        <w:gridCol w:w="297"/>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11503B" w:rsidTr="0011503B">
        <w:trPr>
          <w:gridAfter w:val="1"/>
          <w:wAfter w:w="10" w:type="dxa"/>
          <w:trHeight w:val="1611"/>
        </w:trPr>
        <w:tc>
          <w:tcPr>
            <w:tcW w:w="6631" w:type="dxa"/>
            <w:gridSpan w:val="17"/>
            <w:tcBorders>
              <w:top w:val="single" w:sz="4" w:space="0" w:color="auto"/>
              <w:left w:val="single" w:sz="4" w:space="0" w:color="auto"/>
              <w:bottom w:val="single" w:sz="4" w:space="0" w:color="auto"/>
              <w:right w:val="single" w:sz="4" w:space="0" w:color="auto"/>
            </w:tcBorders>
            <w:hideMark/>
          </w:tcPr>
          <w:p w:rsidR="0011503B" w:rsidRDefault="0011503B">
            <w:pPr>
              <w:spacing w:before="120" w:after="200" w:line="240" w:lineRule="auto"/>
              <w:ind w:hanging="45"/>
              <w:rPr>
                <w:rFonts w:ascii="Times New Roman" w:eastAsia="Times New Roman" w:hAnsi="Times New Roman" w:cs="Times New Roman"/>
                <w:color w:val="000000"/>
                <w:sz w:val="24"/>
                <w:lang w:eastAsia="pl-PL"/>
              </w:rPr>
            </w:pPr>
            <w:bookmarkStart w:id="0" w:name="t1"/>
            <w:bookmarkStart w:id="1" w:name="_GoBack"/>
            <w:bookmarkEnd w:id="1"/>
            <w:r>
              <w:rPr>
                <w:rFonts w:ascii="Times New Roman" w:eastAsia="Times New Roman" w:hAnsi="Times New Roman" w:cs="Times New Roman"/>
                <w:b/>
                <w:color w:val="000000"/>
                <w:sz w:val="24"/>
                <w:lang w:eastAsia="pl-PL"/>
              </w:rPr>
              <w:t>Nazwa projektu</w:t>
            </w:r>
          </w:p>
          <w:p w:rsidR="0011503B" w:rsidRDefault="0011503B">
            <w:pPr>
              <w:spacing w:after="200" w:line="240" w:lineRule="auto"/>
              <w:ind w:hanging="34"/>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Rozporządzenie w sprawie przygotowania systemu kierowania bezpieczeństwem narodowym</w:t>
            </w:r>
          </w:p>
          <w:p w:rsidR="0011503B" w:rsidRDefault="0011503B">
            <w:pPr>
              <w:spacing w:before="120" w:after="200" w:line="240" w:lineRule="auto"/>
              <w:ind w:hanging="45"/>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Ministerstwo wiodące i ministerstwa współpracujące</w:t>
            </w:r>
          </w:p>
          <w:p w:rsidR="0011503B" w:rsidRDefault="0011503B">
            <w:pPr>
              <w:spacing w:after="200" w:line="240" w:lineRule="auto"/>
              <w:rPr>
                <w:rFonts w:ascii="Times New Roman" w:eastAsia="Times New Roman" w:hAnsi="Times New Roman" w:cs="Times New Roman"/>
                <w:b/>
                <w:sz w:val="21"/>
                <w:szCs w:val="24"/>
                <w:lang w:eastAsia="pl-PL"/>
              </w:rPr>
            </w:pPr>
            <w:r>
              <w:rPr>
                <w:rFonts w:ascii="Times New Roman" w:eastAsia="Times New Roman" w:hAnsi="Times New Roman" w:cs="Times New Roman"/>
                <w:color w:val="000000"/>
                <w:sz w:val="24"/>
                <w:lang w:eastAsia="pl-PL"/>
              </w:rPr>
              <w:t>Ministerstwo Obrony Narodowej</w:t>
            </w:r>
            <w:bookmarkEnd w:id="0"/>
          </w:p>
          <w:p w:rsidR="0011503B" w:rsidRDefault="0011503B">
            <w:pPr>
              <w:spacing w:after="20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4"/>
                <w:lang w:eastAsia="pl-PL"/>
              </w:rPr>
              <w:t>Osoba odpowiedzialna za projekt w randze Ministra, Sekretarza Stanu lub Podsekretarza Stanu</w:t>
            </w:r>
            <w:r>
              <w:rPr>
                <w:rFonts w:ascii="Times New Roman" w:eastAsia="Times New Roman" w:hAnsi="Times New Roman" w:cs="Times New Roman"/>
                <w:b/>
                <w:sz w:val="21"/>
                <w:szCs w:val="21"/>
                <w:lang w:eastAsia="pl-PL"/>
              </w:rPr>
              <w:t xml:space="preserve"> </w:t>
            </w:r>
          </w:p>
          <w:p w:rsidR="0011503B" w:rsidRDefault="0011503B">
            <w:pPr>
              <w:spacing w:after="20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Minister Obrony Narodowej</w:t>
            </w:r>
          </w:p>
          <w:p w:rsidR="0011503B" w:rsidRDefault="0011503B">
            <w:pPr>
              <w:spacing w:before="120" w:after="200" w:line="240" w:lineRule="auto"/>
              <w:ind w:hanging="45"/>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Kontakt do opiekuna merytorycznego projektu</w:t>
            </w:r>
          </w:p>
          <w:p w:rsidR="0011503B" w:rsidRDefault="0011503B">
            <w:pPr>
              <w:spacing w:after="200" w:line="240" w:lineRule="auto"/>
              <w:ind w:hanging="34"/>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Piotr ZUZANKIEWICZ (261 874 304, pzuzankiewicz@mon.gov.pl)</w:t>
            </w:r>
          </w:p>
          <w:p w:rsidR="0011503B" w:rsidRDefault="0011503B">
            <w:pPr>
              <w:spacing w:after="200" w:line="240" w:lineRule="auto"/>
              <w:ind w:hanging="34"/>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płk Arkadiusz KOŁOMYJEC </w:t>
            </w:r>
            <w:r>
              <w:rPr>
                <w:rFonts w:ascii="Times New Roman" w:eastAsia="Times New Roman" w:hAnsi="Times New Roman" w:cs="Times New Roman"/>
                <w:sz w:val="24"/>
                <w:lang w:eastAsia="pl-PL"/>
              </w:rPr>
              <w:t>(261 874 823,  akolomyjec@mon.gov.pl)</w:t>
            </w:r>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Data sporządzenia</w:t>
            </w:r>
            <w:r>
              <w:rPr>
                <w:rFonts w:ascii="Times New Roman" w:eastAsia="Times New Roman" w:hAnsi="Times New Roman" w:cs="Times New Roman"/>
                <w:b/>
                <w:sz w:val="21"/>
                <w:szCs w:val="21"/>
                <w:lang w:eastAsia="pl-PL"/>
              </w:rPr>
              <w:br/>
            </w:r>
            <w:r w:rsidR="004D6EA8">
              <w:rPr>
                <w:rFonts w:ascii="Times New Roman" w:eastAsia="Times New Roman" w:hAnsi="Times New Roman" w:cs="Times New Roman"/>
                <w:sz w:val="21"/>
                <w:szCs w:val="21"/>
                <w:lang w:eastAsia="pl-PL"/>
              </w:rPr>
              <w:t>13.04</w:t>
            </w:r>
            <w:r>
              <w:rPr>
                <w:rFonts w:ascii="Times New Roman" w:eastAsia="Times New Roman" w:hAnsi="Times New Roman" w:cs="Times New Roman"/>
                <w:sz w:val="21"/>
                <w:szCs w:val="21"/>
                <w:lang w:eastAsia="pl-PL"/>
              </w:rPr>
              <w:t>.2023 r.</w:t>
            </w:r>
          </w:p>
          <w:p w:rsidR="0011503B" w:rsidRDefault="0011503B">
            <w:pPr>
              <w:spacing w:after="200" w:line="240" w:lineRule="auto"/>
              <w:rPr>
                <w:rFonts w:ascii="Times New Roman" w:eastAsia="Times New Roman" w:hAnsi="Times New Roman" w:cs="Times New Roman"/>
                <w:b/>
                <w:sz w:val="24"/>
                <w:lang w:eastAsia="pl-PL"/>
              </w:rPr>
            </w:pPr>
          </w:p>
          <w:p w:rsidR="0011503B" w:rsidRDefault="0011503B">
            <w:pPr>
              <w:spacing w:after="20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Źródło: </w:t>
            </w:r>
            <w:bookmarkStart w:id="2" w:name="Lista1"/>
            <w:bookmarkEnd w:id="2"/>
          </w:p>
          <w:p w:rsidR="0011503B" w:rsidRDefault="0011503B">
            <w:pPr>
              <w:spacing w:after="200" w:line="240" w:lineRule="auto"/>
              <w:ind w:hanging="34"/>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Ustawa z dnia </w:t>
            </w:r>
            <w:r>
              <w:rPr>
                <w:rFonts w:ascii="Times New Roman" w:eastAsia="Times New Roman" w:hAnsi="Times New Roman" w:cs="Times New Roman"/>
                <w:sz w:val="24"/>
                <w:lang w:eastAsia="pl-PL"/>
              </w:rPr>
              <w:t>11 marca</w:t>
            </w:r>
            <w:r>
              <w:rPr>
                <w:rFonts w:ascii="Times New Roman" w:eastAsia="Times New Roman" w:hAnsi="Times New Roman" w:cs="Times New Roman"/>
                <w:color w:val="000000"/>
                <w:sz w:val="24"/>
                <w:lang w:eastAsia="pl-PL"/>
              </w:rPr>
              <w:t xml:space="preserve"> 2022 r. o obronie Ojczyzny (Dz. U. poz. 2305</w:t>
            </w:r>
            <w:r>
              <w:rPr>
                <w:rFonts w:ascii="Times New Roman" w:eastAsia="Times New Roman" w:hAnsi="Times New Roman" w:cs="Times New Roman"/>
                <w:sz w:val="24"/>
                <w:lang w:eastAsia="pl-PL"/>
              </w:rPr>
              <w:t xml:space="preserve"> </w:t>
            </w:r>
            <w:r>
              <w:rPr>
                <w:rFonts w:ascii="Times New Roman" w:eastAsia="Times New Roman" w:hAnsi="Times New Roman" w:cs="Times New Roman"/>
                <w:color w:val="000000"/>
                <w:sz w:val="24"/>
                <w:lang w:eastAsia="pl-PL"/>
              </w:rPr>
              <w:t>oraz z 2023 r. poz. 347)</w:t>
            </w:r>
          </w:p>
          <w:p w:rsidR="0011503B" w:rsidRDefault="0011503B">
            <w:pPr>
              <w:spacing w:before="120" w:after="200" w:line="240" w:lineRule="auto"/>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Nr w wykazie prac Rady Ministrów: RD682</w:t>
            </w:r>
          </w:p>
          <w:p w:rsidR="0011503B" w:rsidRDefault="0011503B">
            <w:pPr>
              <w:spacing w:after="200" w:line="240" w:lineRule="auto"/>
              <w:rPr>
                <w:rFonts w:ascii="Times New Roman" w:eastAsia="Times New Roman" w:hAnsi="Times New Roman" w:cs="Times New Roman"/>
                <w:color w:val="000000"/>
                <w:sz w:val="28"/>
                <w:szCs w:val="28"/>
                <w:lang w:eastAsia="pl-PL"/>
              </w:rPr>
            </w:pP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pPr>
              <w:spacing w:after="200" w:line="240" w:lineRule="auto"/>
              <w:ind w:left="57"/>
              <w:jc w:val="center"/>
              <w:rPr>
                <w:rFonts w:ascii="Times New Roman" w:eastAsia="Times New Roman" w:hAnsi="Times New Roman" w:cs="Times New Roman"/>
                <w:b/>
                <w:color w:val="FFFFFF"/>
                <w:sz w:val="32"/>
                <w:szCs w:val="32"/>
                <w:lang w:eastAsia="pl-PL"/>
              </w:rPr>
            </w:pPr>
            <w:r>
              <w:rPr>
                <w:rFonts w:ascii="Times New Roman" w:eastAsia="Times New Roman" w:hAnsi="Times New Roman" w:cs="Times New Roman"/>
                <w:b/>
                <w:color w:val="FFFFFF"/>
                <w:sz w:val="32"/>
                <w:szCs w:val="32"/>
                <w:lang w:eastAsia="pl-PL"/>
              </w:rPr>
              <w:t>OCENA SKUTKÓW REGULACJI</w:t>
            </w:r>
          </w:p>
        </w:tc>
      </w:tr>
      <w:tr w:rsidR="0011503B" w:rsidTr="0011503B">
        <w:trPr>
          <w:gridAfter w:val="1"/>
          <w:wAfter w:w="10" w:type="dxa"/>
          <w:trHeight w:val="333"/>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sz w:val="24"/>
                <w:lang w:eastAsia="pl-PL"/>
              </w:rPr>
              <w:t>Jaki problem jest rozwiązywany?</w:t>
            </w:r>
            <w:bookmarkStart w:id="3" w:name="Wybór1"/>
            <w:bookmarkEnd w:id="3"/>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sz w:val="24"/>
                <w:lang w:eastAsia="pl-PL"/>
              </w:rPr>
              <w:t>Projekt rozporządzenia stanowi wykonanie upoważnienia zawartego w art.</w:t>
            </w:r>
            <w:r>
              <w:rPr>
                <w:rFonts w:ascii="Times New Roman" w:eastAsia="Times New Roman" w:hAnsi="Times New Roman" w:cs="Times New Roman"/>
                <w:bCs/>
                <w:sz w:val="24"/>
                <w:lang w:eastAsia="pl-PL"/>
              </w:rPr>
              <w:t xml:space="preserve"> 27 ust. 2 pkt 2 </w:t>
            </w:r>
            <w:r>
              <w:rPr>
                <w:rFonts w:ascii="Times New Roman" w:eastAsia="Times New Roman" w:hAnsi="Times New Roman" w:cs="Times New Roman"/>
                <w:sz w:val="24"/>
                <w:lang w:eastAsia="pl-PL"/>
              </w:rPr>
              <w:t xml:space="preserve">ustawy z dnia </w:t>
            </w:r>
            <w:r>
              <w:rPr>
                <w:rFonts w:ascii="Times New Roman" w:eastAsia="Times New Roman" w:hAnsi="Times New Roman" w:cs="Times New Roman"/>
                <w:sz w:val="24"/>
                <w:lang w:eastAsia="pl-PL"/>
              </w:rPr>
              <w:br/>
              <w:t>11 marca</w:t>
            </w:r>
            <w:r>
              <w:rPr>
                <w:rFonts w:ascii="Times New Roman" w:eastAsia="Times New Roman" w:hAnsi="Times New Roman" w:cs="Times New Roman"/>
                <w:color w:val="000000"/>
                <w:sz w:val="24"/>
                <w:lang w:eastAsia="pl-PL"/>
              </w:rPr>
              <w:t xml:space="preserve"> 2022 r. o obronie Ojczyzny </w:t>
            </w:r>
            <w:r>
              <w:rPr>
                <w:rFonts w:ascii="Times New Roman" w:eastAsia="Times New Roman" w:hAnsi="Times New Roman" w:cs="Times New Roman"/>
                <w:sz w:val="24"/>
                <w:lang w:eastAsia="pl-PL"/>
              </w:rPr>
              <w:t xml:space="preserve">(Dz. U. poz. 2305, z późn. zm.). Zgodnie z przywołanym przepisem Rada Ministrów określi, w drodze rozporządzenia, </w:t>
            </w:r>
            <w:r>
              <w:rPr>
                <w:rFonts w:ascii="Times New Roman" w:eastAsia="Times New Roman" w:hAnsi="Times New Roman" w:cs="Times New Roman"/>
                <w:color w:val="000000"/>
                <w:sz w:val="24"/>
                <w:lang w:eastAsia="pl-PL"/>
              </w:rPr>
              <w:t>organizację i tryb przygotowania systemu kierowania bezpieczeństwem narodowym, w tym obroną państwa, zwanego dalej „systemem kierowania” oraz warunki funkcjonowania organów władzy publicznej na stanowiskach kierowania.</w:t>
            </w:r>
          </w:p>
          <w:p w:rsidR="0011503B" w:rsidRDefault="0011503B">
            <w:pPr>
              <w:spacing w:after="200" w:line="24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Dotychczas kwestie organizacji i trybu przygotowania systemu kierowania bezpieczeństwem narodowym oraz warunków funkcjonowania organów władzy publicznej na stanowiskach kierowania regulowało rozporządzenie Rady Ministrów z dnia 27 kwietnia 2004 r. w sprawie przygotowania systemu kierowania bezpieczeństwem narodowym (Dz. U. poz. 978, z późn. zm.).</w:t>
            </w:r>
          </w:p>
          <w:p w:rsidR="0011503B" w:rsidRDefault="0011503B">
            <w:pPr>
              <w:spacing w:after="200" w:line="24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Celem projektu jest określenie organizacji i trybu przygotowania systemu kierowania bezpieczeństwem narodowym, który tworzą organy władzy publicznej. Określa się również warunki jakie muszą zostać spełnione przez organy władzy publicznej na stanowiskach kierowania.</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pacing w:val="-2"/>
                <w:sz w:val="24"/>
                <w:lang w:eastAsia="pl-PL"/>
              </w:rPr>
              <w:t>Rekomendowane rozwiązanie, w tym planowane narzędzia interwencji, i oczekiwany efekt</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W rozporządzeniu wyszczególniono wszystkie organy władzy publicznej, które tworzą system kierowania bezpieczeństwem narodowym. Wymieniono przy tym jakie zadania są konieczne do wykonania w ramach tworzonego systemu oraz jakie warunki muszą przy tym zostać spełnione.</w:t>
            </w:r>
          </w:p>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 xml:space="preserve">Przyjęto dwa typy stanowisk kierowania dla organów. Główne stanowiska kierowania i zapasowe stanowiska kierowania. Wyjaśniono kiedy i w jakich okolicznościach tworzy się dane stanowiska oraz stworzono katalog wymagań koniecznych do spełnienia przy ich tworzeniu. </w:t>
            </w:r>
          </w:p>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Wyjaśniono kwestie związane z finansowaniem zadań realizowanych w ramach przygotowania stanowisk kierowania.</w:t>
            </w:r>
          </w:p>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 xml:space="preserve">Opisano tryb przejścia poszczególnych organów na określone stanowiska kierowania. </w:t>
            </w:r>
          </w:p>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Rozwiązano kwestię realizacji zadań szczegółowych w zakresie systemu kierowania, które realizowane są w ramach planowania operacyjnego na podstawie oddzielnych przepisów.</w:t>
            </w:r>
          </w:p>
        </w:tc>
      </w:tr>
      <w:tr w:rsidR="0011503B" w:rsidTr="0011503B">
        <w:trPr>
          <w:gridAfter w:val="1"/>
          <w:wAfter w:w="10" w:type="dxa"/>
          <w:trHeight w:val="307"/>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spacing w:val="-2"/>
                <w:sz w:val="24"/>
                <w:lang w:eastAsia="pl-PL"/>
              </w:rPr>
              <w:t>Jak problem został rozwiązany w innych krajach, w szczególności krajach członkowskich OECD/UE</w:t>
            </w:r>
            <w:r>
              <w:rPr>
                <w:rFonts w:ascii="Times New Roman" w:eastAsia="Times New Roman" w:hAnsi="Times New Roman" w:cs="Times New Roman"/>
                <w:b/>
                <w:color w:val="000000"/>
                <w:sz w:val="24"/>
                <w:lang w:eastAsia="pl-PL"/>
              </w:rPr>
              <w:t>?</w:t>
            </w:r>
            <w:r>
              <w:rPr>
                <w:rFonts w:ascii="Times New Roman" w:eastAsia="Times New Roman" w:hAnsi="Times New Roman" w:cs="Times New Roman"/>
                <w:i/>
                <w:color w:val="000000"/>
                <w:sz w:val="24"/>
                <w:lang w:eastAsia="pl-PL"/>
              </w:rPr>
              <w:t xml:space="preserve"> </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Nie dotyczy.</w:t>
            </w:r>
          </w:p>
        </w:tc>
      </w:tr>
      <w:tr w:rsidR="0011503B" w:rsidTr="0011503B">
        <w:trPr>
          <w:gridAfter w:val="1"/>
          <w:wAfter w:w="10" w:type="dxa"/>
          <w:trHeight w:val="359"/>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lastRenderedPageBreak/>
              <w:t>Podmioty, na które oddziałuje projekt</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hideMark/>
          </w:tcPr>
          <w:p w:rsidR="0011503B" w:rsidRDefault="0011503B">
            <w:pPr>
              <w:spacing w:before="40" w:after="200" w:line="240" w:lineRule="auto"/>
              <w:jc w:val="center"/>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Grupa</w:t>
            </w:r>
          </w:p>
        </w:tc>
        <w:tc>
          <w:tcPr>
            <w:tcW w:w="2124" w:type="dxa"/>
            <w:gridSpan w:val="8"/>
            <w:tcBorders>
              <w:top w:val="single" w:sz="4" w:space="0" w:color="auto"/>
              <w:left w:val="single" w:sz="4" w:space="0" w:color="auto"/>
              <w:bottom w:val="single" w:sz="4" w:space="0" w:color="auto"/>
              <w:right w:val="single" w:sz="4" w:space="0" w:color="auto"/>
            </w:tcBorders>
            <w:hideMark/>
          </w:tcPr>
          <w:p w:rsidR="0011503B" w:rsidRDefault="0011503B">
            <w:pPr>
              <w:spacing w:before="40" w:after="200" w:line="240" w:lineRule="auto"/>
              <w:jc w:val="center"/>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rsidR="0011503B" w:rsidRDefault="0011503B">
            <w:pPr>
              <w:spacing w:before="40" w:after="200" w:line="240" w:lineRule="auto"/>
              <w:jc w:val="center"/>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before="40" w:after="200" w:line="240" w:lineRule="auto"/>
              <w:jc w:val="center"/>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Oddziaływanie</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ind w:left="57" w:right="57"/>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Prezes Rady Ministrów</w:t>
            </w: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1</w:t>
            </w:r>
          </w:p>
        </w:tc>
        <w:tc>
          <w:tcPr>
            <w:tcW w:w="2996" w:type="dxa"/>
            <w:gridSpan w:val="12"/>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premier.gov.pl</w:t>
            </w: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after="200" w:line="276" w:lineRule="auto"/>
              <w:ind w:left="57" w:right="57"/>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Koordynacja i organizacja przygotowywania systemu kierowania.</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ind w:left="57" w:right="57"/>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ministrowie kierujący działami administracji rządowej</w:t>
            </w: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18</w:t>
            </w:r>
          </w:p>
        </w:tc>
        <w:tc>
          <w:tcPr>
            <w:tcW w:w="2996" w:type="dxa"/>
            <w:gridSpan w:val="12"/>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premier.gov.pl</w:t>
            </w: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after="200" w:line="276" w:lineRule="auto"/>
              <w:ind w:left="57" w:right="57"/>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Organizacja przygotowywania systemu kierowania.</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ind w:left="57" w:right="57"/>
              <w:jc w:val="center"/>
              <w:rPr>
                <w:rFonts w:ascii="Times New Roman" w:eastAsia="Times New Roman" w:hAnsi="Times New Roman" w:cs="Times New Roman"/>
                <w:sz w:val="24"/>
                <w:vertAlign w:val="superscript"/>
                <w:lang w:eastAsia="pl-PL"/>
              </w:rPr>
            </w:pPr>
            <w:r>
              <w:rPr>
                <w:rFonts w:ascii="Times New Roman" w:eastAsia="Times New Roman" w:hAnsi="Times New Roman" w:cs="Times New Roman"/>
                <w:sz w:val="24"/>
                <w:lang w:eastAsia="pl-PL"/>
              </w:rPr>
              <w:t>wojewodowie</w:t>
            </w: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16</w:t>
            </w:r>
          </w:p>
        </w:tc>
        <w:tc>
          <w:tcPr>
            <w:tcW w:w="2996" w:type="dxa"/>
            <w:gridSpan w:val="12"/>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stat.gov.pl</w:t>
            </w: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after="200" w:line="276" w:lineRule="auto"/>
              <w:ind w:left="57" w:right="57"/>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Organizacja przygotowywania systemu kierowania.</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ind w:left="57" w:right="57"/>
              <w:jc w:val="center"/>
              <w:rPr>
                <w:rFonts w:ascii="Times New Roman" w:eastAsia="Times New Roman" w:hAnsi="Times New Roman" w:cs="Times New Roman"/>
                <w:sz w:val="24"/>
                <w:vertAlign w:val="superscript"/>
                <w:lang w:eastAsia="pl-PL"/>
              </w:rPr>
            </w:pPr>
            <w:r>
              <w:rPr>
                <w:rFonts w:ascii="Times New Roman" w:eastAsia="Times New Roman" w:hAnsi="Times New Roman" w:cs="Times New Roman"/>
                <w:sz w:val="24"/>
                <w:lang w:eastAsia="pl-PL"/>
              </w:rPr>
              <w:t>kierownicy urzędów centralnych</w:t>
            </w: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17</w:t>
            </w:r>
          </w:p>
        </w:tc>
        <w:tc>
          <w:tcPr>
            <w:tcW w:w="2996" w:type="dxa"/>
            <w:gridSpan w:val="12"/>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bip.kprm.gov.pl</w:t>
            </w: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after="200" w:line="276" w:lineRule="auto"/>
              <w:ind w:left="57" w:right="57"/>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Organizacja przygotowywania systemu kierowania.</w:t>
            </w:r>
          </w:p>
        </w:tc>
      </w:tr>
      <w:tr w:rsidR="0011503B" w:rsidTr="0011503B">
        <w:trPr>
          <w:gridAfter w:val="1"/>
          <w:wAfter w:w="10" w:type="dxa"/>
          <w:trHeight w:val="142"/>
        </w:trPr>
        <w:tc>
          <w:tcPr>
            <w:tcW w:w="2836" w:type="dxa"/>
            <w:gridSpan w:val="3"/>
            <w:tcBorders>
              <w:top w:val="single" w:sz="4" w:space="0" w:color="auto"/>
              <w:left w:val="single" w:sz="4" w:space="0" w:color="auto"/>
              <w:bottom w:val="single" w:sz="4" w:space="0" w:color="auto"/>
              <w:right w:val="single" w:sz="4" w:space="0" w:color="auto"/>
            </w:tcBorders>
            <w:hideMark/>
          </w:tcPr>
          <w:p w:rsidR="0011503B" w:rsidRDefault="0011503B">
            <w:pPr>
              <w:spacing w:after="200" w:line="240" w:lineRule="auto"/>
              <w:jc w:val="center"/>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Organy samorządu terytorialnego</w:t>
            </w:r>
          </w:p>
        </w:tc>
        <w:tc>
          <w:tcPr>
            <w:tcW w:w="2124" w:type="dxa"/>
            <w:gridSpan w:val="8"/>
            <w:tcBorders>
              <w:top w:val="single" w:sz="4" w:space="0" w:color="auto"/>
              <w:left w:val="single" w:sz="4" w:space="0" w:color="auto"/>
              <w:bottom w:val="single" w:sz="4" w:space="0" w:color="auto"/>
              <w:right w:val="single" w:sz="4" w:space="0" w:color="auto"/>
            </w:tcBorders>
          </w:tcPr>
          <w:p w:rsidR="0011503B" w:rsidRDefault="0011503B">
            <w:pPr>
              <w:spacing w:after="200" w:line="240" w:lineRule="auto"/>
              <w:rPr>
                <w:rFonts w:ascii="Times New Roman" w:eastAsia="Times New Roman" w:hAnsi="Times New Roman" w:cs="Times New Roman"/>
                <w:color w:val="000000"/>
                <w:spacing w:val="-2"/>
                <w:sz w:val="24"/>
                <w:lang w:eastAsia="pl-PL"/>
              </w:rPr>
            </w:pPr>
          </w:p>
        </w:tc>
        <w:tc>
          <w:tcPr>
            <w:tcW w:w="2996" w:type="dxa"/>
            <w:gridSpan w:val="12"/>
            <w:tcBorders>
              <w:top w:val="single" w:sz="4" w:space="0" w:color="auto"/>
              <w:left w:val="single" w:sz="4" w:space="0" w:color="auto"/>
              <w:bottom w:val="single" w:sz="4" w:space="0" w:color="auto"/>
              <w:right w:val="single" w:sz="4" w:space="0" w:color="auto"/>
            </w:tcBorders>
          </w:tcPr>
          <w:p w:rsidR="0011503B" w:rsidRDefault="0011503B">
            <w:pPr>
              <w:spacing w:after="200" w:line="240" w:lineRule="auto"/>
              <w:rPr>
                <w:rFonts w:ascii="Times New Roman" w:eastAsia="Times New Roman" w:hAnsi="Times New Roman" w:cs="Times New Roman"/>
                <w:color w:val="000000"/>
                <w:spacing w:val="-2"/>
                <w:sz w:val="24"/>
                <w:lang w:eastAsia="pl-PL"/>
              </w:rPr>
            </w:pPr>
          </w:p>
        </w:tc>
        <w:tc>
          <w:tcPr>
            <w:tcW w:w="2981" w:type="dxa"/>
            <w:gridSpan w:val="6"/>
            <w:tcBorders>
              <w:top w:val="single" w:sz="4" w:space="0" w:color="auto"/>
              <w:left w:val="single" w:sz="4" w:space="0" w:color="auto"/>
              <w:bottom w:val="single" w:sz="4" w:space="0" w:color="auto"/>
              <w:right w:val="single" w:sz="4" w:space="0" w:color="auto"/>
            </w:tcBorders>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spacing w:val="-2"/>
                <w:sz w:val="24"/>
                <w:lang w:eastAsia="pl-PL"/>
              </w:rPr>
              <w:t>Organizacja przygotowywania systemu kierowania.</w:t>
            </w:r>
          </w:p>
        </w:tc>
      </w:tr>
      <w:tr w:rsidR="0011503B" w:rsidTr="0011503B">
        <w:trPr>
          <w:gridAfter w:val="1"/>
          <w:wAfter w:w="10" w:type="dxa"/>
          <w:trHeight w:val="30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Informacje na temat zakresu, czasu trwania i podsumowanie wyników konsultacji</w:t>
            </w:r>
          </w:p>
        </w:tc>
      </w:tr>
      <w:tr w:rsidR="0011503B" w:rsidTr="0011503B">
        <w:trPr>
          <w:gridAfter w:val="1"/>
          <w:wAfter w:w="10" w:type="dxa"/>
          <w:trHeight w:val="342"/>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Projekt zostanie skierowany do zaopiniowania przez Komisję Wspólną Rządu i Samorządu Terytorialnego (art. 3 pkt 5 ustawy z 6 maja 2005 r. o Komisji Wspólnej Rządu i Samorządu Terytorialnego oraz o przedstawicielach Rzeczypospolitej Polskiej w Komitecie Regionów Unii Europejskiej (Dz. U. poz. 759).</w:t>
            </w:r>
          </w:p>
          <w:p w:rsidR="0011503B" w:rsidRDefault="0011503B">
            <w:pPr>
              <w:spacing w:after="200" w:line="240"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Z uwagi na brak oddziaływania społecznego projekt rozporządzenia nie wymaga przeprowadzenia konsultacji publicznych.</w:t>
            </w:r>
          </w:p>
          <w:p w:rsidR="0011503B" w:rsidRDefault="0011503B">
            <w:pPr>
              <w:spacing w:after="200" w:line="240" w:lineRule="auto"/>
              <w:jc w:val="both"/>
              <w:rPr>
                <w:rFonts w:ascii="Times New Roman" w:eastAsia="Times New Roman" w:hAnsi="Times New Roman" w:cs="Times New Roman"/>
                <w:color w:val="FF0000"/>
                <w:spacing w:val="-2"/>
                <w:sz w:val="24"/>
                <w:lang w:eastAsia="pl-PL"/>
              </w:rPr>
            </w:pPr>
            <w:r>
              <w:rPr>
                <w:rFonts w:ascii="Times New Roman" w:eastAsia="Times New Roman" w:hAnsi="Times New Roman" w:cs="Times New Roman"/>
                <w:spacing w:val="-2"/>
                <w:sz w:val="24"/>
                <w:lang w:eastAsia="pl-PL"/>
              </w:rPr>
              <w:t>Ponadto, stosownie do postanowień § 52 uchwały nr 190 Rady Ministrów z dnia 29 października 2013 r. – Regulamin pracy Rady Ministrów (M. P. z 2022 r. poz. 348) oraz zgodnie z art. 5 ustawy z dnia 7 lipca 2005 r. o działalności lobbingowej w procesie stanowienia prawa (Dz. U. z 2017 r. poz. 248), projekt rozporządzenia został zamieszczony w Biuletynie Informacji Publicznej na stronie podmiotowej Rządowego Centrum Legislacji w serwisie Rządowy Proces Legislacyjny.</w:t>
            </w:r>
          </w:p>
        </w:tc>
      </w:tr>
      <w:tr w:rsidR="0011503B" w:rsidTr="0011503B">
        <w:trPr>
          <w:gridAfter w:val="1"/>
          <w:wAfter w:w="10" w:type="dxa"/>
          <w:trHeight w:val="363"/>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 Wpływ na sektor finansów publicznych</w:t>
            </w:r>
          </w:p>
        </w:tc>
      </w:tr>
      <w:tr w:rsidR="0011503B" w:rsidTr="0011503B">
        <w:trPr>
          <w:gridAfter w:val="1"/>
          <w:wAfter w:w="10" w:type="dxa"/>
          <w:trHeight w:val="142"/>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before="40" w:after="40" w:line="276" w:lineRule="auto"/>
              <w:rPr>
                <w:rFonts w:ascii="Times New Roman" w:eastAsia="Times New Roman" w:hAnsi="Times New Roman" w:cs="Times New Roman"/>
                <w:i/>
                <w:color w:val="000000"/>
                <w:sz w:val="21"/>
                <w:szCs w:val="21"/>
                <w:lang w:eastAsia="pl-PL"/>
              </w:rPr>
            </w:pPr>
            <w:r>
              <w:rPr>
                <w:rFonts w:ascii="Times New Roman" w:eastAsia="Times New Roman" w:hAnsi="Times New Roman" w:cs="Times New Roman"/>
                <w:color w:val="000000"/>
                <w:sz w:val="21"/>
                <w:szCs w:val="21"/>
                <w:lang w:eastAsia="pl-PL"/>
              </w:rPr>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before="40" w:after="40" w:line="240" w:lineRule="auto"/>
              <w:jc w:val="center"/>
              <w:rPr>
                <w:rFonts w:ascii="Times New Roman" w:eastAsia="Times New Roman" w:hAnsi="Times New Roman" w:cs="Times New Roman"/>
                <w:i/>
                <w:color w:val="000000"/>
                <w:spacing w:val="-2"/>
                <w:sz w:val="21"/>
                <w:szCs w:val="21"/>
                <w:lang w:eastAsia="pl-PL"/>
              </w:rPr>
            </w:pPr>
            <w:r>
              <w:rPr>
                <w:rFonts w:ascii="Times New Roman" w:eastAsia="Times New Roman" w:hAnsi="Times New Roman" w:cs="Times New Roman"/>
                <w:color w:val="000000"/>
                <w:sz w:val="21"/>
                <w:szCs w:val="21"/>
                <w:lang w:eastAsia="pl-PL"/>
              </w:rPr>
              <w:t>Skutki w okresie 10 lat od wejścia w życie zmian [mln zł]</w:t>
            </w:r>
          </w:p>
        </w:tc>
      </w:tr>
      <w:tr w:rsidR="0011503B" w:rsidTr="0011503B">
        <w:trPr>
          <w:gridAfter w:val="1"/>
          <w:wAfter w:w="10" w:type="dxa"/>
          <w:trHeight w:val="14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i/>
                <w:color w:val="000000"/>
                <w:sz w:val="21"/>
                <w:szCs w:val="21"/>
                <w:lang w:eastAsia="pl-PL"/>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before="40" w:after="40" w:line="240" w:lineRule="auto"/>
              <w:jc w:val="center"/>
              <w:rPr>
                <w:rFonts w:ascii="Times New Roman" w:eastAsia="Times New Roman" w:hAnsi="Times New Roman" w:cs="Times New Roman"/>
                <w:i/>
                <w:color w:val="000000"/>
                <w:spacing w:val="-2"/>
                <w:sz w:val="21"/>
                <w:szCs w:val="21"/>
                <w:lang w:eastAsia="pl-PL"/>
              </w:rPr>
            </w:pPr>
            <w:r>
              <w:rPr>
                <w:rFonts w:ascii="Times New Roman" w:eastAsia="Times New Roman" w:hAnsi="Times New Roman" w:cs="Times New Roman"/>
                <w:i/>
                <w:color w:val="000000"/>
                <w:spacing w:val="-2"/>
                <w:sz w:val="21"/>
                <w:szCs w:val="21"/>
                <w:lang w:eastAsia="pl-PL"/>
              </w:rPr>
              <w:t>Łącznie (0-10)</w:t>
            </w:r>
          </w:p>
        </w:tc>
      </w:tr>
      <w:tr w:rsidR="0011503B" w:rsidTr="0011503B">
        <w:trPr>
          <w:trHeight w:val="321"/>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color w:val="000000"/>
                <w:sz w:val="21"/>
                <w:szCs w:val="21"/>
                <w:lang w:eastAsia="pl-PL"/>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trHeight w:val="321"/>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trHeight w:val="344"/>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trHeight w:val="344"/>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trHeight w:val="330"/>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color w:val="000000"/>
                <w:sz w:val="21"/>
                <w:szCs w:val="21"/>
                <w:lang w:eastAsia="pl-PL"/>
              </w:rPr>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30"/>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51"/>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51"/>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60"/>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color w:val="000000"/>
                <w:sz w:val="21"/>
                <w:szCs w:val="21"/>
                <w:lang w:eastAsia="pl-PL"/>
              </w:rPr>
              <w:lastRenderedPageBreak/>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60"/>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z w:val="21"/>
                <w:szCs w:val="21"/>
                <w:lang w:eastAsia="pl-PL"/>
              </w:rPr>
            </w:pPr>
          </w:p>
        </w:tc>
      </w:tr>
      <w:tr w:rsidR="0011503B" w:rsidTr="0011503B">
        <w:trPr>
          <w:trHeight w:val="357"/>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trHeight w:val="357"/>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gridAfter w:val="1"/>
          <w:wAfter w:w="10" w:type="dxa"/>
          <w:trHeight w:val="348"/>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 xml:space="preserve">Źródła finansowania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Pr="00942F61" w:rsidRDefault="0011503B">
            <w:pPr>
              <w:spacing w:after="200" w:line="240" w:lineRule="auto"/>
              <w:jc w:val="both"/>
              <w:rPr>
                <w:rFonts w:ascii="Times New Roman" w:eastAsia="Times New Roman" w:hAnsi="Times New Roman" w:cs="Times New Roman"/>
                <w:color w:val="000000"/>
                <w:lang w:eastAsia="pl-PL"/>
              </w:rPr>
            </w:pPr>
            <w:r w:rsidRPr="00942F61">
              <w:rPr>
                <w:rFonts w:ascii="Times New Roman" w:eastAsia="Times New Roman" w:hAnsi="Times New Roman" w:cs="Times New Roman"/>
                <w:color w:val="000000"/>
                <w:lang w:eastAsia="pl-PL"/>
              </w:rPr>
              <w:t xml:space="preserve">Przedsięwzięcia ujmowane w Programie Pozamilitarnych Przygotowań Obronnych finansuje się </w:t>
            </w:r>
            <w:r w:rsidRPr="00942F61">
              <w:rPr>
                <w:rFonts w:ascii="Times New Roman" w:eastAsia="Times New Roman" w:hAnsi="Times New Roman" w:cs="Times New Roman"/>
                <w:color w:val="000000"/>
                <w:lang w:eastAsia="pl-PL"/>
              </w:rPr>
              <w:br/>
              <w:t>z budżetu państwa oraz planuje w części budżetowej organu sporządzającego, w ramach zaplanowanych na dany rok wydatków budżetowych.</w:t>
            </w:r>
          </w:p>
        </w:tc>
      </w:tr>
      <w:tr w:rsidR="0011503B" w:rsidTr="0011503B">
        <w:trPr>
          <w:gridAfter w:val="1"/>
          <w:wAfter w:w="10" w:type="dxa"/>
          <w:trHeight w:val="1254"/>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Dodatkowe informacje, w tym wskazanie źródeł danych i przyjętych do obliczeń założeń</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hideMark/>
          </w:tcPr>
          <w:p w:rsidR="0011503B" w:rsidRPr="00942F61" w:rsidRDefault="0011503B">
            <w:pPr>
              <w:spacing w:after="200" w:line="240" w:lineRule="auto"/>
              <w:jc w:val="both"/>
              <w:rPr>
                <w:rFonts w:ascii="Times New Roman" w:eastAsia="Times New Roman" w:hAnsi="Times New Roman" w:cs="Times New Roman"/>
                <w:color w:val="000000"/>
                <w:lang w:eastAsia="pl-PL"/>
              </w:rPr>
            </w:pPr>
            <w:r w:rsidRPr="00942F61">
              <w:rPr>
                <w:rFonts w:ascii="Times New Roman" w:eastAsia="Times New Roman" w:hAnsi="Times New Roman" w:cs="Times New Roman"/>
                <w:color w:val="000000"/>
                <w:lang w:eastAsia="pl-PL"/>
              </w:rPr>
              <w:t xml:space="preserve">Projekt nie generuje dodatkowych obciążeń finansowych dla sektora finansów publicznych innych niż określone na podstawie obowiązujących przepisów regulujących przedmiotowy obszar.  </w:t>
            </w:r>
          </w:p>
          <w:p w:rsidR="0011503B" w:rsidRPr="00942F61" w:rsidRDefault="0011503B">
            <w:pPr>
              <w:spacing w:after="200" w:line="240" w:lineRule="auto"/>
              <w:jc w:val="both"/>
              <w:rPr>
                <w:rFonts w:ascii="Times New Roman" w:eastAsia="Times New Roman" w:hAnsi="Times New Roman" w:cs="Times New Roman"/>
                <w:color w:val="000000"/>
                <w:lang w:eastAsia="pl-PL"/>
              </w:rPr>
            </w:pPr>
            <w:r w:rsidRPr="00942F61">
              <w:rPr>
                <w:rFonts w:ascii="Times New Roman" w:eastAsia="Times New Roman" w:hAnsi="Times New Roman" w:cs="Times New Roman"/>
                <w:color w:val="000000"/>
                <w:lang w:eastAsia="pl-PL"/>
              </w:rPr>
              <w:t>Projekt nie wywołuje skutków społecznych i gospodarczych.</w:t>
            </w:r>
          </w:p>
        </w:tc>
      </w:tr>
      <w:tr w:rsidR="0011503B" w:rsidTr="0011503B">
        <w:trPr>
          <w:gridAfter w:val="1"/>
          <w:wAfter w:w="10" w:type="dxa"/>
          <w:trHeight w:val="345"/>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120" w:after="120" w:line="240" w:lineRule="auto"/>
              <w:jc w:val="both"/>
              <w:rPr>
                <w:rFonts w:ascii="Times New Roman" w:eastAsia="Times New Roman" w:hAnsi="Times New Roman" w:cs="Times New Roman"/>
                <w:b/>
                <w:color w:val="000000"/>
                <w:spacing w:val="-2"/>
                <w:sz w:val="24"/>
                <w:lang w:eastAsia="pl-PL"/>
              </w:rPr>
            </w:pPr>
            <w:r>
              <w:rPr>
                <w:rFonts w:ascii="Times New Roman" w:eastAsia="Times New Roman" w:hAnsi="Times New Roman" w:cs="Times New Roman"/>
                <w:b/>
                <w:color w:val="000000"/>
                <w:spacing w:val="-2"/>
                <w:sz w:val="24"/>
                <w:lang w:eastAsia="pl-PL"/>
              </w:rPr>
              <w:t xml:space="preserve">Wpływ na </w:t>
            </w:r>
            <w:r>
              <w:rPr>
                <w:rFonts w:ascii="Times New Roman" w:eastAsia="Times New Roman" w:hAnsi="Times New Roman" w:cs="Times New Roman"/>
                <w:b/>
                <w:color w:val="000000"/>
                <w:sz w:val="24"/>
                <w:lang w:eastAsia="pl-PL"/>
              </w:rPr>
              <w:t xml:space="preserve">konkurencyjność gospodarki i przedsiębiorczość, w tym funkcjonowanie przedsiębiorców oraz na rodzinę, obywateli i gospodarstwa domowe </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pacing w:val="-2"/>
                <w:sz w:val="21"/>
                <w:szCs w:val="21"/>
                <w:lang w:eastAsia="pl-PL"/>
              </w:rPr>
            </w:pPr>
            <w:r>
              <w:rPr>
                <w:rFonts w:ascii="Times New Roman" w:eastAsia="Times New Roman" w:hAnsi="Times New Roman" w:cs="Times New Roman"/>
                <w:color w:val="000000"/>
                <w:spacing w:val="-2"/>
                <w:sz w:val="21"/>
                <w:szCs w:val="21"/>
                <w:lang w:eastAsia="pl-PL"/>
              </w:rPr>
              <w:t>Skutki</w:t>
            </w:r>
          </w:p>
        </w:tc>
      </w:tr>
      <w:tr w:rsidR="0011503B" w:rsidTr="0011503B">
        <w:trPr>
          <w:gridAfter w:val="1"/>
          <w:wAfter w:w="10" w:type="dxa"/>
          <w:trHeight w:val="142"/>
        </w:trPr>
        <w:tc>
          <w:tcPr>
            <w:tcW w:w="388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center"/>
              <w:rPr>
                <w:rFonts w:ascii="Times New Roman" w:eastAsia="Times New Roman" w:hAnsi="Times New Roman" w:cs="Times New Roman"/>
                <w:i/>
                <w:color w:val="000000"/>
                <w:spacing w:val="-2"/>
                <w:sz w:val="21"/>
                <w:szCs w:val="21"/>
                <w:lang w:eastAsia="pl-PL"/>
              </w:rPr>
            </w:pPr>
            <w:r>
              <w:rPr>
                <w:rFonts w:ascii="Times New Roman" w:eastAsia="Times New Roman" w:hAnsi="Times New Roman" w:cs="Times New Roman"/>
                <w:i/>
                <w:color w:val="000000"/>
                <w:spacing w:val="-2"/>
                <w:sz w:val="21"/>
                <w:szCs w:val="21"/>
                <w:lang w:eastAsia="pl-PL"/>
              </w:rPr>
              <w:t>Łącznie (0-10)</w:t>
            </w:r>
          </w:p>
        </w:tc>
      </w:tr>
      <w:tr w:rsidR="0011503B" w:rsidTr="0011503B">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W ujęciu pieniężnym</w:t>
            </w:r>
          </w:p>
          <w:p w:rsidR="0011503B" w:rsidRDefault="0011503B">
            <w:pPr>
              <w:spacing w:after="200" w:line="276" w:lineRule="auto"/>
              <w:rPr>
                <w:rFonts w:ascii="Times New Roman" w:eastAsia="Times New Roman" w:hAnsi="Times New Roman" w:cs="Times New Roman"/>
                <w:spacing w:val="-2"/>
                <w:sz w:val="21"/>
                <w:szCs w:val="21"/>
                <w:lang w:eastAsia="pl-PL"/>
              </w:rPr>
            </w:pPr>
            <w:r>
              <w:rPr>
                <w:rFonts w:ascii="Times New Roman" w:eastAsia="Times New Roman" w:hAnsi="Times New Roman" w:cs="Times New Roman"/>
                <w:spacing w:val="-2"/>
                <w:sz w:val="21"/>
                <w:szCs w:val="21"/>
                <w:lang w:eastAsia="pl-PL"/>
              </w:rPr>
              <w:t xml:space="preserve">(w mln zł, </w:t>
            </w:r>
          </w:p>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spacing w:val="-2"/>
                <w:sz w:val="21"/>
                <w:szCs w:val="21"/>
                <w:lang w:eastAsia="pl-PL"/>
              </w:rPr>
              <w:t>ceny stałe z …… r.)</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duże przedsiębiorstwa</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5"/>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gridAfter w:val="1"/>
          <w:wAfter w:w="10" w:type="dxa"/>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5"/>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11503B" w:rsidRDefault="0011503B">
            <w:pPr>
              <w:spacing w:after="200" w:line="276" w:lineRule="auto"/>
              <w:jc w:val="center"/>
              <w:rPr>
                <w:rFonts w:ascii="Times New Roman" w:eastAsia="Times New Roman" w:hAnsi="Times New Roman" w:cs="Times New Roman"/>
                <w:sz w:val="24"/>
                <w:lang w:eastAsia="pl-PL"/>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20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tc>
      </w:tr>
      <w:tr w:rsidR="0011503B" w:rsidTr="0011503B">
        <w:trPr>
          <w:gridAfter w:val="1"/>
          <w:wAfter w:w="10" w:type="dxa"/>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sz w:val="21"/>
                <w:szCs w:val="21"/>
                <w:lang w:eastAsia="pl-PL"/>
              </w:rPr>
              <w:t>rodzina, obywatele oraz gospodarstwa 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w:t>
            </w:r>
          </w:p>
        </w:tc>
      </w:tr>
      <w:tr w:rsidR="0011503B" w:rsidTr="0011503B">
        <w:trPr>
          <w:gridAfter w:val="1"/>
          <w:wAfter w:w="10" w:type="dxa"/>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ascii="Times New Roman" w:eastAsia="Times New Roman" w:hAnsi="Times New Roman" w:cs="Times New Roman"/>
                <w:color w:val="000000"/>
                <w:sz w:val="21"/>
                <w:szCs w:val="21"/>
                <w:lang w:eastAsia="pl-PL"/>
              </w:rPr>
              <w:instrText xml:space="preserve"> FORMTEXT </w:instrText>
            </w:r>
            <w:r>
              <w:rPr>
                <w:rFonts w:ascii="Times New Roman" w:eastAsia="Times New Roman" w:hAnsi="Times New Roman" w:cs="Times New Roman"/>
                <w:color w:val="000000"/>
                <w:sz w:val="21"/>
                <w:szCs w:val="21"/>
                <w:lang w:eastAsia="pl-PL"/>
              </w:rPr>
            </w:r>
            <w:r>
              <w:rPr>
                <w:rFonts w:ascii="Times New Roman" w:eastAsia="Times New Roman" w:hAnsi="Times New Roman" w:cs="Times New Roman"/>
                <w:color w:val="000000"/>
                <w:sz w:val="21"/>
                <w:szCs w:val="21"/>
                <w:lang w:eastAsia="pl-PL"/>
              </w:rPr>
              <w:fldChar w:fldCharType="separate"/>
            </w:r>
            <w:r>
              <w:rPr>
                <w:rFonts w:ascii="Times New Roman" w:eastAsia="Times New Roman" w:hAnsi="Times New Roman" w:cs="Times New Roman"/>
                <w:noProof/>
                <w:color w:val="000000"/>
                <w:sz w:val="21"/>
                <w:szCs w:val="21"/>
                <w:lang w:eastAsia="pl-PL"/>
              </w:rPr>
              <w:t>(dodaj/usuń)</w:t>
            </w:r>
            <w:r>
              <w:rPr>
                <w:rFonts w:ascii="Times New Roman" w:eastAsia="Times New Roman" w:hAnsi="Times New Roman" w:cs="Times New Roman"/>
                <w:color w:val="000000"/>
                <w:sz w:val="21"/>
                <w:szCs w:val="21"/>
                <w:lang w:eastAsia="pl-PL"/>
              </w:rPr>
              <w:fldChar w:fldCharType="end"/>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76" w:lineRule="auto"/>
              <w:jc w:val="center"/>
              <w:rPr>
                <w:rFonts w:ascii="Times New Roman" w:eastAsia="Times New Roman" w:hAnsi="Times New Roman" w:cs="Times New Roman"/>
                <w:sz w:val="24"/>
                <w:lang w:eastAsia="pl-PL"/>
              </w:rPr>
            </w:pP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jc w:val="center"/>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w:t>
            </w:r>
          </w:p>
        </w:tc>
      </w:tr>
      <w:tr w:rsidR="0011503B" w:rsidTr="0011503B">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W ujęciu niepieniężnym</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duże przedsiębiorstwa</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 xml:space="preserve"> - </w:t>
            </w:r>
          </w:p>
        </w:tc>
      </w:tr>
      <w:tr w:rsidR="0011503B" w:rsidTr="0011503B">
        <w:trPr>
          <w:gridAfter w:val="1"/>
          <w:wAfter w:w="10" w:type="dxa"/>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sektor mikro-, małych i średnich przedsiębiorstw</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 xml:space="preserve"> - </w:t>
            </w:r>
          </w:p>
        </w:tc>
      </w:tr>
      <w:tr w:rsidR="0011503B" w:rsidTr="0011503B">
        <w:trPr>
          <w:gridAfter w:val="1"/>
          <w:wAfter w:w="10" w:type="dxa"/>
          <w:trHeight w:val="5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tabs>
                <w:tab w:val="right" w:pos="1936"/>
              </w:tabs>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sz w:val="21"/>
                <w:szCs w:val="21"/>
                <w:lang w:eastAsia="pl-PL"/>
              </w:rPr>
              <w:t>rodzina, obywatele oraz gospodarstwa domowe</w:t>
            </w:r>
            <w:r>
              <w:rPr>
                <w:rFonts w:ascii="Times New Roman" w:eastAsia="Times New Roman" w:hAnsi="Times New Roman" w:cs="Times New Roman"/>
                <w:color w:val="000000"/>
                <w:sz w:val="21"/>
                <w:szCs w:val="21"/>
                <w:lang w:eastAsia="pl-PL"/>
              </w:rPr>
              <w:t xml:space="preserve"> </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 xml:space="preserve"> - </w:t>
            </w:r>
          </w:p>
        </w:tc>
      </w:tr>
      <w:tr w:rsidR="0011503B" w:rsidTr="0011503B">
        <w:trPr>
          <w:gridAfter w:val="1"/>
          <w:wAfter w:w="10" w:type="dxa"/>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tabs>
                <w:tab w:val="right" w:pos="1936"/>
              </w:tabs>
              <w:spacing w:after="200" w:line="276" w:lineRule="auto"/>
              <w:rPr>
                <w:rFonts w:ascii="Times New Roman" w:eastAsia="Times New Roman" w:hAnsi="Times New Roman" w:cs="Times New Roman"/>
                <w:sz w:val="21"/>
                <w:szCs w:val="21"/>
                <w:lang w:eastAsia="pl-PL"/>
              </w:rPr>
            </w:pPr>
            <w:r>
              <w:rPr>
                <w:rFonts w:ascii="Times New Roman" w:eastAsia="Times New Roman" w:hAnsi="Times New Roman" w:cs="Times New Roman"/>
                <w:color w:val="000000"/>
                <w:sz w:val="21"/>
                <w:szCs w:val="21"/>
                <w:lang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ascii="Times New Roman" w:eastAsia="Times New Roman" w:hAnsi="Times New Roman" w:cs="Times New Roman"/>
                <w:color w:val="000000"/>
                <w:sz w:val="21"/>
                <w:szCs w:val="21"/>
                <w:lang w:eastAsia="pl-PL"/>
              </w:rPr>
              <w:instrText xml:space="preserve"> FORMTEXT </w:instrText>
            </w:r>
            <w:r>
              <w:rPr>
                <w:rFonts w:ascii="Times New Roman" w:eastAsia="Times New Roman" w:hAnsi="Times New Roman" w:cs="Times New Roman"/>
                <w:color w:val="000000"/>
                <w:sz w:val="21"/>
                <w:szCs w:val="21"/>
                <w:lang w:eastAsia="pl-PL"/>
              </w:rPr>
            </w:r>
            <w:r>
              <w:rPr>
                <w:rFonts w:ascii="Times New Roman" w:eastAsia="Times New Roman" w:hAnsi="Times New Roman" w:cs="Times New Roman"/>
                <w:color w:val="000000"/>
                <w:sz w:val="21"/>
                <w:szCs w:val="21"/>
                <w:lang w:eastAsia="pl-PL"/>
              </w:rPr>
              <w:fldChar w:fldCharType="separate"/>
            </w:r>
            <w:r>
              <w:rPr>
                <w:rFonts w:ascii="Times New Roman" w:eastAsia="Times New Roman" w:hAnsi="Times New Roman" w:cs="Times New Roman"/>
                <w:noProof/>
                <w:color w:val="000000"/>
                <w:sz w:val="21"/>
                <w:szCs w:val="21"/>
                <w:lang w:eastAsia="pl-PL"/>
              </w:rPr>
              <w:t>(dodaj/usuń)</w:t>
            </w:r>
            <w:r>
              <w:rPr>
                <w:rFonts w:ascii="Times New Roman" w:eastAsia="Times New Roman" w:hAnsi="Times New Roman" w:cs="Times New Roman"/>
                <w:color w:val="000000"/>
                <w:sz w:val="21"/>
                <w:szCs w:val="21"/>
                <w:lang w:eastAsia="pl-PL"/>
              </w:rPr>
              <w:fldChar w:fldCharType="end"/>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tabs>
                <w:tab w:val="left" w:pos="3000"/>
              </w:tabs>
              <w:spacing w:after="200" w:line="276" w:lineRule="auto"/>
              <w:rPr>
                <w:rFonts w:ascii="Times New Roman" w:eastAsia="Times New Roman" w:hAnsi="Times New Roman" w:cs="Times New Roman"/>
                <w:color w:val="000000"/>
                <w:spacing w:val="-2"/>
                <w:sz w:val="21"/>
                <w:szCs w:val="21"/>
                <w:lang w:eastAsia="pl-PL"/>
              </w:rPr>
            </w:pPr>
          </w:p>
        </w:tc>
      </w:tr>
      <w:tr w:rsidR="0011503B" w:rsidTr="0011503B">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Niemierzalne</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ascii="Times New Roman" w:eastAsia="Times New Roman" w:hAnsi="Times New Roman" w:cs="Times New Roman"/>
                <w:color w:val="000000"/>
                <w:sz w:val="21"/>
                <w:szCs w:val="21"/>
                <w:lang w:eastAsia="pl-PL"/>
              </w:rPr>
              <w:instrText xml:space="preserve"> FORMTEXT </w:instrText>
            </w:r>
            <w:r>
              <w:rPr>
                <w:rFonts w:ascii="Times New Roman" w:eastAsia="Times New Roman" w:hAnsi="Times New Roman" w:cs="Times New Roman"/>
                <w:color w:val="000000"/>
                <w:sz w:val="21"/>
                <w:szCs w:val="21"/>
                <w:lang w:eastAsia="pl-PL"/>
              </w:rPr>
            </w:r>
            <w:r>
              <w:rPr>
                <w:rFonts w:ascii="Times New Roman" w:eastAsia="Times New Roman" w:hAnsi="Times New Roman" w:cs="Times New Roman"/>
                <w:color w:val="000000"/>
                <w:sz w:val="21"/>
                <w:szCs w:val="21"/>
                <w:lang w:eastAsia="pl-PL"/>
              </w:rPr>
              <w:fldChar w:fldCharType="separate"/>
            </w:r>
            <w:r>
              <w:rPr>
                <w:rFonts w:ascii="Times New Roman" w:eastAsia="Times New Roman" w:hAnsi="Times New Roman" w:cs="Times New Roman"/>
                <w:noProof/>
                <w:color w:val="000000"/>
                <w:sz w:val="21"/>
                <w:szCs w:val="21"/>
                <w:lang w:eastAsia="pl-PL"/>
              </w:rPr>
              <w:t>(dodaj/usuń)</w:t>
            </w:r>
            <w:r>
              <w:rPr>
                <w:rFonts w:ascii="Times New Roman" w:eastAsia="Times New Roman" w:hAnsi="Times New Roman" w:cs="Times New Roman"/>
                <w:color w:val="000000"/>
                <w:sz w:val="21"/>
                <w:szCs w:val="21"/>
                <w:lang w:eastAsia="pl-PL"/>
              </w:rPr>
              <w:fldChar w:fldCharType="end"/>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1"/>
                <w:szCs w:val="21"/>
                <w:lang w:eastAsia="pl-PL"/>
              </w:rPr>
            </w:pPr>
          </w:p>
        </w:tc>
      </w:tr>
      <w:tr w:rsidR="0011503B" w:rsidTr="0011503B">
        <w:trPr>
          <w:gridAfter w:val="1"/>
          <w:wAfter w:w="10" w:type="dxa"/>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503B" w:rsidRDefault="0011503B">
            <w:pPr>
              <w:spacing w:after="0"/>
              <w:rPr>
                <w:rFonts w:ascii="Times New Roman" w:eastAsia="Times New Roman" w:hAnsi="Times New Roman" w:cs="Times New Roman"/>
                <w:color w:val="000000"/>
                <w:sz w:val="21"/>
                <w:szCs w:val="21"/>
                <w:lang w:eastAsia="pl-PL"/>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ascii="Times New Roman" w:eastAsia="Times New Roman" w:hAnsi="Times New Roman" w:cs="Times New Roman"/>
                <w:color w:val="000000"/>
                <w:sz w:val="21"/>
                <w:szCs w:val="21"/>
                <w:lang w:eastAsia="pl-PL"/>
              </w:rPr>
              <w:instrText xml:space="preserve"> FORMTEXT </w:instrText>
            </w:r>
            <w:r>
              <w:rPr>
                <w:rFonts w:ascii="Times New Roman" w:eastAsia="Times New Roman" w:hAnsi="Times New Roman" w:cs="Times New Roman"/>
                <w:color w:val="000000"/>
                <w:sz w:val="21"/>
                <w:szCs w:val="21"/>
                <w:lang w:eastAsia="pl-PL"/>
              </w:rPr>
            </w:r>
            <w:r>
              <w:rPr>
                <w:rFonts w:ascii="Times New Roman" w:eastAsia="Times New Roman" w:hAnsi="Times New Roman" w:cs="Times New Roman"/>
                <w:color w:val="000000"/>
                <w:sz w:val="21"/>
                <w:szCs w:val="21"/>
                <w:lang w:eastAsia="pl-PL"/>
              </w:rPr>
              <w:fldChar w:fldCharType="separate"/>
            </w:r>
            <w:r>
              <w:rPr>
                <w:rFonts w:ascii="Times New Roman" w:eastAsia="Times New Roman" w:hAnsi="Times New Roman" w:cs="Times New Roman"/>
                <w:noProof/>
                <w:color w:val="000000"/>
                <w:sz w:val="21"/>
                <w:szCs w:val="21"/>
                <w:lang w:eastAsia="pl-PL"/>
              </w:rPr>
              <w:t>(dodaj/usuń)</w:t>
            </w:r>
            <w:r>
              <w:rPr>
                <w:rFonts w:ascii="Times New Roman" w:eastAsia="Times New Roman" w:hAnsi="Times New Roman" w:cs="Times New Roman"/>
                <w:color w:val="000000"/>
                <w:sz w:val="21"/>
                <w:szCs w:val="21"/>
                <w:lang w:eastAsia="pl-PL"/>
              </w:rPr>
              <w:fldChar w:fldCharType="end"/>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1"/>
                <w:szCs w:val="21"/>
                <w:lang w:eastAsia="pl-PL"/>
              </w:rPr>
            </w:pPr>
          </w:p>
        </w:tc>
      </w:tr>
      <w:tr w:rsidR="0011503B" w:rsidTr="0011503B">
        <w:trPr>
          <w:gridAfter w:val="1"/>
          <w:wAfter w:w="10" w:type="dxa"/>
          <w:trHeight w:val="701"/>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 xml:space="preserve">Dodatkowe informacje, w tym wskazanie źródeł danych i przyjętych do obliczeń założeń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Pr="00942F61" w:rsidRDefault="0011503B">
            <w:pPr>
              <w:spacing w:after="200" w:line="240" w:lineRule="auto"/>
              <w:jc w:val="both"/>
              <w:rPr>
                <w:rFonts w:ascii="Times New Roman" w:eastAsia="Times New Roman" w:hAnsi="Times New Roman" w:cs="Times New Roman"/>
                <w:color w:val="000000"/>
                <w:lang w:eastAsia="pl-PL"/>
              </w:rPr>
            </w:pPr>
            <w:r w:rsidRPr="00942F61">
              <w:rPr>
                <w:rFonts w:ascii="Times New Roman" w:eastAsia="Times New Roman" w:hAnsi="Times New Roman" w:cs="Times New Roman"/>
                <w:color w:val="000000"/>
                <w:lang w:eastAsia="pl-PL"/>
              </w:rPr>
              <w:t>Regulacja nie wpłynie na konkurencyjność gospodarki i przedsiębiorczość, w tym funkcjonowanie przedsiębiorców, a zwłaszcza mikro przedsiębiorców, małych i średnich przedsiębiorców oraz na sytuację ekonomiczną i społeczną rodziny a także osób niepełnosprawnych oraz osób starszych.</w:t>
            </w:r>
          </w:p>
          <w:p w:rsidR="0011503B" w:rsidRPr="00942F61" w:rsidRDefault="0011503B">
            <w:pPr>
              <w:spacing w:after="200" w:line="240" w:lineRule="auto"/>
              <w:jc w:val="both"/>
              <w:rPr>
                <w:rFonts w:ascii="Times New Roman" w:eastAsia="Times New Roman" w:hAnsi="Times New Roman" w:cs="Times New Roman"/>
                <w:color w:val="000000"/>
                <w:lang w:eastAsia="pl-PL"/>
              </w:rPr>
            </w:pPr>
            <w:r w:rsidRPr="00942F61">
              <w:rPr>
                <w:rFonts w:ascii="Times New Roman" w:eastAsia="Times New Roman" w:hAnsi="Times New Roman" w:cs="Times New Roman"/>
                <w:color w:val="000000"/>
                <w:lang w:eastAsia="pl-PL"/>
              </w:rPr>
              <w:t>Przedmiotowy projekt z uwagi na swój charakter nie zawiera przepisów dotyczących zasad podejmowania, wykonywania lub zakończenia działalności gospodarczej,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przedsiębiorców, stosownie do przepisów ustawy z dnia 6 marca 2018 r. – Prawo przedsiębiorców ani analizy zgodności projektu z tą ustawą w powyższym zakresie.</w:t>
            </w:r>
          </w:p>
        </w:tc>
      </w:tr>
      <w:tr w:rsidR="0011503B" w:rsidTr="0011503B">
        <w:trPr>
          <w:gridAfter w:val="1"/>
          <w:wAfter w:w="10" w:type="dxa"/>
          <w:trHeight w:val="3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lastRenderedPageBreak/>
              <w:t xml:space="preserve"> Zmiana obciążeń regulacyjnych (w tym obowiązków informacyjnych) wynikających z projektu</w:t>
            </w:r>
          </w:p>
        </w:tc>
      </w:tr>
      <w:tr w:rsidR="0011503B" w:rsidTr="0011503B">
        <w:trPr>
          <w:gridAfter w:val="1"/>
          <w:wAfter w:w="10" w:type="dxa"/>
          <w:trHeight w:val="151"/>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1"/>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pacing w:val="-2"/>
                <w:sz w:val="24"/>
                <w:lang w:eastAsia="pl-PL"/>
              </w:rPr>
              <w:t>nie dotyczy</w:t>
            </w:r>
          </w:p>
        </w:tc>
      </w:tr>
      <w:tr w:rsidR="0011503B" w:rsidTr="0011503B">
        <w:trPr>
          <w:gridAfter w:val="1"/>
          <w:wAfter w:w="10" w:type="dxa"/>
          <w:trHeight w:val="946"/>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76"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 xml:space="preserve">Wprowadzane są obciążenia poza bezwzględnie wymaganymi przez UE </w:t>
            </w:r>
            <w:r>
              <w:rPr>
                <w:rFonts w:ascii="Times New Roman" w:eastAsia="Times New Roman" w:hAnsi="Times New Roman" w:cs="Times New Roman"/>
                <w:color w:val="000000"/>
                <w:sz w:val="24"/>
                <w:lang w:eastAsia="pl-PL"/>
              </w:rPr>
              <w:t>(szczegóły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tak</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nie</w:t>
            </w:r>
          </w:p>
          <w:p w:rsidR="0011503B" w:rsidRDefault="0011503B">
            <w:pPr>
              <w:spacing w:after="200" w:line="276"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1"/>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pacing w:val="-2"/>
                <w:sz w:val="24"/>
                <w:lang w:eastAsia="pl-PL"/>
              </w:rPr>
              <w:t>nie dotyczy</w:t>
            </w:r>
          </w:p>
        </w:tc>
      </w:tr>
      <w:tr w:rsidR="0011503B" w:rsidTr="0011503B">
        <w:trPr>
          <w:gridAfter w:val="1"/>
          <w:wAfter w:w="10" w:type="dxa"/>
          <w:trHeight w:val="1245"/>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 xml:space="preserve">zmniejszenie liczby dokumentów </w:t>
            </w:r>
          </w:p>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zmniejszenie liczby procedur</w:t>
            </w:r>
          </w:p>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skrócenie czasu na załatwienie sprawy</w:t>
            </w:r>
          </w:p>
          <w:p w:rsidR="0011503B" w:rsidRDefault="0011503B">
            <w:pPr>
              <w:spacing w:after="200" w:line="276" w:lineRule="auto"/>
              <w:rPr>
                <w:rFonts w:ascii="Times New Roman" w:eastAsia="Times New Roman" w:hAnsi="Times New Roman" w:cs="Times New Roman"/>
                <w:b/>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inne:</w:t>
            </w:r>
            <w:r>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Times New Roman" w:hAnsi="Times New Roman" w:cs="Times New Roman"/>
                <w:color w:val="000000"/>
                <w:sz w:val="24"/>
                <w:lang w:eastAsia="pl-PL"/>
              </w:rPr>
              <w:instrText xml:space="preserve"> FORMTEXT </w:instrText>
            </w:r>
            <w:r>
              <w:rPr>
                <w:rFonts w:ascii="Times New Roman" w:eastAsia="Times New Roman" w:hAnsi="Times New Roman" w:cs="Times New Roman"/>
                <w:color w:val="000000"/>
                <w:sz w:val="24"/>
                <w:lang w:eastAsia="pl-PL"/>
              </w:rPr>
            </w:r>
            <w:r>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color w:val="000000"/>
                <w:sz w:val="24"/>
                <w:lang w:eastAsia="pl-PL"/>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zwiększenie liczby dokumentów</w:t>
            </w:r>
          </w:p>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zwiększenie liczby procedur</w:t>
            </w:r>
          </w:p>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wydłużenie czasu na załatwienie sprawy</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inne:</w:t>
            </w:r>
            <w:r>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Times New Roman" w:hAnsi="Times New Roman" w:cs="Times New Roman"/>
                <w:color w:val="000000"/>
                <w:sz w:val="24"/>
                <w:lang w:eastAsia="pl-PL"/>
              </w:rPr>
              <w:instrText xml:space="preserve"> FORMTEXT </w:instrText>
            </w:r>
            <w:r>
              <w:rPr>
                <w:rFonts w:ascii="Times New Roman" w:eastAsia="Times New Roman" w:hAnsi="Times New Roman" w:cs="Times New Roman"/>
                <w:color w:val="000000"/>
                <w:sz w:val="24"/>
                <w:lang w:eastAsia="pl-PL"/>
              </w:rPr>
            </w:r>
            <w:r>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color w:val="000000"/>
                <w:sz w:val="24"/>
                <w:lang w:eastAsia="pl-PL"/>
              </w:rPr>
              <w:fldChar w:fldCharType="end"/>
            </w:r>
          </w:p>
          <w:p w:rsidR="0011503B" w:rsidRDefault="0011503B">
            <w:pPr>
              <w:spacing w:after="200" w:line="240" w:lineRule="auto"/>
              <w:rPr>
                <w:rFonts w:ascii="Times New Roman" w:eastAsia="Times New Roman" w:hAnsi="Times New Roman" w:cs="Times New Roman"/>
                <w:color w:val="000000"/>
                <w:sz w:val="24"/>
                <w:lang w:eastAsia="pl-PL"/>
              </w:rPr>
            </w:pPr>
          </w:p>
        </w:tc>
      </w:tr>
      <w:tr w:rsidR="0011503B" w:rsidTr="0011503B">
        <w:trPr>
          <w:gridAfter w:val="1"/>
          <w:wAfter w:w="10" w:type="dxa"/>
          <w:trHeight w:val="870"/>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pacing w:val="-2"/>
                <w:sz w:val="24"/>
                <w:lang w:eastAsia="pl-PL"/>
              </w:rPr>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tak</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nie</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1"/>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pacing w:val="-2"/>
                <w:sz w:val="24"/>
                <w:lang w:eastAsia="pl-PL"/>
              </w:rPr>
              <w:t>nie dotyczy</w:t>
            </w:r>
            <w:r>
              <w:rPr>
                <w:rFonts w:ascii="Times New Roman" w:eastAsia="Times New Roman" w:hAnsi="Times New Roman" w:cs="Times New Roman"/>
                <w:color w:val="000000"/>
                <w:sz w:val="24"/>
                <w:lang w:eastAsia="pl-PL"/>
              </w:rPr>
              <w:t xml:space="preserve"> </w:t>
            </w:r>
          </w:p>
        </w:tc>
      </w:tr>
      <w:tr w:rsidR="0011503B" w:rsidTr="0011503B">
        <w:trPr>
          <w:gridAfter w:val="1"/>
          <w:wAfter w:w="10" w:type="dxa"/>
          <w:trHeight w:val="630"/>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11503B" w:rsidRDefault="0011503B" w:rsidP="0011503B">
            <w:pPr>
              <w:spacing w:after="200" w:line="24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Komentarz:</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60" w:after="60" w:line="240" w:lineRule="auto"/>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Wpływ na rynek pracy </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hideMark/>
          </w:tcPr>
          <w:p w:rsidR="0011503B" w:rsidRDefault="0011503B">
            <w:pPr>
              <w:spacing w:after="200" w:line="240"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spacing w:val="-2"/>
                <w:sz w:val="24"/>
                <w:lang w:eastAsia="pl-PL"/>
              </w:rPr>
              <w:t>Projekt pozostaje bez wpływu na rynek pracy.</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60" w:after="60" w:line="240" w:lineRule="auto"/>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Wpływ na pozostałe obszary</w:t>
            </w:r>
          </w:p>
        </w:tc>
      </w:tr>
      <w:tr w:rsidR="0011503B" w:rsidTr="0011503B">
        <w:trPr>
          <w:gridAfter w:val="1"/>
          <w:wAfter w:w="10" w:type="dxa"/>
          <w:trHeight w:val="1031"/>
        </w:trPr>
        <w:tc>
          <w:tcPr>
            <w:tcW w:w="3547" w:type="dxa"/>
            <w:gridSpan w:val="5"/>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środowisko naturalne</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4"/>
                <w:lang w:eastAsia="pl-PL"/>
              </w:rPr>
              <w:t>sytuacja i rozwój regionalny</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spacing w:val="-2"/>
                <w:sz w:val="24"/>
                <w:lang w:eastAsia="pl-PL"/>
              </w:rPr>
              <w:t>sądy powszechne, administracyjne lub wojskowe</w:t>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demografia</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4"/>
                <w:lang w:eastAsia="pl-PL"/>
              </w:rPr>
              <w:t>mienie państwowe</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 xml:space="preserve">inne: </w:t>
            </w:r>
            <w:r>
              <w:rPr>
                <w:rFonts w:ascii="Times New Roman" w:eastAsia="Times New Roman" w:hAnsi="Times New Roman" w:cs="Times New Roman"/>
                <w:color w:val="000000"/>
                <w:sz w:val="24"/>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Times New Roman" w:hAnsi="Times New Roman" w:cs="Times New Roman"/>
                <w:color w:val="000000"/>
                <w:sz w:val="24"/>
                <w:lang w:eastAsia="pl-PL"/>
              </w:rPr>
              <w:instrText xml:space="preserve"> FORMTEXT </w:instrText>
            </w:r>
            <w:r>
              <w:rPr>
                <w:rFonts w:ascii="Times New Roman" w:eastAsia="Times New Roman" w:hAnsi="Times New Roman" w:cs="Times New Roman"/>
                <w:color w:val="000000"/>
                <w:sz w:val="24"/>
                <w:lang w:eastAsia="pl-PL"/>
              </w:rPr>
            </w:r>
            <w:r>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noProof/>
                <w:color w:val="000000"/>
                <w:sz w:val="24"/>
                <w:lang w:eastAsia="pl-PL"/>
              </w:rPr>
              <w:t> </w:t>
            </w:r>
            <w:r>
              <w:rPr>
                <w:rFonts w:ascii="Times New Roman" w:eastAsia="Times New Roman" w:hAnsi="Times New Roman" w:cs="Times New Roman"/>
                <w:color w:val="000000"/>
                <w:sz w:val="24"/>
                <w:lang w:eastAsia="pl-PL"/>
              </w:rPr>
              <w:fldChar w:fldCharType="end"/>
            </w:r>
          </w:p>
        </w:tc>
        <w:tc>
          <w:tcPr>
            <w:tcW w:w="3703" w:type="dxa"/>
            <w:gridSpan w:val="9"/>
            <w:tcBorders>
              <w:top w:val="single" w:sz="4" w:space="0" w:color="auto"/>
              <w:left w:val="single" w:sz="4" w:space="0" w:color="auto"/>
              <w:bottom w:val="single" w:sz="4" w:space="0" w:color="auto"/>
              <w:right w:val="single" w:sz="4" w:space="0" w:color="auto"/>
            </w:tcBorders>
            <w:shd w:val="clear" w:color="auto" w:fill="FFFFFF"/>
          </w:tcPr>
          <w:p w:rsidR="0011503B" w:rsidRDefault="0011503B">
            <w:pPr>
              <w:spacing w:after="200" w:line="240" w:lineRule="auto"/>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informatyzacja</w:t>
            </w:r>
          </w:p>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fldChar w:fldCharType="begin">
                <w:ffData>
                  <w:name w:val="Wybór1"/>
                  <w:enabled/>
                  <w:calcOnExit w:val="0"/>
                  <w:checkBox>
                    <w:sizeAuto/>
                    <w:default w:val="0"/>
                  </w:checkBox>
                </w:ffData>
              </w:fldChar>
            </w:r>
            <w:r>
              <w:rPr>
                <w:rFonts w:ascii="Times New Roman" w:eastAsia="Times New Roman" w:hAnsi="Times New Roman" w:cs="Times New Roman"/>
                <w:color w:val="000000"/>
                <w:sz w:val="24"/>
                <w:lang w:eastAsia="pl-PL"/>
              </w:rPr>
              <w:instrText xml:space="preserve"> FORMCHECKBOX </w:instrText>
            </w:r>
            <w:r w:rsidR="00975977">
              <w:rPr>
                <w:rFonts w:ascii="Times New Roman" w:eastAsia="Times New Roman" w:hAnsi="Times New Roman" w:cs="Times New Roman"/>
                <w:color w:val="000000"/>
                <w:sz w:val="24"/>
                <w:lang w:eastAsia="pl-PL"/>
              </w:rPr>
            </w:r>
            <w:r w:rsidR="00975977">
              <w:rPr>
                <w:rFonts w:ascii="Times New Roman" w:eastAsia="Times New Roman" w:hAnsi="Times New Roman" w:cs="Times New Roman"/>
                <w:color w:val="000000"/>
                <w:sz w:val="24"/>
                <w:lang w:eastAsia="pl-PL"/>
              </w:rPr>
              <w:fldChar w:fldCharType="separate"/>
            </w:r>
            <w:r>
              <w:rPr>
                <w:rFonts w:ascii="Times New Roman" w:eastAsia="Times New Roman" w:hAnsi="Times New Roman" w:cs="Times New Roman"/>
                <w:color w:val="000000"/>
                <w:sz w:val="24"/>
                <w:lang w:eastAsia="pl-PL"/>
              </w:rPr>
              <w:fldChar w:fldCharType="end"/>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pacing w:val="-2"/>
                <w:sz w:val="24"/>
                <w:lang w:eastAsia="pl-PL"/>
              </w:rPr>
              <w:t>zdrowie</w:t>
            </w:r>
          </w:p>
        </w:tc>
      </w:tr>
      <w:tr w:rsidR="0011503B" w:rsidTr="0011503B">
        <w:trPr>
          <w:gridAfter w:val="1"/>
          <w:wAfter w:w="10" w:type="dxa"/>
          <w:trHeight w:val="712"/>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Omówienie wpływu</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Projekt nie ma wpływu na wymienione obszary.</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sz w:val="24"/>
                <w:lang w:eastAsia="pl-PL"/>
              </w:rPr>
            </w:pPr>
            <w:r>
              <w:rPr>
                <w:rFonts w:ascii="Times New Roman" w:eastAsia="Times New Roman" w:hAnsi="Times New Roman" w:cs="Times New Roman"/>
                <w:b/>
                <w:spacing w:val="-2"/>
                <w:sz w:val="21"/>
                <w:szCs w:val="21"/>
                <w:lang w:eastAsia="pl-PL"/>
              </w:rPr>
              <w:t>Planowane wykonanie przepisów aktu prawnego</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both"/>
              <w:rPr>
                <w:rFonts w:ascii="Times New Roman" w:eastAsia="Times New Roman" w:hAnsi="Times New Roman" w:cs="Times New Roman"/>
                <w:spacing w:val="-2"/>
                <w:sz w:val="24"/>
                <w:lang w:eastAsia="pl-PL"/>
              </w:rPr>
            </w:pPr>
            <w:r>
              <w:rPr>
                <w:rFonts w:ascii="Times New Roman" w:eastAsia="Times New Roman" w:hAnsi="Times New Roman" w:cs="Times New Roman"/>
                <w:color w:val="000000"/>
                <w:spacing w:val="-2"/>
                <w:sz w:val="24"/>
                <w:lang w:eastAsia="pl-PL"/>
              </w:rPr>
              <w:t>Wykonanie przepisów rozporządzenia nastąpi wraz z jego wejściem w życie.</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 </w:t>
            </w:r>
            <w:r>
              <w:rPr>
                <w:rFonts w:ascii="Times New Roman" w:eastAsia="Times New Roman" w:hAnsi="Times New Roman" w:cs="Times New Roman"/>
                <w:b/>
                <w:spacing w:val="-2"/>
                <w:sz w:val="21"/>
                <w:szCs w:val="21"/>
                <w:lang w:eastAsia="pl-PL"/>
              </w:rPr>
              <w:t>W jaki sposób i kiedy nastąpi ewaluacja efektów projektu oraz jakie mierniki zostaną zastosowane?</w:t>
            </w:r>
          </w:p>
        </w:tc>
      </w:tr>
      <w:tr w:rsidR="0011503B" w:rsidTr="00585C01">
        <w:trPr>
          <w:gridAfter w:val="1"/>
          <w:wAfter w:w="10" w:type="dxa"/>
          <w:trHeight w:val="1732"/>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spacing w:val="-2"/>
                <w:sz w:val="24"/>
                <w:lang w:eastAsia="pl-PL"/>
              </w:rPr>
              <w:t xml:space="preserve">Osiągnięcie efektów projektu będzie mierzone corocznie w sporządzanej przez Ministra Obrony Narodowej </w:t>
            </w:r>
            <w:r>
              <w:rPr>
                <w:rFonts w:ascii="Times New Roman" w:eastAsia="Times New Roman" w:hAnsi="Times New Roman" w:cs="Times New Roman"/>
                <w:i/>
                <w:spacing w:val="-2"/>
                <w:sz w:val="24"/>
                <w:lang w:eastAsia="pl-PL"/>
              </w:rPr>
              <w:t>Ocenie pozamilitarnych przygotowań obronnych</w:t>
            </w:r>
            <w:r>
              <w:rPr>
                <w:rFonts w:ascii="Times New Roman" w:eastAsia="Times New Roman" w:hAnsi="Times New Roman" w:cs="Times New Roman"/>
                <w:spacing w:val="-2"/>
                <w:sz w:val="24"/>
                <w:lang w:eastAsia="pl-PL"/>
              </w:rPr>
              <w:t>, opracowanej na podstawie analizy danych z NKPPO, zawierającej diagnozę stanu przygotowania struktur niemilitarnych do realizacji zadań obronnych oraz propozycje kierunków działań na okres czterech kolejnych lat. Do określenia stopnia realizacji rozporządzenia oraz monitorowania wydatków przyjęto mierniki ściśle powiązane budżetem zadaniowym państwa, na poziomie zadań, podzadań i działań.</w:t>
            </w:r>
          </w:p>
        </w:tc>
      </w:tr>
      <w:tr w:rsidR="0011503B" w:rsidTr="0011503B">
        <w:trPr>
          <w:gridAfter w:val="1"/>
          <w:wAfter w:w="10" w:type="dxa"/>
          <w:trHeight w:val="142"/>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11503B" w:rsidRDefault="0011503B" w:rsidP="00187E4A">
            <w:pPr>
              <w:numPr>
                <w:ilvl w:val="0"/>
                <w:numId w:val="1"/>
              </w:numPr>
              <w:spacing w:before="60" w:after="60" w:line="240" w:lineRule="auto"/>
              <w:ind w:left="318" w:hanging="284"/>
              <w:jc w:val="both"/>
              <w:rPr>
                <w:rFonts w:ascii="Times New Roman" w:eastAsia="Times New Roman" w:hAnsi="Times New Roman" w:cs="Times New Roman"/>
                <w:b/>
                <w:color w:val="000000"/>
                <w:spacing w:val="-2"/>
                <w:sz w:val="24"/>
                <w:lang w:eastAsia="pl-PL"/>
              </w:rPr>
            </w:pPr>
            <w:r>
              <w:rPr>
                <w:rFonts w:ascii="Times New Roman" w:eastAsia="Times New Roman" w:hAnsi="Times New Roman" w:cs="Times New Roman"/>
                <w:b/>
                <w:color w:val="000000"/>
                <w:spacing w:val="-2"/>
                <w:sz w:val="24"/>
                <w:lang w:eastAsia="pl-PL"/>
              </w:rPr>
              <w:t xml:space="preserve">Załączniki </w:t>
            </w:r>
            <w:r>
              <w:rPr>
                <w:rFonts w:ascii="Times New Roman" w:eastAsia="Times New Roman" w:hAnsi="Times New Roman" w:cs="Times New Roman"/>
                <w:b/>
                <w:spacing w:val="-2"/>
                <w:sz w:val="21"/>
                <w:szCs w:val="21"/>
                <w:lang w:eastAsia="pl-PL"/>
              </w:rPr>
              <w:t>(istotne dokumenty źródłowe, badania, analizy itp.</w:t>
            </w:r>
            <w:r>
              <w:rPr>
                <w:rFonts w:ascii="Times New Roman" w:eastAsia="Times New Roman" w:hAnsi="Times New Roman" w:cs="Times New Roman"/>
                <w:b/>
                <w:color w:val="000000"/>
                <w:spacing w:val="-2"/>
                <w:sz w:val="24"/>
                <w:lang w:eastAsia="pl-PL"/>
              </w:rPr>
              <w:t xml:space="preserve">) </w:t>
            </w:r>
          </w:p>
        </w:tc>
      </w:tr>
      <w:tr w:rsidR="0011503B" w:rsidTr="00585C01">
        <w:trPr>
          <w:gridAfter w:val="1"/>
          <w:wAfter w:w="10" w:type="dxa"/>
          <w:trHeight w:val="319"/>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1503B" w:rsidRDefault="0011503B">
            <w:pPr>
              <w:spacing w:after="200" w:line="240" w:lineRule="auto"/>
              <w:jc w:val="both"/>
              <w:rPr>
                <w:rFonts w:ascii="Times New Roman" w:eastAsia="Times New Roman" w:hAnsi="Times New Roman" w:cs="Times New Roman"/>
                <w:color w:val="000000"/>
                <w:spacing w:val="-2"/>
                <w:sz w:val="24"/>
                <w:lang w:eastAsia="pl-PL"/>
              </w:rPr>
            </w:pPr>
            <w:r>
              <w:rPr>
                <w:rFonts w:ascii="Times New Roman" w:eastAsia="Times New Roman" w:hAnsi="Times New Roman" w:cs="Times New Roman"/>
                <w:color w:val="000000"/>
                <w:spacing w:val="-2"/>
                <w:sz w:val="24"/>
                <w:lang w:eastAsia="pl-PL"/>
              </w:rPr>
              <w:t>Brak.</w:t>
            </w:r>
          </w:p>
        </w:tc>
      </w:tr>
    </w:tbl>
    <w:p w:rsidR="009B1F45" w:rsidRDefault="009B1F45" w:rsidP="00585C01"/>
    <w:sectPr w:rsidR="009B1F45" w:rsidSect="00585C01">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54" w:rsidRDefault="00611454" w:rsidP="0011503B">
      <w:pPr>
        <w:spacing w:after="0" w:line="240" w:lineRule="auto"/>
      </w:pPr>
      <w:r>
        <w:separator/>
      </w:r>
    </w:p>
  </w:endnote>
  <w:endnote w:type="continuationSeparator" w:id="0">
    <w:p w:rsidR="00611454" w:rsidRDefault="00611454" w:rsidP="0011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54" w:rsidRDefault="00611454" w:rsidP="0011503B">
      <w:pPr>
        <w:spacing w:after="0" w:line="240" w:lineRule="auto"/>
      </w:pPr>
      <w:r>
        <w:separator/>
      </w:r>
    </w:p>
  </w:footnote>
  <w:footnote w:type="continuationSeparator" w:id="0">
    <w:p w:rsidR="00611454" w:rsidRDefault="00611454" w:rsidP="00115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3B"/>
    <w:rsid w:val="0011503B"/>
    <w:rsid w:val="004D6EA8"/>
    <w:rsid w:val="00585C01"/>
    <w:rsid w:val="00611454"/>
    <w:rsid w:val="00942F61"/>
    <w:rsid w:val="00975977"/>
    <w:rsid w:val="009B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9C2A5D-2F9E-47CA-9C0B-2F606AAD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03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03B"/>
  </w:style>
  <w:style w:type="paragraph" w:styleId="Stopka">
    <w:name w:val="footer"/>
    <w:basedOn w:val="Normalny"/>
    <w:link w:val="StopkaZnak"/>
    <w:uiPriority w:val="99"/>
    <w:unhideWhenUsed/>
    <w:rsid w:val="00115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73E35B2F-BC00-4330-BF15-6CFEEA182AD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Korczyński Piotr</dc:creator>
  <cp:keywords/>
  <dc:description/>
  <cp:lastModifiedBy>Korczyński Piotr</cp:lastModifiedBy>
  <cp:revision>2</cp:revision>
  <dcterms:created xsi:type="dcterms:W3CDTF">2023-04-17T07:02:00Z</dcterms:created>
  <dcterms:modified xsi:type="dcterms:W3CDTF">2023-04-17T07:02:00Z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478dc28b-dc0f-4e7a-9c4a-e3c10ba1c4ca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ncAzvxT5xqGK261VLZf3opuyzC+YaxXO</vt:lpwstr>
  </property>
</Properties>
</file>