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2B1" w14:textId="66181EC0" w:rsidR="00F428CC" w:rsidRPr="00F428CC" w:rsidRDefault="00F428CC" w:rsidP="00F428CC">
      <w:pPr>
        <w:pStyle w:val="OZNPROJEKTUwskazaniedatylubwersjiprojektu"/>
      </w:pPr>
      <w:r w:rsidRPr="00F428CC">
        <w:t xml:space="preserve">Projekt </w:t>
      </w:r>
      <w:r w:rsidR="00544AFC">
        <w:t xml:space="preserve">z dnia </w:t>
      </w:r>
      <w:r w:rsidR="00BA0D5F">
        <w:t>1</w:t>
      </w:r>
      <w:r w:rsidR="00BA0D5F">
        <w:t>8</w:t>
      </w:r>
      <w:r w:rsidRPr="00F428CC">
        <w:t>.</w:t>
      </w:r>
      <w:r w:rsidR="00A90913" w:rsidRPr="00F428CC">
        <w:t>0</w:t>
      </w:r>
      <w:r w:rsidR="00DA03E6">
        <w:t>4</w:t>
      </w:r>
      <w:r w:rsidR="0064387C">
        <w:t>.2023</w:t>
      </w:r>
    </w:p>
    <w:p w14:paraId="4738F02B" w14:textId="6D4608F3" w:rsidR="00F428CC" w:rsidRPr="00F428CC" w:rsidRDefault="00F428CC" w:rsidP="00F428CC">
      <w:pPr>
        <w:pStyle w:val="OZNRODZAKTUtznustawalubrozporzdzenieiorganwydajcy"/>
      </w:pPr>
      <w:r w:rsidRPr="00F428CC">
        <w:t>ROZPORZĄDZENIE</w:t>
      </w:r>
    </w:p>
    <w:p w14:paraId="4650F5A5" w14:textId="77777777" w:rsidR="00F428CC" w:rsidRDefault="00F428CC" w:rsidP="00F428CC">
      <w:pPr>
        <w:pStyle w:val="OZNRODZAKTUtznustawalubrozporzdzenieiorganwydajcy"/>
      </w:pPr>
      <w:r w:rsidRPr="00B20574">
        <w:t>MINISTRA INFRASTRUKTURY</w:t>
      </w:r>
      <w:r w:rsidRPr="00FA1B85">
        <w:rPr>
          <w:rStyle w:val="IGPindeksgrnyipogrubienie"/>
        </w:rPr>
        <w:footnoteReference w:id="2"/>
      </w:r>
      <w:r w:rsidRPr="00FA1B85">
        <w:rPr>
          <w:rStyle w:val="IGPindeksgrnyipogrubienie"/>
        </w:rPr>
        <w:t>)</w:t>
      </w:r>
    </w:p>
    <w:p w14:paraId="5440E2DD" w14:textId="359B701E" w:rsidR="00F428CC" w:rsidRPr="00F428CC" w:rsidRDefault="0064387C" w:rsidP="00F428CC">
      <w:pPr>
        <w:pStyle w:val="DATAAKTUdatauchwalenialubwydaniaaktu"/>
      </w:pPr>
      <w:r>
        <w:t>z dnia …………………. 2023</w:t>
      </w:r>
      <w:r w:rsidR="00F428CC" w:rsidRPr="00F428CC">
        <w:t xml:space="preserve"> r.</w:t>
      </w:r>
    </w:p>
    <w:p w14:paraId="663C92D7" w14:textId="59BCFF54" w:rsidR="00F428CC" w:rsidRPr="009E3341" w:rsidRDefault="00F428CC" w:rsidP="00F428CC">
      <w:pPr>
        <w:pStyle w:val="TYTUAKTUprzedmiotregulacjiustawylubrozporzdzenia"/>
        <w:rPr>
          <w:rStyle w:val="IGindeksgrny"/>
        </w:rPr>
      </w:pPr>
      <w:r w:rsidRPr="00F428CC">
        <w:t>zmieniające rozporządzenie w sprawie warunków technicznych, jakim powinny odpowiadać budowle kolejowe i ich usytuowanie</w:t>
      </w:r>
      <w:r w:rsidR="009E3341" w:rsidRPr="00FA1B85">
        <w:rPr>
          <w:rStyle w:val="IGPindeksgrnyipogrubienie"/>
        </w:rPr>
        <w:footnoteReference w:id="3"/>
      </w:r>
      <w:r w:rsidR="009E3341" w:rsidRPr="00FA1B85">
        <w:rPr>
          <w:rStyle w:val="IGPindeksgrnyipogrubienie"/>
        </w:rPr>
        <w:t>)</w:t>
      </w:r>
    </w:p>
    <w:p w14:paraId="1B628B8E" w14:textId="42DB537E" w:rsidR="00F428CC" w:rsidRDefault="00950061" w:rsidP="00F428CC">
      <w:pPr>
        <w:pStyle w:val="NIEARTTEKSTtekstnieartykuowanynppodstprawnarozplubpreambua"/>
      </w:pPr>
      <w:r>
        <w:t>Na podstawie</w:t>
      </w:r>
      <w:r w:rsidR="00F428CC" w:rsidRPr="00F428CC">
        <w:t xml:space="preserve"> art. 7 ust. 2 pkt 2 ustawy z dnia 7 lipca 1994 r. – Prawo budowlane (Dz. U. z 202</w:t>
      </w:r>
      <w:r w:rsidR="00FA1B85">
        <w:t>3</w:t>
      </w:r>
      <w:r w:rsidR="00F428CC" w:rsidRPr="00F428CC">
        <w:t xml:space="preserve"> r. poz. </w:t>
      </w:r>
      <w:r w:rsidR="00FA1B85">
        <w:t>682</w:t>
      </w:r>
      <w:r w:rsidR="00F428CC">
        <w:t xml:space="preserve">) </w:t>
      </w:r>
      <w:r w:rsidR="00F428CC" w:rsidRPr="00F428CC">
        <w:t>zarządza się, co następuje:</w:t>
      </w:r>
    </w:p>
    <w:p w14:paraId="7B3100BE" w14:textId="5D1D6E92" w:rsidR="00F428CC" w:rsidRDefault="00F428CC" w:rsidP="00F428CC">
      <w:pPr>
        <w:pStyle w:val="ARTartustawynprozporzdzenia"/>
      </w:pPr>
      <w:r w:rsidRPr="00F428CC">
        <w:rPr>
          <w:rStyle w:val="Ppogrubienie"/>
        </w:rPr>
        <w:t>§ 1.</w:t>
      </w:r>
      <w:r>
        <w:t xml:space="preserve"> </w:t>
      </w:r>
      <w:r w:rsidRPr="00F428CC">
        <w:t>W rozporządzeniu Ministra Transportu i Gospodarki Morskiej z dnia 10 września 1998 r. w sprawie warunków</w:t>
      </w:r>
      <w:r>
        <w:t xml:space="preserve"> </w:t>
      </w:r>
      <w:r w:rsidRPr="00F428CC">
        <w:t>technicznych, jakim powinny odpowiadać budowle kolejowe i</w:t>
      </w:r>
      <w:r>
        <w:t> </w:t>
      </w:r>
      <w:r w:rsidRPr="00F428CC">
        <w:t>ich usytuowanie (Dz. U. poz. 987</w:t>
      </w:r>
      <w:r w:rsidR="00CA5FA6">
        <w:t xml:space="preserve">, </w:t>
      </w:r>
      <w:r w:rsidRPr="00F428CC">
        <w:t>z 2014 r. poz. 867</w:t>
      </w:r>
      <w:r w:rsidR="00CA5FA6">
        <w:t xml:space="preserve"> oraz z 2018 r. poz. 1175</w:t>
      </w:r>
      <w:r w:rsidRPr="00F428CC">
        <w:t>)</w:t>
      </w:r>
      <w:r>
        <w:t xml:space="preserve"> </w:t>
      </w:r>
      <w:r w:rsidRPr="00F428CC">
        <w:t>wprowadza się następujące zmiany:</w:t>
      </w:r>
    </w:p>
    <w:p w14:paraId="6EA9307A" w14:textId="69A97DFE" w:rsidR="00AB6ABC" w:rsidRDefault="009E3341" w:rsidP="004849B8">
      <w:pPr>
        <w:pStyle w:val="PKTpunkt"/>
      </w:pPr>
      <w:r>
        <w:t>1</w:t>
      </w:r>
      <w:r w:rsidR="008E2841">
        <w:t>)</w:t>
      </w:r>
      <w:r w:rsidR="00906DB2">
        <w:tab/>
        <w:t xml:space="preserve">w </w:t>
      </w:r>
      <w:r w:rsidR="00F2095E">
        <w:rPr>
          <w:rFonts w:cs="Times"/>
        </w:rPr>
        <w:t>§</w:t>
      </w:r>
      <w:r w:rsidR="00F2095E">
        <w:t xml:space="preserve"> 1</w:t>
      </w:r>
      <w:r w:rsidR="00BE0AAB">
        <w:t>3</w:t>
      </w:r>
      <w:r w:rsidR="00F2095E">
        <w:t xml:space="preserve"> </w:t>
      </w:r>
      <w:r w:rsidR="00C70953">
        <w:t xml:space="preserve">w </w:t>
      </w:r>
      <w:r w:rsidR="00F2095E">
        <w:t xml:space="preserve">ust. </w:t>
      </w:r>
      <w:r w:rsidR="002570CE">
        <w:t xml:space="preserve">2 w </w:t>
      </w:r>
      <w:r w:rsidR="00653C91">
        <w:t>t</w:t>
      </w:r>
      <w:r w:rsidR="002570CE">
        <w:t>abeli 3.1</w:t>
      </w:r>
      <w:r w:rsidR="00C70953">
        <w:t xml:space="preserve"> „</w:t>
      </w:r>
      <w:r w:rsidR="00C70953" w:rsidRPr="00C70953">
        <w:t xml:space="preserve">Parametry eksploatacyjne linii </w:t>
      </w:r>
      <w:proofErr w:type="spellStart"/>
      <w:r w:rsidR="00023207" w:rsidRPr="00C70953">
        <w:t>kolejowych</w:t>
      </w:r>
      <w:r w:rsidR="008D3264" w:rsidRPr="008D3264">
        <w:t>ˮ</w:t>
      </w:r>
      <w:proofErr w:type="spellEnd"/>
      <w:r w:rsidR="008D3264">
        <w:t xml:space="preserve"> </w:t>
      </w:r>
      <w:r w:rsidR="00F63A17">
        <w:t>wiersz</w:t>
      </w:r>
      <w:r w:rsidR="00793E8D">
        <w:t xml:space="preserve"> trzeci</w:t>
      </w:r>
      <w:r w:rsidR="00F63A17">
        <w:t xml:space="preserve"> Lp</w:t>
      </w:r>
      <w:r w:rsidR="00EC4871">
        <w:t>.</w:t>
      </w:r>
      <w:r w:rsidR="00F63A17">
        <w:t xml:space="preserve"> 1 otrzymuje brzmienie: </w:t>
      </w:r>
    </w:p>
    <w:p w14:paraId="4F57B789" w14:textId="36665670" w:rsidR="00793E8D" w:rsidRDefault="00793E8D" w:rsidP="004849B8">
      <w:pPr>
        <w:pStyle w:val="PKTpunkt"/>
      </w:pPr>
      <w:r w:rsidRPr="0012145D">
        <w:t>„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6"/>
        <w:gridCol w:w="2311"/>
        <w:gridCol w:w="1926"/>
        <w:gridCol w:w="2073"/>
        <w:gridCol w:w="2073"/>
      </w:tblGrid>
      <w:tr w:rsidR="00FD0468" w14:paraId="6B09753A" w14:textId="77777777" w:rsidTr="00793E8D">
        <w:trPr>
          <w:trHeight w:val="45"/>
          <w:tblCellSpacing w:w="0" w:type="auto"/>
        </w:trPr>
        <w:tc>
          <w:tcPr>
            <w:tcW w:w="53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EB9DF" w14:textId="77777777" w:rsidR="00FD0468" w:rsidRPr="00FD0468" w:rsidRDefault="00FD0468" w:rsidP="00FD0468">
            <w:r w:rsidRPr="00FD0468">
              <w:t>1</w:t>
            </w:r>
          </w:p>
        </w:tc>
        <w:tc>
          <w:tcPr>
            <w:tcW w:w="231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D4D7E" w14:textId="77777777" w:rsidR="00FD0468" w:rsidRPr="00FD0468" w:rsidRDefault="00FD0468" w:rsidP="00FD0468">
            <w:r w:rsidRPr="00FD0468">
              <w:t>Magistralne (0)</w:t>
            </w:r>
          </w:p>
        </w:tc>
        <w:tc>
          <w:tcPr>
            <w:tcW w:w="19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BE6D" w14:textId="77777777" w:rsidR="00FD0468" w:rsidRPr="00FD0468" w:rsidRDefault="00FD0468" w:rsidP="00FD0468">
            <w:r w:rsidRPr="00FD0468">
              <w:t>T ≥ 25</w:t>
            </w:r>
          </w:p>
        </w:tc>
        <w:tc>
          <w:tcPr>
            <w:tcW w:w="20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4BC4" w14:textId="77777777" w:rsidR="00FD0468" w:rsidRPr="00FD0468" w:rsidRDefault="00FD0468" w:rsidP="00FD0468">
            <w:r w:rsidRPr="00FD0468">
              <w:t xml:space="preserve">120 &lt; </w:t>
            </w:r>
            <w:proofErr w:type="spellStart"/>
            <w:r w:rsidRPr="00FD0468">
              <w:t>Vmax</w:t>
            </w:r>
            <w:proofErr w:type="spellEnd"/>
            <w:r w:rsidRPr="00FD0468">
              <w:t xml:space="preserve"> ≤ 350</w:t>
            </w:r>
          </w:p>
        </w:tc>
        <w:tc>
          <w:tcPr>
            <w:tcW w:w="20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774D1" w14:textId="6057D83B" w:rsidR="00FD0468" w:rsidRPr="00FD0468" w:rsidRDefault="00FD0468" w:rsidP="00FD0468">
            <w:r w:rsidRPr="00FD0468">
              <w:t xml:space="preserve">80 &lt; </w:t>
            </w:r>
            <w:proofErr w:type="spellStart"/>
            <w:r w:rsidRPr="00FD0468">
              <w:t>Vmax</w:t>
            </w:r>
            <w:proofErr w:type="spellEnd"/>
            <w:r w:rsidRPr="00FD0468">
              <w:t xml:space="preserve"> ≤ 1</w:t>
            </w:r>
            <w:r w:rsidR="0016273B">
              <w:t>6</w:t>
            </w:r>
            <w:r w:rsidR="00AC2EAB">
              <w:t>0</w:t>
            </w:r>
          </w:p>
        </w:tc>
      </w:tr>
    </w:tbl>
    <w:p w14:paraId="556C4DF9" w14:textId="3032932F" w:rsidR="00793E8D" w:rsidRDefault="00793E8D" w:rsidP="0012145D">
      <w:pPr>
        <w:pStyle w:val="PKTpunkt"/>
      </w:pPr>
      <w:r w:rsidRPr="0012145D">
        <w:t>ˮ</w:t>
      </w:r>
      <w:r>
        <w:t>;</w:t>
      </w:r>
    </w:p>
    <w:p w14:paraId="36094328" w14:textId="0181CB41" w:rsidR="00156E77" w:rsidRDefault="009E3341" w:rsidP="0012145D">
      <w:pPr>
        <w:pStyle w:val="PKTpunkt"/>
      </w:pPr>
      <w:r>
        <w:t>2</w:t>
      </w:r>
      <w:r w:rsidR="000A40C7">
        <w:t>)</w:t>
      </w:r>
      <w:r w:rsidR="000A40C7">
        <w:tab/>
      </w:r>
      <w:r w:rsidR="009A0C1D">
        <w:t xml:space="preserve">w </w:t>
      </w:r>
      <w:r w:rsidR="009A0C1D">
        <w:rPr>
          <w:rFonts w:cs="Times"/>
        </w:rPr>
        <w:t>§</w:t>
      </w:r>
      <w:r w:rsidR="009A0C1D">
        <w:t xml:space="preserve"> 15 </w:t>
      </w:r>
      <w:r w:rsidR="00571F20">
        <w:t>w ust. 5</w:t>
      </w:r>
      <w:r w:rsidR="00974A59">
        <w:t xml:space="preserve"> w</w:t>
      </w:r>
      <w:r w:rsidR="00571F20">
        <w:t xml:space="preserve"> </w:t>
      </w:r>
      <w:r w:rsidR="00653C91">
        <w:t>t</w:t>
      </w:r>
      <w:r w:rsidR="000A40C7">
        <w:t>abel</w:t>
      </w:r>
      <w:r w:rsidR="00974A59">
        <w:t>i</w:t>
      </w:r>
      <w:r w:rsidR="00156E77">
        <w:t xml:space="preserve"> 3.</w:t>
      </w:r>
      <w:r w:rsidR="00AC2EAB">
        <w:t>2</w:t>
      </w:r>
      <w:r w:rsidR="00156E77">
        <w:t xml:space="preserve"> </w:t>
      </w:r>
      <w:r w:rsidR="0012145D" w:rsidRPr="0012145D">
        <w:t xml:space="preserve">„Warunki klasyfikacji torów </w:t>
      </w:r>
      <w:proofErr w:type="spellStart"/>
      <w:r w:rsidR="0012145D" w:rsidRPr="0012145D">
        <w:t>kolejowych</w:t>
      </w:r>
      <w:r w:rsidR="0012145D">
        <w:rPr>
          <w:rFonts w:cs="Times"/>
        </w:rPr>
        <w:t>ˮ</w:t>
      </w:r>
      <w:proofErr w:type="spellEnd"/>
      <w:r w:rsidR="0012145D">
        <w:t xml:space="preserve"> w kolumnie 2 </w:t>
      </w:r>
      <w:r w:rsidR="0012145D" w:rsidRPr="0012145D">
        <w:t>„dopuszczalna prędkość pociągów</w:t>
      </w:r>
      <w:r w:rsidR="0012145D">
        <w:t xml:space="preserve"> </w:t>
      </w:r>
      <w:r w:rsidR="0012145D" w:rsidRPr="0012145D">
        <w:t>w km/</w:t>
      </w:r>
      <w:proofErr w:type="spellStart"/>
      <w:r w:rsidR="0012145D" w:rsidRPr="0012145D">
        <w:t>hˮ</w:t>
      </w:r>
      <w:proofErr w:type="spellEnd"/>
      <w:r w:rsidR="0012145D">
        <w:t xml:space="preserve"> liczbę </w:t>
      </w:r>
      <w:r w:rsidR="0012145D" w:rsidRPr="0012145D">
        <w:t>„</w:t>
      </w:r>
      <w:r w:rsidR="0012145D">
        <w:t>250</w:t>
      </w:r>
      <w:r w:rsidR="0012145D" w:rsidRPr="0012145D">
        <w:t>ˮ</w:t>
      </w:r>
      <w:r w:rsidR="0012145D">
        <w:t xml:space="preserve"> zastępuje się liczbą </w:t>
      </w:r>
      <w:r w:rsidR="0012145D" w:rsidRPr="0012145D">
        <w:t>„</w:t>
      </w:r>
      <w:r w:rsidR="0012145D">
        <w:t>350</w:t>
      </w:r>
      <w:r w:rsidR="0012145D" w:rsidRPr="0012145D">
        <w:t>ˮ</w:t>
      </w:r>
      <w:r w:rsidR="0012145D">
        <w:t>;</w:t>
      </w:r>
    </w:p>
    <w:p w14:paraId="6B5F26A5" w14:textId="7F45D10E" w:rsidR="00E12F67" w:rsidRDefault="00E12F67" w:rsidP="0037745F">
      <w:pPr>
        <w:pStyle w:val="PKTpunkt"/>
      </w:pPr>
      <w:r>
        <w:t>3)</w:t>
      </w:r>
      <w:r>
        <w:tab/>
        <w:t>w § 31</w:t>
      </w:r>
      <w:r w:rsidR="00FA3B94">
        <w:t>:</w:t>
      </w:r>
    </w:p>
    <w:p w14:paraId="1811E889" w14:textId="036A4C91" w:rsidR="009B2690" w:rsidRDefault="009B2690" w:rsidP="009B27BC">
      <w:pPr>
        <w:pStyle w:val="LITlitera"/>
      </w:pPr>
      <w:r>
        <w:t>a)</w:t>
      </w:r>
      <w:r>
        <w:tab/>
        <w:t>ust. 1a otrzymuje brzmienie:</w:t>
      </w:r>
    </w:p>
    <w:p w14:paraId="26BFDF9D" w14:textId="7FBA1A29" w:rsidR="0037745F" w:rsidRPr="0037745F" w:rsidRDefault="009B2690" w:rsidP="009B27BC">
      <w:pPr>
        <w:pStyle w:val="ZLITUSTzmustliter"/>
      </w:pPr>
      <w:r w:rsidRPr="009B2690">
        <w:t>„</w:t>
      </w:r>
      <w:r w:rsidR="0037745F" w:rsidRPr="0037745F">
        <w:t>1a. Przy projektowaniu układu geometrycznego torów i połączeń torów w płaszczyźnie poziomej i pionowej</w:t>
      </w:r>
      <w:r w:rsidR="00AF0D3D">
        <w:t xml:space="preserve"> powinno</w:t>
      </w:r>
      <w:r w:rsidR="0037745F" w:rsidRPr="0037745F">
        <w:t xml:space="preserve"> się </w:t>
      </w:r>
      <w:r w:rsidR="00AF0D3D">
        <w:t xml:space="preserve">stosować </w:t>
      </w:r>
      <w:r w:rsidR="0037745F" w:rsidRPr="0037745F">
        <w:t>zasady obliczeń i dopuszczalne wartości parametrów określone w normie PN-EN 13803 Kolejnictwo</w:t>
      </w:r>
      <w:r w:rsidR="00AF0D3D">
        <w:t xml:space="preserve"> </w:t>
      </w:r>
      <w:r w:rsidR="00AF0D3D">
        <w:lastRenderedPageBreak/>
        <w:sym w:font="Symbol" w:char="F02D"/>
      </w:r>
      <w:r w:rsidR="00AF0D3D">
        <w:t xml:space="preserve"> </w:t>
      </w:r>
      <w:r w:rsidR="0037745F" w:rsidRPr="0037745F">
        <w:t>Tor</w:t>
      </w:r>
      <w:r w:rsidR="00AF0D3D">
        <w:t xml:space="preserve"> </w:t>
      </w:r>
      <w:r w:rsidR="00AF0D3D" w:rsidRPr="00AF0D3D">
        <w:sym w:font="Symbol" w:char="F02D"/>
      </w:r>
      <w:r w:rsidR="00AF0D3D">
        <w:t xml:space="preserve"> </w:t>
      </w:r>
      <w:r w:rsidR="0037745F" w:rsidRPr="0037745F">
        <w:t xml:space="preserve">Parametry projektowania toru w planie </w:t>
      </w:r>
      <w:r w:rsidR="00AF0D3D" w:rsidRPr="00AF0D3D">
        <w:sym w:font="Symbol" w:char="F02D"/>
      </w:r>
      <w:r w:rsidR="0037745F" w:rsidRPr="0037745F">
        <w:t xml:space="preserve"> Tor o szerokości 1435 mm i większej, przy czym:</w:t>
      </w:r>
    </w:p>
    <w:p w14:paraId="29F24F0C" w14:textId="35B620F7" w:rsidR="0037745F" w:rsidRPr="0037745F" w:rsidRDefault="0037745F" w:rsidP="009B27BC">
      <w:pPr>
        <w:pStyle w:val="ZLITPKTzmpktliter"/>
      </w:pPr>
      <w:r w:rsidRPr="0037745F">
        <w:t>1)</w:t>
      </w:r>
      <w:r>
        <w:tab/>
      </w:r>
      <w:r w:rsidRPr="0037745F">
        <w:t>w odniesieniu do układu geometrycznego w płaszczyźnie poziomej powinno się stosować metodę zmiany niedomiaru przechyłki oraz nagłej zmiany niedomiaru przechyłki;</w:t>
      </w:r>
    </w:p>
    <w:p w14:paraId="2007FED7" w14:textId="33E5444D" w:rsidR="009B2690" w:rsidRDefault="0037745F" w:rsidP="0037745F">
      <w:pPr>
        <w:pStyle w:val="ZLITPKTzmpktliter"/>
      </w:pPr>
      <w:r w:rsidRPr="0037745F">
        <w:t>2)</w:t>
      </w:r>
      <w:r>
        <w:tab/>
      </w:r>
      <w:r w:rsidRPr="0037745F">
        <w:t>szczegółowe wartości parametrów</w:t>
      </w:r>
      <w:r w:rsidR="00444E56">
        <w:t xml:space="preserve"> </w:t>
      </w:r>
      <w:r w:rsidRPr="0037745F">
        <w:t xml:space="preserve">należy uzgodnić z zarządcą infrastruktury </w:t>
      </w:r>
      <w:proofErr w:type="spellStart"/>
      <w:r w:rsidRPr="0037745F">
        <w:t>kolejowej.</w:t>
      </w:r>
      <w:r w:rsidR="009B2690" w:rsidRPr="009B2690">
        <w:t>ˮ</w:t>
      </w:r>
      <w:proofErr w:type="spellEnd"/>
      <w:r>
        <w:t>,</w:t>
      </w:r>
    </w:p>
    <w:p w14:paraId="6ABCCB68" w14:textId="703BF2AE" w:rsidR="0037745F" w:rsidRDefault="0037745F" w:rsidP="0037745F">
      <w:pPr>
        <w:pStyle w:val="LITlitera"/>
      </w:pPr>
      <w:r>
        <w:t>b)</w:t>
      </w:r>
      <w:r>
        <w:tab/>
        <w:t xml:space="preserve">po ust. 1a dodaje się ust. 1aa w brzmieniu: </w:t>
      </w:r>
    </w:p>
    <w:p w14:paraId="46D9EAFB" w14:textId="6CD10DA8" w:rsidR="0037745F" w:rsidRDefault="0037745F" w:rsidP="00D6204F">
      <w:pPr>
        <w:pStyle w:val="ZLITUSTzmustliter"/>
      </w:pPr>
      <w:r w:rsidRPr="0037745F">
        <w:t>„</w:t>
      </w:r>
      <w:r w:rsidR="00D6204F" w:rsidRPr="00D6204F">
        <w:t>1aa.</w:t>
      </w:r>
      <w:r w:rsidR="002B2587">
        <w:t xml:space="preserve"> </w:t>
      </w:r>
      <w:r w:rsidR="00D6204F" w:rsidRPr="00D6204F">
        <w:t>W przypadku, o którym mowa w ust. 1a, przepisów ust. 2</w:t>
      </w:r>
      <w:r w:rsidR="00AF0D3D" w:rsidRPr="00AF0D3D">
        <w:sym w:font="Symbol" w:char="F02D"/>
      </w:r>
      <w:r w:rsidR="00D6204F" w:rsidRPr="00D6204F">
        <w:t>4, § 24 ust</w:t>
      </w:r>
      <w:r w:rsidR="002B2587">
        <w:t>.</w:t>
      </w:r>
      <w:r w:rsidR="00D6204F" w:rsidRPr="00D6204F">
        <w:t xml:space="preserve"> 2 pkt 3</w:t>
      </w:r>
      <w:r w:rsidR="00AF0D3D" w:rsidRPr="00AF0D3D">
        <w:sym w:font="Symbol" w:char="F02D"/>
      </w:r>
      <w:r w:rsidR="00D6204F" w:rsidRPr="00D6204F">
        <w:t>5 oraz § 32</w:t>
      </w:r>
      <w:r w:rsidR="00AF0D3D" w:rsidRPr="00AF0D3D">
        <w:sym w:font="Symbol" w:char="F02D"/>
      </w:r>
      <w:r w:rsidR="00D6204F" w:rsidRPr="00D6204F">
        <w:t xml:space="preserve">38 nie stosuje </w:t>
      </w:r>
      <w:proofErr w:type="spellStart"/>
      <w:r w:rsidR="00D6204F" w:rsidRPr="00D6204F">
        <w:t>się</w:t>
      </w:r>
      <w:r w:rsidR="00D6204F">
        <w:t>.</w:t>
      </w:r>
      <w:r w:rsidRPr="0037745F">
        <w:t>ˮ</w:t>
      </w:r>
      <w:proofErr w:type="spellEnd"/>
      <w:r w:rsidR="00D6204F">
        <w:t>,</w:t>
      </w:r>
    </w:p>
    <w:p w14:paraId="63C84EB9" w14:textId="4DB72FC1" w:rsidR="00D6204F" w:rsidRDefault="00D6204F" w:rsidP="009B27BC">
      <w:pPr>
        <w:pStyle w:val="LITlitera"/>
      </w:pPr>
      <w:r>
        <w:t>c)</w:t>
      </w:r>
      <w:r>
        <w:tab/>
        <w:t>ust. 1b otrzymuje brzmienie:</w:t>
      </w:r>
    </w:p>
    <w:p w14:paraId="07AFD489" w14:textId="4DBB559F" w:rsidR="00D6204F" w:rsidRDefault="00D6204F" w:rsidP="009B27BC">
      <w:pPr>
        <w:pStyle w:val="ZLITUSTzmustliter"/>
      </w:pPr>
      <w:r w:rsidRPr="00D6204F">
        <w:t>„</w:t>
      </w:r>
      <w:r w:rsidR="009B27BC" w:rsidRPr="009B27BC">
        <w:t>1b. W przypadku budowli kolejowych, które nie są objęte oceną zgodności z wymaganiami zasadniczymi dla interoperacyjności systemu kolei, przy projektowaniu układu geometrycznego torów i połączeń torów w płaszczyźnie poziomej i pionowej</w:t>
      </w:r>
      <w:r w:rsidR="00473BF3">
        <w:t xml:space="preserve"> </w:t>
      </w:r>
      <w:r w:rsidR="009B27BC" w:rsidRPr="009B27BC">
        <w:t>dopuszcza się</w:t>
      </w:r>
      <w:r w:rsidR="00473BF3">
        <w:t xml:space="preserve"> </w:t>
      </w:r>
      <w:r w:rsidR="009B27BC" w:rsidRPr="009B27BC">
        <w:t>stosowanie</w:t>
      </w:r>
      <w:r w:rsidR="00473BF3">
        <w:t xml:space="preserve"> </w:t>
      </w:r>
      <w:r w:rsidR="009B27BC" w:rsidRPr="009B27BC">
        <w:t>zasad obliczeń i dopuszczalnych wartości parametrów określonych </w:t>
      </w:r>
      <w:r w:rsidR="00440E56">
        <w:t xml:space="preserve">w </w:t>
      </w:r>
      <w:r w:rsidR="009B27BC" w:rsidRPr="009B27BC">
        <w:t>ust. 2</w:t>
      </w:r>
      <w:r w:rsidR="00AF0D3D" w:rsidRPr="00AF0D3D">
        <w:sym w:font="Symbol" w:char="F02D"/>
      </w:r>
      <w:r w:rsidR="009B27BC" w:rsidRPr="009B27BC">
        <w:t>4, § 24 ust</w:t>
      </w:r>
      <w:r w:rsidR="003D7AFF">
        <w:t>.</w:t>
      </w:r>
      <w:r w:rsidR="009B27BC" w:rsidRPr="009B27BC">
        <w:t xml:space="preserve"> 2 pkt 3</w:t>
      </w:r>
      <w:r w:rsidR="00AF0D3D" w:rsidRPr="00AF0D3D">
        <w:sym w:font="Symbol" w:char="F02D"/>
      </w:r>
      <w:r w:rsidR="009B27BC" w:rsidRPr="009B27BC">
        <w:t>5 oraz § 32</w:t>
      </w:r>
      <w:r w:rsidR="00AF0D3D" w:rsidRPr="00AF0D3D">
        <w:sym w:font="Symbol" w:char="F02D"/>
      </w:r>
      <w:r w:rsidR="009B27BC" w:rsidRPr="009B27BC">
        <w:t>38.</w:t>
      </w:r>
      <w:r w:rsidRPr="00D6204F">
        <w:t>ˮ</w:t>
      </w:r>
      <w:r w:rsidR="009B27BC">
        <w:t>;</w:t>
      </w:r>
    </w:p>
    <w:p w14:paraId="0D7B9D63" w14:textId="0A0D29AB" w:rsidR="001B38C6" w:rsidRDefault="00E12F67" w:rsidP="002147CE">
      <w:pPr>
        <w:pStyle w:val="PKTpunkt"/>
      </w:pPr>
      <w:r>
        <w:t>4</w:t>
      </w:r>
      <w:r w:rsidR="00502DA2">
        <w:t>)</w:t>
      </w:r>
      <w:r w:rsidR="00502DA2">
        <w:tab/>
      </w:r>
      <w:r w:rsidR="001B38C6">
        <w:t xml:space="preserve">w </w:t>
      </w:r>
      <w:r w:rsidR="00502DA2" w:rsidRPr="002147CE">
        <w:t>§</w:t>
      </w:r>
      <w:r w:rsidR="00502DA2">
        <w:t xml:space="preserve"> 40 </w:t>
      </w:r>
      <w:r w:rsidR="001B38C6">
        <w:t>ust. 1 otrzymuje brzmienie:</w:t>
      </w:r>
    </w:p>
    <w:p w14:paraId="07715EF5" w14:textId="3BEC70B2" w:rsidR="001B38C6" w:rsidRDefault="001B38C6" w:rsidP="001B38C6">
      <w:pPr>
        <w:pStyle w:val="ZUSTzmustartykuempunktem"/>
      </w:pPr>
      <w:r>
        <w:t xml:space="preserve">„1. </w:t>
      </w:r>
      <w:r w:rsidRPr="001B38C6">
        <w:t xml:space="preserve">Liczba torów głównych na stacji powinna odpowiadać co najmniej liczbie torów </w:t>
      </w:r>
      <w:r w:rsidR="003404C7">
        <w:t>szlakowych</w:t>
      </w:r>
      <w:r w:rsidRPr="001B38C6">
        <w:t xml:space="preserve"> wchodzących do danej </w:t>
      </w:r>
      <w:proofErr w:type="spellStart"/>
      <w:r w:rsidRPr="001B38C6">
        <w:t>stacji.</w:t>
      </w:r>
      <w:r>
        <w:t>ˮ</w:t>
      </w:r>
      <w:proofErr w:type="spellEnd"/>
      <w:r>
        <w:t>;</w:t>
      </w:r>
    </w:p>
    <w:p w14:paraId="5D49BBF8" w14:textId="36042A96" w:rsidR="00D429F4" w:rsidRDefault="00E12F67" w:rsidP="00973B68">
      <w:pPr>
        <w:pStyle w:val="PKTpunkt"/>
      </w:pPr>
      <w:r>
        <w:t>5</w:t>
      </w:r>
      <w:r w:rsidR="00FA537C">
        <w:t>)</w:t>
      </w:r>
      <w:r w:rsidR="00FA537C">
        <w:tab/>
        <w:t>w § 5</w:t>
      </w:r>
      <w:r w:rsidR="00D429F4">
        <w:t xml:space="preserve">0 ust. 1 </w:t>
      </w:r>
      <w:r w:rsidR="00FB4DB7">
        <w:t xml:space="preserve">otrzymuje brzmienie: </w:t>
      </w:r>
    </w:p>
    <w:p w14:paraId="61ABB404" w14:textId="75EEDB51" w:rsidR="00FB4DB7" w:rsidRPr="00FB4DB7" w:rsidRDefault="0073570C" w:rsidP="0073570C">
      <w:pPr>
        <w:pStyle w:val="ZARTzmartartykuempunktem"/>
      </w:pPr>
      <w:r>
        <w:t>„</w:t>
      </w:r>
      <w:r w:rsidR="00FB4DB7" w:rsidRPr="00FB4DB7">
        <w:t>1.</w:t>
      </w:r>
      <w:r>
        <w:t xml:space="preserve"> </w:t>
      </w:r>
      <w:r w:rsidR="00FB4DB7" w:rsidRPr="00FB4DB7">
        <w:t>Światło mostów powinno się ustalać na podstawie obliczeń hydrologicznych dla maksymalnego przepływu rocznego wody o prawdopodobieństwie wystąpienia przepływu miarodajnego nie większym niż</w:t>
      </w:r>
      <w:r w:rsidR="00FB4DB7">
        <w:t xml:space="preserve"> 0,5</w:t>
      </w:r>
      <w:r w:rsidR="00B97DA1">
        <w:t>%</w:t>
      </w:r>
      <w:r w:rsidR="00FB4DB7">
        <w:t xml:space="preserve"> dla </w:t>
      </w:r>
      <w:r>
        <w:t xml:space="preserve">wszystkich kategorii linii kolejowych, </w:t>
      </w:r>
      <w:r w:rsidR="00FB4DB7" w:rsidRPr="00FB4DB7">
        <w:t>przy zachowaniu następujących wymagań:</w:t>
      </w:r>
    </w:p>
    <w:p w14:paraId="2EA43FB4" w14:textId="0ACB56DD" w:rsidR="00FB4DB7" w:rsidRPr="00FB4DB7" w:rsidRDefault="0073570C" w:rsidP="0073570C">
      <w:pPr>
        <w:pStyle w:val="ZPKTzmpktartykuempunktem"/>
      </w:pPr>
      <w:r>
        <w:t>1</w:t>
      </w:r>
      <w:r w:rsidR="00FB4DB7" w:rsidRPr="00FB4DB7">
        <w:t>)</w:t>
      </w:r>
      <w:r w:rsidR="00FB4DB7">
        <w:tab/>
      </w:r>
      <w:r w:rsidR="00FB4DB7" w:rsidRPr="00FB4DB7">
        <w:t xml:space="preserve">spód konstrukcji mostu powinien być wzniesiony ponad poziom wody maksymalnie spiętrzonej nad wodami śródlądowymi nieżeglownymi: </w:t>
      </w:r>
    </w:p>
    <w:p w14:paraId="417AC815" w14:textId="59ABB487" w:rsidR="00FB4DB7" w:rsidRPr="00FB4DB7" w:rsidRDefault="0073570C" w:rsidP="0073570C">
      <w:pPr>
        <w:pStyle w:val="ZLITwPKTzmlitwpktartykuempunktem"/>
      </w:pPr>
      <w:r>
        <w:t>a)</w:t>
      </w:r>
      <w:r w:rsidR="00FB4DB7">
        <w:tab/>
      </w:r>
      <w:r w:rsidR="00FB4DB7" w:rsidRPr="00FB4DB7">
        <w:t xml:space="preserve">co najmniej 1,00 m </w:t>
      </w:r>
      <w:r w:rsidR="00B97DA1">
        <w:t>–</w:t>
      </w:r>
      <w:r w:rsidR="00FB4DB7" w:rsidRPr="00FB4DB7">
        <w:t xml:space="preserve"> na wodach uznanych za spławne oraz na ciekach niespławnych,</w:t>
      </w:r>
    </w:p>
    <w:p w14:paraId="190ADEEC" w14:textId="733CEF80" w:rsidR="00FB4DB7" w:rsidRPr="00FB4DB7" w:rsidRDefault="0073570C" w:rsidP="0073570C">
      <w:pPr>
        <w:pStyle w:val="ZLITwPKTzmlitwpktartykuempunktem"/>
      </w:pPr>
      <w:r>
        <w:t>b)</w:t>
      </w:r>
      <w:r w:rsidR="00FB4DB7">
        <w:tab/>
      </w:r>
      <w:r w:rsidR="00FB4DB7" w:rsidRPr="00FB4DB7">
        <w:t xml:space="preserve">co najmniej 0,50 m </w:t>
      </w:r>
      <w:r w:rsidR="00B97DA1">
        <w:t>–</w:t>
      </w:r>
      <w:r w:rsidR="00FB4DB7" w:rsidRPr="00FB4DB7">
        <w:t xml:space="preserve"> na pozostałych wodach nieżeglownych,</w:t>
      </w:r>
    </w:p>
    <w:p w14:paraId="6F1DA8AF" w14:textId="6F8A714A" w:rsidR="00FB4DB7" w:rsidRPr="00FB4DB7" w:rsidRDefault="0073570C" w:rsidP="0073570C">
      <w:pPr>
        <w:pStyle w:val="ZLITwPKTzmlitwpktartykuempunktem"/>
      </w:pPr>
      <w:r>
        <w:t>c)</w:t>
      </w:r>
      <w:r w:rsidR="00FB4DB7">
        <w:tab/>
      </w:r>
      <w:r w:rsidR="00FB4DB7" w:rsidRPr="00FB4DB7">
        <w:t xml:space="preserve">co najmniej 1,50 m </w:t>
      </w:r>
      <w:r w:rsidR="00B97DA1">
        <w:t>–</w:t>
      </w:r>
      <w:r w:rsidR="00FB4DB7" w:rsidRPr="00FB4DB7">
        <w:t xml:space="preserve"> na wodach uznanych za żeglowne, pod przęsłami nieżeglownymi</w:t>
      </w:r>
      <w:r w:rsidR="00CA5ACE">
        <w:t>;</w:t>
      </w:r>
    </w:p>
    <w:p w14:paraId="442058D6" w14:textId="7D88C456" w:rsidR="00FB4DB7" w:rsidRPr="00FB4DB7" w:rsidRDefault="0073570C" w:rsidP="0073570C">
      <w:pPr>
        <w:pStyle w:val="ZPKTzmpktartykuempunktem"/>
      </w:pPr>
      <w:r>
        <w:t>2</w:t>
      </w:r>
      <w:r w:rsidR="00FB4DB7" w:rsidRPr="00FB4DB7">
        <w:t>)</w:t>
      </w:r>
      <w:r w:rsidR="00FB4DB7">
        <w:tab/>
      </w:r>
      <w:r w:rsidR="00FB4DB7" w:rsidRPr="00FB4DB7">
        <w:t>spód konstrukcji mostu (przęseł) nad ciekami żeglownymi powinien być wzniesiony ponad najwyższy poziom wody żeglownej zgodnie z wymogami danej klasy drogi wodnej</w:t>
      </w:r>
      <w:r w:rsidR="00EE3B8B">
        <w:t>;</w:t>
      </w:r>
    </w:p>
    <w:p w14:paraId="2B54C112" w14:textId="0EB23495" w:rsidR="00FB4DB7" w:rsidRPr="00FB4DB7" w:rsidRDefault="0073570C" w:rsidP="0073570C">
      <w:pPr>
        <w:pStyle w:val="ZPKTzmpktartykuempunktem"/>
      </w:pPr>
      <w:r>
        <w:t>3</w:t>
      </w:r>
      <w:r w:rsidR="00FB4DB7" w:rsidRPr="00FB4DB7">
        <w:t>)</w:t>
      </w:r>
      <w:r w:rsidR="00FB4DB7">
        <w:tab/>
      </w:r>
      <w:r w:rsidR="00FB4DB7" w:rsidRPr="00FB4DB7">
        <w:t xml:space="preserve">górna powierzchnia ciosu </w:t>
      </w:r>
      <w:proofErr w:type="spellStart"/>
      <w:r w:rsidR="00FB4DB7" w:rsidRPr="00FB4DB7">
        <w:t>podłożyskowego</w:t>
      </w:r>
      <w:proofErr w:type="spellEnd"/>
      <w:r w:rsidR="00FB4DB7" w:rsidRPr="00FB4DB7">
        <w:t xml:space="preserve"> podpory mostu kolejowego powinna być wzniesiona co najmniej 0,50 m powyżej poziomu maksymalnej wody spiętrzonej</w:t>
      </w:r>
      <w:r w:rsidR="00EE3B8B">
        <w:t>;</w:t>
      </w:r>
    </w:p>
    <w:p w14:paraId="52E2BED1" w14:textId="485A6967" w:rsidR="00FB4DB7" w:rsidRPr="00FB4DB7" w:rsidRDefault="0073570C" w:rsidP="0073570C">
      <w:pPr>
        <w:pStyle w:val="ZPKTzmpktartykuempunktem"/>
      </w:pPr>
      <w:r>
        <w:t>4</w:t>
      </w:r>
      <w:r w:rsidR="00FB4DB7" w:rsidRPr="00FB4DB7">
        <w:t>)</w:t>
      </w:r>
      <w:r w:rsidR="00FB4DB7">
        <w:tab/>
      </w:r>
      <w:r w:rsidR="00FB4DB7" w:rsidRPr="00FB4DB7">
        <w:t xml:space="preserve">ze względu na warunki spływu lodów w wieloprzęsłowych mostach, co najmniej jedno przęsło w korycie głównym cieku powinno mieć rozpiętość nie mniejszą niż 1/5 szerokości lustra wody przy jej średnim </w:t>
      </w:r>
      <w:proofErr w:type="spellStart"/>
      <w:r w:rsidR="00FB4DB7" w:rsidRPr="00FB4DB7">
        <w:t>stanie.</w:t>
      </w:r>
      <w:r>
        <w:t>ˮ</w:t>
      </w:r>
      <w:proofErr w:type="spellEnd"/>
      <w:r>
        <w:t>;</w:t>
      </w:r>
    </w:p>
    <w:p w14:paraId="19F162CF" w14:textId="449B564A" w:rsidR="00FA1978" w:rsidRDefault="00E12F67" w:rsidP="00973B68">
      <w:pPr>
        <w:pStyle w:val="PKTpunkt"/>
      </w:pPr>
      <w:r>
        <w:t>6</w:t>
      </w:r>
      <w:r w:rsidR="00B0724B">
        <w:t>)</w:t>
      </w:r>
      <w:r w:rsidR="00B0724B">
        <w:tab/>
        <w:t xml:space="preserve">w § 52 </w:t>
      </w:r>
      <w:r w:rsidR="006218EA">
        <w:t xml:space="preserve">po ust. 3 </w:t>
      </w:r>
      <w:r w:rsidR="00620324">
        <w:t xml:space="preserve">dodaje się ust. </w:t>
      </w:r>
      <w:r w:rsidR="006218EA">
        <w:t xml:space="preserve">3a </w:t>
      </w:r>
      <w:r w:rsidR="00620324">
        <w:t>w brzmieniu</w:t>
      </w:r>
      <w:r w:rsidR="00B0724B">
        <w:t xml:space="preserve">: </w:t>
      </w:r>
    </w:p>
    <w:p w14:paraId="7DF425E4" w14:textId="164A1F5D" w:rsidR="00C806D3" w:rsidRPr="00C806D3" w:rsidRDefault="00B0724B" w:rsidP="00C806D3">
      <w:pPr>
        <w:pStyle w:val="ZUSTzmustartykuempunktem"/>
      </w:pPr>
      <w:r>
        <w:t>„</w:t>
      </w:r>
      <w:r w:rsidR="006218EA">
        <w:t>3a</w:t>
      </w:r>
      <w:r w:rsidR="00BC3AC6" w:rsidRPr="00BC3AC6">
        <w:t xml:space="preserve">. </w:t>
      </w:r>
      <w:r w:rsidR="00C806D3" w:rsidRPr="00C806D3">
        <w:t>Dopuszcza się niestosowanie nisz, o których mowa w ust. 3, w przypadku:</w:t>
      </w:r>
    </w:p>
    <w:p w14:paraId="1A5E9690" w14:textId="31272F5D" w:rsidR="00C806D3" w:rsidRPr="00C806D3" w:rsidRDefault="00C806D3" w:rsidP="00C806D3">
      <w:pPr>
        <w:pStyle w:val="ZPKTzmpktartykuempunktem"/>
      </w:pPr>
      <w:r w:rsidRPr="00C806D3">
        <w:t>1)</w:t>
      </w:r>
      <w:r>
        <w:tab/>
      </w:r>
      <w:r w:rsidRPr="00C806D3">
        <w:t xml:space="preserve">tuneli </w:t>
      </w:r>
      <w:r w:rsidR="006218EA">
        <w:t xml:space="preserve">liniowych </w:t>
      </w:r>
      <w:r w:rsidRPr="00C806D3">
        <w:t xml:space="preserve">jednotorowych wyposażonych w chodnik, </w:t>
      </w:r>
    </w:p>
    <w:p w14:paraId="39C2DA2B" w14:textId="4750DC8D" w:rsidR="00C806D3" w:rsidRPr="00C806D3" w:rsidRDefault="00C806D3" w:rsidP="00C806D3">
      <w:pPr>
        <w:pStyle w:val="ZPKTzmpktartykuempunktem"/>
      </w:pPr>
      <w:r w:rsidRPr="00C806D3">
        <w:t>2)</w:t>
      </w:r>
      <w:r>
        <w:tab/>
      </w:r>
      <w:r w:rsidRPr="00C806D3">
        <w:t xml:space="preserve">tuneli </w:t>
      </w:r>
      <w:r w:rsidR="006218EA">
        <w:t xml:space="preserve">liniowych </w:t>
      </w:r>
      <w:r w:rsidRPr="00C806D3">
        <w:t>wielotorowych wyposażonych w chodniki</w:t>
      </w:r>
    </w:p>
    <w:p w14:paraId="13FD57FC" w14:textId="6DC5CCAE" w:rsidR="008D7C43" w:rsidRDefault="00C806D3" w:rsidP="00C806D3">
      <w:pPr>
        <w:pStyle w:val="ZCZWSPPKTzmczciwsppktartykuempunktem"/>
      </w:pPr>
      <w:r>
        <w:t>–</w:t>
      </w:r>
      <w:r w:rsidRPr="00C806D3">
        <w:t xml:space="preserve"> o minimalnej szerokości 0,8 </w:t>
      </w:r>
      <w:proofErr w:type="spellStart"/>
      <w:r w:rsidRPr="00C806D3">
        <w:t>m.</w:t>
      </w:r>
      <w:r w:rsidR="005B711F" w:rsidRPr="005B711F">
        <w:t>ˮ</w:t>
      </w:r>
      <w:proofErr w:type="spellEnd"/>
      <w:r w:rsidR="005B711F">
        <w:t>;</w:t>
      </w:r>
    </w:p>
    <w:p w14:paraId="68CB0E74" w14:textId="06A59874" w:rsidR="001F545D" w:rsidRDefault="00E12F67" w:rsidP="001F545D">
      <w:pPr>
        <w:pStyle w:val="PKTpunkt"/>
      </w:pPr>
      <w:r>
        <w:t>7</w:t>
      </w:r>
      <w:r w:rsidR="00DE3556">
        <w:t>)</w:t>
      </w:r>
      <w:r w:rsidR="00DE3556">
        <w:tab/>
        <w:t>w § 125</w:t>
      </w:r>
      <w:r w:rsidR="001F545D">
        <w:t>:</w:t>
      </w:r>
    </w:p>
    <w:p w14:paraId="3775D559" w14:textId="1B81F06B" w:rsidR="00487050" w:rsidRPr="00487050" w:rsidRDefault="0054603C" w:rsidP="00487050">
      <w:pPr>
        <w:pStyle w:val="LITlitera"/>
      </w:pPr>
      <w:r>
        <w:t>a</w:t>
      </w:r>
      <w:r w:rsidR="00487050">
        <w:t>)</w:t>
      </w:r>
      <w:r w:rsidR="00487050">
        <w:tab/>
        <w:t xml:space="preserve"> pkt 2 otrzymuje brzmienie:</w:t>
      </w:r>
    </w:p>
    <w:p w14:paraId="3F80557B" w14:textId="69678A63" w:rsidR="00565317" w:rsidRDefault="00487050" w:rsidP="00487050">
      <w:pPr>
        <w:pStyle w:val="ZLITPKTzmpktliter"/>
      </w:pPr>
      <w:r w:rsidRPr="00487050">
        <w:t>„</w:t>
      </w:r>
      <w:r>
        <w:t>2)</w:t>
      </w:r>
      <w:r>
        <w:tab/>
        <w:t>r</w:t>
      </w:r>
      <w:r w:rsidRPr="00487050">
        <w:t>urociągi przeprowadzane pod torami kolejowymi powinny być układane w rurach ochronnych lub przepustach z zachowaniem wymogów skrajni budowli, aby możliwy był ich remont lub konserwacja w sposób niepowodujący zakłóceń w prowadzeniu ruchu pojazdów kolejowych</w:t>
      </w:r>
      <w:r w:rsidR="007D1CF9">
        <w:t>;</w:t>
      </w:r>
      <w:r w:rsidRPr="00487050">
        <w:t xml:space="preserve"> </w:t>
      </w:r>
      <w:r w:rsidR="008C7838">
        <w:t>d</w:t>
      </w:r>
      <w:r w:rsidRPr="00487050">
        <w:t xml:space="preserve">la </w:t>
      </w:r>
      <w:r w:rsidR="006218EA">
        <w:t xml:space="preserve">rurociągów </w:t>
      </w:r>
      <w:r w:rsidR="006218EA" w:rsidRPr="00487050">
        <w:t>wodoci</w:t>
      </w:r>
      <w:r w:rsidR="006218EA">
        <w:t>ą</w:t>
      </w:r>
      <w:r w:rsidR="006218EA" w:rsidRPr="00487050">
        <w:t>g</w:t>
      </w:r>
      <w:r w:rsidR="006218EA">
        <w:t>owych</w:t>
      </w:r>
      <w:r w:rsidRPr="00487050">
        <w:t xml:space="preserve">, </w:t>
      </w:r>
      <w:r w:rsidR="006218EA" w:rsidRPr="00487050">
        <w:t>ciepło</w:t>
      </w:r>
      <w:r w:rsidR="006218EA">
        <w:t>wniczych</w:t>
      </w:r>
      <w:r w:rsidR="006218EA" w:rsidRPr="00487050">
        <w:t xml:space="preserve"> </w:t>
      </w:r>
      <w:r w:rsidRPr="00487050">
        <w:t xml:space="preserve">i kanalizacyjnych końce rury ochronnej należy wprowadzić do komory </w:t>
      </w:r>
      <w:r w:rsidR="009C0886">
        <w:t xml:space="preserve">rewizyjnej </w:t>
      </w:r>
      <w:r w:rsidRPr="00487050">
        <w:t>lub studni</w:t>
      </w:r>
      <w:r w:rsidR="0001256C">
        <w:t xml:space="preserve"> </w:t>
      </w:r>
      <w:proofErr w:type="spellStart"/>
      <w:r w:rsidR="0001256C">
        <w:t>rewizyjnej</w:t>
      </w:r>
      <w:r w:rsidR="007D1CF9">
        <w:t>,</w:t>
      </w:r>
      <w:r w:rsidRPr="00487050">
        <w:t>ˮ</w:t>
      </w:r>
      <w:proofErr w:type="spellEnd"/>
      <w:r w:rsidR="007D1CF9">
        <w:t>,</w:t>
      </w:r>
    </w:p>
    <w:p w14:paraId="6FB6D5D9" w14:textId="62F0E946" w:rsidR="001F545D" w:rsidRDefault="0054603C" w:rsidP="001F545D">
      <w:pPr>
        <w:pStyle w:val="LITlitera"/>
      </w:pPr>
      <w:r>
        <w:t>b</w:t>
      </w:r>
      <w:r w:rsidR="001F545D">
        <w:t>)</w:t>
      </w:r>
      <w:r w:rsidR="00565317">
        <w:tab/>
      </w:r>
      <w:r w:rsidR="00A22237">
        <w:t xml:space="preserve">pkt 4 otrzymuje brzmienie: </w:t>
      </w:r>
    </w:p>
    <w:p w14:paraId="2A9BC2C8" w14:textId="6765BFA1" w:rsidR="00A22237" w:rsidRDefault="00A22237" w:rsidP="005A7EC4">
      <w:pPr>
        <w:pStyle w:val="ZLITPKTzmpktliter"/>
      </w:pPr>
      <w:r>
        <w:t>„</w:t>
      </w:r>
      <w:r w:rsidR="005A7EC4">
        <w:t>4)</w:t>
      </w:r>
      <w:r w:rsidR="005A7EC4">
        <w:tab/>
      </w:r>
      <w:r w:rsidR="005A7EC4" w:rsidRPr="005A7EC4">
        <w:t>na wejściu i wyjściu rurociągu</w:t>
      </w:r>
      <w:r w:rsidR="00C33891">
        <w:t>,</w:t>
      </w:r>
      <w:r w:rsidR="005A7EC4" w:rsidRPr="005A7EC4">
        <w:t xml:space="preserve"> z wyłączeniem gazociąg</w:t>
      </w:r>
      <w:r w:rsidR="000D4015">
        <w:t>u</w:t>
      </w:r>
      <w:r w:rsidR="00C33891">
        <w:t>,</w:t>
      </w:r>
      <w:r w:rsidR="005A7EC4" w:rsidRPr="005A7EC4">
        <w:t xml:space="preserve"> pod tory kolejowe powinno się wykonać komory </w:t>
      </w:r>
      <w:r w:rsidR="00F43B29">
        <w:t xml:space="preserve">rewizyjne </w:t>
      </w:r>
      <w:r w:rsidR="005A7EC4" w:rsidRPr="005A7EC4">
        <w:t xml:space="preserve">lub studnie rewizyjne, z uwzględnieniem możliwości rozbudowy lub modernizacji urządzeń </w:t>
      </w:r>
      <w:proofErr w:type="spellStart"/>
      <w:r w:rsidR="005A7EC4" w:rsidRPr="005A7EC4">
        <w:t>kolejowych,</w:t>
      </w:r>
      <w:r>
        <w:t>ˮ</w:t>
      </w:r>
      <w:proofErr w:type="spellEnd"/>
      <w:r w:rsidR="00C33891">
        <w:t>.</w:t>
      </w:r>
    </w:p>
    <w:p w14:paraId="26D52E39" w14:textId="77777777" w:rsidR="00A328DF" w:rsidRDefault="00BF47CF" w:rsidP="00A328DF">
      <w:pPr>
        <w:pStyle w:val="ARTartustawynprozporzdzenia"/>
      </w:pPr>
      <w:r w:rsidRPr="00F979F1">
        <w:rPr>
          <w:rStyle w:val="Ppogrubienie"/>
        </w:rPr>
        <w:t>§ 2.</w:t>
      </w:r>
      <w:r>
        <w:t xml:space="preserve"> </w:t>
      </w:r>
      <w:r w:rsidR="00A328DF">
        <w:t xml:space="preserve">1. Do budowli kolejowych, których budowa nie została zakończona przed dniem wejścia w życie niniejszego rozporządzenia, stosuje się przepisy </w:t>
      </w:r>
      <w:r w:rsidR="00A328DF" w:rsidRPr="00BF47CF">
        <w:t>rozporządzenia zmienianego w § 1, w brzmieniu</w:t>
      </w:r>
      <w:r w:rsidR="00A328DF">
        <w:t xml:space="preserve"> </w:t>
      </w:r>
      <w:r w:rsidR="00A328DF" w:rsidRPr="00F779F7">
        <w:t>nadanym niniejszym rozporządzeniem</w:t>
      </w:r>
      <w:r w:rsidR="00A328DF">
        <w:t xml:space="preserve">. </w:t>
      </w:r>
    </w:p>
    <w:p w14:paraId="5B5B0544" w14:textId="77777777" w:rsidR="00A328DF" w:rsidRPr="00FA549D" w:rsidRDefault="00A328DF" w:rsidP="00A328DF">
      <w:pPr>
        <w:pStyle w:val="USTustnpkodeksu"/>
      </w:pPr>
      <w:r>
        <w:t xml:space="preserve">2. Do </w:t>
      </w:r>
      <w:r w:rsidRPr="00FA549D">
        <w:t>budowli kolejowych, dla których przed dniem wejścia w życie niniejszego rozporządzenia:</w:t>
      </w:r>
    </w:p>
    <w:p w14:paraId="4DE5E342" w14:textId="155E13AA" w:rsidR="00A328DF" w:rsidRPr="00FA549D" w:rsidRDefault="00A328DF" w:rsidP="00A328DF">
      <w:pPr>
        <w:pStyle w:val="PKTpunkt"/>
      </w:pPr>
      <w:r w:rsidRPr="00FA549D">
        <w:t>1)</w:t>
      </w:r>
      <w:r>
        <w:tab/>
      </w:r>
      <w:r w:rsidRPr="00FA549D">
        <w:t>został złożony wniosek o pozwolenie na budowę lub odrębny wniosek o zatwierdzenie projektu budowlanego</w:t>
      </w:r>
      <w:r>
        <w:t>,</w:t>
      </w:r>
    </w:p>
    <w:p w14:paraId="074C47DA" w14:textId="0DF5ABE6" w:rsidR="00A328DF" w:rsidRDefault="00A328DF" w:rsidP="00A328DF">
      <w:pPr>
        <w:pStyle w:val="PKTpunkt"/>
      </w:pPr>
      <w:r w:rsidRPr="00FA549D">
        <w:t>2)</w:t>
      </w:r>
      <w:r>
        <w:tab/>
      </w:r>
      <w:r w:rsidRPr="00FA549D">
        <w:t>zostało dokonane zgłoszenie budowy lub wykonania robót budowlanych w przypadku, gdy nie jest wymagane uzyskanie decyzji o pozwoleniu na budowę</w:t>
      </w:r>
    </w:p>
    <w:p w14:paraId="146D26C0" w14:textId="10ABB03B" w:rsidR="00A328DF" w:rsidRPr="00FA549D" w:rsidRDefault="00A328DF" w:rsidP="008478C3">
      <w:pPr>
        <w:pStyle w:val="CZWSPPKTczwsplnapunktw"/>
      </w:pPr>
      <w:r>
        <w:t>– stosuje się § 125 pkt 2 r</w:t>
      </w:r>
      <w:r w:rsidRPr="00940978">
        <w:t>ozporządzenia zmienianego w § 1, w</w:t>
      </w:r>
      <w:r>
        <w:t xml:space="preserve"> brzmieniu dotychczasowym. </w:t>
      </w:r>
    </w:p>
    <w:p w14:paraId="2AADBEBA" w14:textId="53BE1460" w:rsidR="00BF47CF" w:rsidRPr="00156480" w:rsidRDefault="00A328DF" w:rsidP="008478C3">
      <w:pPr>
        <w:pStyle w:val="USTustnpkodeksu"/>
      </w:pPr>
      <w:r>
        <w:t xml:space="preserve">3. </w:t>
      </w:r>
      <w:r w:rsidRPr="00BF47CF">
        <w:t xml:space="preserve">Na wniosek inwestora, złożony do właściwego organu administracji architektoniczno-budowlanej w terminie 21 dni od dnia wejścia w życie niniejszego rozporządzenia, </w:t>
      </w:r>
      <w:r w:rsidR="00C84896">
        <w:t>do budowli</w:t>
      </w:r>
      <w:r w:rsidR="00572EF2">
        <w:t xml:space="preserve"> kolejowych</w:t>
      </w:r>
      <w:r w:rsidR="00C84896">
        <w:t xml:space="preserve">, o których mowa w ust. 2, </w:t>
      </w:r>
      <w:r w:rsidRPr="00BF47CF">
        <w:t xml:space="preserve">stosuje się </w:t>
      </w:r>
      <w:r w:rsidRPr="00C77789">
        <w:t xml:space="preserve">§ 125 pkt 2 </w:t>
      </w:r>
      <w:r w:rsidRPr="00BF47CF">
        <w:t>rozporządzenia zmienianego w §</w:t>
      </w:r>
      <w:r w:rsidR="006723C5">
        <w:t> </w:t>
      </w:r>
      <w:r w:rsidRPr="00BF47CF">
        <w:t>1, w brzmieniu nadanym niniejszym rozporządzeniem.</w:t>
      </w:r>
    </w:p>
    <w:p w14:paraId="2F750959" w14:textId="415F3AB5" w:rsidR="00F428CC" w:rsidRDefault="00F428CC" w:rsidP="00F428CC">
      <w:pPr>
        <w:pStyle w:val="ARTartustawynprozporzdzenia"/>
      </w:pPr>
      <w:r w:rsidRPr="00F428CC">
        <w:rPr>
          <w:rStyle w:val="Ppogrubienie"/>
        </w:rPr>
        <w:t>§</w:t>
      </w:r>
      <w:r>
        <w:rPr>
          <w:rStyle w:val="Ppogrubienie"/>
        </w:rPr>
        <w:t xml:space="preserve"> </w:t>
      </w:r>
      <w:r w:rsidR="00DE1793">
        <w:rPr>
          <w:rStyle w:val="Ppogrubienie"/>
        </w:rPr>
        <w:t>3</w:t>
      </w:r>
      <w:r w:rsidRPr="00F428CC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>R</w:t>
      </w:r>
      <w:r w:rsidRPr="00F428CC">
        <w:t>ozporządzenie wchodzi w życie po upływie 14 dni od dnia ogłoszenia.</w:t>
      </w:r>
    </w:p>
    <w:p w14:paraId="2A235F34" w14:textId="2A081B85" w:rsidR="00F428CC" w:rsidRDefault="00F428CC" w:rsidP="00F428CC">
      <w:pPr>
        <w:pStyle w:val="ARTartustawynprozporzdzenia"/>
      </w:pPr>
    </w:p>
    <w:p w14:paraId="141477B0" w14:textId="451A0F8E" w:rsidR="00F428CC" w:rsidRDefault="00F428CC" w:rsidP="00F428CC">
      <w:pPr>
        <w:pStyle w:val="NAZORGWYDnazwaorganuwydajcegoprojektowanyakt"/>
      </w:pPr>
      <w:r>
        <w:t>MINISTER INFRASTRUKTURY</w:t>
      </w:r>
    </w:p>
    <w:p w14:paraId="0A5D4F08" w14:textId="77777777" w:rsidR="00AB6ABC" w:rsidRDefault="00AB6ABC" w:rsidP="00F428CC">
      <w:pPr>
        <w:pStyle w:val="NAZORGWYDnazwaorganuwydajcegoprojektowanyakt"/>
      </w:pPr>
    </w:p>
    <w:p w14:paraId="0942072D" w14:textId="302ED243" w:rsidR="00AB6ABC" w:rsidRDefault="00DA03E6" w:rsidP="00AB6ABC">
      <w:pPr>
        <w:pStyle w:val="TEKSTwporozumieniu"/>
      </w:pPr>
      <w:r>
        <w:t>w</w:t>
      </w:r>
      <w:r w:rsidR="00AB6ABC" w:rsidRPr="00AB6ABC">
        <w:t xml:space="preserve"> porozumieniu: </w:t>
      </w:r>
    </w:p>
    <w:p w14:paraId="6E43E283" w14:textId="178CA27B" w:rsidR="00F428CC" w:rsidRDefault="00AB6ABC" w:rsidP="00AB6ABC">
      <w:pPr>
        <w:pStyle w:val="TEKSTwporozumieniu"/>
      </w:pPr>
      <w:r w:rsidRPr="00AB6ABC">
        <w:t>MINISTER ROZWOJU I TECHNOLOGII</w:t>
      </w:r>
    </w:p>
    <w:p w14:paraId="1BD467AA" w14:textId="77777777" w:rsidR="00BA0D5F" w:rsidRDefault="00BA0D5F" w:rsidP="00BA0D5F">
      <w:pPr>
        <w:pStyle w:val="NAZORGWPOROZUMIENIUnazwaorganuwporozumieniuzktrymaktjestwydawany"/>
      </w:pPr>
    </w:p>
    <w:p w14:paraId="26380293" w14:textId="77777777" w:rsidR="00BA0D5F" w:rsidRPr="00BA0D5F" w:rsidRDefault="00BA0D5F" w:rsidP="00BA0D5F">
      <w:pPr>
        <w:pStyle w:val="NIEARTTEKSTtekstnieartykuowanynppodstprawnarozplubpreambua"/>
        <w:ind w:firstLine="0"/>
        <w:rPr>
          <w:rStyle w:val="Kkursywa"/>
        </w:rPr>
      </w:pPr>
      <w:r w:rsidRPr="0090579D">
        <w:rPr>
          <w:rStyle w:val="Kkursywa"/>
        </w:rPr>
        <w:t>Za zgodność pod względem prawnym,</w:t>
      </w:r>
    </w:p>
    <w:p w14:paraId="4DC77926" w14:textId="77777777" w:rsidR="00BA0D5F" w:rsidRPr="00BA0D5F" w:rsidRDefault="00BA0D5F" w:rsidP="00BA0D5F">
      <w:pPr>
        <w:pStyle w:val="NIEARTTEKSTtekstnieartykuowanynppodstprawnarozplubpreambua"/>
        <w:ind w:firstLine="0"/>
      </w:pPr>
      <w:r>
        <w:rPr>
          <w:rStyle w:val="Kkursywa"/>
        </w:rPr>
        <w:t>l</w:t>
      </w:r>
      <w:r w:rsidRPr="00BA0D5F">
        <w:rPr>
          <w:rStyle w:val="Kkursywa"/>
        </w:rPr>
        <w:t>egislacyjnym i redakcyjnym</w:t>
      </w:r>
    </w:p>
    <w:p w14:paraId="787F8609" w14:textId="77777777" w:rsidR="00BA0D5F" w:rsidRPr="00BA0D5F" w:rsidRDefault="00BA0D5F" w:rsidP="00BA0D5F">
      <w:pPr>
        <w:pStyle w:val="NIEARTTEKSTtekstnieartykuowanynppodstprawnarozplubpreambua"/>
        <w:ind w:firstLine="0"/>
      </w:pPr>
      <w:r>
        <w:t>Grzegorz Kuzka</w:t>
      </w:r>
    </w:p>
    <w:p w14:paraId="4F46024D" w14:textId="77777777" w:rsidR="00BA0D5F" w:rsidRPr="00BA0D5F" w:rsidRDefault="00BA0D5F" w:rsidP="00BA0D5F">
      <w:pPr>
        <w:pStyle w:val="NIEARTTEKSTtekstnieartykuowanynppodstprawnarozplubpreambua"/>
        <w:ind w:firstLine="0"/>
      </w:pPr>
      <w:r w:rsidRPr="0090579D">
        <w:t>Zastępca Dyrektora Departamentu Prawnego</w:t>
      </w:r>
    </w:p>
    <w:p w14:paraId="4BD327B4" w14:textId="77777777" w:rsidR="00BA0D5F" w:rsidRPr="00BA0D5F" w:rsidRDefault="00BA0D5F" w:rsidP="00BA0D5F">
      <w:pPr>
        <w:pStyle w:val="NIEARTTEKSTtekstnieartykuowanynppodstprawnarozplubpreambua"/>
        <w:ind w:firstLine="0"/>
      </w:pPr>
      <w:bookmarkStart w:id="0" w:name="_GoBack"/>
      <w:bookmarkEnd w:id="0"/>
      <w:r w:rsidRPr="0090579D">
        <w:t>w Ministerstwie Infrastruktury</w:t>
      </w:r>
    </w:p>
    <w:p w14:paraId="3E999D65" w14:textId="7EA6F529" w:rsidR="00BA0D5F" w:rsidRPr="00BA0D5F" w:rsidRDefault="00BA0D5F" w:rsidP="00BA0D5F">
      <w:pPr>
        <w:pStyle w:val="NAZORGWPOROZUMIENIUnazwaorganuwporozumieniuzktrymaktjestwydawany"/>
      </w:pPr>
      <w:r w:rsidRPr="005A0218">
        <w:rPr>
          <w:rStyle w:val="Kkursywa"/>
        </w:rPr>
        <w:t>/ - podpisano elektronicznie/</w:t>
      </w:r>
    </w:p>
    <w:sectPr w:rsidR="00BA0D5F" w:rsidRPr="00BA0D5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EF89" w14:textId="77777777" w:rsidR="007F2A8C" w:rsidRDefault="007F2A8C">
      <w:r>
        <w:separator/>
      </w:r>
    </w:p>
  </w:endnote>
  <w:endnote w:type="continuationSeparator" w:id="0">
    <w:p w14:paraId="5DECE8C3" w14:textId="77777777" w:rsidR="007F2A8C" w:rsidRDefault="007F2A8C">
      <w:r>
        <w:continuationSeparator/>
      </w:r>
    </w:p>
  </w:endnote>
  <w:endnote w:type="continuationNotice" w:id="1">
    <w:p w14:paraId="7A7907EF" w14:textId="77777777" w:rsidR="007F2A8C" w:rsidRDefault="007F2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D144" w14:textId="77777777" w:rsidR="007F2A8C" w:rsidRDefault="007F2A8C">
      <w:r>
        <w:separator/>
      </w:r>
    </w:p>
  </w:footnote>
  <w:footnote w:type="continuationSeparator" w:id="0">
    <w:p w14:paraId="7E857E14" w14:textId="77777777" w:rsidR="007F2A8C" w:rsidRDefault="007F2A8C">
      <w:r>
        <w:continuationSeparator/>
      </w:r>
    </w:p>
  </w:footnote>
  <w:footnote w:type="continuationNotice" w:id="1">
    <w:p w14:paraId="343A19F7" w14:textId="77777777" w:rsidR="007F2A8C" w:rsidRDefault="007F2A8C">
      <w:pPr>
        <w:spacing w:after="0" w:line="240" w:lineRule="auto"/>
      </w:pPr>
    </w:p>
  </w:footnote>
  <w:footnote w:id="2">
    <w:p w14:paraId="2AEC82CD" w14:textId="77777777" w:rsidR="00F428CC" w:rsidRDefault="00F428CC" w:rsidP="00F428CC">
      <w:pPr>
        <w:pStyle w:val="ODNONIKtreodnonika"/>
      </w:pPr>
      <w:r w:rsidRPr="00B20574">
        <w:rPr>
          <w:rStyle w:val="IGindeksgrny"/>
        </w:rPr>
        <w:footnoteRef/>
      </w:r>
      <w:r w:rsidRPr="00B20574">
        <w:rPr>
          <w:rStyle w:val="IGindeksgrny"/>
        </w:rPr>
        <w:t>)</w:t>
      </w:r>
      <w:r w:rsidRPr="00B20574">
        <w:rPr>
          <w:rStyle w:val="IGindeksgrny"/>
        </w:rPr>
        <w:tab/>
      </w:r>
      <w:r w:rsidRPr="00B20574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3">
    <w:p w14:paraId="7661FB53" w14:textId="3C962F95" w:rsidR="009E3341" w:rsidRDefault="009E3341" w:rsidP="009E3341">
      <w:pPr>
        <w:pStyle w:val="ODNONIKtreodnonika"/>
      </w:pPr>
      <w:r w:rsidRPr="009E3341">
        <w:rPr>
          <w:rStyle w:val="IGindeksgrny"/>
        </w:rPr>
        <w:footnoteRef/>
      </w:r>
      <w:r w:rsidRPr="009E3341">
        <w:rPr>
          <w:rStyle w:val="IGindeksgrny"/>
        </w:rPr>
        <w:t>)</w:t>
      </w:r>
      <w:r w:rsidRPr="009E3341">
        <w:tab/>
        <w:t>Niniejsze rozporządzenie zostało notyfikowane Komisji Europejskiej w dniu ……………… r. pod numerem ……………,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</w:t>
      </w:r>
      <w:r w:rsidR="00935F4B">
        <w:t>ą</w:t>
      </w:r>
      <w:r w:rsidRPr="009E3341">
        <w:t xml:space="preserve"> procedurę udzielania informacji w dziedzinie przepisów technicznych oraz zasad dotyczących usług społeczeństwa informacyjnego </w:t>
      </w:r>
      <w:r w:rsidR="00BC486E">
        <w:t xml:space="preserve">(ujednolicenie) </w:t>
      </w:r>
      <w:r w:rsidRPr="009E3341">
        <w:t>(Dz. Urz. UE L 241 z 17.09.2015,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CB1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A0D5F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C"/>
    <w:rsid w:val="000012DA"/>
    <w:rsid w:val="00001BD3"/>
    <w:rsid w:val="0000246E"/>
    <w:rsid w:val="00003862"/>
    <w:rsid w:val="0001256C"/>
    <w:rsid w:val="00012A35"/>
    <w:rsid w:val="00015905"/>
    <w:rsid w:val="00016099"/>
    <w:rsid w:val="00017DC2"/>
    <w:rsid w:val="00021522"/>
    <w:rsid w:val="00023207"/>
    <w:rsid w:val="00023471"/>
    <w:rsid w:val="00023F13"/>
    <w:rsid w:val="000246F8"/>
    <w:rsid w:val="00027CBC"/>
    <w:rsid w:val="00030634"/>
    <w:rsid w:val="00030907"/>
    <w:rsid w:val="000319C1"/>
    <w:rsid w:val="00031A8B"/>
    <w:rsid w:val="00031BCA"/>
    <w:rsid w:val="000330FA"/>
    <w:rsid w:val="000331C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BF3"/>
    <w:rsid w:val="00057AB3"/>
    <w:rsid w:val="00060076"/>
    <w:rsid w:val="00060432"/>
    <w:rsid w:val="00060D87"/>
    <w:rsid w:val="000615A5"/>
    <w:rsid w:val="00064E4C"/>
    <w:rsid w:val="00066901"/>
    <w:rsid w:val="000712B8"/>
    <w:rsid w:val="00071BEE"/>
    <w:rsid w:val="0007363F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0C7"/>
    <w:rsid w:val="000A5833"/>
    <w:rsid w:val="000A6307"/>
    <w:rsid w:val="000B298D"/>
    <w:rsid w:val="000B3323"/>
    <w:rsid w:val="000B5B2D"/>
    <w:rsid w:val="000B5DCE"/>
    <w:rsid w:val="000C05BA"/>
    <w:rsid w:val="000C0D3B"/>
    <w:rsid w:val="000C0E8F"/>
    <w:rsid w:val="000C4BC4"/>
    <w:rsid w:val="000D0110"/>
    <w:rsid w:val="000D2468"/>
    <w:rsid w:val="000D318A"/>
    <w:rsid w:val="000D4015"/>
    <w:rsid w:val="000D6173"/>
    <w:rsid w:val="000D6F83"/>
    <w:rsid w:val="000E25CC"/>
    <w:rsid w:val="000E3694"/>
    <w:rsid w:val="000E490F"/>
    <w:rsid w:val="000E5E59"/>
    <w:rsid w:val="000E6241"/>
    <w:rsid w:val="000F2BE3"/>
    <w:rsid w:val="000F3D0D"/>
    <w:rsid w:val="000F45AF"/>
    <w:rsid w:val="000F6ED4"/>
    <w:rsid w:val="000F7A6E"/>
    <w:rsid w:val="001042BA"/>
    <w:rsid w:val="00106D03"/>
    <w:rsid w:val="00110465"/>
    <w:rsid w:val="00110628"/>
    <w:rsid w:val="0011245A"/>
    <w:rsid w:val="0011362C"/>
    <w:rsid w:val="0011493E"/>
    <w:rsid w:val="00115754"/>
    <w:rsid w:val="00115B72"/>
    <w:rsid w:val="001209EC"/>
    <w:rsid w:val="00120A9E"/>
    <w:rsid w:val="0012145D"/>
    <w:rsid w:val="001240D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AEF"/>
    <w:rsid w:val="00156480"/>
    <w:rsid w:val="0015667C"/>
    <w:rsid w:val="00156E77"/>
    <w:rsid w:val="00157110"/>
    <w:rsid w:val="0015742A"/>
    <w:rsid w:val="001576D2"/>
    <w:rsid w:val="00157DA1"/>
    <w:rsid w:val="0016273B"/>
    <w:rsid w:val="00163147"/>
    <w:rsid w:val="00164C57"/>
    <w:rsid w:val="00164C9D"/>
    <w:rsid w:val="00166C7D"/>
    <w:rsid w:val="00167747"/>
    <w:rsid w:val="00172DEA"/>
    <w:rsid w:val="00172F7A"/>
    <w:rsid w:val="00173150"/>
    <w:rsid w:val="00173390"/>
    <w:rsid w:val="001736F0"/>
    <w:rsid w:val="00173BB3"/>
    <w:rsid w:val="001740D0"/>
    <w:rsid w:val="00174F2C"/>
    <w:rsid w:val="00180F2A"/>
    <w:rsid w:val="00181F46"/>
    <w:rsid w:val="00182832"/>
    <w:rsid w:val="00184B91"/>
    <w:rsid w:val="00184D4A"/>
    <w:rsid w:val="00186EC1"/>
    <w:rsid w:val="00190524"/>
    <w:rsid w:val="00191E1F"/>
    <w:rsid w:val="0019473B"/>
    <w:rsid w:val="001952B1"/>
    <w:rsid w:val="00196E39"/>
    <w:rsid w:val="00197649"/>
    <w:rsid w:val="001A01FB"/>
    <w:rsid w:val="001A10E9"/>
    <w:rsid w:val="001A183D"/>
    <w:rsid w:val="001A20AC"/>
    <w:rsid w:val="001A2B65"/>
    <w:rsid w:val="001A3CD3"/>
    <w:rsid w:val="001A5BEF"/>
    <w:rsid w:val="001A7F15"/>
    <w:rsid w:val="001B342E"/>
    <w:rsid w:val="001B38C6"/>
    <w:rsid w:val="001B4644"/>
    <w:rsid w:val="001B5CE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45D"/>
    <w:rsid w:val="001F6616"/>
    <w:rsid w:val="00202BD4"/>
    <w:rsid w:val="00204A97"/>
    <w:rsid w:val="00207F10"/>
    <w:rsid w:val="002114EF"/>
    <w:rsid w:val="002147CE"/>
    <w:rsid w:val="002166AD"/>
    <w:rsid w:val="00217871"/>
    <w:rsid w:val="00221ED8"/>
    <w:rsid w:val="002231EA"/>
    <w:rsid w:val="00223CFA"/>
    <w:rsid w:val="00223FDF"/>
    <w:rsid w:val="00225FC3"/>
    <w:rsid w:val="002279C0"/>
    <w:rsid w:val="00236B88"/>
    <w:rsid w:val="0023727E"/>
    <w:rsid w:val="00242081"/>
    <w:rsid w:val="0024309A"/>
    <w:rsid w:val="00243777"/>
    <w:rsid w:val="002441CD"/>
    <w:rsid w:val="002501A3"/>
    <w:rsid w:val="0025166C"/>
    <w:rsid w:val="00252CAC"/>
    <w:rsid w:val="002555D4"/>
    <w:rsid w:val="00255CF4"/>
    <w:rsid w:val="002570CE"/>
    <w:rsid w:val="0025750E"/>
    <w:rsid w:val="00261A16"/>
    <w:rsid w:val="002628C7"/>
    <w:rsid w:val="00263522"/>
    <w:rsid w:val="00264EC6"/>
    <w:rsid w:val="00271013"/>
    <w:rsid w:val="00273FE4"/>
    <w:rsid w:val="002765B4"/>
    <w:rsid w:val="00276A94"/>
    <w:rsid w:val="0029357D"/>
    <w:rsid w:val="0029405D"/>
    <w:rsid w:val="0029490C"/>
    <w:rsid w:val="00294FA6"/>
    <w:rsid w:val="00295A6F"/>
    <w:rsid w:val="002A20C4"/>
    <w:rsid w:val="002A33BE"/>
    <w:rsid w:val="002A570F"/>
    <w:rsid w:val="002A7292"/>
    <w:rsid w:val="002A7358"/>
    <w:rsid w:val="002A7902"/>
    <w:rsid w:val="002B0F6B"/>
    <w:rsid w:val="002B23B8"/>
    <w:rsid w:val="002B2587"/>
    <w:rsid w:val="002B4429"/>
    <w:rsid w:val="002B68A6"/>
    <w:rsid w:val="002B7FAF"/>
    <w:rsid w:val="002C155E"/>
    <w:rsid w:val="002C671B"/>
    <w:rsid w:val="002D0C4F"/>
    <w:rsid w:val="002D1364"/>
    <w:rsid w:val="002D4D30"/>
    <w:rsid w:val="002D5000"/>
    <w:rsid w:val="002D598D"/>
    <w:rsid w:val="002D7188"/>
    <w:rsid w:val="002D7ACF"/>
    <w:rsid w:val="002E1DE3"/>
    <w:rsid w:val="002E2AB6"/>
    <w:rsid w:val="002E3F34"/>
    <w:rsid w:val="002E5F79"/>
    <w:rsid w:val="002E64FA"/>
    <w:rsid w:val="002E6A55"/>
    <w:rsid w:val="002F0A00"/>
    <w:rsid w:val="002F0CFA"/>
    <w:rsid w:val="002F669F"/>
    <w:rsid w:val="00301C97"/>
    <w:rsid w:val="00306715"/>
    <w:rsid w:val="0031004C"/>
    <w:rsid w:val="003105F6"/>
    <w:rsid w:val="00311039"/>
    <w:rsid w:val="00311297"/>
    <w:rsid w:val="003113BE"/>
    <w:rsid w:val="003122CA"/>
    <w:rsid w:val="003148FD"/>
    <w:rsid w:val="00321080"/>
    <w:rsid w:val="00322D45"/>
    <w:rsid w:val="0032569A"/>
    <w:rsid w:val="00325A1F"/>
    <w:rsid w:val="003266E1"/>
    <w:rsid w:val="003268F9"/>
    <w:rsid w:val="00330BAF"/>
    <w:rsid w:val="00332F3A"/>
    <w:rsid w:val="00334E3A"/>
    <w:rsid w:val="003361DD"/>
    <w:rsid w:val="003404C7"/>
    <w:rsid w:val="00341A6A"/>
    <w:rsid w:val="00345B9C"/>
    <w:rsid w:val="00352DAE"/>
    <w:rsid w:val="00354A5A"/>
    <w:rsid w:val="00354EB9"/>
    <w:rsid w:val="00356107"/>
    <w:rsid w:val="003602AE"/>
    <w:rsid w:val="00360929"/>
    <w:rsid w:val="003647D5"/>
    <w:rsid w:val="00365B46"/>
    <w:rsid w:val="00367002"/>
    <w:rsid w:val="003674B0"/>
    <w:rsid w:val="0037727C"/>
    <w:rsid w:val="0037745F"/>
    <w:rsid w:val="00377E70"/>
    <w:rsid w:val="00380904"/>
    <w:rsid w:val="003823EE"/>
    <w:rsid w:val="00382960"/>
    <w:rsid w:val="00383C07"/>
    <w:rsid w:val="003846F7"/>
    <w:rsid w:val="003851ED"/>
    <w:rsid w:val="00385B39"/>
    <w:rsid w:val="00386785"/>
    <w:rsid w:val="00390E89"/>
    <w:rsid w:val="00391B1A"/>
    <w:rsid w:val="00392C2C"/>
    <w:rsid w:val="00394423"/>
    <w:rsid w:val="00395C09"/>
    <w:rsid w:val="00396942"/>
    <w:rsid w:val="00396B49"/>
    <w:rsid w:val="00396E3E"/>
    <w:rsid w:val="003A1D84"/>
    <w:rsid w:val="003A306E"/>
    <w:rsid w:val="003A4EB5"/>
    <w:rsid w:val="003A60DC"/>
    <w:rsid w:val="003A67B8"/>
    <w:rsid w:val="003A6A46"/>
    <w:rsid w:val="003A6D14"/>
    <w:rsid w:val="003A7A63"/>
    <w:rsid w:val="003B000C"/>
    <w:rsid w:val="003B0F1D"/>
    <w:rsid w:val="003B2A1D"/>
    <w:rsid w:val="003B4A57"/>
    <w:rsid w:val="003C0AD9"/>
    <w:rsid w:val="003C0ED0"/>
    <w:rsid w:val="003C1D49"/>
    <w:rsid w:val="003C35C4"/>
    <w:rsid w:val="003C4400"/>
    <w:rsid w:val="003D12C2"/>
    <w:rsid w:val="003D1BB2"/>
    <w:rsid w:val="003D31B9"/>
    <w:rsid w:val="003D3867"/>
    <w:rsid w:val="003D7AFF"/>
    <w:rsid w:val="003E0D1A"/>
    <w:rsid w:val="003E2DA3"/>
    <w:rsid w:val="003E7DF1"/>
    <w:rsid w:val="003F020D"/>
    <w:rsid w:val="003F03D9"/>
    <w:rsid w:val="003F2D72"/>
    <w:rsid w:val="003F2FBE"/>
    <w:rsid w:val="003F318D"/>
    <w:rsid w:val="003F3B83"/>
    <w:rsid w:val="003F5BAE"/>
    <w:rsid w:val="003F6ED7"/>
    <w:rsid w:val="003F7AF2"/>
    <w:rsid w:val="00401C84"/>
    <w:rsid w:val="00403210"/>
    <w:rsid w:val="004035BB"/>
    <w:rsid w:val="004035EB"/>
    <w:rsid w:val="00404FA4"/>
    <w:rsid w:val="00405779"/>
    <w:rsid w:val="00407332"/>
    <w:rsid w:val="00407828"/>
    <w:rsid w:val="004128F3"/>
    <w:rsid w:val="00413D8E"/>
    <w:rsid w:val="004140F2"/>
    <w:rsid w:val="00417198"/>
    <w:rsid w:val="00417B22"/>
    <w:rsid w:val="00421085"/>
    <w:rsid w:val="0042465E"/>
    <w:rsid w:val="00424DF7"/>
    <w:rsid w:val="0042586F"/>
    <w:rsid w:val="00432B76"/>
    <w:rsid w:val="00434D01"/>
    <w:rsid w:val="00435D26"/>
    <w:rsid w:val="00440C99"/>
    <w:rsid w:val="00440E56"/>
    <w:rsid w:val="0044175C"/>
    <w:rsid w:val="00444E56"/>
    <w:rsid w:val="00445F4D"/>
    <w:rsid w:val="00447C68"/>
    <w:rsid w:val="0045005F"/>
    <w:rsid w:val="004504C0"/>
    <w:rsid w:val="00454F21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CE0"/>
    <w:rsid w:val="00473BF3"/>
    <w:rsid w:val="00474E3C"/>
    <w:rsid w:val="00480A58"/>
    <w:rsid w:val="00482151"/>
    <w:rsid w:val="004849B8"/>
    <w:rsid w:val="00485FAD"/>
    <w:rsid w:val="00487050"/>
    <w:rsid w:val="00487AED"/>
    <w:rsid w:val="00491EDF"/>
    <w:rsid w:val="00492A25"/>
    <w:rsid w:val="00492A3F"/>
    <w:rsid w:val="00494F62"/>
    <w:rsid w:val="0049600D"/>
    <w:rsid w:val="004A2001"/>
    <w:rsid w:val="004A3590"/>
    <w:rsid w:val="004A608A"/>
    <w:rsid w:val="004B00A7"/>
    <w:rsid w:val="004B0CE9"/>
    <w:rsid w:val="004B1419"/>
    <w:rsid w:val="004B25E2"/>
    <w:rsid w:val="004B34D7"/>
    <w:rsid w:val="004B5037"/>
    <w:rsid w:val="004B5B2F"/>
    <w:rsid w:val="004B626A"/>
    <w:rsid w:val="004B660E"/>
    <w:rsid w:val="004B7CE9"/>
    <w:rsid w:val="004C05BD"/>
    <w:rsid w:val="004C3B06"/>
    <w:rsid w:val="004C3F97"/>
    <w:rsid w:val="004C5831"/>
    <w:rsid w:val="004C7EE7"/>
    <w:rsid w:val="004D1E38"/>
    <w:rsid w:val="004D2DEE"/>
    <w:rsid w:val="004D2E1F"/>
    <w:rsid w:val="004D7FD9"/>
    <w:rsid w:val="004E1324"/>
    <w:rsid w:val="004E19A5"/>
    <w:rsid w:val="004E37E5"/>
    <w:rsid w:val="004E3FDB"/>
    <w:rsid w:val="004F1F4A"/>
    <w:rsid w:val="004F286A"/>
    <w:rsid w:val="004F296D"/>
    <w:rsid w:val="004F508B"/>
    <w:rsid w:val="004F695F"/>
    <w:rsid w:val="004F6CA4"/>
    <w:rsid w:val="00500752"/>
    <w:rsid w:val="00501A50"/>
    <w:rsid w:val="0050222D"/>
    <w:rsid w:val="00502DA2"/>
    <w:rsid w:val="00503AF3"/>
    <w:rsid w:val="005045AA"/>
    <w:rsid w:val="0050696D"/>
    <w:rsid w:val="0051094B"/>
    <w:rsid w:val="005110D7"/>
    <w:rsid w:val="00511D99"/>
    <w:rsid w:val="005128D3"/>
    <w:rsid w:val="005147E8"/>
    <w:rsid w:val="005158F2"/>
    <w:rsid w:val="00526C1A"/>
    <w:rsid w:val="00526DFC"/>
    <w:rsid w:val="00526F43"/>
    <w:rsid w:val="00527651"/>
    <w:rsid w:val="00532F73"/>
    <w:rsid w:val="00534ACD"/>
    <w:rsid w:val="00535D00"/>
    <w:rsid w:val="005363AB"/>
    <w:rsid w:val="005363EF"/>
    <w:rsid w:val="00543005"/>
    <w:rsid w:val="00544AFC"/>
    <w:rsid w:val="00544EF4"/>
    <w:rsid w:val="00545E53"/>
    <w:rsid w:val="0054603C"/>
    <w:rsid w:val="005479D9"/>
    <w:rsid w:val="00556659"/>
    <w:rsid w:val="005572BD"/>
    <w:rsid w:val="00557A12"/>
    <w:rsid w:val="00560270"/>
    <w:rsid w:val="005604A2"/>
    <w:rsid w:val="00560AC7"/>
    <w:rsid w:val="00561AFB"/>
    <w:rsid w:val="00561FA8"/>
    <w:rsid w:val="005635ED"/>
    <w:rsid w:val="00565253"/>
    <w:rsid w:val="00565317"/>
    <w:rsid w:val="00570191"/>
    <w:rsid w:val="00570570"/>
    <w:rsid w:val="00570E77"/>
    <w:rsid w:val="00571F20"/>
    <w:rsid w:val="00572512"/>
    <w:rsid w:val="00572EF2"/>
    <w:rsid w:val="00573EE6"/>
    <w:rsid w:val="0057547F"/>
    <w:rsid w:val="005754EE"/>
    <w:rsid w:val="0057617E"/>
    <w:rsid w:val="00576497"/>
    <w:rsid w:val="0058335A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EC4"/>
    <w:rsid w:val="005B711F"/>
    <w:rsid w:val="005B713E"/>
    <w:rsid w:val="005C03B6"/>
    <w:rsid w:val="005C348E"/>
    <w:rsid w:val="005C68E1"/>
    <w:rsid w:val="005D054D"/>
    <w:rsid w:val="005D0D85"/>
    <w:rsid w:val="005D0DDC"/>
    <w:rsid w:val="005D3453"/>
    <w:rsid w:val="005D3763"/>
    <w:rsid w:val="005D4DF1"/>
    <w:rsid w:val="005D55E1"/>
    <w:rsid w:val="005E19F7"/>
    <w:rsid w:val="005E4F04"/>
    <w:rsid w:val="005E62C2"/>
    <w:rsid w:val="005E6C71"/>
    <w:rsid w:val="005F0963"/>
    <w:rsid w:val="005F2824"/>
    <w:rsid w:val="005F2897"/>
    <w:rsid w:val="005F2EBA"/>
    <w:rsid w:val="005F35ED"/>
    <w:rsid w:val="005F7812"/>
    <w:rsid w:val="005F7A88"/>
    <w:rsid w:val="00603A1A"/>
    <w:rsid w:val="006046D5"/>
    <w:rsid w:val="00607A93"/>
    <w:rsid w:val="00610C08"/>
    <w:rsid w:val="00610FE6"/>
    <w:rsid w:val="00611F74"/>
    <w:rsid w:val="00615772"/>
    <w:rsid w:val="00617975"/>
    <w:rsid w:val="00620324"/>
    <w:rsid w:val="00621256"/>
    <w:rsid w:val="006218EA"/>
    <w:rsid w:val="00621FCC"/>
    <w:rsid w:val="00622E4B"/>
    <w:rsid w:val="006333DA"/>
    <w:rsid w:val="00635134"/>
    <w:rsid w:val="006356E2"/>
    <w:rsid w:val="00642A65"/>
    <w:rsid w:val="0064387C"/>
    <w:rsid w:val="00645DCE"/>
    <w:rsid w:val="006465AC"/>
    <w:rsid w:val="006465BF"/>
    <w:rsid w:val="0065255C"/>
    <w:rsid w:val="00653B22"/>
    <w:rsid w:val="00653C91"/>
    <w:rsid w:val="00657AF4"/>
    <w:rsid w:val="00657BF4"/>
    <w:rsid w:val="006603FB"/>
    <w:rsid w:val="006608DF"/>
    <w:rsid w:val="006623AC"/>
    <w:rsid w:val="00663ACF"/>
    <w:rsid w:val="006658B4"/>
    <w:rsid w:val="006678AF"/>
    <w:rsid w:val="006701EF"/>
    <w:rsid w:val="006723C5"/>
    <w:rsid w:val="00673AAF"/>
    <w:rsid w:val="00673BA5"/>
    <w:rsid w:val="00680058"/>
    <w:rsid w:val="00681F9F"/>
    <w:rsid w:val="006840EA"/>
    <w:rsid w:val="006844E2"/>
    <w:rsid w:val="00685267"/>
    <w:rsid w:val="00685B0F"/>
    <w:rsid w:val="006872AE"/>
    <w:rsid w:val="00690082"/>
    <w:rsid w:val="00690252"/>
    <w:rsid w:val="006946BB"/>
    <w:rsid w:val="00694DD7"/>
    <w:rsid w:val="006969FA"/>
    <w:rsid w:val="006A04EE"/>
    <w:rsid w:val="006A35D5"/>
    <w:rsid w:val="006A64F5"/>
    <w:rsid w:val="006A748A"/>
    <w:rsid w:val="006B5650"/>
    <w:rsid w:val="006B6013"/>
    <w:rsid w:val="006B6ED9"/>
    <w:rsid w:val="006C4041"/>
    <w:rsid w:val="006C419E"/>
    <w:rsid w:val="006C4A31"/>
    <w:rsid w:val="006C5AC2"/>
    <w:rsid w:val="006C6AFB"/>
    <w:rsid w:val="006D2735"/>
    <w:rsid w:val="006D40AC"/>
    <w:rsid w:val="006D45B2"/>
    <w:rsid w:val="006D5F28"/>
    <w:rsid w:val="006E0FCC"/>
    <w:rsid w:val="006E1E96"/>
    <w:rsid w:val="006E58EB"/>
    <w:rsid w:val="006E5E21"/>
    <w:rsid w:val="006F2648"/>
    <w:rsid w:val="006F2F10"/>
    <w:rsid w:val="006F3259"/>
    <w:rsid w:val="006F482B"/>
    <w:rsid w:val="006F49F9"/>
    <w:rsid w:val="006F6311"/>
    <w:rsid w:val="00701952"/>
    <w:rsid w:val="00702415"/>
    <w:rsid w:val="00702556"/>
    <w:rsid w:val="0070277E"/>
    <w:rsid w:val="00704156"/>
    <w:rsid w:val="007069FC"/>
    <w:rsid w:val="00710029"/>
    <w:rsid w:val="00710E9A"/>
    <w:rsid w:val="00711221"/>
    <w:rsid w:val="00712675"/>
    <w:rsid w:val="007137C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9E3"/>
    <w:rsid w:val="0072621B"/>
    <w:rsid w:val="00730555"/>
    <w:rsid w:val="007312CC"/>
    <w:rsid w:val="0073570C"/>
    <w:rsid w:val="00736A64"/>
    <w:rsid w:val="00737F6A"/>
    <w:rsid w:val="007410B6"/>
    <w:rsid w:val="00744C6F"/>
    <w:rsid w:val="007457F6"/>
    <w:rsid w:val="00745ABB"/>
    <w:rsid w:val="00746E38"/>
    <w:rsid w:val="00747CD5"/>
    <w:rsid w:val="007525A6"/>
    <w:rsid w:val="00753B51"/>
    <w:rsid w:val="00753EB1"/>
    <w:rsid w:val="00753F0C"/>
    <w:rsid w:val="00755A99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EEF"/>
    <w:rsid w:val="00773C38"/>
    <w:rsid w:val="00776DC2"/>
    <w:rsid w:val="00780122"/>
    <w:rsid w:val="0078214B"/>
    <w:rsid w:val="0078498A"/>
    <w:rsid w:val="00786C4C"/>
    <w:rsid w:val="007878FE"/>
    <w:rsid w:val="00792207"/>
    <w:rsid w:val="00792B64"/>
    <w:rsid w:val="00792E29"/>
    <w:rsid w:val="007934F4"/>
    <w:rsid w:val="0079379A"/>
    <w:rsid w:val="00793E8D"/>
    <w:rsid w:val="00794204"/>
    <w:rsid w:val="00794953"/>
    <w:rsid w:val="007A1F2F"/>
    <w:rsid w:val="007A2A5C"/>
    <w:rsid w:val="007A2B20"/>
    <w:rsid w:val="007A3058"/>
    <w:rsid w:val="007A5150"/>
    <w:rsid w:val="007A5373"/>
    <w:rsid w:val="007A6268"/>
    <w:rsid w:val="007A789F"/>
    <w:rsid w:val="007B75BC"/>
    <w:rsid w:val="007C0BD6"/>
    <w:rsid w:val="007C1D13"/>
    <w:rsid w:val="007C37E0"/>
    <w:rsid w:val="007C3806"/>
    <w:rsid w:val="007C5BB7"/>
    <w:rsid w:val="007D07D5"/>
    <w:rsid w:val="007D1C64"/>
    <w:rsid w:val="007D1CF9"/>
    <w:rsid w:val="007D32DD"/>
    <w:rsid w:val="007D6DCE"/>
    <w:rsid w:val="007D72C4"/>
    <w:rsid w:val="007E2CFE"/>
    <w:rsid w:val="007E59C9"/>
    <w:rsid w:val="007F0072"/>
    <w:rsid w:val="007F2A8C"/>
    <w:rsid w:val="007F2EB6"/>
    <w:rsid w:val="007F4F77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659"/>
    <w:rsid w:val="00827820"/>
    <w:rsid w:val="00831B8B"/>
    <w:rsid w:val="0083405D"/>
    <w:rsid w:val="008352D4"/>
    <w:rsid w:val="00836226"/>
    <w:rsid w:val="00836DB9"/>
    <w:rsid w:val="00837C67"/>
    <w:rsid w:val="008415B0"/>
    <w:rsid w:val="00842028"/>
    <w:rsid w:val="008436B8"/>
    <w:rsid w:val="008460B6"/>
    <w:rsid w:val="008478C3"/>
    <w:rsid w:val="00850C9D"/>
    <w:rsid w:val="00852B59"/>
    <w:rsid w:val="00856272"/>
    <w:rsid w:val="008563FF"/>
    <w:rsid w:val="0086018B"/>
    <w:rsid w:val="008611DD"/>
    <w:rsid w:val="008620DE"/>
    <w:rsid w:val="00866867"/>
    <w:rsid w:val="00867E94"/>
    <w:rsid w:val="00872257"/>
    <w:rsid w:val="008753E6"/>
    <w:rsid w:val="0087738C"/>
    <w:rsid w:val="008802AF"/>
    <w:rsid w:val="00881926"/>
    <w:rsid w:val="0088318F"/>
    <w:rsid w:val="0088331D"/>
    <w:rsid w:val="00884270"/>
    <w:rsid w:val="008852B0"/>
    <w:rsid w:val="00885AE7"/>
    <w:rsid w:val="00886B60"/>
    <w:rsid w:val="00887889"/>
    <w:rsid w:val="00890B86"/>
    <w:rsid w:val="008920FF"/>
    <w:rsid w:val="008926E8"/>
    <w:rsid w:val="00893C4A"/>
    <w:rsid w:val="00894F19"/>
    <w:rsid w:val="00896A10"/>
    <w:rsid w:val="00896D44"/>
    <w:rsid w:val="008971B5"/>
    <w:rsid w:val="008A5D26"/>
    <w:rsid w:val="008A6B13"/>
    <w:rsid w:val="008A6ECB"/>
    <w:rsid w:val="008B0BF9"/>
    <w:rsid w:val="008B2162"/>
    <w:rsid w:val="008B2866"/>
    <w:rsid w:val="008B3859"/>
    <w:rsid w:val="008B436D"/>
    <w:rsid w:val="008B475A"/>
    <w:rsid w:val="008B4E49"/>
    <w:rsid w:val="008B7712"/>
    <w:rsid w:val="008B7B26"/>
    <w:rsid w:val="008C0038"/>
    <w:rsid w:val="008C182A"/>
    <w:rsid w:val="008C2A97"/>
    <w:rsid w:val="008C3524"/>
    <w:rsid w:val="008C4061"/>
    <w:rsid w:val="008C4229"/>
    <w:rsid w:val="008C4E02"/>
    <w:rsid w:val="008C5BE0"/>
    <w:rsid w:val="008C7233"/>
    <w:rsid w:val="008C7838"/>
    <w:rsid w:val="008D2434"/>
    <w:rsid w:val="008D3264"/>
    <w:rsid w:val="008D7C43"/>
    <w:rsid w:val="008E171D"/>
    <w:rsid w:val="008E2785"/>
    <w:rsid w:val="008E2841"/>
    <w:rsid w:val="008E3A3C"/>
    <w:rsid w:val="008E59BB"/>
    <w:rsid w:val="008E5C5C"/>
    <w:rsid w:val="008E6BB2"/>
    <w:rsid w:val="008E6C05"/>
    <w:rsid w:val="008E78A3"/>
    <w:rsid w:val="008E7CB8"/>
    <w:rsid w:val="008F0654"/>
    <w:rsid w:val="008F06CB"/>
    <w:rsid w:val="008F2E83"/>
    <w:rsid w:val="008F416A"/>
    <w:rsid w:val="008F612A"/>
    <w:rsid w:val="008F6B86"/>
    <w:rsid w:val="0090293D"/>
    <w:rsid w:val="009031F7"/>
    <w:rsid w:val="009034DE"/>
    <w:rsid w:val="00903D76"/>
    <w:rsid w:val="00905396"/>
    <w:rsid w:val="0090605D"/>
    <w:rsid w:val="00906419"/>
    <w:rsid w:val="00906DB2"/>
    <w:rsid w:val="00912889"/>
    <w:rsid w:val="00913A42"/>
    <w:rsid w:val="00914167"/>
    <w:rsid w:val="009143DB"/>
    <w:rsid w:val="00915065"/>
    <w:rsid w:val="0091518E"/>
    <w:rsid w:val="009153D4"/>
    <w:rsid w:val="00917CE5"/>
    <w:rsid w:val="009217C0"/>
    <w:rsid w:val="00925084"/>
    <w:rsid w:val="00925241"/>
    <w:rsid w:val="00925CEC"/>
    <w:rsid w:val="00926A3F"/>
    <w:rsid w:val="0092794E"/>
    <w:rsid w:val="00930D30"/>
    <w:rsid w:val="00931195"/>
    <w:rsid w:val="009332A2"/>
    <w:rsid w:val="009333FA"/>
    <w:rsid w:val="00934858"/>
    <w:rsid w:val="00935F4B"/>
    <w:rsid w:val="00937598"/>
    <w:rsid w:val="0093790B"/>
    <w:rsid w:val="00940978"/>
    <w:rsid w:val="00943751"/>
    <w:rsid w:val="00946DD0"/>
    <w:rsid w:val="00950061"/>
    <w:rsid w:val="0095025F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B68"/>
    <w:rsid w:val="00974A59"/>
    <w:rsid w:val="00977C53"/>
    <w:rsid w:val="009800B9"/>
    <w:rsid w:val="00984E03"/>
    <w:rsid w:val="00987E85"/>
    <w:rsid w:val="00990258"/>
    <w:rsid w:val="00990E7C"/>
    <w:rsid w:val="009A0C1D"/>
    <w:rsid w:val="009A0D12"/>
    <w:rsid w:val="009A1987"/>
    <w:rsid w:val="009A2BEE"/>
    <w:rsid w:val="009A5289"/>
    <w:rsid w:val="009A7A53"/>
    <w:rsid w:val="009B0402"/>
    <w:rsid w:val="009B0B75"/>
    <w:rsid w:val="009B16DF"/>
    <w:rsid w:val="009B1858"/>
    <w:rsid w:val="009B2690"/>
    <w:rsid w:val="009B27BC"/>
    <w:rsid w:val="009B4CB2"/>
    <w:rsid w:val="009B6701"/>
    <w:rsid w:val="009B6EF7"/>
    <w:rsid w:val="009B7000"/>
    <w:rsid w:val="009B739C"/>
    <w:rsid w:val="009C04EC"/>
    <w:rsid w:val="009C0886"/>
    <w:rsid w:val="009C2EB9"/>
    <w:rsid w:val="009C328C"/>
    <w:rsid w:val="009C4444"/>
    <w:rsid w:val="009C6E52"/>
    <w:rsid w:val="009C786A"/>
    <w:rsid w:val="009C79AD"/>
    <w:rsid w:val="009C7CA6"/>
    <w:rsid w:val="009D3316"/>
    <w:rsid w:val="009D55AA"/>
    <w:rsid w:val="009E328D"/>
    <w:rsid w:val="009E3341"/>
    <w:rsid w:val="009E3E77"/>
    <w:rsid w:val="009E3FAB"/>
    <w:rsid w:val="009E5B3F"/>
    <w:rsid w:val="009E71B1"/>
    <w:rsid w:val="009E7D90"/>
    <w:rsid w:val="009F05C7"/>
    <w:rsid w:val="009F1AB0"/>
    <w:rsid w:val="009F501D"/>
    <w:rsid w:val="00A039D5"/>
    <w:rsid w:val="00A0448C"/>
    <w:rsid w:val="00A046AD"/>
    <w:rsid w:val="00A076AB"/>
    <w:rsid w:val="00A079C1"/>
    <w:rsid w:val="00A12520"/>
    <w:rsid w:val="00A130FD"/>
    <w:rsid w:val="00A13D6D"/>
    <w:rsid w:val="00A14769"/>
    <w:rsid w:val="00A16151"/>
    <w:rsid w:val="00A16EC6"/>
    <w:rsid w:val="00A17277"/>
    <w:rsid w:val="00A17C06"/>
    <w:rsid w:val="00A200CA"/>
    <w:rsid w:val="00A2126E"/>
    <w:rsid w:val="00A21706"/>
    <w:rsid w:val="00A22237"/>
    <w:rsid w:val="00A245BE"/>
    <w:rsid w:val="00A24FCC"/>
    <w:rsid w:val="00A26A90"/>
    <w:rsid w:val="00A26B27"/>
    <w:rsid w:val="00A30E4F"/>
    <w:rsid w:val="00A32253"/>
    <w:rsid w:val="00A328DF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857"/>
    <w:rsid w:val="00A7436E"/>
    <w:rsid w:val="00A74E96"/>
    <w:rsid w:val="00A75A8E"/>
    <w:rsid w:val="00A824DD"/>
    <w:rsid w:val="00A83676"/>
    <w:rsid w:val="00A83B7B"/>
    <w:rsid w:val="00A83B97"/>
    <w:rsid w:val="00A84274"/>
    <w:rsid w:val="00A850F3"/>
    <w:rsid w:val="00A8622D"/>
    <w:rsid w:val="00A864E3"/>
    <w:rsid w:val="00A90809"/>
    <w:rsid w:val="00A90913"/>
    <w:rsid w:val="00A90E02"/>
    <w:rsid w:val="00A94574"/>
    <w:rsid w:val="00A94B27"/>
    <w:rsid w:val="00A95936"/>
    <w:rsid w:val="00A96265"/>
    <w:rsid w:val="00A97084"/>
    <w:rsid w:val="00AA1C2C"/>
    <w:rsid w:val="00AA35F6"/>
    <w:rsid w:val="00AA6131"/>
    <w:rsid w:val="00AA667C"/>
    <w:rsid w:val="00AA6E91"/>
    <w:rsid w:val="00AA7439"/>
    <w:rsid w:val="00AB047E"/>
    <w:rsid w:val="00AB0537"/>
    <w:rsid w:val="00AB0B0A"/>
    <w:rsid w:val="00AB0BB7"/>
    <w:rsid w:val="00AB22C6"/>
    <w:rsid w:val="00AB2AD0"/>
    <w:rsid w:val="00AB647C"/>
    <w:rsid w:val="00AB67FC"/>
    <w:rsid w:val="00AB6ABC"/>
    <w:rsid w:val="00AC00F2"/>
    <w:rsid w:val="00AC2EAB"/>
    <w:rsid w:val="00AC31B5"/>
    <w:rsid w:val="00AC4CC6"/>
    <w:rsid w:val="00AC4EA1"/>
    <w:rsid w:val="00AC5381"/>
    <w:rsid w:val="00AC5920"/>
    <w:rsid w:val="00AC707E"/>
    <w:rsid w:val="00AC7DA9"/>
    <w:rsid w:val="00AD0E65"/>
    <w:rsid w:val="00AD2BF2"/>
    <w:rsid w:val="00AD4E90"/>
    <w:rsid w:val="00AD5422"/>
    <w:rsid w:val="00AD5C70"/>
    <w:rsid w:val="00AD788B"/>
    <w:rsid w:val="00AE03FF"/>
    <w:rsid w:val="00AE4179"/>
    <w:rsid w:val="00AE4425"/>
    <w:rsid w:val="00AE4FBE"/>
    <w:rsid w:val="00AE650F"/>
    <w:rsid w:val="00AE6555"/>
    <w:rsid w:val="00AE7D16"/>
    <w:rsid w:val="00AF0D3D"/>
    <w:rsid w:val="00AF4CAA"/>
    <w:rsid w:val="00AF56D5"/>
    <w:rsid w:val="00AF571A"/>
    <w:rsid w:val="00AF60A0"/>
    <w:rsid w:val="00AF67FC"/>
    <w:rsid w:val="00AF7DF5"/>
    <w:rsid w:val="00B006E5"/>
    <w:rsid w:val="00B024C2"/>
    <w:rsid w:val="00B0724B"/>
    <w:rsid w:val="00B07700"/>
    <w:rsid w:val="00B1362C"/>
    <w:rsid w:val="00B13686"/>
    <w:rsid w:val="00B13921"/>
    <w:rsid w:val="00B1528C"/>
    <w:rsid w:val="00B15939"/>
    <w:rsid w:val="00B159D5"/>
    <w:rsid w:val="00B15DCA"/>
    <w:rsid w:val="00B16ACD"/>
    <w:rsid w:val="00B16CE9"/>
    <w:rsid w:val="00B2022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D5D"/>
    <w:rsid w:val="00B43E1F"/>
    <w:rsid w:val="00B45FBC"/>
    <w:rsid w:val="00B51A7D"/>
    <w:rsid w:val="00B535C2"/>
    <w:rsid w:val="00B55544"/>
    <w:rsid w:val="00B642FC"/>
    <w:rsid w:val="00B64D26"/>
    <w:rsid w:val="00B64FBB"/>
    <w:rsid w:val="00B65F03"/>
    <w:rsid w:val="00B70E22"/>
    <w:rsid w:val="00B73BAC"/>
    <w:rsid w:val="00B774CB"/>
    <w:rsid w:val="00B80402"/>
    <w:rsid w:val="00B80B9A"/>
    <w:rsid w:val="00B830B7"/>
    <w:rsid w:val="00B83DAC"/>
    <w:rsid w:val="00B848EA"/>
    <w:rsid w:val="00B84B2B"/>
    <w:rsid w:val="00B90500"/>
    <w:rsid w:val="00B9176C"/>
    <w:rsid w:val="00B935A4"/>
    <w:rsid w:val="00B96B46"/>
    <w:rsid w:val="00B97DA1"/>
    <w:rsid w:val="00BA0D5F"/>
    <w:rsid w:val="00BA2516"/>
    <w:rsid w:val="00BA561A"/>
    <w:rsid w:val="00BA73C8"/>
    <w:rsid w:val="00BA7B5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B95"/>
    <w:rsid w:val="00BC3AC6"/>
    <w:rsid w:val="00BC486E"/>
    <w:rsid w:val="00BC4BC6"/>
    <w:rsid w:val="00BC52FD"/>
    <w:rsid w:val="00BC6E62"/>
    <w:rsid w:val="00BC7443"/>
    <w:rsid w:val="00BD0648"/>
    <w:rsid w:val="00BD1040"/>
    <w:rsid w:val="00BD34AA"/>
    <w:rsid w:val="00BE0AAB"/>
    <w:rsid w:val="00BE0C44"/>
    <w:rsid w:val="00BE1B8B"/>
    <w:rsid w:val="00BE2A18"/>
    <w:rsid w:val="00BE2C01"/>
    <w:rsid w:val="00BE41EC"/>
    <w:rsid w:val="00BE56FB"/>
    <w:rsid w:val="00BE5FE9"/>
    <w:rsid w:val="00BE78B2"/>
    <w:rsid w:val="00BF3DDE"/>
    <w:rsid w:val="00BF47CF"/>
    <w:rsid w:val="00BF6589"/>
    <w:rsid w:val="00BF6F7F"/>
    <w:rsid w:val="00C00647"/>
    <w:rsid w:val="00C02764"/>
    <w:rsid w:val="00C042FC"/>
    <w:rsid w:val="00C04873"/>
    <w:rsid w:val="00C04CEF"/>
    <w:rsid w:val="00C05FC8"/>
    <w:rsid w:val="00C0662F"/>
    <w:rsid w:val="00C07813"/>
    <w:rsid w:val="00C11943"/>
    <w:rsid w:val="00C12E96"/>
    <w:rsid w:val="00C14763"/>
    <w:rsid w:val="00C16141"/>
    <w:rsid w:val="00C2363F"/>
    <w:rsid w:val="00C236C8"/>
    <w:rsid w:val="00C2442B"/>
    <w:rsid w:val="00C260B1"/>
    <w:rsid w:val="00C26822"/>
    <w:rsid w:val="00C26E56"/>
    <w:rsid w:val="00C31406"/>
    <w:rsid w:val="00C33891"/>
    <w:rsid w:val="00C37194"/>
    <w:rsid w:val="00C40637"/>
    <w:rsid w:val="00C40F6C"/>
    <w:rsid w:val="00C41CD2"/>
    <w:rsid w:val="00C44426"/>
    <w:rsid w:val="00C445F3"/>
    <w:rsid w:val="00C451F4"/>
    <w:rsid w:val="00C45EB1"/>
    <w:rsid w:val="00C47671"/>
    <w:rsid w:val="00C54A3A"/>
    <w:rsid w:val="00C55566"/>
    <w:rsid w:val="00C56448"/>
    <w:rsid w:val="00C57DCB"/>
    <w:rsid w:val="00C641BC"/>
    <w:rsid w:val="00C6678A"/>
    <w:rsid w:val="00C667BE"/>
    <w:rsid w:val="00C6766B"/>
    <w:rsid w:val="00C70953"/>
    <w:rsid w:val="00C72223"/>
    <w:rsid w:val="00C76417"/>
    <w:rsid w:val="00C7726F"/>
    <w:rsid w:val="00C77789"/>
    <w:rsid w:val="00C806D3"/>
    <w:rsid w:val="00C821AC"/>
    <w:rsid w:val="00C823DA"/>
    <w:rsid w:val="00C8259F"/>
    <w:rsid w:val="00C82746"/>
    <w:rsid w:val="00C8312F"/>
    <w:rsid w:val="00C84896"/>
    <w:rsid w:val="00C84C47"/>
    <w:rsid w:val="00C858A4"/>
    <w:rsid w:val="00C86AFA"/>
    <w:rsid w:val="00CA5ACE"/>
    <w:rsid w:val="00CA5FA6"/>
    <w:rsid w:val="00CA749F"/>
    <w:rsid w:val="00CA7DF5"/>
    <w:rsid w:val="00CB157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883"/>
    <w:rsid w:val="00CF09AA"/>
    <w:rsid w:val="00CF4813"/>
    <w:rsid w:val="00CF5233"/>
    <w:rsid w:val="00D029B8"/>
    <w:rsid w:val="00D02F60"/>
    <w:rsid w:val="00D0428A"/>
    <w:rsid w:val="00D0464E"/>
    <w:rsid w:val="00D04A96"/>
    <w:rsid w:val="00D07A7B"/>
    <w:rsid w:val="00D10E06"/>
    <w:rsid w:val="00D14DD9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282"/>
    <w:rsid w:val="00D402FB"/>
    <w:rsid w:val="00D42321"/>
    <w:rsid w:val="00D429F4"/>
    <w:rsid w:val="00D47D7A"/>
    <w:rsid w:val="00D50ABD"/>
    <w:rsid w:val="00D551E1"/>
    <w:rsid w:val="00D55290"/>
    <w:rsid w:val="00D57791"/>
    <w:rsid w:val="00D6046A"/>
    <w:rsid w:val="00D6204F"/>
    <w:rsid w:val="00D62870"/>
    <w:rsid w:val="00D64CAE"/>
    <w:rsid w:val="00D655D9"/>
    <w:rsid w:val="00D65872"/>
    <w:rsid w:val="00D66D05"/>
    <w:rsid w:val="00D676F3"/>
    <w:rsid w:val="00D70EF5"/>
    <w:rsid w:val="00D71024"/>
    <w:rsid w:val="00D71A25"/>
    <w:rsid w:val="00D71FCF"/>
    <w:rsid w:val="00D72A54"/>
    <w:rsid w:val="00D72BEA"/>
    <w:rsid w:val="00D72CC1"/>
    <w:rsid w:val="00D74D90"/>
    <w:rsid w:val="00D760CA"/>
    <w:rsid w:val="00D76EC9"/>
    <w:rsid w:val="00D80E7D"/>
    <w:rsid w:val="00D81397"/>
    <w:rsid w:val="00D83DD1"/>
    <w:rsid w:val="00D848B9"/>
    <w:rsid w:val="00D90970"/>
    <w:rsid w:val="00D90E69"/>
    <w:rsid w:val="00D91368"/>
    <w:rsid w:val="00D92259"/>
    <w:rsid w:val="00D93106"/>
    <w:rsid w:val="00D933E9"/>
    <w:rsid w:val="00D9505D"/>
    <w:rsid w:val="00D953D0"/>
    <w:rsid w:val="00D959F5"/>
    <w:rsid w:val="00D95A6F"/>
    <w:rsid w:val="00D96884"/>
    <w:rsid w:val="00D97343"/>
    <w:rsid w:val="00DA03E6"/>
    <w:rsid w:val="00DA3FDD"/>
    <w:rsid w:val="00DA40E3"/>
    <w:rsid w:val="00DA7017"/>
    <w:rsid w:val="00DA7028"/>
    <w:rsid w:val="00DB1AD2"/>
    <w:rsid w:val="00DB20D7"/>
    <w:rsid w:val="00DB2B58"/>
    <w:rsid w:val="00DB5206"/>
    <w:rsid w:val="00DB6276"/>
    <w:rsid w:val="00DB6348"/>
    <w:rsid w:val="00DB63F5"/>
    <w:rsid w:val="00DC1C6B"/>
    <w:rsid w:val="00DC2405"/>
    <w:rsid w:val="00DC2C2E"/>
    <w:rsid w:val="00DC4AF0"/>
    <w:rsid w:val="00DC7886"/>
    <w:rsid w:val="00DD0CF2"/>
    <w:rsid w:val="00DE1554"/>
    <w:rsid w:val="00DE1793"/>
    <w:rsid w:val="00DE2901"/>
    <w:rsid w:val="00DE3556"/>
    <w:rsid w:val="00DE590F"/>
    <w:rsid w:val="00DE716D"/>
    <w:rsid w:val="00DE7DC1"/>
    <w:rsid w:val="00DF3F7E"/>
    <w:rsid w:val="00DF7648"/>
    <w:rsid w:val="00E00E29"/>
    <w:rsid w:val="00E02BAB"/>
    <w:rsid w:val="00E04CEB"/>
    <w:rsid w:val="00E060BC"/>
    <w:rsid w:val="00E07A38"/>
    <w:rsid w:val="00E11420"/>
    <w:rsid w:val="00E12F67"/>
    <w:rsid w:val="00E132FB"/>
    <w:rsid w:val="00E16044"/>
    <w:rsid w:val="00E170B7"/>
    <w:rsid w:val="00E177DD"/>
    <w:rsid w:val="00E20900"/>
    <w:rsid w:val="00E20C7F"/>
    <w:rsid w:val="00E2396E"/>
    <w:rsid w:val="00E24728"/>
    <w:rsid w:val="00E263D2"/>
    <w:rsid w:val="00E276AC"/>
    <w:rsid w:val="00E27C60"/>
    <w:rsid w:val="00E34A35"/>
    <w:rsid w:val="00E37C2F"/>
    <w:rsid w:val="00E41C28"/>
    <w:rsid w:val="00E4205F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0F4"/>
    <w:rsid w:val="00E84F38"/>
    <w:rsid w:val="00E85623"/>
    <w:rsid w:val="00E87441"/>
    <w:rsid w:val="00E91FAE"/>
    <w:rsid w:val="00E9467A"/>
    <w:rsid w:val="00E96E3F"/>
    <w:rsid w:val="00EA270C"/>
    <w:rsid w:val="00EA4974"/>
    <w:rsid w:val="00EA532E"/>
    <w:rsid w:val="00EA6F5C"/>
    <w:rsid w:val="00EB06D9"/>
    <w:rsid w:val="00EB192B"/>
    <w:rsid w:val="00EB19ED"/>
    <w:rsid w:val="00EB1CAB"/>
    <w:rsid w:val="00EB54E7"/>
    <w:rsid w:val="00EC0F5A"/>
    <w:rsid w:val="00EC4265"/>
    <w:rsid w:val="00EC4871"/>
    <w:rsid w:val="00EC4CEB"/>
    <w:rsid w:val="00EC659E"/>
    <w:rsid w:val="00ED2072"/>
    <w:rsid w:val="00ED2AE0"/>
    <w:rsid w:val="00ED5553"/>
    <w:rsid w:val="00ED5E36"/>
    <w:rsid w:val="00ED6961"/>
    <w:rsid w:val="00EE3B8B"/>
    <w:rsid w:val="00EF0B96"/>
    <w:rsid w:val="00EF3486"/>
    <w:rsid w:val="00EF47AF"/>
    <w:rsid w:val="00EF53B6"/>
    <w:rsid w:val="00EF5456"/>
    <w:rsid w:val="00F00B73"/>
    <w:rsid w:val="00F115CA"/>
    <w:rsid w:val="00F14817"/>
    <w:rsid w:val="00F14EBA"/>
    <w:rsid w:val="00F1510F"/>
    <w:rsid w:val="00F1533A"/>
    <w:rsid w:val="00F15E5A"/>
    <w:rsid w:val="00F17F0A"/>
    <w:rsid w:val="00F2095E"/>
    <w:rsid w:val="00F2226C"/>
    <w:rsid w:val="00F2668F"/>
    <w:rsid w:val="00F2742F"/>
    <w:rsid w:val="00F2753B"/>
    <w:rsid w:val="00F30F56"/>
    <w:rsid w:val="00F33F8B"/>
    <w:rsid w:val="00F340B2"/>
    <w:rsid w:val="00F428CC"/>
    <w:rsid w:val="00F43390"/>
    <w:rsid w:val="00F43B29"/>
    <w:rsid w:val="00F443B2"/>
    <w:rsid w:val="00F44542"/>
    <w:rsid w:val="00F458D8"/>
    <w:rsid w:val="00F50237"/>
    <w:rsid w:val="00F53596"/>
    <w:rsid w:val="00F55BA8"/>
    <w:rsid w:val="00F55DB1"/>
    <w:rsid w:val="00F56ACA"/>
    <w:rsid w:val="00F600FE"/>
    <w:rsid w:val="00F62E4D"/>
    <w:rsid w:val="00F63A17"/>
    <w:rsid w:val="00F66B34"/>
    <w:rsid w:val="00F675B9"/>
    <w:rsid w:val="00F7054D"/>
    <w:rsid w:val="00F711C9"/>
    <w:rsid w:val="00F74C59"/>
    <w:rsid w:val="00F75C3A"/>
    <w:rsid w:val="00F779F7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E5E"/>
    <w:rsid w:val="00F979F1"/>
    <w:rsid w:val="00FA13C2"/>
    <w:rsid w:val="00FA1978"/>
    <w:rsid w:val="00FA1B85"/>
    <w:rsid w:val="00FA3B94"/>
    <w:rsid w:val="00FA537C"/>
    <w:rsid w:val="00FA549D"/>
    <w:rsid w:val="00FA7F91"/>
    <w:rsid w:val="00FB121C"/>
    <w:rsid w:val="00FB1CDD"/>
    <w:rsid w:val="00FB1FBF"/>
    <w:rsid w:val="00FB2C2F"/>
    <w:rsid w:val="00FB305C"/>
    <w:rsid w:val="00FB4DB7"/>
    <w:rsid w:val="00FC2E3D"/>
    <w:rsid w:val="00FC3BDE"/>
    <w:rsid w:val="00FD0468"/>
    <w:rsid w:val="00FD1DBE"/>
    <w:rsid w:val="00FD25A7"/>
    <w:rsid w:val="00FD27B6"/>
    <w:rsid w:val="00FD3689"/>
    <w:rsid w:val="00FD42A3"/>
    <w:rsid w:val="00FD5F8E"/>
    <w:rsid w:val="00FD7468"/>
    <w:rsid w:val="00FD7CE0"/>
    <w:rsid w:val="00FE0B3B"/>
    <w:rsid w:val="00FE1BE2"/>
    <w:rsid w:val="00FE1C38"/>
    <w:rsid w:val="00FE568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D9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0F4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14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Mention">
    <w:name w:val="Mention"/>
    <w:basedOn w:val="Domylnaczcionkaakapitu"/>
    <w:uiPriority w:val="99"/>
    <w:unhideWhenUsed/>
    <w:rsid w:val="00FD0468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D74D90"/>
    <w:pPr>
      <w:spacing w:line="240" w:lineRule="auto"/>
    </w:pPr>
    <w:rPr>
      <w:rFonts w:ascii="Times New Roman" w:hAnsi="Times New Roman"/>
      <w:szCs w:val="22"/>
    </w:rPr>
  </w:style>
  <w:style w:type="character" w:styleId="Hipercze">
    <w:name w:val="Hyperlink"/>
    <w:basedOn w:val="Domylnaczcionkaakapitu"/>
    <w:uiPriority w:val="99"/>
    <w:unhideWhenUsed/>
    <w:rsid w:val="00B1593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59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2F73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D14D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2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4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0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3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87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6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FF240-0D01-4D0C-A8DF-8CE38055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2023-04-17T06:14:00Z</dcterms:created>
  <dcterms:modified xsi:type="dcterms:W3CDTF">2023-04-18T10:01:00Z</dcterms:modified>
  <cp:category/>
</cp:coreProperties>
</file>