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AA0F1" w14:textId="3D4C7884" w:rsidR="00EC5AE5" w:rsidRPr="00EC5AE5" w:rsidRDefault="00EC5AE5" w:rsidP="00EC5AE5">
      <w:pPr>
        <w:pStyle w:val="OZNPROJEKTUwskazaniedatylubwersjiprojektu"/>
      </w:pPr>
      <w:bookmarkStart w:id="0" w:name="_GoBack"/>
      <w:bookmarkEnd w:id="0"/>
      <w:r w:rsidRPr="00EC5AE5">
        <w:t xml:space="preserve">Projekt </w:t>
      </w:r>
      <w:r w:rsidR="00DC0F90">
        <w:t xml:space="preserve">z dnia </w:t>
      </w:r>
      <w:r w:rsidR="000706F5">
        <w:t>30</w:t>
      </w:r>
      <w:r w:rsidRPr="00EC5AE5">
        <w:t>.</w:t>
      </w:r>
      <w:r w:rsidR="008373D6" w:rsidRPr="00EC5AE5">
        <w:t>0</w:t>
      </w:r>
      <w:r w:rsidR="00C10868">
        <w:t>3</w:t>
      </w:r>
      <w:r w:rsidR="00975275">
        <w:t>.2023</w:t>
      </w:r>
    </w:p>
    <w:p w14:paraId="4FFD1F68" w14:textId="77777777" w:rsidR="00EC5AE5" w:rsidRPr="00EC5AE5" w:rsidRDefault="00EC5AE5" w:rsidP="00EC5AE5">
      <w:pPr>
        <w:pStyle w:val="OZNRODZAKTUtznustawalubrozporzdzenieiorganwydajcy"/>
      </w:pPr>
      <w:r w:rsidRPr="00EC5AE5">
        <w:t xml:space="preserve">ROZPORZĄDZENIE </w:t>
      </w:r>
    </w:p>
    <w:p w14:paraId="3CAABB2A" w14:textId="77777777" w:rsidR="00EC5AE5" w:rsidRPr="00EC5AE5" w:rsidRDefault="00EC5AE5" w:rsidP="00EC5AE5">
      <w:pPr>
        <w:pStyle w:val="OZNRODZAKTUtznustawalubrozporzdzenieiorganwydajcy"/>
      </w:pPr>
      <w:r w:rsidRPr="00EC5AE5">
        <w:t>MINISTRA INFRASTRUKTURY</w:t>
      </w:r>
      <w:r w:rsidRPr="00EC5AE5">
        <w:rPr>
          <w:rStyle w:val="IGindeksgrny"/>
        </w:rPr>
        <w:footnoteReference w:id="2"/>
      </w:r>
      <w:r w:rsidRPr="00EC5AE5">
        <w:rPr>
          <w:rStyle w:val="IGindeksgrny"/>
        </w:rPr>
        <w:t>)</w:t>
      </w:r>
    </w:p>
    <w:p w14:paraId="7CDB00B0" w14:textId="7577B9D9" w:rsidR="00EC5AE5" w:rsidRPr="00EC5AE5" w:rsidRDefault="00975275" w:rsidP="00EC5AE5">
      <w:pPr>
        <w:pStyle w:val="DATAAKTUdatauchwalenialubwydaniaaktu"/>
      </w:pPr>
      <w:r>
        <w:t>z dnia ………………</w:t>
      </w:r>
      <w:r w:rsidR="0086400D">
        <w:t>.</w:t>
      </w:r>
      <w:r>
        <w:t>…. 2023</w:t>
      </w:r>
      <w:r w:rsidR="00EC5AE5" w:rsidRPr="00EC5AE5">
        <w:t xml:space="preserve"> r. </w:t>
      </w:r>
    </w:p>
    <w:p w14:paraId="78B6563F" w14:textId="5F90E2EE" w:rsidR="00EC5AE5" w:rsidRPr="00EC5AE5" w:rsidRDefault="00EC5AE5" w:rsidP="00EC5AE5">
      <w:pPr>
        <w:pStyle w:val="TYTUAKTUprzedmiotregulacjiustawylubrozporzdzenia"/>
      </w:pPr>
      <w:r w:rsidRPr="00EC5AE5">
        <w:t xml:space="preserve">zmieniające rozporządzenie w sprawie ogólnych warunków prowadzenia ruchu kolejowego i sygnalizacji </w:t>
      </w:r>
    </w:p>
    <w:p w14:paraId="0617A7E6" w14:textId="2D3CB559" w:rsidR="00EC5AE5" w:rsidRPr="00EC5AE5" w:rsidRDefault="00EC5AE5" w:rsidP="00EC5AE5">
      <w:pPr>
        <w:pStyle w:val="NIEARTTEKSTtekstnieartykuowanynppodstprawnarozplubpreambua"/>
        <w:rPr>
          <w:rStyle w:val="Ppogrubienie"/>
        </w:rPr>
      </w:pPr>
      <w:r w:rsidRPr="00EC5AE5">
        <w:t>Na podstawie art. 17 ust. 7 ustawy z dnia 28 marca 2003 r. o transporcie kolejowym (Dz. U. z 2021 r. poz. 1984</w:t>
      </w:r>
      <w:r w:rsidR="00B941B9">
        <w:t xml:space="preserve"> oraz z 2022 r. poz. 727 i 1846</w:t>
      </w:r>
      <w:r w:rsidRPr="00EC5AE5">
        <w:t>) zarządza się, co następuje:</w:t>
      </w:r>
      <w:r w:rsidRPr="00EC5AE5">
        <w:rPr>
          <w:rStyle w:val="Ppogrubienie"/>
        </w:rPr>
        <w:t xml:space="preserve"> </w:t>
      </w:r>
    </w:p>
    <w:p w14:paraId="55752B4C" w14:textId="003D7348" w:rsidR="00EC5AE5" w:rsidRDefault="00EC5AE5" w:rsidP="00695AE9">
      <w:pPr>
        <w:pStyle w:val="ARTartustawynprozporzdzenia"/>
      </w:pPr>
      <w:r w:rsidRPr="00EC5AE5">
        <w:rPr>
          <w:rStyle w:val="Ppogrubienie"/>
        </w:rPr>
        <w:t>§ 1.</w:t>
      </w:r>
      <w:r w:rsidRPr="00EC5AE5">
        <w:t xml:space="preserve"> W rozporządzeniu Ministra Infrastruktury z dnia 18 lipca 2005 r. w sprawie ogólnych warunków prowadzenia ruchu kolejowego i sygnalizacji (Dz. U. z 2015 r. poz. 360 i 1476, z</w:t>
      </w:r>
      <w:r w:rsidR="003E1CEA">
        <w:t> </w:t>
      </w:r>
      <w:r w:rsidRPr="00EC5AE5">
        <w:t xml:space="preserve">2016 r. poz. 1849 oraz z 2019 r. poz. 964 i 2352) wprowadza się następujące zmiany: </w:t>
      </w:r>
    </w:p>
    <w:p w14:paraId="2B98F8E1" w14:textId="2E9F3511" w:rsidR="00695AE9" w:rsidRDefault="00E70333" w:rsidP="005E7D7D">
      <w:pPr>
        <w:pStyle w:val="PKTpunkt"/>
      </w:pPr>
      <w:r>
        <w:t>1</w:t>
      </w:r>
      <w:r w:rsidR="00695AE9">
        <w:t>)</w:t>
      </w:r>
      <w:r w:rsidR="00695AE9">
        <w:tab/>
        <w:t xml:space="preserve">w </w:t>
      </w:r>
      <w:r w:rsidR="00695AE9">
        <w:rPr>
          <w:rFonts w:cs="Times"/>
        </w:rPr>
        <w:t>§</w:t>
      </w:r>
      <w:r w:rsidR="00695AE9">
        <w:t xml:space="preserve"> 2 w ust. 2 w pkt 3 </w:t>
      </w:r>
      <w:r w:rsidR="00FE6BBB">
        <w:t xml:space="preserve">w lit. d kropkę zastępuje się przecinkiem i </w:t>
      </w:r>
      <w:r w:rsidR="00695AE9">
        <w:t>dodaje się lit. e w brzmieniu:</w:t>
      </w:r>
    </w:p>
    <w:p w14:paraId="0B0AF57A" w14:textId="4FBD1437" w:rsidR="00EC5AE5" w:rsidRDefault="005E7D7D" w:rsidP="005E7D7D">
      <w:pPr>
        <w:pStyle w:val="ZLITzmlitartykuempunktem"/>
      </w:pPr>
      <w:r>
        <w:t>„</w:t>
      </w:r>
      <w:r w:rsidRPr="005E7D7D">
        <w:t>e)</w:t>
      </w:r>
      <w:r>
        <w:tab/>
      </w:r>
      <w:r w:rsidRPr="005E7D7D">
        <w:t>dwoma kolejnymi punktami mogącymi stanowić koniec zezwolenia na jazdę w określonym kierunku</w:t>
      </w:r>
      <w:r w:rsidR="00496207">
        <w:t xml:space="preserve"> –</w:t>
      </w:r>
      <w:r w:rsidRPr="005E7D7D">
        <w:t xml:space="preserve"> w przypadku zastosowania </w:t>
      </w:r>
      <w:r w:rsidR="008B279E" w:rsidRPr="008B279E">
        <w:t>Europejski</w:t>
      </w:r>
      <w:r w:rsidR="006E5148">
        <w:t>ego</w:t>
      </w:r>
      <w:r w:rsidR="008B279E" w:rsidRPr="008B279E">
        <w:t xml:space="preserve"> System</w:t>
      </w:r>
      <w:r w:rsidR="006E5148">
        <w:t>u</w:t>
      </w:r>
      <w:r w:rsidR="008B279E" w:rsidRPr="008B279E">
        <w:t xml:space="preserve"> Sterowania Pociągiem</w:t>
      </w:r>
      <w:r w:rsidRPr="005E7D7D">
        <w:t xml:space="preserve"> </w:t>
      </w:r>
      <w:r w:rsidR="002C08AE">
        <w:t>(</w:t>
      </w:r>
      <w:r w:rsidRPr="005E7D7D">
        <w:t>ERTMS/ETCS</w:t>
      </w:r>
      <w:r w:rsidR="002C08AE">
        <w:t>)</w:t>
      </w:r>
      <w:r w:rsidR="00B941B9">
        <w:t>, zwanego dalej „systemem ERTMS/</w:t>
      </w:r>
      <w:proofErr w:type="spellStart"/>
      <w:r w:rsidR="00B941B9">
        <w:t>ETCS”</w:t>
      </w:r>
      <w:r w:rsidR="00D22458">
        <w:t>.</w:t>
      </w:r>
      <w:r w:rsidR="00D22458" w:rsidRPr="00D22458">
        <w:t>ˮ</w:t>
      </w:r>
      <w:proofErr w:type="spellEnd"/>
      <w:r w:rsidRPr="005E7D7D">
        <w:t xml:space="preserve">; </w:t>
      </w:r>
    </w:p>
    <w:p w14:paraId="62E48C7C" w14:textId="6D675C9A" w:rsidR="00DE6BC0" w:rsidRPr="00DE6BC0" w:rsidRDefault="00625461" w:rsidP="00AC5E67">
      <w:pPr>
        <w:pStyle w:val="PKTpunkt"/>
      </w:pPr>
      <w:r>
        <w:t>2</w:t>
      </w:r>
      <w:r w:rsidR="0054519C">
        <w:t>)</w:t>
      </w:r>
      <w:r w:rsidR="00DE6BC0">
        <w:tab/>
        <w:t>w §</w:t>
      </w:r>
      <w:r w:rsidR="00EC4592">
        <w:t xml:space="preserve"> </w:t>
      </w:r>
      <w:r w:rsidR="00DE6BC0">
        <w:t>3 dodaje się</w:t>
      </w:r>
      <w:r w:rsidR="00EC4592">
        <w:t xml:space="preserve"> ust. 7 </w:t>
      </w:r>
      <w:r w:rsidR="00DE6BC0">
        <w:t>w brzmieniu:</w:t>
      </w:r>
    </w:p>
    <w:p w14:paraId="6BFDD898" w14:textId="4F5DA92C" w:rsidR="007847B1" w:rsidRDefault="0008577C" w:rsidP="00AC5E67">
      <w:pPr>
        <w:pStyle w:val="ZUSTzmustartykuempunktem"/>
      </w:pPr>
      <w:r>
        <w:t>„</w:t>
      </w:r>
      <w:r w:rsidR="00EC4592">
        <w:t>7.</w:t>
      </w:r>
      <w:r w:rsidR="006B23EC">
        <w:t xml:space="preserve"> W przypadku,</w:t>
      </w:r>
      <w:r w:rsidR="00DE6BC0">
        <w:t xml:space="preserve"> </w:t>
      </w:r>
      <w:r w:rsidR="00DE6BC0" w:rsidRPr="00DE6BC0">
        <w:t>o który</w:t>
      </w:r>
      <w:r w:rsidR="006B23EC">
        <w:t>m</w:t>
      </w:r>
      <w:r w:rsidR="00DE6BC0" w:rsidRPr="00DE6BC0">
        <w:t xml:space="preserve"> mowa w </w:t>
      </w:r>
      <w:r w:rsidR="00DE6BC0">
        <w:t>§</w:t>
      </w:r>
      <w:r w:rsidR="00DE6BC0" w:rsidRPr="00DE6BC0">
        <w:t xml:space="preserve"> 30</w:t>
      </w:r>
      <w:r w:rsidR="00DE6BC0">
        <w:t>aa</w:t>
      </w:r>
      <w:r w:rsidR="00DE6BC0" w:rsidRPr="00DE6BC0">
        <w:t xml:space="preserve"> ust. 1 pkt 3, </w:t>
      </w:r>
      <w:r w:rsidR="00F71841">
        <w:t>funkcję</w:t>
      </w:r>
      <w:r w:rsidR="00DE6BC0" w:rsidRPr="00DE6BC0">
        <w:t xml:space="preserve"> semafor</w:t>
      </w:r>
      <w:r w:rsidR="00F71841">
        <w:t>a</w:t>
      </w:r>
      <w:r w:rsidR="00DE6BC0" w:rsidRPr="00DE6BC0">
        <w:t xml:space="preserve"> wjazdow</w:t>
      </w:r>
      <w:r w:rsidR="00F71841">
        <w:t>ego</w:t>
      </w:r>
      <w:r w:rsidR="00071E9B">
        <w:t>, o którym mowa w ust. 6,</w:t>
      </w:r>
      <w:r w:rsidR="00F71841">
        <w:t xml:space="preserve"> pełni </w:t>
      </w:r>
      <w:r w:rsidR="00DE6BC0" w:rsidRPr="00DE6BC0">
        <w:t>wskaźnik W ETCS 10</w:t>
      </w:r>
      <w:r w:rsidR="00F71841">
        <w:t>.</w:t>
      </w:r>
      <w:r w:rsidRPr="0008577C">
        <w:t>ˮ</w:t>
      </w:r>
      <w:r w:rsidR="0054090C">
        <w:t>;</w:t>
      </w:r>
    </w:p>
    <w:p w14:paraId="57ACAAC1" w14:textId="1F5E1F8A" w:rsidR="00B941B9" w:rsidRDefault="0054090C" w:rsidP="009E4B6B">
      <w:pPr>
        <w:pStyle w:val="PKTpunkt"/>
      </w:pPr>
      <w:r>
        <w:t>3</w:t>
      </w:r>
      <w:r w:rsidR="0075035B">
        <w:t>)</w:t>
      </w:r>
      <w:r w:rsidR="0075035B">
        <w:tab/>
      </w:r>
      <w:r w:rsidR="00B941B9">
        <w:t>w § 11a:</w:t>
      </w:r>
    </w:p>
    <w:p w14:paraId="547F6F54" w14:textId="77777777" w:rsidR="00983AD6" w:rsidRDefault="00B941B9" w:rsidP="009E4B6B">
      <w:pPr>
        <w:pStyle w:val="PKTpunkt"/>
      </w:pPr>
      <w:r>
        <w:tab/>
        <w:t>a)</w:t>
      </w:r>
      <w:r>
        <w:tab/>
        <w:t>w ust. 1 wyrazy „</w:t>
      </w:r>
      <w:r w:rsidRPr="00B941B9">
        <w:t>Europejski System Sterowania Pociągiem (ERTMS/ETCS)</w:t>
      </w:r>
      <w:r w:rsidR="00983AD6">
        <w:t>” zastępuje się wyrazami „system</w:t>
      </w:r>
      <w:r w:rsidR="00983AD6" w:rsidRPr="00983AD6">
        <w:t xml:space="preserve"> </w:t>
      </w:r>
      <w:r w:rsidR="00983AD6">
        <w:t>ERTMS/ETCS”,</w:t>
      </w:r>
    </w:p>
    <w:p w14:paraId="1D9E33E3" w14:textId="77777777" w:rsidR="00983AD6" w:rsidRDefault="00983AD6" w:rsidP="009E4B6B">
      <w:pPr>
        <w:pStyle w:val="PKTpunkt"/>
      </w:pPr>
      <w:r>
        <w:tab/>
        <w:t>b)</w:t>
      </w:r>
      <w:r>
        <w:tab/>
        <w:t>ust. 2 otrzymuje brzmienie:</w:t>
      </w:r>
    </w:p>
    <w:p w14:paraId="78ECBE3B" w14:textId="352F0876" w:rsidR="00B941B9" w:rsidRDefault="00983AD6" w:rsidP="009E4B6B">
      <w:pPr>
        <w:pStyle w:val="PKTpunkt"/>
      </w:pPr>
      <w:r>
        <w:tab/>
      </w:r>
      <w:r>
        <w:tab/>
      </w:r>
      <w:r>
        <w:tab/>
        <w:t>„2. System  ERTMS/ETCS</w:t>
      </w:r>
      <w:r w:rsidRPr="00983AD6">
        <w:t xml:space="preserve"> jest systemem umożliwiającym kontrolę prowadzenia pociągu przez maszynistę.</w:t>
      </w:r>
      <w:r>
        <w:t>”;</w:t>
      </w:r>
    </w:p>
    <w:p w14:paraId="31056BE7" w14:textId="1BB4CF28" w:rsidR="0075035B" w:rsidRDefault="00B941B9" w:rsidP="009E4B6B">
      <w:pPr>
        <w:pStyle w:val="PKTpunkt"/>
      </w:pPr>
      <w:r>
        <w:t>4)</w:t>
      </w:r>
      <w:r>
        <w:tab/>
      </w:r>
      <w:r w:rsidR="0075035B">
        <w:t xml:space="preserve">w § 24 w ust. 2 we wprowadzeniu do wyliczenia po wyrazach „między dwoma posterunkami </w:t>
      </w:r>
      <w:proofErr w:type="spellStart"/>
      <w:r w:rsidR="0075035B">
        <w:t>następczymi</w:t>
      </w:r>
      <w:r w:rsidR="00B632A5">
        <w:t>,</w:t>
      </w:r>
      <w:r w:rsidR="0075035B">
        <w:t>ˮ</w:t>
      </w:r>
      <w:proofErr w:type="spellEnd"/>
      <w:r w:rsidR="0075035B">
        <w:t xml:space="preserve"> dodaje się wyrazy „</w:t>
      </w:r>
      <w:r w:rsidR="00E12934" w:rsidRPr="00E12934">
        <w:t xml:space="preserve">a przy prowadzeniu ruchu </w:t>
      </w:r>
      <w:r w:rsidR="00EA0DEC">
        <w:t xml:space="preserve">z </w:t>
      </w:r>
      <w:r w:rsidR="00EA0DEC">
        <w:lastRenderedPageBreak/>
        <w:t>wykorzystaniem</w:t>
      </w:r>
      <w:r w:rsidR="00E12934" w:rsidRPr="00E12934">
        <w:t xml:space="preserve"> system</w:t>
      </w:r>
      <w:r w:rsidR="005500C0">
        <w:t>u</w:t>
      </w:r>
      <w:r w:rsidR="00E12934" w:rsidRPr="00E12934">
        <w:t xml:space="preserve"> ERTMS/ETCS – między dwoma kolejnymi punktami mogącymi stanowić koniec zezwolenia na jazdę w określonym </w:t>
      </w:r>
      <w:proofErr w:type="spellStart"/>
      <w:r w:rsidR="00E12934" w:rsidRPr="00E12934">
        <w:t>kierunku</w:t>
      </w:r>
      <w:r w:rsidR="00E12934">
        <w:t>,</w:t>
      </w:r>
      <w:r w:rsidR="0075035B">
        <w:t>ˮ</w:t>
      </w:r>
      <w:proofErr w:type="spellEnd"/>
      <w:r w:rsidR="00E12934">
        <w:t>;</w:t>
      </w:r>
    </w:p>
    <w:p w14:paraId="0BBE7D1D" w14:textId="027C02FB" w:rsidR="00ED5B60" w:rsidRDefault="00EA28C1" w:rsidP="00ED5B60">
      <w:pPr>
        <w:pStyle w:val="PKTpunkt"/>
      </w:pPr>
      <w:r>
        <w:t>5</w:t>
      </w:r>
      <w:r w:rsidR="005E7D7D">
        <w:t>)</w:t>
      </w:r>
      <w:r w:rsidR="00ED5B60">
        <w:tab/>
      </w:r>
      <w:r w:rsidR="005E7D7D">
        <w:t>w § 25</w:t>
      </w:r>
      <w:r w:rsidR="0040669A">
        <w:t>:</w:t>
      </w:r>
      <w:r w:rsidR="005E7D7D">
        <w:t xml:space="preserve"> </w:t>
      </w:r>
    </w:p>
    <w:p w14:paraId="380FD2CF" w14:textId="35487813" w:rsidR="00ED5B60" w:rsidRDefault="00ED5B60" w:rsidP="00ED5B60">
      <w:pPr>
        <w:pStyle w:val="LITlitera"/>
      </w:pPr>
      <w:r>
        <w:t>a)</w:t>
      </w:r>
      <w:r>
        <w:tab/>
        <w:t xml:space="preserve">ust. 7 otrzymuje brzmienie: </w:t>
      </w:r>
    </w:p>
    <w:p w14:paraId="41B47B8A" w14:textId="190820C9" w:rsidR="00ED5B60" w:rsidRDefault="00ED5B60" w:rsidP="00ED5B60">
      <w:pPr>
        <w:pStyle w:val="ZLITUSTzmustliter"/>
      </w:pPr>
      <w:r>
        <w:t>„</w:t>
      </w:r>
      <w:r w:rsidRPr="00ED5B60">
        <w:t xml:space="preserve">7. Pociągi tego samego kierunku jazdy powinny kursować po danym torze szlakowym w odstępach posterunków następczych, a w przypadku urządzenia </w:t>
      </w:r>
      <w:r w:rsidR="006F5475" w:rsidRPr="006F5475">
        <w:t>odstępów, o których mowa w § 2</w:t>
      </w:r>
      <w:r w:rsidR="00E41584">
        <w:t xml:space="preserve"> </w:t>
      </w:r>
      <w:r w:rsidR="006F5475" w:rsidRPr="006F5475">
        <w:t>ust. 2</w:t>
      </w:r>
      <w:r w:rsidR="006F5475">
        <w:t xml:space="preserve"> </w:t>
      </w:r>
      <w:r w:rsidR="006F5475" w:rsidRPr="006F5475">
        <w:t xml:space="preserve">pkt 3 lit. </w:t>
      </w:r>
      <w:r w:rsidR="006F5475">
        <w:t>e</w:t>
      </w:r>
      <w:r w:rsidR="006F5475" w:rsidRPr="006F5475">
        <w:t>, na początku lub na końcu których nie znajduje się semafor, zwanych dalej „odstępami ETCS”</w:t>
      </w:r>
      <w:r w:rsidR="006F5475">
        <w:t xml:space="preserve"> – również w tych </w:t>
      </w:r>
      <w:proofErr w:type="spellStart"/>
      <w:r w:rsidR="006F5475">
        <w:t>odstępach.ˮ</w:t>
      </w:r>
      <w:proofErr w:type="spellEnd"/>
      <w:r>
        <w:t>,</w:t>
      </w:r>
    </w:p>
    <w:p w14:paraId="2CA7417F" w14:textId="61E8B90B" w:rsidR="005E7D7D" w:rsidRDefault="00ED5B60" w:rsidP="0081580A">
      <w:pPr>
        <w:pStyle w:val="LITlitera"/>
      </w:pPr>
      <w:r>
        <w:t>b)</w:t>
      </w:r>
      <w:r>
        <w:tab/>
      </w:r>
      <w:r w:rsidR="005E7D7D">
        <w:t>w ust. 9 dodaje się zdanie drugie w brzmieniu:</w:t>
      </w:r>
    </w:p>
    <w:p w14:paraId="4D209988" w14:textId="67DE82C1" w:rsidR="005E7D7D" w:rsidRDefault="005E7D7D" w:rsidP="00ED5B60">
      <w:pPr>
        <w:pStyle w:val="ZLITUSTzmustliter"/>
      </w:pPr>
      <w:r>
        <w:t>„</w:t>
      </w:r>
      <w:r w:rsidRPr="005E7D7D">
        <w:t>W przypadku stosowania odstępów ETCS</w:t>
      </w:r>
      <w:r w:rsidR="00ED5B60">
        <w:t>,</w:t>
      </w:r>
      <w:r w:rsidRPr="005E7D7D">
        <w:t xml:space="preserve"> odstęp uważa się za wolny wtedy, gdy urządzenia kontroli </w:t>
      </w:r>
      <w:proofErr w:type="spellStart"/>
      <w:r w:rsidRPr="005E7D7D">
        <w:t>niezajętości</w:t>
      </w:r>
      <w:proofErr w:type="spellEnd"/>
      <w:r w:rsidRPr="005E7D7D">
        <w:t xml:space="preserve"> przekazują informację o </w:t>
      </w:r>
      <w:proofErr w:type="spellStart"/>
      <w:r w:rsidRPr="005E7D7D">
        <w:t>niezajętości</w:t>
      </w:r>
      <w:proofErr w:type="spellEnd"/>
      <w:r w:rsidRPr="005E7D7D">
        <w:t xml:space="preserve"> tego </w:t>
      </w:r>
      <w:proofErr w:type="spellStart"/>
      <w:r w:rsidRPr="005E7D7D">
        <w:t>odstępu.</w:t>
      </w:r>
      <w:r>
        <w:t>ˮ</w:t>
      </w:r>
      <w:proofErr w:type="spellEnd"/>
      <w:r w:rsidR="00ED5B60">
        <w:t>,</w:t>
      </w:r>
    </w:p>
    <w:p w14:paraId="7F0EC85B" w14:textId="77777777" w:rsidR="008C5388" w:rsidRDefault="00ED5B60" w:rsidP="00FE6BBB">
      <w:pPr>
        <w:pStyle w:val="LITlitera"/>
      </w:pPr>
      <w:r>
        <w:t>c)</w:t>
      </w:r>
      <w:r>
        <w:tab/>
        <w:t>w ust. 10</w:t>
      </w:r>
      <w:r w:rsidR="008C5388">
        <w:t>:</w:t>
      </w:r>
    </w:p>
    <w:p w14:paraId="671F095D" w14:textId="77777777" w:rsidR="008C5388" w:rsidRDefault="008C5388" w:rsidP="005500C0">
      <w:pPr>
        <w:pStyle w:val="LITlitera"/>
        <w:ind w:hanging="306"/>
      </w:pPr>
      <w:r>
        <w:t>–</w:t>
      </w:r>
      <w:r w:rsidR="00ED5B60">
        <w:t xml:space="preserve"> w pkt 3 kropkę zastępuje się </w:t>
      </w:r>
      <w:r w:rsidR="00AB2BBE">
        <w:t xml:space="preserve">przecinkiem i dodaje się wyraz </w:t>
      </w:r>
      <w:r w:rsidR="00FE6BBB">
        <w:t>„</w:t>
      </w:r>
      <w:proofErr w:type="spellStart"/>
      <w:r w:rsidR="00ED5B60">
        <w:t>lub</w:t>
      </w:r>
      <w:r w:rsidR="00FE6BBB">
        <w:t>ˮ</w:t>
      </w:r>
      <w:proofErr w:type="spellEnd"/>
      <w:r>
        <w:t>,</w:t>
      </w:r>
    </w:p>
    <w:p w14:paraId="084D0139" w14:textId="75B149B5" w:rsidR="00ED5B60" w:rsidRDefault="008C5388" w:rsidP="005500C0">
      <w:pPr>
        <w:pStyle w:val="LITlitera"/>
        <w:ind w:hanging="306"/>
      </w:pPr>
      <w:r>
        <w:t>– dodaje się</w:t>
      </w:r>
      <w:r w:rsidR="00ED5B60">
        <w:t xml:space="preserve"> pkt 4 w brzmieniu:</w:t>
      </w:r>
    </w:p>
    <w:p w14:paraId="1D0A285C" w14:textId="47BBEC4A" w:rsidR="00ED5B60" w:rsidRDefault="00FE6BBB" w:rsidP="008C5388">
      <w:pPr>
        <w:pStyle w:val="ZLITPKTzmpktliter"/>
      </w:pPr>
      <w:r>
        <w:t>„</w:t>
      </w:r>
      <w:r w:rsidR="00ED5B60">
        <w:t>4)</w:t>
      </w:r>
      <w:r>
        <w:tab/>
      </w:r>
      <w:r w:rsidR="00ED5B60">
        <w:t xml:space="preserve">stanu urządzeń </w:t>
      </w:r>
      <w:r w:rsidR="004C56DB">
        <w:t xml:space="preserve">kontroli </w:t>
      </w:r>
      <w:proofErr w:type="spellStart"/>
      <w:r w:rsidR="00ED5B60">
        <w:t>niezajętości</w:t>
      </w:r>
      <w:r w:rsidR="0081580A">
        <w:t>.</w:t>
      </w:r>
      <w:r>
        <w:t>ˮ</w:t>
      </w:r>
      <w:proofErr w:type="spellEnd"/>
      <w:r>
        <w:t>,</w:t>
      </w:r>
    </w:p>
    <w:p w14:paraId="700D3172" w14:textId="092DF747" w:rsidR="00FE6BBB" w:rsidRDefault="00FE6BBB" w:rsidP="007A7374">
      <w:pPr>
        <w:pStyle w:val="LITlitera"/>
      </w:pPr>
      <w:r>
        <w:t>d)</w:t>
      </w:r>
      <w:r>
        <w:tab/>
        <w:t>w ust. 11 w pkt 1</w:t>
      </w:r>
      <w:r w:rsidR="007A7374">
        <w:t xml:space="preserve"> w lit. e średnik zastępuje się przecinkiem i dodaje się lit. f w brzmieniu:</w:t>
      </w:r>
    </w:p>
    <w:p w14:paraId="437401C9" w14:textId="71299397" w:rsidR="007A7374" w:rsidRDefault="007A7374" w:rsidP="007A7374">
      <w:pPr>
        <w:pStyle w:val="ZLITLITzmlitliter"/>
      </w:pPr>
      <w:r>
        <w:t>„f)</w:t>
      </w:r>
      <w:r>
        <w:tab/>
      </w:r>
      <w:r w:rsidRPr="007A7374">
        <w:t xml:space="preserve">przy zdalnym prowadzeniu ruchu na szlaku wyposażonym w </w:t>
      </w:r>
      <w:r w:rsidR="00EA06AE" w:rsidRPr="00EA06AE">
        <w:t xml:space="preserve">system ERTMS/ETCS poziomu 2 współpracujący z urządzeniami kontroli </w:t>
      </w:r>
      <w:proofErr w:type="spellStart"/>
      <w:r w:rsidR="00EA06AE">
        <w:t>niezajętości</w:t>
      </w:r>
      <w:proofErr w:type="spellEnd"/>
      <w:r w:rsidR="0081580A">
        <w:t>,</w:t>
      </w:r>
      <w:r w:rsidRPr="007A7374">
        <w:t xml:space="preserve"> właściwe urządzenie powtarzające wskazuje </w:t>
      </w:r>
      <w:proofErr w:type="spellStart"/>
      <w:r w:rsidRPr="007A7374">
        <w:t>niezajętość</w:t>
      </w:r>
      <w:proofErr w:type="spellEnd"/>
      <w:r w:rsidRPr="007A7374">
        <w:t xml:space="preserve"> pierwszego </w:t>
      </w:r>
      <w:proofErr w:type="spellStart"/>
      <w:r w:rsidR="005E2857" w:rsidRPr="007A7374">
        <w:t>odstępu</w:t>
      </w:r>
      <w:r>
        <w:t>;</w:t>
      </w:r>
      <w:r w:rsidR="00990D00" w:rsidRPr="00990D00">
        <w:t>ˮ</w:t>
      </w:r>
      <w:proofErr w:type="spellEnd"/>
      <w:r w:rsidR="00990D00">
        <w:t>;</w:t>
      </w:r>
    </w:p>
    <w:p w14:paraId="1630ECD8" w14:textId="2D65ACC0" w:rsidR="007A7374" w:rsidRDefault="00EA28C1" w:rsidP="007A7374">
      <w:pPr>
        <w:pStyle w:val="PKTpunkt"/>
      </w:pPr>
      <w:r>
        <w:t>6</w:t>
      </w:r>
      <w:r w:rsidR="007A7374">
        <w:t>)</w:t>
      </w:r>
      <w:r w:rsidR="007A7374">
        <w:tab/>
      </w:r>
      <w:r w:rsidR="00E31BB7">
        <w:t xml:space="preserve">po § 30a </w:t>
      </w:r>
      <w:r w:rsidR="007A7374">
        <w:t>dodaje się § 30aa</w:t>
      </w:r>
      <w:r w:rsidR="009378BD">
        <w:t xml:space="preserve"> w brzmieniu:</w:t>
      </w:r>
    </w:p>
    <w:p w14:paraId="46FA679C" w14:textId="75A1CD1F" w:rsidR="00641A01" w:rsidRPr="00641A01" w:rsidRDefault="00641A01" w:rsidP="00641A01">
      <w:pPr>
        <w:pStyle w:val="ZARTzmartartykuempunktem"/>
      </w:pPr>
      <w:r>
        <w:t>„</w:t>
      </w:r>
      <w:r w:rsidRPr="00641A01">
        <w:t>§ 30aa.</w:t>
      </w:r>
      <w:r>
        <w:t xml:space="preserve"> 1. W przypadku wyposażenia odcinka linii kolejowej w system ERTMS/ETCS poziomu 2 współpracujący z urządzeniami kontroli </w:t>
      </w:r>
      <w:proofErr w:type="spellStart"/>
      <w:r>
        <w:t>niezajętości</w:t>
      </w:r>
      <w:proofErr w:type="spellEnd"/>
      <w:r w:rsidRPr="00641A01">
        <w:t>, dopuszcza się:</w:t>
      </w:r>
    </w:p>
    <w:p w14:paraId="0F65ADAE" w14:textId="7E8759ED" w:rsidR="00641A01" w:rsidRPr="00641A01" w:rsidRDefault="00641A01" w:rsidP="00641A01">
      <w:pPr>
        <w:pStyle w:val="ZPKTzmpktartykuempunktem"/>
      </w:pPr>
      <w:r>
        <w:t>1)</w:t>
      </w:r>
      <w:r>
        <w:tab/>
      </w:r>
      <w:r w:rsidR="00642823">
        <w:t xml:space="preserve">wyposażenie  takiego </w:t>
      </w:r>
      <w:r w:rsidRPr="00641A01">
        <w:t>odcin</w:t>
      </w:r>
      <w:r w:rsidR="00642823">
        <w:t>ka</w:t>
      </w:r>
      <w:r w:rsidRPr="00641A01">
        <w:t xml:space="preserve"> linii kolejowej </w:t>
      </w:r>
      <w:r w:rsidR="00642823">
        <w:t xml:space="preserve"> w</w:t>
      </w:r>
      <w:r w:rsidRPr="00641A01">
        <w:t xml:space="preserve"> sygnalizatory przytorowe w pełnym zakresie, które w normalnym stanie pracy są włączone </w:t>
      </w:r>
      <w:r w:rsidR="006F5475">
        <w:t xml:space="preserve">i </w:t>
      </w:r>
      <w:r w:rsidRPr="00641A01">
        <w:t>pracują równolegle z systemem ERTMS/ETCS</w:t>
      </w:r>
      <w:r w:rsidR="006F5475">
        <w:t>;</w:t>
      </w:r>
      <w:r w:rsidRPr="00641A01">
        <w:t xml:space="preserve"> maszynista </w:t>
      </w:r>
      <w:r w:rsidR="006F5475" w:rsidRPr="006F5475">
        <w:t xml:space="preserve">prowadzi pociąg </w:t>
      </w:r>
      <w:r w:rsidR="007E402D" w:rsidRPr="007E402D">
        <w:t>zgodnie z § 30b</w:t>
      </w:r>
      <w:r w:rsidR="007E43B4">
        <w:t xml:space="preserve"> ust. 2</w:t>
      </w:r>
      <w:r w:rsidR="007E402D" w:rsidRPr="007E402D">
        <w:t xml:space="preserve">, a jeżeli pociąg nie jest wyposażony w urządzenia pokładowe tego systemu, w oparciu o sygnalizatory przytorowe; semafory obsługiwane </w:t>
      </w:r>
      <w:r w:rsidR="001A29B6">
        <w:t>mogą umożliwiać</w:t>
      </w:r>
      <w:r w:rsidR="001A29B6" w:rsidRPr="007E402D">
        <w:t xml:space="preserve"> </w:t>
      </w:r>
      <w:r w:rsidR="007E402D" w:rsidRPr="007E402D">
        <w:t>nadani</w:t>
      </w:r>
      <w:r w:rsidR="007813FE">
        <w:t>e</w:t>
      </w:r>
      <w:r w:rsidR="007E402D" w:rsidRPr="007E402D">
        <w:t xml:space="preserve"> sygnału SE „Wolna droga zgodnie ze wskazaniami systemu ERTMS/ETCS” </w:t>
      </w:r>
      <w:r w:rsidR="007E402D">
        <w:t>w celu</w:t>
      </w:r>
      <w:r w:rsidR="007E402D" w:rsidRPr="007E402D">
        <w:t xml:space="preserve"> </w:t>
      </w:r>
      <w:r w:rsidR="007E402D" w:rsidRPr="007E402D">
        <w:lastRenderedPageBreak/>
        <w:t>umożliwienia wjazdu pociągu na odstęp ETCS lub wjazdu pociągu na tor stacyjny w przypadku, o którym mowa w § 31 ust. 13</w:t>
      </w:r>
      <w:r w:rsidRPr="00641A01">
        <w:t>;</w:t>
      </w:r>
    </w:p>
    <w:p w14:paraId="4AC4B62A" w14:textId="35BBD0A7" w:rsidR="00641A01" w:rsidRPr="00641A01" w:rsidRDefault="00641A01" w:rsidP="00641A01">
      <w:pPr>
        <w:pStyle w:val="ZPKTzmpktartykuempunktem"/>
      </w:pPr>
      <w:r>
        <w:t>2)</w:t>
      </w:r>
      <w:r>
        <w:tab/>
      </w:r>
      <w:r w:rsidR="00642823">
        <w:t xml:space="preserve">wyposażenie takiego odcinka </w:t>
      </w:r>
      <w:r w:rsidRPr="00641A01">
        <w:t>linii kolejowej w sygnalizatory przytorowe</w:t>
      </w:r>
      <w:r w:rsidR="00642823">
        <w:t xml:space="preserve">, </w:t>
      </w:r>
      <w:r w:rsidRPr="00641A01">
        <w:t>z wyłączeniem samoczynnych</w:t>
      </w:r>
      <w:r w:rsidR="00CC491C">
        <w:t xml:space="preserve"> semaforów </w:t>
      </w:r>
      <w:proofErr w:type="spellStart"/>
      <w:r w:rsidR="00CC491C">
        <w:t>odstępowych</w:t>
      </w:r>
      <w:proofErr w:type="spellEnd"/>
      <w:r w:rsidR="00CC491C">
        <w:t xml:space="preserve"> blokady</w:t>
      </w:r>
      <w:r w:rsidRPr="00641A01">
        <w:t>, które w normalnym stanie pracy systemu są</w:t>
      </w:r>
      <w:r w:rsidR="004E70C8">
        <w:t xml:space="preserve"> </w:t>
      </w:r>
      <w:r w:rsidR="00C419B7">
        <w:t>nieoświetlone</w:t>
      </w:r>
      <w:r w:rsidR="00B254B7">
        <w:t>;</w:t>
      </w:r>
      <w:r w:rsidRPr="00641A01">
        <w:t> maszynista prowadzi pociąg</w:t>
      </w:r>
      <w:r w:rsidR="006C2A22" w:rsidRPr="006C2A22">
        <w:t xml:space="preserve"> </w:t>
      </w:r>
      <w:r w:rsidR="006C2A22">
        <w:t>zgodnie z § 30b ust. 2</w:t>
      </w:r>
      <w:r w:rsidRPr="00641A01">
        <w:t xml:space="preserve">; </w:t>
      </w:r>
      <w:r w:rsidR="00F0128D">
        <w:t>pociąg przeje</w:t>
      </w:r>
      <w:r w:rsidR="009F2D9A">
        <w:t xml:space="preserve">żdża obok </w:t>
      </w:r>
      <w:r w:rsidR="008C7467" w:rsidRPr="00641A01">
        <w:t>semafor</w:t>
      </w:r>
      <w:r w:rsidR="008C7467">
        <w:t>a</w:t>
      </w:r>
      <w:r w:rsidR="008C7467" w:rsidRPr="00641A01">
        <w:t xml:space="preserve"> </w:t>
      </w:r>
      <w:r w:rsidRPr="00641A01">
        <w:t>obsługiwane</w:t>
      </w:r>
      <w:r w:rsidR="009F2D9A">
        <w:t>go</w:t>
      </w:r>
      <w:r w:rsidRPr="00641A01">
        <w:t xml:space="preserve"> w oparciu o sygnał SE „Wolna droga zgodnie ze wskazaniami systemu ERTMS/ETCS”; sygnalizatory przytorowe są włączane jedynie w sytuacjach awaryjnych lub podczas sporadycznego ruchu pociągów niewyposażonych</w:t>
      </w:r>
      <w:r w:rsidR="00FB0574">
        <w:t xml:space="preserve"> w urządzenia pokładowe systemu ERTMS/ETCS</w:t>
      </w:r>
      <w:r w:rsidRPr="00641A01">
        <w:t>;</w:t>
      </w:r>
    </w:p>
    <w:p w14:paraId="778D4DCF" w14:textId="4C36A848" w:rsidR="00641A01" w:rsidRPr="00641A01" w:rsidRDefault="00641A01" w:rsidP="00641A01">
      <w:pPr>
        <w:pStyle w:val="ZPKTzmpktartykuempunktem"/>
      </w:pPr>
      <w:r>
        <w:t>3)</w:t>
      </w:r>
      <w:r>
        <w:tab/>
      </w:r>
      <w:r w:rsidR="00642823">
        <w:t xml:space="preserve">brak wyposażenia takiego </w:t>
      </w:r>
      <w:r w:rsidRPr="00641A01">
        <w:t>odcin</w:t>
      </w:r>
      <w:r w:rsidR="00642823">
        <w:t>ka</w:t>
      </w:r>
      <w:r w:rsidRPr="00641A01">
        <w:t xml:space="preserve"> linii kolejowej w sygnalizatory przytorowe i prowadz</w:t>
      </w:r>
      <w:r w:rsidR="00642823">
        <w:t>enie</w:t>
      </w:r>
      <w:r w:rsidRPr="00641A01">
        <w:t xml:space="preserve"> pociąg</w:t>
      </w:r>
      <w:r w:rsidR="00642823">
        <w:t>u przez maszynistę</w:t>
      </w:r>
      <w:r w:rsidRPr="00641A01">
        <w:t xml:space="preserve"> wyłącznie w oparciu o wskazania pulpitu pokładowego systemu ERTMS/ETCS.</w:t>
      </w:r>
    </w:p>
    <w:p w14:paraId="46ECF9FB" w14:textId="01406798" w:rsidR="00641A01" w:rsidRPr="00EC5AE5" w:rsidRDefault="00641A01" w:rsidP="0013215E">
      <w:pPr>
        <w:pStyle w:val="ZUSTzmustartykuempunktem"/>
      </w:pPr>
      <w:bookmarkStart w:id="1" w:name="_Hlk106879991"/>
      <w:r>
        <w:t xml:space="preserve">2. </w:t>
      </w:r>
      <w:r w:rsidRPr="00641A01">
        <w:t>Szlaki i posterunki ruchu</w:t>
      </w:r>
      <w:r w:rsidR="00CC5EB5">
        <w:t xml:space="preserve"> na odcinkach linii kolejowych, o których mowa w</w:t>
      </w:r>
      <w:r w:rsidRPr="00641A01">
        <w:t xml:space="preserve"> ust. 1</w:t>
      </w:r>
      <w:r w:rsidR="0013215E">
        <w:t xml:space="preserve"> </w:t>
      </w:r>
      <w:r w:rsidR="009B6A6E">
        <w:t>oznacza się</w:t>
      </w:r>
      <w:r w:rsidRPr="00641A01">
        <w:t xml:space="preserve"> w wewnętrznym rozkładzie jazdy pociągów</w:t>
      </w:r>
      <w:r w:rsidR="005E154C">
        <w:t xml:space="preserve">, wraz </w:t>
      </w:r>
      <w:r w:rsidR="00CC5EB5">
        <w:t xml:space="preserve">ze wskazaniem </w:t>
      </w:r>
      <w:r w:rsidR="005E154C">
        <w:t xml:space="preserve">danego </w:t>
      </w:r>
      <w:r w:rsidR="00CC5EB5">
        <w:t>przypadku</w:t>
      </w:r>
      <w:r w:rsidR="005E154C">
        <w:t xml:space="preserve"> określonego </w:t>
      </w:r>
      <w:r w:rsidR="00EF0FB1">
        <w:t xml:space="preserve">odpowiednio </w:t>
      </w:r>
      <w:r w:rsidR="005E154C">
        <w:t xml:space="preserve">w </w:t>
      </w:r>
      <w:r w:rsidR="00AE5D5E">
        <w:t>ust. 1</w:t>
      </w:r>
      <w:r w:rsidRPr="00641A01">
        <w:t>.</w:t>
      </w:r>
      <w:bookmarkEnd w:id="1"/>
      <w:r>
        <w:t>ˮ;</w:t>
      </w:r>
    </w:p>
    <w:p w14:paraId="3E780E41" w14:textId="2992C060" w:rsidR="00EC5AE5" w:rsidRDefault="00EA28C1" w:rsidP="006C475F">
      <w:pPr>
        <w:pStyle w:val="PKTpunkt"/>
      </w:pPr>
      <w:r>
        <w:t>7</w:t>
      </w:r>
      <w:r w:rsidR="00641A01">
        <w:t>)</w:t>
      </w:r>
      <w:r w:rsidR="006C475F">
        <w:tab/>
      </w:r>
      <w:r w:rsidR="00641A01">
        <w:t xml:space="preserve">w § 30c </w:t>
      </w:r>
      <w:r w:rsidR="006C475F">
        <w:t>w ust. 1 pkt 2 otrzymuje brzmienie:</w:t>
      </w:r>
    </w:p>
    <w:p w14:paraId="37CBA4AB" w14:textId="7DEADBD1" w:rsidR="006C475F" w:rsidRDefault="006C475F" w:rsidP="006C475F">
      <w:pPr>
        <w:pStyle w:val="ZPKTzmpktartykuempunktem"/>
      </w:pPr>
      <w:r>
        <w:t>„2)</w:t>
      </w:r>
      <w:r>
        <w:tab/>
      </w:r>
      <w:r w:rsidRPr="006C475F">
        <w:t xml:space="preserve">przez Centrum Sterowania Radiowego (RBC) </w:t>
      </w:r>
      <w:r w:rsidR="0032189D">
        <w:t xml:space="preserve">lub </w:t>
      </w:r>
      <w:r w:rsidRPr="006C475F">
        <w:t xml:space="preserve">urządzenia sterowania ruchem kolejowym bezpośrednio zintegrowane z systemem ERTMS/ETCS, a jeżeli nie ma takiej możliwości, za pomocą odpowiednich </w:t>
      </w:r>
      <w:proofErr w:type="spellStart"/>
      <w:r w:rsidRPr="006C475F">
        <w:t>balis</w:t>
      </w:r>
      <w:proofErr w:type="spellEnd"/>
      <w:r w:rsidRPr="006C475F">
        <w:t xml:space="preserve"> </w:t>
      </w:r>
      <w:r w:rsidR="000B595C">
        <w:t>–</w:t>
      </w:r>
      <w:r w:rsidRPr="006C475F">
        <w:t xml:space="preserve"> w przypadku systemu ERTMS/ETCS poziomu 2.</w:t>
      </w:r>
      <w:r>
        <w:t>ˮ;</w:t>
      </w:r>
    </w:p>
    <w:p w14:paraId="09072E28" w14:textId="56A550B6" w:rsidR="00941BAB" w:rsidRDefault="00EA28C1" w:rsidP="00941BAB">
      <w:pPr>
        <w:pStyle w:val="PKTpunkt"/>
      </w:pPr>
      <w:r>
        <w:t>8</w:t>
      </w:r>
      <w:r w:rsidR="00941BAB">
        <w:t>)</w:t>
      </w:r>
      <w:r w:rsidR="00941BAB">
        <w:tab/>
        <w:t xml:space="preserve">w § 31 dodaje się ust. 13 w brzmieniu: </w:t>
      </w:r>
    </w:p>
    <w:p w14:paraId="62790BAE" w14:textId="43A91DF9" w:rsidR="00941BAB" w:rsidRDefault="00941BAB" w:rsidP="00941BAB">
      <w:pPr>
        <w:pStyle w:val="ZUSTzmustartykuempunktem"/>
      </w:pPr>
      <w:r>
        <w:t>„</w:t>
      </w:r>
      <w:r w:rsidRPr="00941BAB">
        <w:t>13. W przypadk</w:t>
      </w:r>
      <w:r w:rsidR="00F17C75">
        <w:t>ach</w:t>
      </w:r>
      <w:r w:rsidR="00A7264B">
        <w:t>,</w:t>
      </w:r>
      <w:r w:rsidRPr="00941BAB">
        <w:t xml:space="preserve"> o który</w:t>
      </w:r>
      <w:r w:rsidR="00F17C75">
        <w:t>ch</w:t>
      </w:r>
      <w:r w:rsidRPr="00941BAB">
        <w:t xml:space="preserve"> mowa w §</w:t>
      </w:r>
      <w:r w:rsidR="000B595C">
        <w:t xml:space="preserve"> </w:t>
      </w:r>
      <w:r w:rsidRPr="00941BAB">
        <w:t>30aa</w:t>
      </w:r>
      <w:r w:rsidR="000706F5">
        <w:t xml:space="preserve"> ust. 1 pkt 1 i </w:t>
      </w:r>
      <w:r w:rsidR="00F17C75">
        <w:t>2</w:t>
      </w:r>
      <w:r w:rsidRPr="00941BAB">
        <w:t>, jeżeli na długości toru głównego na posterunku ruchu ustawiono wskaźniki W</w:t>
      </w:r>
      <w:r w:rsidR="0032189D">
        <w:t xml:space="preserve"> ETCS </w:t>
      </w:r>
      <w:r w:rsidRPr="00941BAB">
        <w:t>10 lub W</w:t>
      </w:r>
      <w:r w:rsidR="0032189D">
        <w:t xml:space="preserve"> ETCS </w:t>
      </w:r>
      <w:r w:rsidRPr="00941BAB">
        <w:t xml:space="preserve">11, to wjazdu pociągu wyposażonego w urządzenia pokładowe systemu </w:t>
      </w:r>
      <w:r w:rsidR="00E43344" w:rsidRPr="00E43344">
        <w:t>ERTMS/ETCS</w:t>
      </w:r>
      <w:r w:rsidRPr="00941BAB">
        <w:t xml:space="preserve"> na taki tor, który jest wolny co najmniej do pierwszego wskaźnika W</w:t>
      </w:r>
      <w:r w:rsidR="0032189D">
        <w:t xml:space="preserve"> ETCS </w:t>
      </w:r>
      <w:r w:rsidRPr="00941BAB">
        <w:t>10 lub W</w:t>
      </w:r>
      <w:r w:rsidR="0032189D">
        <w:t xml:space="preserve"> ETCS </w:t>
      </w:r>
      <w:r w:rsidRPr="00941BAB">
        <w:t>11, nie uznaje się za wjazd na tor częściowo zajęty. Maszynista prowadzi wówczas pociąg</w:t>
      </w:r>
      <w:r w:rsidR="002666F3" w:rsidRPr="002666F3">
        <w:t xml:space="preserve"> </w:t>
      </w:r>
      <w:r w:rsidR="002666F3">
        <w:t>zgodnie z § 30b ust. 2</w:t>
      </w:r>
      <w:r w:rsidRPr="00941BAB">
        <w:t>, a semafor wjazdowy lub drogowskazowy</w:t>
      </w:r>
      <w:r w:rsidR="000B595C">
        <w:t>,</w:t>
      </w:r>
      <w:r w:rsidRPr="00941BAB">
        <w:t xml:space="preserve"> o ile został urządzony</w:t>
      </w:r>
      <w:r w:rsidR="000B595C">
        <w:t>,</w:t>
      </w:r>
      <w:r w:rsidRPr="00941BAB">
        <w:t xml:space="preserve"> jest przejeżdżany na sygnał SE „Wolna droga zgodnie ze wskazaniami systemu ERTMS/</w:t>
      </w:r>
      <w:proofErr w:type="spellStart"/>
      <w:r w:rsidRPr="00941BAB">
        <w:t>ETCS.</w:t>
      </w:r>
      <w:r>
        <w:t>ˮ</w:t>
      </w:r>
      <w:proofErr w:type="spellEnd"/>
      <w:r>
        <w:t>;</w:t>
      </w:r>
    </w:p>
    <w:p w14:paraId="119F63F6" w14:textId="6F1F4EF4" w:rsidR="00941BAB" w:rsidRDefault="00EA28C1" w:rsidP="0081580A">
      <w:pPr>
        <w:pStyle w:val="PKTpunkt"/>
      </w:pPr>
      <w:r>
        <w:t>9</w:t>
      </w:r>
      <w:r w:rsidR="00941BAB">
        <w:t>)</w:t>
      </w:r>
      <w:r w:rsidR="00941BAB">
        <w:tab/>
        <w:t>w § 33 dodaje się ust. 13 w brzmieniu:</w:t>
      </w:r>
    </w:p>
    <w:p w14:paraId="3F57EB4D" w14:textId="7F01C182" w:rsidR="00941BAB" w:rsidRPr="0081580A" w:rsidRDefault="00941BAB" w:rsidP="0081580A">
      <w:pPr>
        <w:pStyle w:val="ZUSTzmustartykuempunktem"/>
      </w:pPr>
      <w:r w:rsidRPr="0081580A">
        <w:lastRenderedPageBreak/>
        <w:t xml:space="preserve">„13. W przypadku, o którym mowa w § 30aa ust. 1 pkt </w:t>
      </w:r>
      <w:r w:rsidR="003950D5">
        <w:t>1</w:t>
      </w:r>
      <w:r w:rsidR="008C6C8A">
        <w:t xml:space="preserve"> i </w:t>
      </w:r>
      <w:r w:rsidRPr="0081580A">
        <w:t>2</w:t>
      </w:r>
      <w:r w:rsidR="00483D15" w:rsidRPr="0081580A">
        <w:t xml:space="preserve">, </w:t>
      </w:r>
      <w:r w:rsidRPr="0081580A">
        <w:t>semafory obsługiwane mogą nadawać sygnał SE „Wolna droga zgodnie ze wskazaniami systemu ERTMS/ETCS</w:t>
      </w:r>
      <w:r w:rsidR="002960B2">
        <w:t>.</w:t>
      </w:r>
      <w:r w:rsidRPr="0081580A">
        <w:t>”</w:t>
      </w:r>
      <w:r w:rsidR="00483D15" w:rsidRPr="0081580A">
        <w:t>;</w:t>
      </w:r>
    </w:p>
    <w:p w14:paraId="00B0442C" w14:textId="0DA10277" w:rsidR="00483D15" w:rsidRDefault="00EA28C1" w:rsidP="0081580A">
      <w:pPr>
        <w:pStyle w:val="PKTpunkt"/>
      </w:pPr>
      <w:r>
        <w:t>10</w:t>
      </w:r>
      <w:r w:rsidR="00483D15">
        <w:t>)</w:t>
      </w:r>
      <w:r w:rsidR="00483D15">
        <w:tab/>
        <w:t xml:space="preserve">w § 36 ust. 1 otrzymuje brzmienie: </w:t>
      </w:r>
    </w:p>
    <w:p w14:paraId="68ECDA83" w14:textId="7AA98E40" w:rsidR="00483D15" w:rsidRPr="0081580A" w:rsidRDefault="00483D15" w:rsidP="0081580A">
      <w:pPr>
        <w:pStyle w:val="ZUSTzmustartykuempunktem"/>
      </w:pPr>
      <w:r w:rsidRPr="0081580A">
        <w:t xml:space="preserve">„1. Jeżeli dyżurny ruchu, nastawniczy lub zwrotniczy zauważy lub dowie się, że dalsza jazda pociągu grozi niebezpieczeństwem, powinien natychmiast zmienić sygnał zezwalający na semaforze na sygnał </w:t>
      </w:r>
      <w:r w:rsidR="00245AAA" w:rsidRPr="00245AAA">
        <w:t>„</w:t>
      </w:r>
      <w:r w:rsidRPr="0081580A">
        <w:t>Stój</w:t>
      </w:r>
      <w:r w:rsidR="00245AAA" w:rsidRPr="00245AAA">
        <w:t>”</w:t>
      </w:r>
      <w:r w:rsidRPr="0081580A">
        <w:t xml:space="preserve"> lub obsłużyć urządzenia w celu zmiany „Zezwolenia na jazdę” w systemie ERTMS/</w:t>
      </w:r>
      <w:proofErr w:type="spellStart"/>
      <w:r w:rsidRPr="0081580A">
        <w:t>ETCS.ˮ</w:t>
      </w:r>
      <w:proofErr w:type="spellEnd"/>
      <w:r w:rsidRPr="0081580A">
        <w:t>;</w:t>
      </w:r>
    </w:p>
    <w:p w14:paraId="5473B7BC" w14:textId="74E854C3" w:rsidR="00003CE2" w:rsidRDefault="0054090C" w:rsidP="0081580A">
      <w:pPr>
        <w:pStyle w:val="PKTpunkt"/>
      </w:pPr>
      <w:r>
        <w:t>1</w:t>
      </w:r>
      <w:r w:rsidR="00EA28C1">
        <w:t>1</w:t>
      </w:r>
      <w:r w:rsidR="00483D15">
        <w:t>)</w:t>
      </w:r>
      <w:r w:rsidR="00483D15">
        <w:tab/>
      </w:r>
      <w:r w:rsidR="00A644A6">
        <w:t xml:space="preserve">w </w:t>
      </w:r>
      <w:r w:rsidR="00483D15">
        <w:t>§ 42</w:t>
      </w:r>
      <w:r w:rsidR="00003CE2">
        <w:t>:</w:t>
      </w:r>
    </w:p>
    <w:p w14:paraId="036A5A2E" w14:textId="7212F272" w:rsidR="00483D15" w:rsidRDefault="00003CE2" w:rsidP="0081580A">
      <w:pPr>
        <w:pStyle w:val="LITlitera"/>
      </w:pPr>
      <w:r>
        <w:t>a)</w:t>
      </w:r>
      <w:r>
        <w:tab/>
      </w:r>
      <w:r w:rsidR="003A4026">
        <w:t xml:space="preserve">po ust. 4 </w:t>
      </w:r>
      <w:r w:rsidR="00483D15">
        <w:t>dodaje się ust. 4a w brzmieniu</w:t>
      </w:r>
      <w:r w:rsidR="008162FE">
        <w:t>:</w:t>
      </w:r>
    </w:p>
    <w:p w14:paraId="2B07EA9A" w14:textId="01699613" w:rsidR="00483D15" w:rsidRPr="0081580A" w:rsidRDefault="00003CE2" w:rsidP="00D61622">
      <w:pPr>
        <w:pStyle w:val="ZLITUSTzmustliter"/>
      </w:pPr>
      <w:r w:rsidRPr="0081580A">
        <w:t xml:space="preserve">„4a. </w:t>
      </w:r>
      <w:r w:rsidR="008D3B3E">
        <w:t>W przypadkach, o których mowa</w:t>
      </w:r>
      <w:r w:rsidRPr="0081580A">
        <w:t xml:space="preserve"> w §</w:t>
      </w:r>
      <w:r w:rsidR="00D61622">
        <w:t xml:space="preserve"> </w:t>
      </w:r>
      <w:r w:rsidRPr="0081580A">
        <w:t xml:space="preserve">30aa ust. 1 </w:t>
      </w:r>
      <w:r w:rsidR="00D80A35">
        <w:t>pkt 2</w:t>
      </w:r>
      <w:r w:rsidR="008C6C8A">
        <w:t xml:space="preserve"> i </w:t>
      </w:r>
      <w:r w:rsidR="00D80A35">
        <w:t xml:space="preserve">3 </w:t>
      </w:r>
      <w:r w:rsidRPr="0081580A">
        <w:t>oraz wyposażonych w urządzenia zdalnego prowadzenia ruchu, ruch kolejowy prowadzi dyżurny ruchu odcinkowy przez obsługę urządzeń zdalnego prowadzenia ruchu. P</w:t>
      </w:r>
      <w:r w:rsidR="003A693C">
        <w:t xml:space="preserve">rzepisu </w:t>
      </w:r>
      <w:r w:rsidRPr="0081580A">
        <w:t xml:space="preserve">ust. 4 nie stosuje </w:t>
      </w:r>
      <w:proofErr w:type="spellStart"/>
      <w:r w:rsidRPr="0081580A">
        <w:t>się.ˮ</w:t>
      </w:r>
      <w:proofErr w:type="spellEnd"/>
      <w:r w:rsidRPr="0081580A">
        <w:t>,</w:t>
      </w:r>
    </w:p>
    <w:p w14:paraId="75A4D7A7" w14:textId="77427BA7" w:rsidR="00003CE2" w:rsidRDefault="00003CE2" w:rsidP="0081580A">
      <w:pPr>
        <w:pStyle w:val="LITlitera"/>
      </w:pPr>
      <w:r>
        <w:t>b)</w:t>
      </w:r>
      <w:r>
        <w:tab/>
        <w:t xml:space="preserve">w ust. 5 </w:t>
      </w:r>
      <w:r w:rsidR="00560BEE">
        <w:t>w pkt 4 kropkę zastępuje się średnikiem i</w:t>
      </w:r>
      <w:r>
        <w:t xml:space="preserve"> dodaje się pkt 5 w brzmieniu:</w:t>
      </w:r>
    </w:p>
    <w:p w14:paraId="71EE4FF4" w14:textId="0AAAF884" w:rsidR="00003CE2" w:rsidRDefault="00003CE2" w:rsidP="0081580A">
      <w:pPr>
        <w:pStyle w:val="ZLITPKTzmpktliter"/>
      </w:pPr>
      <w:r>
        <w:t>„</w:t>
      </w:r>
      <w:r w:rsidRPr="00003CE2">
        <w:t>5)</w:t>
      </w:r>
      <w:r w:rsidR="0081580A">
        <w:tab/>
      </w:r>
      <w:r w:rsidRPr="00003CE2">
        <w:t xml:space="preserve">na pulpicie </w:t>
      </w:r>
      <w:r w:rsidR="00D14152">
        <w:t>pokładowym</w:t>
      </w:r>
      <w:r w:rsidRPr="00003CE2">
        <w:t xml:space="preserve"> systemu ERTMS/ETCS podano informację o</w:t>
      </w:r>
      <w:r w:rsidR="00546409">
        <w:t> </w:t>
      </w:r>
      <w:r w:rsidRPr="00003CE2">
        <w:t>zezwoleniu na jazdę (MA)</w:t>
      </w:r>
      <w:r w:rsidR="00BC578A">
        <w:t>.</w:t>
      </w:r>
      <w:r>
        <w:t>ˮ,</w:t>
      </w:r>
    </w:p>
    <w:p w14:paraId="35C06F3B" w14:textId="73571F77" w:rsidR="00003CE2" w:rsidRDefault="00003CE2" w:rsidP="0081580A">
      <w:pPr>
        <w:pStyle w:val="LITlitera"/>
      </w:pPr>
      <w:r>
        <w:t>c)</w:t>
      </w:r>
      <w:r w:rsidR="0081580A">
        <w:tab/>
      </w:r>
      <w:r>
        <w:t xml:space="preserve">w ust. 8 w pkt 3 kropkę zastępuje się średnikiem i dodaje </w:t>
      </w:r>
      <w:r w:rsidR="00546409">
        <w:t xml:space="preserve">się </w:t>
      </w:r>
      <w:r>
        <w:t xml:space="preserve">pkt 4 w brzmieniu: </w:t>
      </w:r>
    </w:p>
    <w:p w14:paraId="34458D3F" w14:textId="04583893" w:rsidR="00003CE2" w:rsidRDefault="00003CE2" w:rsidP="0081580A">
      <w:pPr>
        <w:pStyle w:val="ZLITPKTzmpktliter"/>
      </w:pPr>
      <w:r>
        <w:t>„</w:t>
      </w:r>
      <w:r w:rsidRPr="00003CE2">
        <w:t>.4)</w:t>
      </w:r>
      <w:r w:rsidR="0081580A">
        <w:tab/>
      </w:r>
      <w:r w:rsidRPr="00003CE2">
        <w:t xml:space="preserve">na pulpicie </w:t>
      </w:r>
      <w:r w:rsidR="00D14152">
        <w:t>pokładowym</w:t>
      </w:r>
      <w:r w:rsidRPr="00003CE2">
        <w:t xml:space="preserve"> systemu ERTMS/ETCS podano informację o zezwoleniu na jazdę (MA) a semafor wjazdowy wskazuje sygnał SE „Wolna droga zgodnie ze wskazaniami systemu ERTMS/ETCS” </w:t>
      </w:r>
      <w:r w:rsidR="00DF2140">
        <w:t xml:space="preserve">albo </w:t>
      </w:r>
      <w:r w:rsidRPr="00003CE2">
        <w:t xml:space="preserve">brak jest takiego </w:t>
      </w:r>
      <w:proofErr w:type="spellStart"/>
      <w:r w:rsidRPr="00003CE2">
        <w:t>semafora</w:t>
      </w:r>
      <w:r w:rsidR="00B91963">
        <w:t>.</w:t>
      </w:r>
      <w:r>
        <w:t>ˮ</w:t>
      </w:r>
      <w:proofErr w:type="spellEnd"/>
      <w:r>
        <w:t>;</w:t>
      </w:r>
    </w:p>
    <w:p w14:paraId="6E2B3733" w14:textId="1B631B31" w:rsidR="00003CE2" w:rsidRPr="00003CE2" w:rsidRDefault="0054090C" w:rsidP="00233BE2">
      <w:pPr>
        <w:pStyle w:val="PKTpunkt"/>
      </w:pPr>
      <w:r>
        <w:t>1</w:t>
      </w:r>
      <w:r w:rsidR="00EA28C1">
        <w:t>2</w:t>
      </w:r>
      <w:r w:rsidR="00003CE2">
        <w:t>)</w:t>
      </w:r>
      <w:r w:rsidR="0081580A">
        <w:tab/>
      </w:r>
      <w:r w:rsidR="00003CE2">
        <w:t>w § 43</w:t>
      </w:r>
      <w:r w:rsidR="002666F3">
        <w:t xml:space="preserve"> </w:t>
      </w:r>
      <w:r w:rsidR="00260A93">
        <w:t xml:space="preserve">po ust. 1 </w:t>
      </w:r>
      <w:r w:rsidR="00003CE2">
        <w:t>dodaje się ust. 1a w brzmieniu</w:t>
      </w:r>
      <w:r w:rsidR="00AC0628">
        <w:t>:</w:t>
      </w:r>
    </w:p>
    <w:p w14:paraId="60BEBC62" w14:textId="4AAEF9BE" w:rsidR="00003CE2" w:rsidRDefault="00003CE2" w:rsidP="00397D36">
      <w:pPr>
        <w:pStyle w:val="ZUSTzmustartykuempunktem"/>
      </w:pPr>
      <w:r>
        <w:t>„</w:t>
      </w:r>
      <w:r w:rsidRPr="00003CE2">
        <w:t xml:space="preserve">1a. </w:t>
      </w:r>
      <w:r w:rsidR="00233BE2">
        <w:t xml:space="preserve">W przypadkach, </w:t>
      </w:r>
      <w:r w:rsidR="00233BE2" w:rsidRPr="00233BE2">
        <w:t>o których</w:t>
      </w:r>
      <w:r w:rsidR="00233BE2">
        <w:t xml:space="preserve"> mowa w § 30aa ust. 1 pkt 2</w:t>
      </w:r>
      <w:r w:rsidR="008C6C8A">
        <w:t xml:space="preserve"> i </w:t>
      </w:r>
      <w:r w:rsidR="00233BE2" w:rsidRPr="00233BE2">
        <w:t>3</w:t>
      </w:r>
      <w:r w:rsidR="00233BE2">
        <w:t>,</w:t>
      </w:r>
      <w:r w:rsidR="00233BE2" w:rsidRPr="00233BE2">
        <w:t xml:space="preserve"> </w:t>
      </w:r>
      <w:r w:rsidR="00233BE2">
        <w:t>n</w:t>
      </w:r>
      <w:r w:rsidRPr="00003CE2">
        <w:t xml:space="preserve">a szlakach wyposażonych w urządzenia zdalnego prowadzenia ruchu, ruch kolejowy po torze zamkniętym prowadzi dyżurny ruchu odcinkowy przez obsługę urządzeń zdalnego prowadzenia ruchu, o ile te urządzenia to umożliwiają, a maszynista prowadzi pociąg </w:t>
      </w:r>
      <w:r w:rsidR="00233BE2" w:rsidRPr="00233BE2">
        <w:t>zgodnie z § 30b ust. 2</w:t>
      </w:r>
      <w:r w:rsidRPr="00003CE2">
        <w:t xml:space="preserve">. </w:t>
      </w:r>
      <w:r w:rsidR="00546409">
        <w:t>Przepisów</w:t>
      </w:r>
      <w:r w:rsidRPr="00003CE2">
        <w:t xml:space="preserve"> ust. 2</w:t>
      </w:r>
      <w:r w:rsidR="009F57D3">
        <w:t>–</w:t>
      </w:r>
      <w:r w:rsidRPr="00003CE2">
        <w:t>8, 11</w:t>
      </w:r>
      <w:r w:rsidR="009F57D3">
        <w:t>–</w:t>
      </w:r>
      <w:r w:rsidRPr="00003CE2">
        <w:t xml:space="preserve">13 i 15 nie stosuje </w:t>
      </w:r>
      <w:proofErr w:type="spellStart"/>
      <w:r w:rsidRPr="00003CE2">
        <w:t>się.</w:t>
      </w:r>
      <w:r>
        <w:t>ˮ</w:t>
      </w:r>
      <w:proofErr w:type="spellEnd"/>
      <w:r>
        <w:t>;</w:t>
      </w:r>
    </w:p>
    <w:p w14:paraId="423A6D8E" w14:textId="284B75E4" w:rsidR="00003CE2" w:rsidRDefault="0054090C" w:rsidP="005155B9">
      <w:pPr>
        <w:pStyle w:val="PKTpunkt"/>
      </w:pPr>
      <w:r>
        <w:t>1</w:t>
      </w:r>
      <w:r w:rsidR="00EA28C1">
        <w:t>3</w:t>
      </w:r>
      <w:r w:rsidR="00003CE2">
        <w:t>)</w:t>
      </w:r>
      <w:r w:rsidR="005155B9">
        <w:tab/>
      </w:r>
      <w:r w:rsidR="00003CE2">
        <w:t xml:space="preserve">w § 44 </w:t>
      </w:r>
      <w:r w:rsidR="000F77C6">
        <w:t xml:space="preserve">po ust. 4 </w:t>
      </w:r>
      <w:r w:rsidR="00003CE2">
        <w:t>dodaje się ust. 4a w brzmieniu</w:t>
      </w:r>
      <w:r w:rsidR="00961A06">
        <w:t>:</w:t>
      </w:r>
    </w:p>
    <w:p w14:paraId="6E6926EE" w14:textId="35AFD99F" w:rsidR="00546409" w:rsidRDefault="00003CE2" w:rsidP="00546409">
      <w:pPr>
        <w:pStyle w:val="ZARTzmartartykuempunktem"/>
      </w:pPr>
      <w:r>
        <w:t>„</w:t>
      </w:r>
      <w:r w:rsidRPr="00003CE2">
        <w:t xml:space="preserve">4a. </w:t>
      </w:r>
      <w:r w:rsidR="00233BE2" w:rsidRPr="00233BE2">
        <w:t>W przypadkach, o których mowa w § 30aa ust. 1 pkt 2</w:t>
      </w:r>
      <w:r w:rsidR="008C6C8A">
        <w:t xml:space="preserve"> i </w:t>
      </w:r>
      <w:r w:rsidR="00233BE2" w:rsidRPr="00233BE2">
        <w:t>3,</w:t>
      </w:r>
      <w:r w:rsidR="00233BE2">
        <w:t xml:space="preserve"> p</w:t>
      </w:r>
      <w:r w:rsidRPr="00003CE2">
        <w:t xml:space="preserve">o torach szlakowych wyposażonych w urządzenia zdalnego prowadzenia ruchu, ruch pociągów może być prowadzony dwukierunkowo przez obsługę urządzeń zdalnego prowadzenia ruchu przez dyżurnego ruchu </w:t>
      </w:r>
      <w:proofErr w:type="spellStart"/>
      <w:r w:rsidRPr="00003CE2">
        <w:t>odcinkowego.</w:t>
      </w:r>
      <w:r>
        <w:t>ˮ</w:t>
      </w:r>
      <w:proofErr w:type="spellEnd"/>
      <w:r w:rsidR="00546409">
        <w:t>;</w:t>
      </w:r>
    </w:p>
    <w:p w14:paraId="2C29449F" w14:textId="204D6DD8" w:rsidR="00D9764A" w:rsidRDefault="0054090C" w:rsidP="00F31DF9">
      <w:pPr>
        <w:pStyle w:val="PKTpunkt"/>
      </w:pPr>
      <w:r>
        <w:lastRenderedPageBreak/>
        <w:t>1</w:t>
      </w:r>
      <w:r w:rsidR="00EA28C1">
        <w:t>4</w:t>
      </w:r>
      <w:r w:rsidR="00546409">
        <w:t>)</w:t>
      </w:r>
      <w:r w:rsidR="00F31DF9">
        <w:tab/>
      </w:r>
      <w:r w:rsidR="00D9764A">
        <w:t xml:space="preserve">w § 45 w ust. 2 w pkt 4 kropkę zastępuje się średnikiem i dodaje </w:t>
      </w:r>
      <w:r w:rsidR="0056655D">
        <w:t xml:space="preserve">się </w:t>
      </w:r>
      <w:r w:rsidR="00D9764A">
        <w:t>pkt 5 w brzmieniu:</w:t>
      </w:r>
    </w:p>
    <w:p w14:paraId="3CCF5E87" w14:textId="557BC804" w:rsidR="00D9764A" w:rsidRDefault="00D9764A" w:rsidP="00D9764A">
      <w:pPr>
        <w:pStyle w:val="ZPKTzmpktartykuempunktem"/>
      </w:pPr>
      <w:r>
        <w:t>„</w:t>
      </w:r>
      <w:r w:rsidRPr="00D9764A">
        <w:t>5)</w:t>
      </w:r>
      <w:r>
        <w:tab/>
      </w:r>
      <w:r w:rsidRPr="00D9764A">
        <w:t xml:space="preserve">wprowadzenia informacji o zamknięciu toru do systemu kierowania i zdalnego prowadzenia ruchu oraz przekazania tej informacji przez system ERTMS/ETCS na pulpit </w:t>
      </w:r>
      <w:r w:rsidR="00D41BE7">
        <w:t>pokładowy</w:t>
      </w:r>
      <w:r w:rsidRPr="00D9764A">
        <w:t xml:space="preserve">, o ile odcinek linii kolejowej i poruszające się po nim pojazdy są wyposażone w takie </w:t>
      </w:r>
      <w:proofErr w:type="spellStart"/>
      <w:r w:rsidRPr="00D9764A">
        <w:t>systemy</w:t>
      </w:r>
      <w:r>
        <w:t>.ˮ</w:t>
      </w:r>
      <w:proofErr w:type="spellEnd"/>
      <w:r>
        <w:t>;</w:t>
      </w:r>
    </w:p>
    <w:p w14:paraId="26925640" w14:textId="08B52569" w:rsidR="006C475F" w:rsidRDefault="0054090C" w:rsidP="003613F6">
      <w:pPr>
        <w:pStyle w:val="PKTpunkt"/>
      </w:pPr>
      <w:r>
        <w:t>1</w:t>
      </w:r>
      <w:r w:rsidR="00EA28C1">
        <w:t>5</w:t>
      </w:r>
      <w:r w:rsidR="00D9764A">
        <w:t>)</w:t>
      </w:r>
      <w:r w:rsidR="00D9764A">
        <w:tab/>
        <w:t xml:space="preserve">w § 46 w ust. 5 po wyrazach „w formie </w:t>
      </w:r>
      <w:r w:rsidR="000C0879">
        <w:t>wy</w:t>
      </w:r>
      <w:r w:rsidR="00D9764A">
        <w:t xml:space="preserve">druku </w:t>
      </w:r>
      <w:proofErr w:type="spellStart"/>
      <w:r w:rsidR="00D9764A">
        <w:t>komputerowegoˮ</w:t>
      </w:r>
      <w:proofErr w:type="spellEnd"/>
      <w:r w:rsidR="00D9764A">
        <w:t xml:space="preserve"> dodaje się wyrazy „</w:t>
      </w:r>
      <w:r w:rsidR="00D41BE7">
        <w:t>albo</w:t>
      </w:r>
      <w:r w:rsidR="00D9764A" w:rsidRPr="00D9764A">
        <w:t xml:space="preserve"> komunikatu przekazywanego elektronicznie i wyświetlanego na pulpicie </w:t>
      </w:r>
      <w:r w:rsidR="00D14152">
        <w:t>pokładowym</w:t>
      </w:r>
      <w:r w:rsidR="00D9764A" w:rsidRPr="00D9764A">
        <w:t xml:space="preserve"> </w:t>
      </w:r>
      <w:r w:rsidR="00D14152" w:rsidRPr="00D14152">
        <w:t xml:space="preserve">systemu ERTMS/ETCS </w:t>
      </w:r>
      <w:r w:rsidR="00D41BE7">
        <w:t>albo</w:t>
      </w:r>
      <w:r w:rsidR="00D9764A" w:rsidRPr="00D9764A">
        <w:t xml:space="preserve"> innym przystosowanym do tego </w:t>
      </w:r>
      <w:proofErr w:type="spellStart"/>
      <w:r w:rsidR="00D9764A" w:rsidRPr="00D9764A">
        <w:t>nośniku</w:t>
      </w:r>
      <w:r w:rsidR="00D9764A">
        <w:t>ˮ</w:t>
      </w:r>
      <w:proofErr w:type="spellEnd"/>
      <w:r w:rsidR="00D9764A">
        <w:t>;</w:t>
      </w:r>
    </w:p>
    <w:p w14:paraId="7AC94357" w14:textId="43A3543E" w:rsidR="00D9764A" w:rsidRDefault="0054090C" w:rsidP="0046482D">
      <w:pPr>
        <w:pStyle w:val="PKTpunkt"/>
      </w:pPr>
      <w:r>
        <w:t>16</w:t>
      </w:r>
      <w:r w:rsidR="00D9764A">
        <w:t>)</w:t>
      </w:r>
      <w:r w:rsidR="003613F6">
        <w:tab/>
      </w:r>
      <w:r w:rsidR="00842F81">
        <w:t>w § 60</w:t>
      </w:r>
      <w:r w:rsidR="00C10868">
        <w:t xml:space="preserve"> </w:t>
      </w:r>
      <w:r w:rsidR="00842F81">
        <w:t>ust. 2 otrzymuje brzmienie:</w:t>
      </w:r>
    </w:p>
    <w:p w14:paraId="7938DEEB" w14:textId="363C87C6" w:rsidR="00842F81" w:rsidRPr="00842F81" w:rsidRDefault="00842F81" w:rsidP="00C21545">
      <w:pPr>
        <w:pStyle w:val="ZUSTzmustartykuempunktem"/>
      </w:pPr>
      <w:r>
        <w:t>„</w:t>
      </w:r>
      <w:r w:rsidRPr="00842F81">
        <w:t xml:space="preserve">2. Sygnał wątpliwy na semaforze albo </w:t>
      </w:r>
      <w:r w:rsidR="00FD5E4F">
        <w:t>semafor nieoświetlony</w:t>
      </w:r>
      <w:r w:rsidRPr="00842F81">
        <w:t xml:space="preserve"> oznacza sygnał </w:t>
      </w:r>
      <w:r w:rsidR="0037343D" w:rsidRPr="0037343D">
        <w:t>„</w:t>
      </w:r>
      <w:proofErr w:type="spellStart"/>
      <w:r w:rsidRPr="00842F81">
        <w:t>Stój</w:t>
      </w:r>
      <w:r w:rsidR="0037343D" w:rsidRPr="0037343D">
        <w:t>ˮ</w:t>
      </w:r>
      <w:proofErr w:type="spellEnd"/>
      <w:r w:rsidRPr="00842F81">
        <w:t xml:space="preserve"> z tym, że:</w:t>
      </w:r>
    </w:p>
    <w:p w14:paraId="15CCC958" w14:textId="0AF474FD" w:rsidR="00842F81" w:rsidRPr="00842F81" w:rsidRDefault="00842F81" w:rsidP="00C21545">
      <w:pPr>
        <w:pStyle w:val="ZPKTzmpktartykuempunktem"/>
      </w:pPr>
      <w:r w:rsidRPr="00842F81">
        <w:t>1)</w:t>
      </w:r>
      <w:r w:rsidR="003613F6">
        <w:tab/>
      </w:r>
      <w:r w:rsidRPr="00842F81">
        <w:t xml:space="preserve">jeżeli w porze nocnej semafor kształtowy wskazuje nocny sygnał Sr 1 </w:t>
      </w:r>
      <w:r w:rsidR="00383C97">
        <w:t>„</w:t>
      </w:r>
      <w:proofErr w:type="spellStart"/>
      <w:r w:rsidRPr="00842F81">
        <w:t>Stój</w:t>
      </w:r>
      <w:r w:rsidR="00383C97">
        <w:t>ˮ</w:t>
      </w:r>
      <w:proofErr w:type="spellEnd"/>
      <w:r w:rsidRPr="00842F81">
        <w:t xml:space="preserve"> albo nocny sygnał jest nieoświetlony lub wątpliwy i jednocześnie semafor ten wskazuje sygnał dzienny zezwalający na jazdę, a przed tym semaforem nie ustawiono tarczy zatrzymania </w:t>
      </w:r>
      <w:r w:rsidR="007E23E4">
        <w:t>–</w:t>
      </w:r>
      <w:r w:rsidRPr="00842F81">
        <w:t xml:space="preserve"> sygnał D 1, ważny jest sygnał dzienny; </w:t>
      </w:r>
    </w:p>
    <w:p w14:paraId="3C31259B" w14:textId="02514637" w:rsidR="00842F81" w:rsidRDefault="00842F81" w:rsidP="00C10868">
      <w:pPr>
        <w:pStyle w:val="ZPKTzmpktartykuempunktem"/>
      </w:pPr>
      <w:r w:rsidRPr="00842F81">
        <w:t>2)</w:t>
      </w:r>
      <w:r w:rsidR="003613F6">
        <w:tab/>
      </w:r>
      <w:r w:rsidR="00FD5E4F">
        <w:t xml:space="preserve">semafor nieoświetlony oznaczony </w:t>
      </w:r>
      <w:r w:rsidR="003C016E">
        <w:t xml:space="preserve">wskaźnikiem W ETCS 10, </w:t>
      </w:r>
      <w:r w:rsidRPr="00842F81">
        <w:t xml:space="preserve">zgodnie z § 68 </w:t>
      </w:r>
      <w:r w:rsidR="00E57574">
        <w:t>pkt</w:t>
      </w:r>
      <w:r w:rsidRPr="00842F81">
        <w:t xml:space="preserve"> 19, oznacza sygnał SE „Wolna droga zgodnie ze wskazaniami systemu ERTMS/ETCS” i jednocześnie nie oznacza sygnału „</w:t>
      </w:r>
      <w:proofErr w:type="spellStart"/>
      <w:r w:rsidRPr="00842F81">
        <w:t>Stój”.</w:t>
      </w:r>
      <w:r>
        <w:t>ˮ</w:t>
      </w:r>
      <w:proofErr w:type="spellEnd"/>
      <w:r>
        <w:t>;</w:t>
      </w:r>
    </w:p>
    <w:p w14:paraId="2BD4EAC3" w14:textId="37874B39" w:rsidR="00842F81" w:rsidRDefault="0054090C" w:rsidP="00B2327F">
      <w:pPr>
        <w:pStyle w:val="PKTpunkt"/>
      </w:pPr>
      <w:r>
        <w:t>17</w:t>
      </w:r>
      <w:r w:rsidR="00842F81">
        <w:t>)</w:t>
      </w:r>
      <w:r w:rsidR="00842F81">
        <w:tab/>
        <w:t xml:space="preserve">w § 66 </w:t>
      </w:r>
      <w:r w:rsidR="009B7BB0">
        <w:t>w ust. 1</w:t>
      </w:r>
      <w:r w:rsidR="00274A3D">
        <w:t xml:space="preserve"> w zdaniu pierwszym </w:t>
      </w:r>
      <w:r w:rsidR="00842F81">
        <w:t xml:space="preserve">po wyrazach „w linii </w:t>
      </w:r>
      <w:proofErr w:type="spellStart"/>
      <w:r w:rsidR="00842F81">
        <w:t>pionowejˮ</w:t>
      </w:r>
      <w:proofErr w:type="spellEnd"/>
      <w:r w:rsidR="00842F81">
        <w:t xml:space="preserve"> dodaje się wyrazy „</w:t>
      </w:r>
      <w:r w:rsidR="00842F81" w:rsidRPr="00842F81">
        <w:t>za wyjątkiem sygnału SE „Wolna droga zgodnie ze wskazaniami systemu ERTMS/</w:t>
      </w:r>
      <w:proofErr w:type="spellStart"/>
      <w:r w:rsidR="00842F81" w:rsidRPr="00842F81">
        <w:t>ETCS”</w:t>
      </w:r>
      <w:r w:rsidR="00842F81">
        <w:t>ˮ</w:t>
      </w:r>
      <w:proofErr w:type="spellEnd"/>
      <w:r w:rsidR="00842F81">
        <w:t>;</w:t>
      </w:r>
    </w:p>
    <w:p w14:paraId="0F94E2EE" w14:textId="5AA2D931" w:rsidR="00842F81" w:rsidRDefault="0054090C" w:rsidP="00B2327F">
      <w:pPr>
        <w:pStyle w:val="PKTpunkt"/>
      </w:pPr>
      <w:r>
        <w:t>18</w:t>
      </w:r>
      <w:r w:rsidR="00842F81">
        <w:t>)</w:t>
      </w:r>
      <w:r w:rsidR="00842F81">
        <w:tab/>
        <w:t xml:space="preserve">w § 68 </w:t>
      </w:r>
      <w:r w:rsidR="00B64D70">
        <w:t xml:space="preserve">w pkt 18 kropkę zastępuje się średnikiem i </w:t>
      </w:r>
      <w:r w:rsidR="00842F81">
        <w:t>dodaje się pkt 19 w brzmieniu:</w:t>
      </w:r>
    </w:p>
    <w:p w14:paraId="2022A890" w14:textId="0B1A63A8" w:rsidR="00842F81" w:rsidRPr="00842F81" w:rsidRDefault="00842F81" w:rsidP="00842F81">
      <w:pPr>
        <w:pStyle w:val="ZPKTzmpktartykuempunktem"/>
      </w:pPr>
      <w:r>
        <w:t>„</w:t>
      </w:r>
      <w:r w:rsidRPr="00842F81">
        <w:t>19)</w:t>
      </w:r>
      <w:r w:rsidR="00B2327F">
        <w:tab/>
      </w:r>
      <w:r w:rsidRPr="00842F81">
        <w:t xml:space="preserve">sygnał SE „Wolna droga zgodnie ze wskazaniami systemu ERTMS/ETCS”: </w:t>
      </w:r>
      <w:r w:rsidR="00367D7D">
        <w:t xml:space="preserve">semafor nieoświetlony </w:t>
      </w:r>
      <w:r w:rsidR="000706F5">
        <w:t>–</w:t>
      </w:r>
      <w:r w:rsidR="003257F1">
        <w:t xml:space="preserve"> </w:t>
      </w:r>
      <w:r w:rsidRPr="00842F81">
        <w:t>wszystkie komory świetlne ciemne</w:t>
      </w:r>
      <w:r w:rsidR="00482BE8" w:rsidRPr="00482BE8">
        <w:t xml:space="preserve"> </w:t>
      </w:r>
      <w:r w:rsidR="00482BE8" w:rsidRPr="005B2AE1">
        <w:t>(rys. 24a)</w:t>
      </w:r>
      <w:r w:rsidRPr="00842F81">
        <w:t xml:space="preserve">, przy czym semafor musi być oznaczony za pomocą wskaźnika W ETCS 10. </w:t>
      </w:r>
    </w:p>
    <w:p w14:paraId="6CA95209" w14:textId="722F36EE" w:rsidR="00842F81" w:rsidRPr="00842F81" w:rsidRDefault="00842F81" w:rsidP="00842F81">
      <w:pPr>
        <w:pStyle w:val="ZPKTzmpktartykuempunktem"/>
      </w:pPr>
      <w:r w:rsidRPr="00842F81">
        <w:t xml:space="preserve">Sygnał </w:t>
      </w:r>
      <w:r w:rsidR="00B94841">
        <w:t xml:space="preserve">SE </w:t>
      </w:r>
      <w:r w:rsidRPr="00842F81">
        <w:t>„Wolna droga zgodnie ze wskazaniami systemu ERTMS/ETCS”</w:t>
      </w:r>
      <w:r w:rsidR="0043562A">
        <w:t>:</w:t>
      </w:r>
    </w:p>
    <w:p w14:paraId="36BD062D" w14:textId="268C35F9" w:rsidR="00842F81" w:rsidRPr="00842F81" w:rsidRDefault="00842F81" w:rsidP="00B2327F">
      <w:pPr>
        <w:pStyle w:val="ZLITzmlitartykuempunktem"/>
      </w:pPr>
      <w:r w:rsidRPr="00842F81">
        <w:t>a)</w:t>
      </w:r>
      <w:r w:rsidR="00B2327F">
        <w:tab/>
      </w:r>
      <w:r w:rsidR="000F3F05">
        <w:t>jest</w:t>
      </w:r>
      <w:r w:rsidRPr="00842F81">
        <w:t xml:space="preserve"> stosowany tylko na odcinkach linii kolejowych, o których mowa w §30aa</w:t>
      </w:r>
      <w:r w:rsidR="003950D5">
        <w:t xml:space="preserve"> ust. 1 pkt 1</w:t>
      </w:r>
      <w:r w:rsidR="008C6C8A">
        <w:t xml:space="preserve"> i </w:t>
      </w:r>
      <w:r w:rsidR="003950D5">
        <w:t>2</w:t>
      </w:r>
      <w:r w:rsidR="00D5717E">
        <w:t>,</w:t>
      </w:r>
    </w:p>
    <w:p w14:paraId="0CA2BD33" w14:textId="7F47805A" w:rsidR="00842F81" w:rsidRPr="00842F81" w:rsidRDefault="00842F81" w:rsidP="00B2327F">
      <w:pPr>
        <w:pStyle w:val="ZLITzmlitartykuempunktem"/>
      </w:pPr>
      <w:r w:rsidRPr="00842F81">
        <w:t>b)</w:t>
      </w:r>
      <w:r w:rsidR="00B2327F">
        <w:tab/>
      </w:r>
      <w:r w:rsidRPr="00842F81">
        <w:t>przy czynnych urządzeniach ERTMS/ETCS zezwala na jazdę zgodnie ze wskazaniami pulpitu pokładow</w:t>
      </w:r>
      <w:r w:rsidR="009A6733">
        <w:t>ego</w:t>
      </w:r>
      <w:r w:rsidRPr="00842F81">
        <w:t xml:space="preserve"> systemu ERTMS/ETCS i jednocześnie nie oznacza sygnału „Stój”</w:t>
      </w:r>
      <w:r w:rsidR="005E7933">
        <w:t>,</w:t>
      </w:r>
      <w:r w:rsidRPr="00842F81">
        <w:t xml:space="preserve"> </w:t>
      </w:r>
    </w:p>
    <w:p w14:paraId="5A4100A1" w14:textId="7A8E1D57" w:rsidR="00842F81" w:rsidRPr="00842F81" w:rsidRDefault="00842F81" w:rsidP="00B2327F">
      <w:pPr>
        <w:pStyle w:val="ZLITzmlitartykuempunktem"/>
      </w:pPr>
      <w:r w:rsidRPr="00842F81">
        <w:t>c)</w:t>
      </w:r>
      <w:r w:rsidR="00B2327F">
        <w:tab/>
      </w:r>
      <w:r w:rsidRPr="00842F81">
        <w:t>jest równoważny z sygnałem „Stój” w przypadku:</w:t>
      </w:r>
    </w:p>
    <w:p w14:paraId="0AC1F5AF" w14:textId="41B11D3C" w:rsidR="00842F81" w:rsidRPr="00842F81" w:rsidRDefault="00F23ABA" w:rsidP="00B2327F">
      <w:pPr>
        <w:pStyle w:val="ZTIRwLITzmtirwlitartykuempunktem"/>
      </w:pPr>
      <w:r>
        <w:t>–</w:t>
      </w:r>
      <w:r w:rsidR="00842F81" w:rsidRPr="00842F81">
        <w:t xml:space="preserve"> braku czynnych urządzeń pokładowych ERTMS/ETCS, </w:t>
      </w:r>
    </w:p>
    <w:p w14:paraId="4DFB0235" w14:textId="27DEF141" w:rsidR="00842F81" w:rsidRPr="00842F81" w:rsidRDefault="00F23ABA" w:rsidP="00B2327F">
      <w:pPr>
        <w:pStyle w:val="ZTIRwLITzmtirwlitartykuempunktem"/>
      </w:pPr>
      <w:r>
        <w:lastRenderedPageBreak/>
        <w:t>–</w:t>
      </w:r>
      <w:r w:rsidR="00842F81" w:rsidRPr="00842F81">
        <w:t xml:space="preserve"> braku </w:t>
      </w:r>
      <w:r w:rsidR="007A321D">
        <w:t>z</w:t>
      </w:r>
      <w:r w:rsidR="00842F81" w:rsidRPr="00842F81">
        <w:t>ezwolenia na jazdę w systemie ERTMS/ETCS,</w:t>
      </w:r>
    </w:p>
    <w:p w14:paraId="29F46BCB" w14:textId="7D59F9FD" w:rsidR="00842F81" w:rsidRDefault="00F23ABA" w:rsidP="00B2327F">
      <w:pPr>
        <w:pStyle w:val="ZTIRwLITzmtirwlitartykuempunktem"/>
      </w:pPr>
      <w:r>
        <w:t>–</w:t>
      </w:r>
      <w:r w:rsidR="00842F81" w:rsidRPr="00842F81">
        <w:t xml:space="preserve"> braku wskaźnika W ETCS 10 na </w:t>
      </w:r>
      <w:proofErr w:type="spellStart"/>
      <w:r w:rsidR="00842F81" w:rsidRPr="00842F81">
        <w:t>semaforze.</w:t>
      </w:r>
      <w:r w:rsidR="00842F81">
        <w:t>ˮ</w:t>
      </w:r>
      <w:proofErr w:type="spellEnd"/>
      <w:r w:rsidR="00842F81">
        <w:t>;</w:t>
      </w:r>
    </w:p>
    <w:p w14:paraId="1D8D2E14" w14:textId="62B81118" w:rsidR="00842F81" w:rsidRDefault="0054090C" w:rsidP="00B2327F">
      <w:pPr>
        <w:pStyle w:val="PKTpunkt"/>
      </w:pPr>
      <w:r>
        <w:t>19</w:t>
      </w:r>
      <w:r w:rsidR="00842F81">
        <w:t>)</w:t>
      </w:r>
      <w:r w:rsidR="00842F81">
        <w:tab/>
        <w:t>w § 113 w ust. 5</w:t>
      </w:r>
      <w:r w:rsidR="00A7738D">
        <w:t>:</w:t>
      </w:r>
    </w:p>
    <w:p w14:paraId="0CDA5701" w14:textId="3824CA91" w:rsidR="00842F81" w:rsidRDefault="00842F81" w:rsidP="00B2327F">
      <w:pPr>
        <w:pStyle w:val="LITlitera"/>
      </w:pPr>
      <w:r>
        <w:t>a)</w:t>
      </w:r>
      <w:r>
        <w:tab/>
        <w:t>w pkt 1 skreśla się wyrazy „</w:t>
      </w:r>
      <w:r w:rsidRPr="00842F81">
        <w:t>i nakazuje zmniejszyć prędkość do 60 km/</w:t>
      </w:r>
      <w:proofErr w:type="spellStart"/>
      <w:r w:rsidRPr="00842F81">
        <w:t>h</w:t>
      </w:r>
      <w:r>
        <w:t>ˮ</w:t>
      </w:r>
      <w:proofErr w:type="spellEnd"/>
      <w:r w:rsidR="00D05E27">
        <w:t>,</w:t>
      </w:r>
    </w:p>
    <w:p w14:paraId="0CBF7CDB" w14:textId="6B46184E" w:rsidR="00842F81" w:rsidRDefault="00842F81" w:rsidP="00B2327F">
      <w:pPr>
        <w:pStyle w:val="LITlitera"/>
      </w:pPr>
      <w:r>
        <w:t>b)</w:t>
      </w:r>
      <w:r>
        <w:tab/>
      </w:r>
      <w:r w:rsidR="0050208F">
        <w:t xml:space="preserve">w pkt 6 kropkę zastępuje się średnikiem i </w:t>
      </w:r>
      <w:r>
        <w:t>dodaje się pkt 7 i 8 w brzmieniu</w:t>
      </w:r>
      <w:r w:rsidR="00B2327F">
        <w:t>:</w:t>
      </w:r>
    </w:p>
    <w:p w14:paraId="5089C30C" w14:textId="11100A44" w:rsidR="00842F81" w:rsidRPr="00842F81" w:rsidRDefault="00842F81" w:rsidP="00B2327F">
      <w:pPr>
        <w:pStyle w:val="ZLITPKTzmpktliter"/>
      </w:pPr>
      <w:r>
        <w:t>„</w:t>
      </w:r>
      <w:r w:rsidRPr="00842F81">
        <w:t>7)</w:t>
      </w:r>
      <w:r w:rsidR="00B2327F">
        <w:tab/>
      </w:r>
      <w:r w:rsidRPr="00842F81">
        <w:t xml:space="preserve">wskaźnik We 10a „Wskaźnik wjazdu do strefy zasilania 25 </w:t>
      </w:r>
      <w:proofErr w:type="spellStart"/>
      <w:r w:rsidRPr="00842F81">
        <w:t>kV</w:t>
      </w:r>
      <w:proofErr w:type="spellEnd"/>
      <w:r w:rsidRPr="00842F81">
        <w:t xml:space="preserve"> AC” </w:t>
      </w:r>
      <w:r w:rsidR="003950D5">
        <w:t>oznacza</w:t>
      </w:r>
      <w:r w:rsidRPr="00842F81">
        <w:t>, że za strefą separacji systemów zasilania</w:t>
      </w:r>
      <w:r w:rsidR="00723DDF">
        <w:t xml:space="preserve"> </w:t>
      </w:r>
      <w:r w:rsidRPr="00842F81">
        <w:t xml:space="preserve">znajduje się system zasilania sieci trakcyjnej 25 </w:t>
      </w:r>
      <w:proofErr w:type="spellStart"/>
      <w:r w:rsidRPr="00842F81">
        <w:t>kV</w:t>
      </w:r>
      <w:proofErr w:type="spellEnd"/>
      <w:r w:rsidRPr="00842F81">
        <w:t xml:space="preserve"> AC</w:t>
      </w:r>
      <w:r w:rsidR="003950D5">
        <w:t xml:space="preserve">: </w:t>
      </w:r>
      <w:r w:rsidR="003950D5" w:rsidRPr="003950D5">
        <w:t>biała kwadratowa tablica z czarnym obramowaniem i czarnym oznaczeniem literowo-cyfrowym</w:t>
      </w:r>
      <w:r w:rsidR="003950D5">
        <w:t xml:space="preserve"> „</w:t>
      </w:r>
      <w:r w:rsidR="003950D5" w:rsidRPr="003950D5">
        <w:t xml:space="preserve">25 </w:t>
      </w:r>
      <w:proofErr w:type="spellStart"/>
      <w:r w:rsidR="003950D5" w:rsidRPr="003950D5">
        <w:t>kV</w:t>
      </w:r>
      <w:proofErr w:type="spellEnd"/>
      <w:r w:rsidR="003950D5">
        <w:t>”</w:t>
      </w:r>
      <w:r w:rsidR="00D00081">
        <w:t xml:space="preserve"> (r</w:t>
      </w:r>
      <w:r w:rsidR="00D00081" w:rsidRPr="00D00081">
        <w:t>ys. 204</w:t>
      </w:r>
      <w:r w:rsidR="00D00081" w:rsidRPr="008571C9">
        <w:rPr>
          <w:vertAlign w:val="superscript"/>
        </w:rPr>
        <w:t>1</w:t>
      </w:r>
      <w:r w:rsidR="00D00081">
        <w:t>)</w:t>
      </w:r>
      <w:r w:rsidR="00B2327F">
        <w:t>;</w:t>
      </w:r>
      <w:r w:rsidR="00FC2B00">
        <w:t xml:space="preserve"> lokalizację tego wskaźnika określa zarządca infrastruktury</w:t>
      </w:r>
      <w:r w:rsidR="00D56FFE">
        <w:t xml:space="preserve"> w przepisach wewnętrznych</w:t>
      </w:r>
      <w:r w:rsidR="00723DDF">
        <w:t>;</w:t>
      </w:r>
    </w:p>
    <w:p w14:paraId="51B84C7C" w14:textId="2F669AC9" w:rsidR="00842F81" w:rsidRDefault="00842F81" w:rsidP="004D62CC">
      <w:pPr>
        <w:pStyle w:val="ZLITPKTzmpktliter"/>
      </w:pPr>
      <w:r w:rsidRPr="00842F81">
        <w:t>8)</w:t>
      </w:r>
      <w:r w:rsidR="00B2327F">
        <w:tab/>
      </w:r>
      <w:r w:rsidRPr="00842F81">
        <w:t xml:space="preserve">wskaźnik We 10b „Wskaźnik wyjazdu ze strefy zasilania 25 </w:t>
      </w:r>
      <w:proofErr w:type="spellStart"/>
      <w:r w:rsidRPr="00842F81">
        <w:t>kV</w:t>
      </w:r>
      <w:proofErr w:type="spellEnd"/>
      <w:r w:rsidRPr="00842F81">
        <w:t xml:space="preserve"> AC” </w:t>
      </w:r>
      <w:r w:rsidR="00604ED4">
        <w:t>oznacza</w:t>
      </w:r>
      <w:r w:rsidRPr="00842F81">
        <w:t xml:space="preserve">, że za strefą separacji systemów zasilania znajduje się system zasilania sieci trakcyjnej 3 </w:t>
      </w:r>
      <w:proofErr w:type="spellStart"/>
      <w:r w:rsidRPr="00842F81">
        <w:t>kV</w:t>
      </w:r>
      <w:proofErr w:type="spellEnd"/>
      <w:r w:rsidR="00FE3BEE">
        <w:t xml:space="preserve"> DC</w:t>
      </w:r>
      <w:r w:rsidR="00D56FFE" w:rsidRPr="00D56FFE">
        <w:t xml:space="preserve">: biała kwadratowa tablica z czarnym obramowaniem i czarnym oznaczeniem literowo-cyfrowym „25 </w:t>
      </w:r>
      <w:proofErr w:type="spellStart"/>
      <w:r w:rsidR="00D56FFE" w:rsidRPr="00D56FFE">
        <w:t>kV</w:t>
      </w:r>
      <w:proofErr w:type="spellEnd"/>
      <w:r w:rsidR="00D56FFE" w:rsidRPr="00D56FFE">
        <w:t>” przekreślona czerwonym pasem wznoszącym się ukośnie od lewego dolnego wierzchołka do prawego górnego wierzchołka</w:t>
      </w:r>
      <w:r w:rsidR="00957E30">
        <w:t xml:space="preserve"> </w:t>
      </w:r>
      <w:r w:rsidR="00957E30" w:rsidRPr="00957E30">
        <w:t>(rys. 204</w:t>
      </w:r>
      <w:r w:rsidR="00865003">
        <w:rPr>
          <w:vertAlign w:val="superscript"/>
        </w:rPr>
        <w:t>2</w:t>
      </w:r>
      <w:r w:rsidR="00957E30" w:rsidRPr="00957E30">
        <w:t>)</w:t>
      </w:r>
      <w:r w:rsidR="00891E9F">
        <w:t>;</w:t>
      </w:r>
      <w:r w:rsidR="00723DDF">
        <w:t xml:space="preserve"> </w:t>
      </w:r>
      <w:r w:rsidR="00723DDF" w:rsidRPr="00723DDF">
        <w:t>lokalizację tego wskaźnika określa zarządca infrastruktury</w:t>
      </w:r>
      <w:r w:rsidR="00D56FFE">
        <w:t xml:space="preserve"> w przepisach </w:t>
      </w:r>
      <w:proofErr w:type="spellStart"/>
      <w:r w:rsidR="00D56FFE">
        <w:t>wewnętrznych</w:t>
      </w:r>
      <w:r w:rsidR="00CD2112">
        <w:t>.</w:t>
      </w:r>
      <w:r w:rsidR="003F72F5" w:rsidRPr="003F72F5">
        <w:t>ˮ</w:t>
      </w:r>
      <w:proofErr w:type="spellEnd"/>
      <w:r w:rsidR="00723DDF" w:rsidRPr="00723DDF">
        <w:t>;</w:t>
      </w:r>
    </w:p>
    <w:p w14:paraId="0EB35C12" w14:textId="63854265" w:rsidR="00F529AE" w:rsidRDefault="0054090C" w:rsidP="00B2327F">
      <w:pPr>
        <w:pStyle w:val="PKTpunkt"/>
      </w:pPr>
      <w:r>
        <w:t>20</w:t>
      </w:r>
      <w:r w:rsidR="00891E9F">
        <w:t>)</w:t>
      </w:r>
      <w:r w:rsidR="00B2327F">
        <w:tab/>
      </w:r>
      <w:r w:rsidR="00891E9F">
        <w:t xml:space="preserve">w § 113b </w:t>
      </w:r>
      <w:r w:rsidR="00235DC7">
        <w:t>w pkt 10</w:t>
      </w:r>
      <w:r w:rsidR="00F529AE">
        <w:t>:</w:t>
      </w:r>
    </w:p>
    <w:p w14:paraId="53886944" w14:textId="389D298A" w:rsidR="006832B9" w:rsidRDefault="00F529AE" w:rsidP="00AC5E67">
      <w:pPr>
        <w:pStyle w:val="LITlitera"/>
      </w:pPr>
      <w:r>
        <w:t>a)</w:t>
      </w:r>
      <w:r>
        <w:tab/>
        <w:t xml:space="preserve">w lit. a </w:t>
      </w:r>
      <w:r w:rsidR="006832B9">
        <w:t xml:space="preserve">skreśla się wyrazy </w:t>
      </w:r>
      <w:r w:rsidR="006832B9" w:rsidRPr="006832B9">
        <w:t>„</w:t>
      </w:r>
      <w:r w:rsidR="00747FB9" w:rsidRPr="00747FB9">
        <w:t xml:space="preserve">gdy kolejny odstęp blokowy lub odcinek torowy nie jest osłonięty semaforem emitującym sygnały, o których mowa w dziale </w:t>
      </w:r>
      <w:proofErr w:type="spellStart"/>
      <w:r w:rsidR="00747FB9" w:rsidRPr="00747FB9">
        <w:t>III,</w:t>
      </w:r>
      <w:r w:rsidR="006832B9" w:rsidRPr="006832B9">
        <w:t>ˮ</w:t>
      </w:r>
      <w:proofErr w:type="spellEnd"/>
      <w:r w:rsidR="003F749B">
        <w:t>,</w:t>
      </w:r>
    </w:p>
    <w:p w14:paraId="7934C3F6" w14:textId="134B811D" w:rsidR="00891E9F" w:rsidRDefault="006832B9" w:rsidP="00AC5E67">
      <w:pPr>
        <w:pStyle w:val="LITlitera"/>
      </w:pPr>
      <w:r>
        <w:t>b)</w:t>
      </w:r>
      <w:r w:rsidR="00F529AE">
        <w:tab/>
      </w:r>
      <w:r w:rsidR="00235DC7">
        <w:t xml:space="preserve">w lit. c kropkę zastępuje się średnikiem i </w:t>
      </w:r>
      <w:r w:rsidR="00891E9F">
        <w:t>dodaje się pkt 11 w brzmieniu:</w:t>
      </w:r>
    </w:p>
    <w:p w14:paraId="754F6E3B" w14:textId="71768EC9" w:rsidR="00891E9F" w:rsidRDefault="00891E9F" w:rsidP="00AC5E67">
      <w:pPr>
        <w:pStyle w:val="ZLITPKTzmpktliter"/>
      </w:pPr>
      <w:r>
        <w:t>„</w:t>
      </w:r>
      <w:r w:rsidRPr="00891E9F">
        <w:t xml:space="preserve">11) wskaźnik W ETCS 11 „Wskaźnik </w:t>
      </w:r>
      <w:r w:rsidR="00752DBC">
        <w:t>położenia</w:t>
      </w:r>
      <w:r w:rsidR="00752DBC" w:rsidRPr="00891E9F">
        <w:t xml:space="preserve"> </w:t>
      </w:r>
      <w:r w:rsidRPr="00891E9F">
        <w:t>ETCS” oznacza miejsce końca odstępu blokowego lub odcinka torowego, jako potencjalnego końca zezwolenia na jazdę w systemie ERTMS/ETCS</w:t>
      </w:r>
      <w:r w:rsidR="00A1422E">
        <w:t xml:space="preserve"> </w:t>
      </w:r>
      <w:r w:rsidR="00A1422E" w:rsidRPr="00A1422E">
        <w:t>oraz miejsce ewentualnego zatrzymania pociągu prowadzonego w trybie Odpowiedzialności Personelu (SR)</w:t>
      </w:r>
      <w:r w:rsidRPr="00891E9F">
        <w:t>: biały kwadrat z czarną strzałą z czarnym obramowaniem, zwróconą ostrzem w stronę toru, do którego się odnosi (rys. 204</w:t>
      </w:r>
      <w:r w:rsidR="009523A8">
        <w:t>k</w:t>
      </w:r>
      <w:r w:rsidRPr="00891E9F">
        <w:t xml:space="preserve">): </w:t>
      </w:r>
    </w:p>
    <w:p w14:paraId="0E3EA704" w14:textId="77777777" w:rsidR="009D07AE" w:rsidRDefault="009D07AE" w:rsidP="00AC5E67">
      <w:pPr>
        <w:pStyle w:val="ZLITLITwPKTzmlitwpktliter"/>
      </w:pPr>
      <w:r>
        <w:t>a)</w:t>
      </w:r>
      <w:r>
        <w:tab/>
      </w:r>
      <w:r w:rsidRPr="009D07AE">
        <w:t xml:space="preserve">wskaźnik W ETCS 11 stosuje się w celu poinformowania maszynisty prowadzącego pociąg przy czynnych urządzeniach ERTMS/ETCS o: </w:t>
      </w:r>
    </w:p>
    <w:p w14:paraId="2B1437A1" w14:textId="1C4BD3C8" w:rsidR="009D07AE" w:rsidRPr="009D07AE" w:rsidRDefault="00F529AE" w:rsidP="00AC5E67">
      <w:pPr>
        <w:pStyle w:val="ZLITTIRwPKTzmtirwpktliter"/>
      </w:pPr>
      <w:r>
        <w:t>–</w:t>
      </w:r>
      <w:r>
        <w:tab/>
      </w:r>
      <w:r w:rsidR="009D07AE" w:rsidRPr="009D07AE">
        <w:t>zatrzymaniu pociągu przed wskaźnikiem lokalizacji W ETCS 11 wskazując koniec aktualnego zezwolenia na jazdę, lub</w:t>
      </w:r>
    </w:p>
    <w:p w14:paraId="6C4ABD69" w14:textId="25E0C179" w:rsidR="009D07AE" w:rsidRDefault="00F529AE" w:rsidP="00AC5E67">
      <w:pPr>
        <w:pStyle w:val="ZLITTIRwPKTzmtirwpktliter"/>
      </w:pPr>
      <w:r>
        <w:t>–</w:t>
      </w:r>
      <w:r w:rsidR="00617E38">
        <w:tab/>
      </w:r>
      <w:r w:rsidR="009D07AE" w:rsidRPr="009D07AE">
        <w:t>końcu odstępu blokowego podczas jazdy bez aktualnego zezwolenia na jazdę</w:t>
      </w:r>
      <w:r w:rsidR="00CC0089">
        <w:t>;</w:t>
      </w:r>
      <w:r w:rsidR="009D07AE" w:rsidRPr="009D07AE">
        <w:t xml:space="preserve"> </w:t>
      </w:r>
      <w:r w:rsidR="00CC0089">
        <w:t>d</w:t>
      </w:r>
      <w:r w:rsidR="009D07AE" w:rsidRPr="009D07AE">
        <w:t xml:space="preserve">opuszcza się minięcie przez czoło pociągu wskaźnika W </w:t>
      </w:r>
      <w:r w:rsidR="009D07AE" w:rsidRPr="009D07AE">
        <w:lastRenderedPageBreak/>
        <w:t xml:space="preserve">ETCS 11 bez aktualnego zezwolenia na jazdę w trybie jazdy na widoczność </w:t>
      </w:r>
      <w:r w:rsidR="00CC0089">
        <w:t>–</w:t>
      </w:r>
      <w:r w:rsidR="009D07AE" w:rsidRPr="009D07AE">
        <w:t xml:space="preserve"> wówczas pociąg, po zatrzymaniu się i ruszeniu, mija ten wskaźnik i wjeżdża na odstęp, który należy uważać za zajęty przez poprzedni pociąg</w:t>
      </w:r>
      <w:r w:rsidR="00CC0089">
        <w:t>,</w:t>
      </w:r>
    </w:p>
    <w:p w14:paraId="0344B67D" w14:textId="6CC41A37" w:rsidR="00891E9F" w:rsidRPr="00891E9F" w:rsidRDefault="009D07AE" w:rsidP="00AC5E67">
      <w:pPr>
        <w:pStyle w:val="ZLITLITwPKTzmlitwpktliter"/>
      </w:pPr>
      <w:r>
        <w:t>b</w:t>
      </w:r>
      <w:r w:rsidR="00891E9F" w:rsidRPr="00891E9F">
        <w:t>)</w:t>
      </w:r>
      <w:r w:rsidR="00D245A7">
        <w:tab/>
      </w:r>
      <w:r w:rsidR="00891E9F" w:rsidRPr="00891E9F">
        <w:t xml:space="preserve">wskaźnik W ETCS 11 stosuje się na końcu odstępu blokowego lub odcinka torowego stanowiącego potencjalny koniec zezwolenia na jazdę,  </w:t>
      </w:r>
    </w:p>
    <w:p w14:paraId="7E197FFF" w14:textId="3A2EAE16" w:rsidR="00891E9F" w:rsidRPr="00891E9F" w:rsidRDefault="009D07AE" w:rsidP="00AC5E67">
      <w:pPr>
        <w:pStyle w:val="ZLITLITwPKTzmlitwpktliter"/>
      </w:pPr>
      <w:r>
        <w:t>c</w:t>
      </w:r>
      <w:r w:rsidR="00891E9F" w:rsidRPr="00891E9F">
        <w:t>)</w:t>
      </w:r>
      <w:r w:rsidR="00D245A7">
        <w:tab/>
      </w:r>
      <w:r w:rsidR="00891E9F" w:rsidRPr="00891E9F">
        <w:t xml:space="preserve">jeżeli na szlaku nie można ustawić wskaźnika W ETCS 11 z zachowaniem skrajni, stosuje się tablicę o zmniejszonych wymiarach i umieszcza ją nisko, </w:t>
      </w:r>
    </w:p>
    <w:p w14:paraId="780C6901" w14:textId="2BD95072" w:rsidR="00891E9F" w:rsidRDefault="009D07AE" w:rsidP="00AC5E67">
      <w:pPr>
        <w:pStyle w:val="ZLITLITwPKTzmlitwpktliter"/>
      </w:pPr>
      <w:r>
        <w:t>d</w:t>
      </w:r>
      <w:r w:rsidR="00891E9F" w:rsidRPr="00891E9F">
        <w:t>)</w:t>
      </w:r>
      <w:r w:rsidR="00D245A7">
        <w:tab/>
      </w:r>
      <w:r w:rsidR="00891E9F" w:rsidRPr="00891E9F">
        <w:t xml:space="preserve">w granicach stacji zaleca się stosować tablicę o zmniejszonych wymiarach i umieszczać ją </w:t>
      </w:r>
      <w:proofErr w:type="spellStart"/>
      <w:r w:rsidR="00891E9F" w:rsidRPr="00891E9F">
        <w:t>nisko.</w:t>
      </w:r>
      <w:r w:rsidR="00891E9F">
        <w:t>ˮ</w:t>
      </w:r>
      <w:proofErr w:type="spellEnd"/>
      <w:r w:rsidR="00F23ABA">
        <w:t>;</w:t>
      </w:r>
    </w:p>
    <w:p w14:paraId="1A8BCE66" w14:textId="1EC9120C" w:rsidR="00F23ABA" w:rsidRDefault="0054090C" w:rsidP="00F23ABA">
      <w:pPr>
        <w:pStyle w:val="PKTpunkt"/>
      </w:pPr>
      <w:r>
        <w:t>21</w:t>
      </w:r>
      <w:r w:rsidR="00F23ABA">
        <w:t>)</w:t>
      </w:r>
      <w:r w:rsidR="00F23ABA">
        <w:tab/>
      </w:r>
      <w:r w:rsidR="00F23ABA" w:rsidRPr="00F23ABA">
        <w:t>w załączniku nr 3 do rozporządzenia:</w:t>
      </w:r>
    </w:p>
    <w:p w14:paraId="389967A4" w14:textId="4816690E" w:rsidR="00ED4BFB" w:rsidRDefault="00F23ABA" w:rsidP="00BF4693">
      <w:pPr>
        <w:pStyle w:val="LITlitera"/>
      </w:pPr>
      <w:r>
        <w:t>a)</w:t>
      </w:r>
      <w:r w:rsidR="00BF4693">
        <w:tab/>
      </w:r>
      <w:r w:rsidR="00ED4BFB">
        <w:t xml:space="preserve">po wzorze </w:t>
      </w:r>
      <w:r w:rsidR="00624553">
        <w:t xml:space="preserve">Sygnału </w:t>
      </w:r>
      <w:proofErr w:type="spellStart"/>
      <w:r w:rsidR="00624553">
        <w:t>Sz</w:t>
      </w:r>
      <w:proofErr w:type="spellEnd"/>
      <w:r w:rsidR="00624553">
        <w:t xml:space="preserve"> (</w:t>
      </w:r>
      <w:r w:rsidR="00143643">
        <w:t>r</w:t>
      </w:r>
      <w:r w:rsidR="00624553">
        <w:t>ys. 24)</w:t>
      </w:r>
      <w:r w:rsidR="004D1269">
        <w:t xml:space="preserve"> dodaje się wzór </w:t>
      </w:r>
      <w:r w:rsidR="00FE23EE">
        <w:t>S</w:t>
      </w:r>
      <w:r w:rsidR="004D1269" w:rsidRPr="00842F81">
        <w:t>ygnał</w:t>
      </w:r>
      <w:r w:rsidR="004D1269">
        <w:t>u</w:t>
      </w:r>
      <w:r w:rsidR="004D1269" w:rsidRPr="00842F81">
        <w:t xml:space="preserve"> SE </w:t>
      </w:r>
      <w:r w:rsidR="004D1269">
        <w:t>(</w:t>
      </w:r>
      <w:r w:rsidR="00143643">
        <w:t>r</w:t>
      </w:r>
      <w:r w:rsidR="004D1269">
        <w:t>ys. 24a)</w:t>
      </w:r>
      <w:r w:rsidR="00E30447">
        <w:t xml:space="preserve"> określony w załączniku nr 1 do niniejszego rozporządzenia</w:t>
      </w:r>
      <w:r w:rsidR="004D1269">
        <w:t>,</w:t>
      </w:r>
    </w:p>
    <w:p w14:paraId="0B9795C1" w14:textId="532DB930" w:rsidR="004F2E3B" w:rsidRDefault="00ED4BFB" w:rsidP="004F2E3B">
      <w:pPr>
        <w:pStyle w:val="ZLITzmlitartykuempunktem"/>
        <w:rPr>
          <w:rStyle w:val="Ppogrubienie"/>
        </w:rPr>
      </w:pPr>
      <w:r>
        <w:t>b)</w:t>
      </w:r>
      <w:r>
        <w:tab/>
      </w:r>
      <w:r w:rsidR="004F2E3B" w:rsidRPr="0068777C">
        <w:t>po wzorach wskaźników We 9a i We 9b (</w:t>
      </w:r>
      <w:r w:rsidR="004F2E3B">
        <w:t>r</w:t>
      </w:r>
      <w:r w:rsidR="004F2E3B" w:rsidRPr="0068777C">
        <w:t xml:space="preserve">ys. 204) dodaje się wzory wskaźników We 10a </w:t>
      </w:r>
      <w:r w:rsidR="005B684B" w:rsidRPr="0068777C">
        <w:t>(</w:t>
      </w:r>
      <w:r w:rsidR="005B684B">
        <w:t>r</w:t>
      </w:r>
      <w:r w:rsidR="005B684B" w:rsidRPr="0068777C">
        <w:t>ys. 20</w:t>
      </w:r>
      <w:r w:rsidR="005B684B">
        <w:t>4</w:t>
      </w:r>
      <w:r w:rsidR="005B684B" w:rsidRPr="0089679A">
        <w:rPr>
          <w:rStyle w:val="IGindeksgrny"/>
        </w:rPr>
        <w:t>1</w:t>
      </w:r>
      <w:r w:rsidR="005B684B" w:rsidRPr="0068777C">
        <w:t>)</w:t>
      </w:r>
      <w:r w:rsidR="005B684B">
        <w:t xml:space="preserve"> </w:t>
      </w:r>
      <w:r w:rsidR="004F2E3B" w:rsidRPr="0068777C">
        <w:t>i We 10b (</w:t>
      </w:r>
      <w:r w:rsidR="004F2E3B">
        <w:t>r</w:t>
      </w:r>
      <w:r w:rsidR="004F2E3B" w:rsidRPr="0068777C">
        <w:t>ys. 20</w:t>
      </w:r>
      <w:r w:rsidR="004F2E3B">
        <w:t>4</w:t>
      </w:r>
      <w:r w:rsidR="005B684B">
        <w:rPr>
          <w:rStyle w:val="IGindeksgrny"/>
        </w:rPr>
        <w:t>2</w:t>
      </w:r>
      <w:r w:rsidR="004F2E3B" w:rsidRPr="0068777C">
        <w:t>)</w:t>
      </w:r>
      <w:r w:rsidR="00E30447">
        <w:t xml:space="preserve"> określone w załączniku nr 2 do niniejszego rozporządzenia,</w:t>
      </w:r>
    </w:p>
    <w:p w14:paraId="3D8103A4" w14:textId="27954087" w:rsidR="00BF4693" w:rsidRPr="002A1A64" w:rsidRDefault="004F2E3B" w:rsidP="00D71D50">
      <w:pPr>
        <w:pStyle w:val="LITlitera"/>
      </w:pPr>
      <w:r>
        <w:t>c)</w:t>
      </w:r>
      <w:r>
        <w:tab/>
      </w:r>
      <w:r w:rsidR="00BF4693">
        <w:t>po wzorze wskaźnika W ETCS 10 (</w:t>
      </w:r>
      <w:r w:rsidR="00143643">
        <w:t>r</w:t>
      </w:r>
      <w:r w:rsidR="00BF4693">
        <w:t>ys. 204</w:t>
      </w:r>
      <w:r w:rsidR="008730B9">
        <w:t>j</w:t>
      </w:r>
      <w:r w:rsidR="00BF4693">
        <w:t>) dodaje się wzór wskaźnika W ETCS 11 (</w:t>
      </w:r>
      <w:r w:rsidR="00143643">
        <w:t>r</w:t>
      </w:r>
      <w:r w:rsidR="00BF4693">
        <w:t>ys. 204</w:t>
      </w:r>
      <w:r w:rsidR="008730B9">
        <w:t>k</w:t>
      </w:r>
      <w:r w:rsidR="000706F5">
        <w:t>)</w:t>
      </w:r>
      <w:r w:rsidR="00E30447">
        <w:t xml:space="preserve"> </w:t>
      </w:r>
      <w:r w:rsidR="00DF2784" w:rsidRPr="002A1A64">
        <w:t>określon</w:t>
      </w:r>
      <w:r w:rsidR="00E30447">
        <w:t>y</w:t>
      </w:r>
      <w:r w:rsidR="00DF2784" w:rsidRPr="002A1A64">
        <w:t xml:space="preserve"> w załączniku </w:t>
      </w:r>
      <w:r w:rsidR="00E30447">
        <w:t xml:space="preserve">nr 3 </w:t>
      </w:r>
      <w:r w:rsidR="00DF2784" w:rsidRPr="002A1A64">
        <w:t>do niniejszego rozporządzenia</w:t>
      </w:r>
      <w:r w:rsidR="00090897">
        <w:t>.</w:t>
      </w:r>
    </w:p>
    <w:p w14:paraId="0068269E" w14:textId="76CEF683" w:rsidR="00F71932" w:rsidRDefault="00EC5AE5" w:rsidP="007D7248">
      <w:pPr>
        <w:pStyle w:val="ARTartustawynprozporzdzenia"/>
      </w:pPr>
      <w:r w:rsidRPr="00EC5AE5">
        <w:rPr>
          <w:rStyle w:val="Ppogrubienie"/>
        </w:rPr>
        <w:t>§ 2.</w:t>
      </w:r>
      <w:r w:rsidRPr="00EC5AE5">
        <w:t xml:space="preserve"> </w:t>
      </w:r>
      <w:r w:rsidR="007D7248" w:rsidRPr="007D7248">
        <w:t>Przewoźnicy kolejowi i zarządcy infrastruktury dostosują swoje przepisy wewnętrzne do wymogów rozporządzenia zmienianego w § 1 w brzmieniu nadanym niniejszym rozporządzen</w:t>
      </w:r>
      <w:r w:rsidR="00426DAC">
        <w:t>iem w terminie nie dłuższym niż 12 miesięcy</w:t>
      </w:r>
      <w:r w:rsidR="007D7248" w:rsidRPr="007D7248">
        <w:t xml:space="preserve"> od dnia wejścia w życie niniejszego rozporządzenia.</w:t>
      </w:r>
    </w:p>
    <w:p w14:paraId="1EC7B1A7" w14:textId="5D12AC97" w:rsidR="00EC5AE5" w:rsidRPr="00EC5AE5" w:rsidRDefault="007D7248" w:rsidP="00EC5AE5">
      <w:pPr>
        <w:pStyle w:val="ARTartustawynprozporzdzenia"/>
      </w:pPr>
      <w:r w:rsidRPr="008239B5">
        <w:rPr>
          <w:rStyle w:val="Ppogrubienie"/>
        </w:rPr>
        <w:t>§ 3.</w:t>
      </w:r>
      <w:r>
        <w:t xml:space="preserve"> </w:t>
      </w:r>
      <w:r w:rsidR="00EC5AE5" w:rsidRPr="00EC5AE5">
        <w:t xml:space="preserve">Rozporządzenie wchodzi w życie po upływie 14 dni od dnia ogłoszenia. </w:t>
      </w:r>
    </w:p>
    <w:p w14:paraId="6DF70591" w14:textId="0CFE106A" w:rsidR="00EC5AE5" w:rsidRPr="00EC5AE5" w:rsidRDefault="00EC5AE5" w:rsidP="00EC5AE5">
      <w:pPr>
        <w:pStyle w:val="ARTartustawynprozporzdzenia"/>
      </w:pPr>
    </w:p>
    <w:p w14:paraId="389D8AD4" w14:textId="77777777" w:rsidR="00EC5AE5" w:rsidRPr="00EC5AE5" w:rsidRDefault="00EC5AE5" w:rsidP="00EC5AE5">
      <w:pPr>
        <w:pStyle w:val="NAZORGWYDnazwaorganuwydajcegoprojektowanyakt"/>
      </w:pPr>
      <w:r w:rsidRPr="00EC5AE5">
        <w:t xml:space="preserve">MINISTER INFRASTRUKTURY </w:t>
      </w:r>
    </w:p>
    <w:p w14:paraId="0D40126F" w14:textId="77777777" w:rsidR="000706F5" w:rsidRDefault="000706F5" w:rsidP="000706F5">
      <w:pPr>
        <w:spacing w:after="120" w:line="240" w:lineRule="atLeast"/>
        <w:rPr>
          <w:i/>
          <w:sz w:val="22"/>
          <w:lang w:eastAsia="en-US"/>
        </w:rPr>
      </w:pPr>
      <w:r>
        <w:rPr>
          <w:i/>
          <w:sz w:val="22"/>
          <w:lang w:eastAsia="en-US"/>
        </w:rPr>
        <w:t>Za zgodność pod względem prawnym,</w:t>
      </w:r>
    </w:p>
    <w:p w14:paraId="6E0FE38B" w14:textId="77777777" w:rsidR="000706F5" w:rsidRDefault="000706F5" w:rsidP="000706F5">
      <w:pPr>
        <w:spacing w:after="120" w:line="240" w:lineRule="atLeast"/>
      </w:pPr>
      <w:r>
        <w:rPr>
          <w:i/>
          <w:sz w:val="22"/>
          <w:lang w:eastAsia="en-US"/>
        </w:rPr>
        <w:t>legislacyjnym i redakcyjnym</w:t>
      </w:r>
    </w:p>
    <w:p w14:paraId="729946AD" w14:textId="77777777" w:rsidR="000706F5" w:rsidRDefault="000706F5" w:rsidP="000706F5">
      <w:pPr>
        <w:spacing w:after="120" w:line="240" w:lineRule="atLeast"/>
        <w:rPr>
          <w:sz w:val="22"/>
          <w:lang w:eastAsia="en-US"/>
        </w:rPr>
      </w:pPr>
      <w:r>
        <w:rPr>
          <w:sz w:val="22"/>
          <w:lang w:eastAsia="en-US"/>
        </w:rPr>
        <w:t>Grzegorz Kuzka</w:t>
      </w:r>
    </w:p>
    <w:p w14:paraId="7D394C5C" w14:textId="77777777" w:rsidR="000706F5" w:rsidRDefault="000706F5" w:rsidP="000706F5">
      <w:pPr>
        <w:spacing w:after="120" w:line="240" w:lineRule="atLeast"/>
        <w:rPr>
          <w:sz w:val="22"/>
          <w:lang w:eastAsia="en-US"/>
        </w:rPr>
      </w:pPr>
      <w:r>
        <w:rPr>
          <w:sz w:val="22"/>
          <w:lang w:eastAsia="en-US"/>
        </w:rPr>
        <w:t>Zastępca Dyrektora Departamentu Prawnego</w:t>
      </w:r>
    </w:p>
    <w:p w14:paraId="1A336CD2" w14:textId="77777777" w:rsidR="000706F5" w:rsidRDefault="000706F5" w:rsidP="000706F5">
      <w:pPr>
        <w:spacing w:after="120" w:line="240" w:lineRule="atLeast"/>
        <w:rPr>
          <w:sz w:val="22"/>
          <w:lang w:eastAsia="en-US"/>
        </w:rPr>
      </w:pPr>
      <w:r>
        <w:rPr>
          <w:sz w:val="22"/>
          <w:lang w:eastAsia="en-US"/>
        </w:rPr>
        <w:t xml:space="preserve">w Ministerstwie Infrastruktury </w:t>
      </w:r>
    </w:p>
    <w:p w14:paraId="406199A0" w14:textId="27010CE0" w:rsidR="00261A16" w:rsidRPr="000706F5" w:rsidRDefault="000706F5" w:rsidP="000706F5">
      <w:pPr>
        <w:spacing w:after="120" w:line="240" w:lineRule="atLeast"/>
        <w:rPr>
          <w:i/>
          <w:sz w:val="22"/>
          <w:lang w:eastAsia="en-US"/>
        </w:rPr>
      </w:pPr>
      <w:r>
        <w:rPr>
          <w:i/>
          <w:sz w:val="22"/>
          <w:lang w:eastAsia="en-US"/>
        </w:rPr>
        <w:t>/-podpisano elektronicznie/</w:t>
      </w:r>
    </w:p>
    <w:sectPr w:rsidR="00261A16" w:rsidRPr="000706F5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E4233" w14:textId="77777777" w:rsidR="00931007" w:rsidRDefault="00931007">
      <w:r>
        <w:separator/>
      </w:r>
    </w:p>
  </w:endnote>
  <w:endnote w:type="continuationSeparator" w:id="0">
    <w:p w14:paraId="04C666E5" w14:textId="77777777" w:rsidR="00931007" w:rsidRDefault="00931007">
      <w:r>
        <w:continuationSeparator/>
      </w:r>
    </w:p>
  </w:endnote>
  <w:endnote w:type="continuationNotice" w:id="1">
    <w:p w14:paraId="4A17AE16" w14:textId="77777777" w:rsidR="00931007" w:rsidRDefault="009310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A25A" w14:textId="77777777" w:rsidR="000E6A43" w:rsidRDefault="000E6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CB66" w14:textId="77777777" w:rsidR="000E6A43" w:rsidRDefault="000E6A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6F54A" w14:textId="77777777" w:rsidR="000E6A43" w:rsidRDefault="000E6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BDCBD" w14:textId="77777777" w:rsidR="00931007" w:rsidRDefault="00931007">
      <w:r>
        <w:separator/>
      </w:r>
    </w:p>
  </w:footnote>
  <w:footnote w:type="continuationSeparator" w:id="0">
    <w:p w14:paraId="094AC68C" w14:textId="77777777" w:rsidR="00931007" w:rsidRDefault="00931007">
      <w:r>
        <w:continuationSeparator/>
      </w:r>
    </w:p>
  </w:footnote>
  <w:footnote w:type="continuationNotice" w:id="1">
    <w:p w14:paraId="308BDB3A" w14:textId="77777777" w:rsidR="00931007" w:rsidRDefault="00931007">
      <w:pPr>
        <w:spacing w:after="0" w:line="240" w:lineRule="auto"/>
      </w:pPr>
    </w:p>
  </w:footnote>
  <w:footnote w:id="2">
    <w:p w14:paraId="0EE3CA4D" w14:textId="77777777" w:rsidR="00EC5AE5" w:rsidRDefault="00EC5AE5" w:rsidP="00EC5AE5">
      <w:pPr>
        <w:pStyle w:val="ODNONIKtreodnonika"/>
      </w:pPr>
      <w:r w:rsidRPr="00B20574">
        <w:rPr>
          <w:rStyle w:val="IGindeksgrny"/>
        </w:rPr>
        <w:footnoteRef/>
      </w:r>
      <w:r w:rsidRPr="00B20574">
        <w:rPr>
          <w:rStyle w:val="IGindeksgrny"/>
        </w:rPr>
        <w:t>)</w:t>
      </w:r>
      <w:r w:rsidRPr="00B20574">
        <w:rPr>
          <w:rStyle w:val="IGindeksgrny"/>
        </w:rPr>
        <w:tab/>
      </w:r>
      <w:r w:rsidRPr="00B20574"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B73B4" w14:textId="77777777" w:rsidR="000E6A43" w:rsidRDefault="000E6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CD0C5" w14:textId="0FB776E8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E6A43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6EDE" w14:textId="77777777" w:rsidR="000E6A43" w:rsidRDefault="000E6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E90AE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E5"/>
    <w:rsid w:val="000012DA"/>
    <w:rsid w:val="000018C9"/>
    <w:rsid w:val="0000246E"/>
    <w:rsid w:val="00003862"/>
    <w:rsid w:val="00003CE2"/>
    <w:rsid w:val="00012A35"/>
    <w:rsid w:val="00012B87"/>
    <w:rsid w:val="00016099"/>
    <w:rsid w:val="00017DC2"/>
    <w:rsid w:val="000208FF"/>
    <w:rsid w:val="00021522"/>
    <w:rsid w:val="00022C2C"/>
    <w:rsid w:val="00023471"/>
    <w:rsid w:val="00023F13"/>
    <w:rsid w:val="00030634"/>
    <w:rsid w:val="000319C1"/>
    <w:rsid w:val="00031A8B"/>
    <w:rsid w:val="00031BCA"/>
    <w:rsid w:val="0003308C"/>
    <w:rsid w:val="000330FA"/>
    <w:rsid w:val="0003362F"/>
    <w:rsid w:val="000337EB"/>
    <w:rsid w:val="000341F0"/>
    <w:rsid w:val="00036B63"/>
    <w:rsid w:val="00037E1A"/>
    <w:rsid w:val="00042D49"/>
    <w:rsid w:val="00043495"/>
    <w:rsid w:val="00044A46"/>
    <w:rsid w:val="00046A75"/>
    <w:rsid w:val="00047312"/>
    <w:rsid w:val="000508BD"/>
    <w:rsid w:val="000517AB"/>
    <w:rsid w:val="0005339C"/>
    <w:rsid w:val="0005571B"/>
    <w:rsid w:val="00057876"/>
    <w:rsid w:val="00057AB3"/>
    <w:rsid w:val="00060076"/>
    <w:rsid w:val="00060432"/>
    <w:rsid w:val="00060D87"/>
    <w:rsid w:val="000615A5"/>
    <w:rsid w:val="000637C5"/>
    <w:rsid w:val="00064E4C"/>
    <w:rsid w:val="00066474"/>
    <w:rsid w:val="00066901"/>
    <w:rsid w:val="000671EA"/>
    <w:rsid w:val="000706F5"/>
    <w:rsid w:val="00071BEE"/>
    <w:rsid w:val="00071E9B"/>
    <w:rsid w:val="000736CD"/>
    <w:rsid w:val="0007431E"/>
    <w:rsid w:val="000743DB"/>
    <w:rsid w:val="0007533B"/>
    <w:rsid w:val="0007545D"/>
    <w:rsid w:val="00075A51"/>
    <w:rsid w:val="00075F7E"/>
    <w:rsid w:val="000760BF"/>
    <w:rsid w:val="0007613E"/>
    <w:rsid w:val="00076BFC"/>
    <w:rsid w:val="000814A7"/>
    <w:rsid w:val="000828E1"/>
    <w:rsid w:val="0008557B"/>
    <w:rsid w:val="0008577C"/>
    <w:rsid w:val="00085CE7"/>
    <w:rsid w:val="000906EE"/>
    <w:rsid w:val="00090897"/>
    <w:rsid w:val="00091BA2"/>
    <w:rsid w:val="000944EF"/>
    <w:rsid w:val="00094CDF"/>
    <w:rsid w:val="0009732D"/>
    <w:rsid w:val="000973F0"/>
    <w:rsid w:val="000A1225"/>
    <w:rsid w:val="000A1296"/>
    <w:rsid w:val="000A1C27"/>
    <w:rsid w:val="000A1DAD"/>
    <w:rsid w:val="000A2649"/>
    <w:rsid w:val="000A323B"/>
    <w:rsid w:val="000A48CD"/>
    <w:rsid w:val="000B298D"/>
    <w:rsid w:val="000B509E"/>
    <w:rsid w:val="000B595C"/>
    <w:rsid w:val="000B5B2D"/>
    <w:rsid w:val="000B5DCE"/>
    <w:rsid w:val="000C05BA"/>
    <w:rsid w:val="000C0879"/>
    <w:rsid w:val="000C0E8F"/>
    <w:rsid w:val="000C4BC4"/>
    <w:rsid w:val="000D0110"/>
    <w:rsid w:val="000D2468"/>
    <w:rsid w:val="000D318A"/>
    <w:rsid w:val="000D5225"/>
    <w:rsid w:val="000D5688"/>
    <w:rsid w:val="000D6173"/>
    <w:rsid w:val="000D6F83"/>
    <w:rsid w:val="000E10CB"/>
    <w:rsid w:val="000E25CC"/>
    <w:rsid w:val="000E270D"/>
    <w:rsid w:val="000E35B4"/>
    <w:rsid w:val="000E3694"/>
    <w:rsid w:val="000E490F"/>
    <w:rsid w:val="000E5AE7"/>
    <w:rsid w:val="000E6241"/>
    <w:rsid w:val="000E6A43"/>
    <w:rsid w:val="000F03DD"/>
    <w:rsid w:val="000F2BE3"/>
    <w:rsid w:val="000F2F8C"/>
    <w:rsid w:val="000F3D0D"/>
    <w:rsid w:val="000F3F05"/>
    <w:rsid w:val="000F589D"/>
    <w:rsid w:val="000F6ED4"/>
    <w:rsid w:val="000F77C6"/>
    <w:rsid w:val="000F7A6E"/>
    <w:rsid w:val="000F7D26"/>
    <w:rsid w:val="00101BBD"/>
    <w:rsid w:val="00101E2D"/>
    <w:rsid w:val="001042BA"/>
    <w:rsid w:val="00106D03"/>
    <w:rsid w:val="00110465"/>
    <w:rsid w:val="00110628"/>
    <w:rsid w:val="0011245A"/>
    <w:rsid w:val="0011493E"/>
    <w:rsid w:val="00115B72"/>
    <w:rsid w:val="001169E8"/>
    <w:rsid w:val="00116CD4"/>
    <w:rsid w:val="00120770"/>
    <w:rsid w:val="001209EC"/>
    <w:rsid w:val="00120A9E"/>
    <w:rsid w:val="00125A9C"/>
    <w:rsid w:val="001270A2"/>
    <w:rsid w:val="00131237"/>
    <w:rsid w:val="0013215E"/>
    <w:rsid w:val="001329AC"/>
    <w:rsid w:val="00133244"/>
    <w:rsid w:val="00134CA0"/>
    <w:rsid w:val="0013770E"/>
    <w:rsid w:val="0014026F"/>
    <w:rsid w:val="00143643"/>
    <w:rsid w:val="00143BF1"/>
    <w:rsid w:val="00147A47"/>
    <w:rsid w:val="00147AA1"/>
    <w:rsid w:val="0015091F"/>
    <w:rsid w:val="00151BE4"/>
    <w:rsid w:val="001520CF"/>
    <w:rsid w:val="0015667C"/>
    <w:rsid w:val="00157110"/>
    <w:rsid w:val="0015742A"/>
    <w:rsid w:val="00157DA1"/>
    <w:rsid w:val="00160997"/>
    <w:rsid w:val="00163147"/>
    <w:rsid w:val="00164C57"/>
    <w:rsid w:val="00164C9D"/>
    <w:rsid w:val="0016650C"/>
    <w:rsid w:val="00172F7A"/>
    <w:rsid w:val="00173150"/>
    <w:rsid w:val="00173390"/>
    <w:rsid w:val="001736F0"/>
    <w:rsid w:val="00173BB3"/>
    <w:rsid w:val="001740D0"/>
    <w:rsid w:val="00174F2C"/>
    <w:rsid w:val="00175CC6"/>
    <w:rsid w:val="00180501"/>
    <w:rsid w:val="001808C1"/>
    <w:rsid w:val="00180F2A"/>
    <w:rsid w:val="00182857"/>
    <w:rsid w:val="00184B91"/>
    <w:rsid w:val="00184D4A"/>
    <w:rsid w:val="00185C9F"/>
    <w:rsid w:val="00186EC1"/>
    <w:rsid w:val="00191E1F"/>
    <w:rsid w:val="001931C7"/>
    <w:rsid w:val="0019473B"/>
    <w:rsid w:val="001952B1"/>
    <w:rsid w:val="00196CEE"/>
    <w:rsid w:val="00196E39"/>
    <w:rsid w:val="00197178"/>
    <w:rsid w:val="00197649"/>
    <w:rsid w:val="001A01FB"/>
    <w:rsid w:val="001A10E9"/>
    <w:rsid w:val="001A155E"/>
    <w:rsid w:val="001A183D"/>
    <w:rsid w:val="001A199C"/>
    <w:rsid w:val="001A1D48"/>
    <w:rsid w:val="001A29B6"/>
    <w:rsid w:val="001A2B65"/>
    <w:rsid w:val="001A352C"/>
    <w:rsid w:val="001A3CD3"/>
    <w:rsid w:val="001A59E5"/>
    <w:rsid w:val="001A5BEF"/>
    <w:rsid w:val="001A7F15"/>
    <w:rsid w:val="001B03E8"/>
    <w:rsid w:val="001B32F6"/>
    <w:rsid w:val="001B342E"/>
    <w:rsid w:val="001B751B"/>
    <w:rsid w:val="001C1832"/>
    <w:rsid w:val="001C188C"/>
    <w:rsid w:val="001C29D1"/>
    <w:rsid w:val="001C6797"/>
    <w:rsid w:val="001D1783"/>
    <w:rsid w:val="001D2B4F"/>
    <w:rsid w:val="001D53CD"/>
    <w:rsid w:val="001D55A3"/>
    <w:rsid w:val="001D5AF5"/>
    <w:rsid w:val="001E1E73"/>
    <w:rsid w:val="001E38A8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CE4"/>
    <w:rsid w:val="002114EF"/>
    <w:rsid w:val="00214973"/>
    <w:rsid w:val="00214E68"/>
    <w:rsid w:val="00216407"/>
    <w:rsid w:val="002166AD"/>
    <w:rsid w:val="00217871"/>
    <w:rsid w:val="00221ED8"/>
    <w:rsid w:val="002231EA"/>
    <w:rsid w:val="00223FDF"/>
    <w:rsid w:val="002253EA"/>
    <w:rsid w:val="002264C3"/>
    <w:rsid w:val="002279C0"/>
    <w:rsid w:val="00227C46"/>
    <w:rsid w:val="00233BE2"/>
    <w:rsid w:val="00235DC7"/>
    <w:rsid w:val="00236F79"/>
    <w:rsid w:val="0023727E"/>
    <w:rsid w:val="00237914"/>
    <w:rsid w:val="00242081"/>
    <w:rsid w:val="00242300"/>
    <w:rsid w:val="00243777"/>
    <w:rsid w:val="002441CD"/>
    <w:rsid w:val="00245077"/>
    <w:rsid w:val="00245AAA"/>
    <w:rsid w:val="00246DE4"/>
    <w:rsid w:val="002501A3"/>
    <w:rsid w:val="0025166C"/>
    <w:rsid w:val="00253355"/>
    <w:rsid w:val="00253781"/>
    <w:rsid w:val="002555D4"/>
    <w:rsid w:val="002607EF"/>
    <w:rsid w:val="00260A93"/>
    <w:rsid w:val="00261A16"/>
    <w:rsid w:val="00263522"/>
    <w:rsid w:val="00264EC6"/>
    <w:rsid w:val="00264F8B"/>
    <w:rsid w:val="00265F72"/>
    <w:rsid w:val="002666F3"/>
    <w:rsid w:val="00270D84"/>
    <w:rsid w:val="00270EDC"/>
    <w:rsid w:val="00271013"/>
    <w:rsid w:val="0027209C"/>
    <w:rsid w:val="0027261A"/>
    <w:rsid w:val="00273610"/>
    <w:rsid w:val="00273FE4"/>
    <w:rsid w:val="002748CC"/>
    <w:rsid w:val="00274A3D"/>
    <w:rsid w:val="0027548F"/>
    <w:rsid w:val="002765B4"/>
    <w:rsid w:val="00276A94"/>
    <w:rsid w:val="00276B1F"/>
    <w:rsid w:val="00276E4E"/>
    <w:rsid w:val="002778F6"/>
    <w:rsid w:val="00287C2C"/>
    <w:rsid w:val="0029405D"/>
    <w:rsid w:val="00294FA6"/>
    <w:rsid w:val="002959FF"/>
    <w:rsid w:val="00295A6F"/>
    <w:rsid w:val="002960B2"/>
    <w:rsid w:val="002974CC"/>
    <w:rsid w:val="002A1A64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8AE"/>
    <w:rsid w:val="002C23DF"/>
    <w:rsid w:val="002D01F8"/>
    <w:rsid w:val="002D0584"/>
    <w:rsid w:val="002D0C4F"/>
    <w:rsid w:val="002D1364"/>
    <w:rsid w:val="002D4D30"/>
    <w:rsid w:val="002D5000"/>
    <w:rsid w:val="002D598D"/>
    <w:rsid w:val="002D6FDE"/>
    <w:rsid w:val="002D7188"/>
    <w:rsid w:val="002E1DE3"/>
    <w:rsid w:val="002E1E87"/>
    <w:rsid w:val="002E2AB6"/>
    <w:rsid w:val="002E3F34"/>
    <w:rsid w:val="002E423D"/>
    <w:rsid w:val="002E5F79"/>
    <w:rsid w:val="002E64FA"/>
    <w:rsid w:val="002F0A00"/>
    <w:rsid w:val="002F0CFA"/>
    <w:rsid w:val="002F629D"/>
    <w:rsid w:val="002F669F"/>
    <w:rsid w:val="00301C97"/>
    <w:rsid w:val="0030307F"/>
    <w:rsid w:val="0031004C"/>
    <w:rsid w:val="003105F6"/>
    <w:rsid w:val="00311297"/>
    <w:rsid w:val="003113BE"/>
    <w:rsid w:val="003122CA"/>
    <w:rsid w:val="003148FD"/>
    <w:rsid w:val="00317A4C"/>
    <w:rsid w:val="00321080"/>
    <w:rsid w:val="0032189D"/>
    <w:rsid w:val="00322D45"/>
    <w:rsid w:val="0032569A"/>
    <w:rsid w:val="003257F1"/>
    <w:rsid w:val="00325A1F"/>
    <w:rsid w:val="003268F9"/>
    <w:rsid w:val="00330BAF"/>
    <w:rsid w:val="00334E3A"/>
    <w:rsid w:val="00335817"/>
    <w:rsid w:val="003361DD"/>
    <w:rsid w:val="00337DE9"/>
    <w:rsid w:val="00340344"/>
    <w:rsid w:val="00341A6A"/>
    <w:rsid w:val="00345B9C"/>
    <w:rsid w:val="00352DAE"/>
    <w:rsid w:val="00354EB9"/>
    <w:rsid w:val="003571D9"/>
    <w:rsid w:val="0035721D"/>
    <w:rsid w:val="003602AE"/>
    <w:rsid w:val="00360929"/>
    <w:rsid w:val="003613F6"/>
    <w:rsid w:val="003647D5"/>
    <w:rsid w:val="003674B0"/>
    <w:rsid w:val="00367D7D"/>
    <w:rsid w:val="0037343D"/>
    <w:rsid w:val="0037727C"/>
    <w:rsid w:val="00377E70"/>
    <w:rsid w:val="003807D9"/>
    <w:rsid w:val="00380904"/>
    <w:rsid w:val="00382196"/>
    <w:rsid w:val="003823EE"/>
    <w:rsid w:val="00382960"/>
    <w:rsid w:val="003832BD"/>
    <w:rsid w:val="00383C97"/>
    <w:rsid w:val="003846F7"/>
    <w:rsid w:val="00384822"/>
    <w:rsid w:val="003850F5"/>
    <w:rsid w:val="003851ED"/>
    <w:rsid w:val="00385B39"/>
    <w:rsid w:val="00386785"/>
    <w:rsid w:val="00387101"/>
    <w:rsid w:val="00390E89"/>
    <w:rsid w:val="00391B1A"/>
    <w:rsid w:val="00393052"/>
    <w:rsid w:val="00394423"/>
    <w:rsid w:val="003950D5"/>
    <w:rsid w:val="00396942"/>
    <w:rsid w:val="00396B49"/>
    <w:rsid w:val="00396E3E"/>
    <w:rsid w:val="00397D36"/>
    <w:rsid w:val="003A0ACA"/>
    <w:rsid w:val="003A306E"/>
    <w:rsid w:val="003A3840"/>
    <w:rsid w:val="003A4026"/>
    <w:rsid w:val="003A45CE"/>
    <w:rsid w:val="003A4DE9"/>
    <w:rsid w:val="003A60DC"/>
    <w:rsid w:val="003A693C"/>
    <w:rsid w:val="003A6A46"/>
    <w:rsid w:val="003A741A"/>
    <w:rsid w:val="003A7A63"/>
    <w:rsid w:val="003A7F34"/>
    <w:rsid w:val="003B000C"/>
    <w:rsid w:val="003B06EE"/>
    <w:rsid w:val="003B0F1D"/>
    <w:rsid w:val="003B2482"/>
    <w:rsid w:val="003B2B79"/>
    <w:rsid w:val="003B4A57"/>
    <w:rsid w:val="003B5067"/>
    <w:rsid w:val="003B5480"/>
    <w:rsid w:val="003C016E"/>
    <w:rsid w:val="003C0AD9"/>
    <w:rsid w:val="003C0ED0"/>
    <w:rsid w:val="003C1D49"/>
    <w:rsid w:val="003C35C4"/>
    <w:rsid w:val="003C78EA"/>
    <w:rsid w:val="003D12C2"/>
    <w:rsid w:val="003D2567"/>
    <w:rsid w:val="003D31B9"/>
    <w:rsid w:val="003D3867"/>
    <w:rsid w:val="003E0D1A"/>
    <w:rsid w:val="003E1CEA"/>
    <w:rsid w:val="003E2DA3"/>
    <w:rsid w:val="003F020D"/>
    <w:rsid w:val="003F03D9"/>
    <w:rsid w:val="003F2FBE"/>
    <w:rsid w:val="003F318D"/>
    <w:rsid w:val="003F3AA7"/>
    <w:rsid w:val="003F48D9"/>
    <w:rsid w:val="003F5BAE"/>
    <w:rsid w:val="003F6ED7"/>
    <w:rsid w:val="003F72F5"/>
    <w:rsid w:val="003F749B"/>
    <w:rsid w:val="00401C84"/>
    <w:rsid w:val="00403210"/>
    <w:rsid w:val="004035BB"/>
    <w:rsid w:val="004035EB"/>
    <w:rsid w:val="0040544A"/>
    <w:rsid w:val="0040669A"/>
    <w:rsid w:val="00407332"/>
    <w:rsid w:val="00407828"/>
    <w:rsid w:val="00412033"/>
    <w:rsid w:val="00413D8E"/>
    <w:rsid w:val="004140F2"/>
    <w:rsid w:val="00417752"/>
    <w:rsid w:val="00417B22"/>
    <w:rsid w:val="00421085"/>
    <w:rsid w:val="004232AE"/>
    <w:rsid w:val="0042465E"/>
    <w:rsid w:val="00424DF7"/>
    <w:rsid w:val="00426DAC"/>
    <w:rsid w:val="00432B76"/>
    <w:rsid w:val="0043499A"/>
    <w:rsid w:val="00434D01"/>
    <w:rsid w:val="00435276"/>
    <w:rsid w:val="0043562A"/>
    <w:rsid w:val="0043582B"/>
    <w:rsid w:val="00435D26"/>
    <w:rsid w:val="0043696F"/>
    <w:rsid w:val="00440C99"/>
    <w:rsid w:val="0044131E"/>
    <w:rsid w:val="0044175C"/>
    <w:rsid w:val="00443BBE"/>
    <w:rsid w:val="00445F4D"/>
    <w:rsid w:val="004504C0"/>
    <w:rsid w:val="00452962"/>
    <w:rsid w:val="004550FB"/>
    <w:rsid w:val="00457BE4"/>
    <w:rsid w:val="0046111A"/>
    <w:rsid w:val="00462946"/>
    <w:rsid w:val="00463F43"/>
    <w:rsid w:val="0046482D"/>
    <w:rsid w:val="00464B94"/>
    <w:rsid w:val="004653A8"/>
    <w:rsid w:val="00465A0B"/>
    <w:rsid w:val="004678CB"/>
    <w:rsid w:val="0047077C"/>
    <w:rsid w:val="00470B05"/>
    <w:rsid w:val="0047207C"/>
    <w:rsid w:val="00472131"/>
    <w:rsid w:val="00472CD6"/>
    <w:rsid w:val="00474E3C"/>
    <w:rsid w:val="00480A58"/>
    <w:rsid w:val="00482151"/>
    <w:rsid w:val="00482788"/>
    <w:rsid w:val="00482BE8"/>
    <w:rsid w:val="00483D15"/>
    <w:rsid w:val="00485943"/>
    <w:rsid w:val="00485FAD"/>
    <w:rsid w:val="00487AED"/>
    <w:rsid w:val="00487CC4"/>
    <w:rsid w:val="00491EDF"/>
    <w:rsid w:val="00492A3F"/>
    <w:rsid w:val="00494F62"/>
    <w:rsid w:val="00496207"/>
    <w:rsid w:val="004A2001"/>
    <w:rsid w:val="004A3590"/>
    <w:rsid w:val="004A66E4"/>
    <w:rsid w:val="004B00A7"/>
    <w:rsid w:val="004B17AE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135"/>
    <w:rsid w:val="004C56DB"/>
    <w:rsid w:val="004C7EE7"/>
    <w:rsid w:val="004D1269"/>
    <w:rsid w:val="004D2DEE"/>
    <w:rsid w:val="004D2E1F"/>
    <w:rsid w:val="004D3D17"/>
    <w:rsid w:val="004D62CC"/>
    <w:rsid w:val="004D7FD9"/>
    <w:rsid w:val="004E02A6"/>
    <w:rsid w:val="004E1324"/>
    <w:rsid w:val="004E19A5"/>
    <w:rsid w:val="004E37E5"/>
    <w:rsid w:val="004E3DA2"/>
    <w:rsid w:val="004E3FDB"/>
    <w:rsid w:val="004E53E4"/>
    <w:rsid w:val="004E70C8"/>
    <w:rsid w:val="004E7C4B"/>
    <w:rsid w:val="004F1F4A"/>
    <w:rsid w:val="004F296D"/>
    <w:rsid w:val="004F2E3B"/>
    <w:rsid w:val="004F3430"/>
    <w:rsid w:val="004F4B64"/>
    <w:rsid w:val="004F508B"/>
    <w:rsid w:val="004F695F"/>
    <w:rsid w:val="004F6B8D"/>
    <w:rsid w:val="004F6CA4"/>
    <w:rsid w:val="00500752"/>
    <w:rsid w:val="00501A50"/>
    <w:rsid w:val="0050208F"/>
    <w:rsid w:val="0050222D"/>
    <w:rsid w:val="00503AF3"/>
    <w:rsid w:val="0050696D"/>
    <w:rsid w:val="0051094B"/>
    <w:rsid w:val="005110D7"/>
    <w:rsid w:val="00511D99"/>
    <w:rsid w:val="005128D3"/>
    <w:rsid w:val="00512B63"/>
    <w:rsid w:val="00514511"/>
    <w:rsid w:val="005147E8"/>
    <w:rsid w:val="005155B9"/>
    <w:rsid w:val="005158F2"/>
    <w:rsid w:val="00526DFC"/>
    <w:rsid w:val="00526F43"/>
    <w:rsid w:val="00527651"/>
    <w:rsid w:val="00530069"/>
    <w:rsid w:val="00530803"/>
    <w:rsid w:val="005326C5"/>
    <w:rsid w:val="00535A04"/>
    <w:rsid w:val="005363AB"/>
    <w:rsid w:val="005374DA"/>
    <w:rsid w:val="0053759B"/>
    <w:rsid w:val="0054090C"/>
    <w:rsid w:val="00544EF4"/>
    <w:rsid w:val="0054519C"/>
    <w:rsid w:val="00545E53"/>
    <w:rsid w:val="00546409"/>
    <w:rsid w:val="005479D9"/>
    <w:rsid w:val="005500C0"/>
    <w:rsid w:val="005572BD"/>
    <w:rsid w:val="00557A12"/>
    <w:rsid w:val="00557C28"/>
    <w:rsid w:val="00560AC7"/>
    <w:rsid w:val="00560BEE"/>
    <w:rsid w:val="00561AFB"/>
    <w:rsid w:val="00561FA8"/>
    <w:rsid w:val="005635ED"/>
    <w:rsid w:val="00565253"/>
    <w:rsid w:val="0056655D"/>
    <w:rsid w:val="00566AD2"/>
    <w:rsid w:val="00570191"/>
    <w:rsid w:val="00570570"/>
    <w:rsid w:val="005718D5"/>
    <w:rsid w:val="00572494"/>
    <w:rsid w:val="00572512"/>
    <w:rsid w:val="00573EE6"/>
    <w:rsid w:val="00574F67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5C36"/>
    <w:rsid w:val="00596132"/>
    <w:rsid w:val="00597024"/>
    <w:rsid w:val="005A0274"/>
    <w:rsid w:val="005A0407"/>
    <w:rsid w:val="005A095C"/>
    <w:rsid w:val="005A669D"/>
    <w:rsid w:val="005A75D8"/>
    <w:rsid w:val="005B2AE1"/>
    <w:rsid w:val="005B42C4"/>
    <w:rsid w:val="005B684B"/>
    <w:rsid w:val="005B6A29"/>
    <w:rsid w:val="005B713E"/>
    <w:rsid w:val="005C03B6"/>
    <w:rsid w:val="005C058E"/>
    <w:rsid w:val="005C27A8"/>
    <w:rsid w:val="005C348E"/>
    <w:rsid w:val="005C3743"/>
    <w:rsid w:val="005C5439"/>
    <w:rsid w:val="005C68E1"/>
    <w:rsid w:val="005D3763"/>
    <w:rsid w:val="005D478C"/>
    <w:rsid w:val="005D55E1"/>
    <w:rsid w:val="005E0F36"/>
    <w:rsid w:val="005E154C"/>
    <w:rsid w:val="005E19F7"/>
    <w:rsid w:val="005E2857"/>
    <w:rsid w:val="005E36A4"/>
    <w:rsid w:val="005E4696"/>
    <w:rsid w:val="005E4F04"/>
    <w:rsid w:val="005E581B"/>
    <w:rsid w:val="005E62C2"/>
    <w:rsid w:val="005E6C71"/>
    <w:rsid w:val="005E7933"/>
    <w:rsid w:val="005E7D7D"/>
    <w:rsid w:val="005F0963"/>
    <w:rsid w:val="005F19B2"/>
    <w:rsid w:val="005F2824"/>
    <w:rsid w:val="005F2EBA"/>
    <w:rsid w:val="005F35ED"/>
    <w:rsid w:val="005F3923"/>
    <w:rsid w:val="005F56A7"/>
    <w:rsid w:val="005F6651"/>
    <w:rsid w:val="005F7812"/>
    <w:rsid w:val="005F7A88"/>
    <w:rsid w:val="00603A1A"/>
    <w:rsid w:val="006046D5"/>
    <w:rsid w:val="00604ED4"/>
    <w:rsid w:val="00607A93"/>
    <w:rsid w:val="00610C08"/>
    <w:rsid w:val="00611EAA"/>
    <w:rsid w:val="00611F74"/>
    <w:rsid w:val="00615772"/>
    <w:rsid w:val="0061633F"/>
    <w:rsid w:val="00617E38"/>
    <w:rsid w:val="00621256"/>
    <w:rsid w:val="006213C6"/>
    <w:rsid w:val="00621FCC"/>
    <w:rsid w:val="00622B06"/>
    <w:rsid w:val="00622E4B"/>
    <w:rsid w:val="00624553"/>
    <w:rsid w:val="00625461"/>
    <w:rsid w:val="006257D7"/>
    <w:rsid w:val="006278E9"/>
    <w:rsid w:val="006333DA"/>
    <w:rsid w:val="00635134"/>
    <w:rsid w:val="006356E2"/>
    <w:rsid w:val="00635CD6"/>
    <w:rsid w:val="00641A01"/>
    <w:rsid w:val="00642823"/>
    <w:rsid w:val="00642A65"/>
    <w:rsid w:val="006451BE"/>
    <w:rsid w:val="00645DCE"/>
    <w:rsid w:val="006465AC"/>
    <w:rsid w:val="006465BF"/>
    <w:rsid w:val="0065198F"/>
    <w:rsid w:val="006520AA"/>
    <w:rsid w:val="00653B22"/>
    <w:rsid w:val="00654A5E"/>
    <w:rsid w:val="006557E3"/>
    <w:rsid w:val="00657BF4"/>
    <w:rsid w:val="006603FB"/>
    <w:rsid w:val="006608DF"/>
    <w:rsid w:val="006623AC"/>
    <w:rsid w:val="006678AF"/>
    <w:rsid w:val="006701EF"/>
    <w:rsid w:val="006726C8"/>
    <w:rsid w:val="00673BA5"/>
    <w:rsid w:val="00680058"/>
    <w:rsid w:val="00681F9F"/>
    <w:rsid w:val="006832B9"/>
    <w:rsid w:val="006840EA"/>
    <w:rsid w:val="006844E2"/>
    <w:rsid w:val="00684A71"/>
    <w:rsid w:val="00684B7D"/>
    <w:rsid w:val="00685267"/>
    <w:rsid w:val="006872AE"/>
    <w:rsid w:val="0068777C"/>
    <w:rsid w:val="00690082"/>
    <w:rsid w:val="00690252"/>
    <w:rsid w:val="00690921"/>
    <w:rsid w:val="00691002"/>
    <w:rsid w:val="00691D11"/>
    <w:rsid w:val="006946BB"/>
    <w:rsid w:val="00695AE9"/>
    <w:rsid w:val="006969FA"/>
    <w:rsid w:val="006A06CC"/>
    <w:rsid w:val="006A35D5"/>
    <w:rsid w:val="006A6248"/>
    <w:rsid w:val="006A748A"/>
    <w:rsid w:val="006B23EC"/>
    <w:rsid w:val="006B2695"/>
    <w:rsid w:val="006C0C2C"/>
    <w:rsid w:val="006C2A22"/>
    <w:rsid w:val="006C419E"/>
    <w:rsid w:val="006C475F"/>
    <w:rsid w:val="006C4A31"/>
    <w:rsid w:val="006C5AC2"/>
    <w:rsid w:val="006C6AF3"/>
    <w:rsid w:val="006C6AFB"/>
    <w:rsid w:val="006D0150"/>
    <w:rsid w:val="006D2735"/>
    <w:rsid w:val="006D45B2"/>
    <w:rsid w:val="006D69AF"/>
    <w:rsid w:val="006E0FCC"/>
    <w:rsid w:val="006E1E96"/>
    <w:rsid w:val="006E2C73"/>
    <w:rsid w:val="006E5148"/>
    <w:rsid w:val="006E5E21"/>
    <w:rsid w:val="006E65A3"/>
    <w:rsid w:val="006E72E5"/>
    <w:rsid w:val="006F1B69"/>
    <w:rsid w:val="006F2648"/>
    <w:rsid w:val="006F2F10"/>
    <w:rsid w:val="006F482B"/>
    <w:rsid w:val="006F4CB1"/>
    <w:rsid w:val="006F5475"/>
    <w:rsid w:val="006F6311"/>
    <w:rsid w:val="006F7162"/>
    <w:rsid w:val="00701952"/>
    <w:rsid w:val="00702556"/>
    <w:rsid w:val="0070277E"/>
    <w:rsid w:val="00704156"/>
    <w:rsid w:val="007069FC"/>
    <w:rsid w:val="00711221"/>
    <w:rsid w:val="007124F6"/>
    <w:rsid w:val="0071251C"/>
    <w:rsid w:val="00712675"/>
    <w:rsid w:val="00713808"/>
    <w:rsid w:val="007151B6"/>
    <w:rsid w:val="0071520D"/>
    <w:rsid w:val="00715EDB"/>
    <w:rsid w:val="007160D5"/>
    <w:rsid w:val="007163FB"/>
    <w:rsid w:val="00717C2E"/>
    <w:rsid w:val="00720419"/>
    <w:rsid w:val="007204FA"/>
    <w:rsid w:val="007206D2"/>
    <w:rsid w:val="007213B3"/>
    <w:rsid w:val="00723DDF"/>
    <w:rsid w:val="0072457F"/>
    <w:rsid w:val="00725406"/>
    <w:rsid w:val="0072621B"/>
    <w:rsid w:val="00730555"/>
    <w:rsid w:val="0073128E"/>
    <w:rsid w:val="007312CC"/>
    <w:rsid w:val="00736A64"/>
    <w:rsid w:val="00736FEF"/>
    <w:rsid w:val="00737634"/>
    <w:rsid w:val="00737F6A"/>
    <w:rsid w:val="007410B6"/>
    <w:rsid w:val="00741BBB"/>
    <w:rsid w:val="00742FFB"/>
    <w:rsid w:val="00744C6F"/>
    <w:rsid w:val="007457F6"/>
    <w:rsid w:val="00745ABB"/>
    <w:rsid w:val="00746E38"/>
    <w:rsid w:val="00747CD5"/>
    <w:rsid w:val="00747FB9"/>
    <w:rsid w:val="0075035B"/>
    <w:rsid w:val="00752DBC"/>
    <w:rsid w:val="00753B51"/>
    <w:rsid w:val="00756629"/>
    <w:rsid w:val="007575D2"/>
    <w:rsid w:val="00757B4F"/>
    <w:rsid w:val="00757B6A"/>
    <w:rsid w:val="007610DF"/>
    <w:rsid w:val="007610E0"/>
    <w:rsid w:val="00761CA2"/>
    <w:rsid w:val="007621AA"/>
    <w:rsid w:val="0076260A"/>
    <w:rsid w:val="007636A5"/>
    <w:rsid w:val="00764A67"/>
    <w:rsid w:val="00766519"/>
    <w:rsid w:val="00770F6B"/>
    <w:rsid w:val="00771883"/>
    <w:rsid w:val="00773358"/>
    <w:rsid w:val="00776332"/>
    <w:rsid w:val="00776DC2"/>
    <w:rsid w:val="00780122"/>
    <w:rsid w:val="007813FE"/>
    <w:rsid w:val="0078214B"/>
    <w:rsid w:val="007847B1"/>
    <w:rsid w:val="0078498A"/>
    <w:rsid w:val="00787353"/>
    <w:rsid w:val="007878FE"/>
    <w:rsid w:val="00792207"/>
    <w:rsid w:val="00792B64"/>
    <w:rsid w:val="00792E29"/>
    <w:rsid w:val="0079379A"/>
    <w:rsid w:val="00794953"/>
    <w:rsid w:val="00794BB7"/>
    <w:rsid w:val="00795E2A"/>
    <w:rsid w:val="007A1F2F"/>
    <w:rsid w:val="007A2A5C"/>
    <w:rsid w:val="007A321D"/>
    <w:rsid w:val="007A5150"/>
    <w:rsid w:val="007A5373"/>
    <w:rsid w:val="007A5B48"/>
    <w:rsid w:val="007A7374"/>
    <w:rsid w:val="007A760F"/>
    <w:rsid w:val="007A789F"/>
    <w:rsid w:val="007B1D33"/>
    <w:rsid w:val="007B25C0"/>
    <w:rsid w:val="007B5A52"/>
    <w:rsid w:val="007B75BC"/>
    <w:rsid w:val="007B7B5B"/>
    <w:rsid w:val="007C0BD6"/>
    <w:rsid w:val="007C1D96"/>
    <w:rsid w:val="007C3806"/>
    <w:rsid w:val="007C5BB7"/>
    <w:rsid w:val="007D07D5"/>
    <w:rsid w:val="007D0CE0"/>
    <w:rsid w:val="007D1698"/>
    <w:rsid w:val="007D1C64"/>
    <w:rsid w:val="007D32DD"/>
    <w:rsid w:val="007D5878"/>
    <w:rsid w:val="007D6DCE"/>
    <w:rsid w:val="007D7248"/>
    <w:rsid w:val="007D72C4"/>
    <w:rsid w:val="007E20F4"/>
    <w:rsid w:val="007E23E4"/>
    <w:rsid w:val="007E2CFE"/>
    <w:rsid w:val="007E402D"/>
    <w:rsid w:val="007E43B4"/>
    <w:rsid w:val="007E5252"/>
    <w:rsid w:val="007E59C9"/>
    <w:rsid w:val="007E61DB"/>
    <w:rsid w:val="007F0072"/>
    <w:rsid w:val="007F2EB6"/>
    <w:rsid w:val="007F3BCA"/>
    <w:rsid w:val="007F3EFC"/>
    <w:rsid w:val="007F54C3"/>
    <w:rsid w:val="007F579B"/>
    <w:rsid w:val="00802949"/>
    <w:rsid w:val="0080301E"/>
    <w:rsid w:val="0080365F"/>
    <w:rsid w:val="00805E18"/>
    <w:rsid w:val="00811050"/>
    <w:rsid w:val="00811EF1"/>
    <w:rsid w:val="00812BE5"/>
    <w:rsid w:val="008146D7"/>
    <w:rsid w:val="008151F9"/>
    <w:rsid w:val="0081580A"/>
    <w:rsid w:val="00815F8F"/>
    <w:rsid w:val="008162FE"/>
    <w:rsid w:val="008168E7"/>
    <w:rsid w:val="00817358"/>
    <w:rsid w:val="00817429"/>
    <w:rsid w:val="008205DE"/>
    <w:rsid w:val="00821514"/>
    <w:rsid w:val="00821E35"/>
    <w:rsid w:val="008239B5"/>
    <w:rsid w:val="00823AEC"/>
    <w:rsid w:val="00824591"/>
    <w:rsid w:val="00824AED"/>
    <w:rsid w:val="00827820"/>
    <w:rsid w:val="00831B8B"/>
    <w:rsid w:val="0083405D"/>
    <w:rsid w:val="008352D4"/>
    <w:rsid w:val="0083633D"/>
    <w:rsid w:val="00836DB9"/>
    <w:rsid w:val="008373D6"/>
    <w:rsid w:val="00837C67"/>
    <w:rsid w:val="00840943"/>
    <w:rsid w:val="008415B0"/>
    <w:rsid w:val="00842028"/>
    <w:rsid w:val="00842F81"/>
    <w:rsid w:val="008436B8"/>
    <w:rsid w:val="008442F3"/>
    <w:rsid w:val="008460B6"/>
    <w:rsid w:val="008473BD"/>
    <w:rsid w:val="00850C9D"/>
    <w:rsid w:val="008513C2"/>
    <w:rsid w:val="00851DF5"/>
    <w:rsid w:val="00852B59"/>
    <w:rsid w:val="00856272"/>
    <w:rsid w:val="008563FF"/>
    <w:rsid w:val="008571C9"/>
    <w:rsid w:val="0086018B"/>
    <w:rsid w:val="00860CEB"/>
    <w:rsid w:val="008611DD"/>
    <w:rsid w:val="008620DE"/>
    <w:rsid w:val="0086360C"/>
    <w:rsid w:val="008636CE"/>
    <w:rsid w:val="00863E08"/>
    <w:rsid w:val="0086400D"/>
    <w:rsid w:val="00865003"/>
    <w:rsid w:val="00865F26"/>
    <w:rsid w:val="00866867"/>
    <w:rsid w:val="00870376"/>
    <w:rsid w:val="00872257"/>
    <w:rsid w:val="008730B9"/>
    <w:rsid w:val="008753E6"/>
    <w:rsid w:val="00875DEC"/>
    <w:rsid w:val="0087738C"/>
    <w:rsid w:val="008802AF"/>
    <w:rsid w:val="008803EC"/>
    <w:rsid w:val="00880F5A"/>
    <w:rsid w:val="00881926"/>
    <w:rsid w:val="00881C48"/>
    <w:rsid w:val="0088318F"/>
    <w:rsid w:val="0088331D"/>
    <w:rsid w:val="008852B0"/>
    <w:rsid w:val="00885AE7"/>
    <w:rsid w:val="00886B60"/>
    <w:rsid w:val="00887889"/>
    <w:rsid w:val="00890F44"/>
    <w:rsid w:val="00891E9F"/>
    <w:rsid w:val="008920FF"/>
    <w:rsid w:val="008926E8"/>
    <w:rsid w:val="00892883"/>
    <w:rsid w:val="00893C53"/>
    <w:rsid w:val="00893D83"/>
    <w:rsid w:val="00894F19"/>
    <w:rsid w:val="0089679A"/>
    <w:rsid w:val="00896A10"/>
    <w:rsid w:val="008971B5"/>
    <w:rsid w:val="008A376A"/>
    <w:rsid w:val="008A5D26"/>
    <w:rsid w:val="008A6B13"/>
    <w:rsid w:val="008A6ECB"/>
    <w:rsid w:val="008B0AC6"/>
    <w:rsid w:val="008B0BF9"/>
    <w:rsid w:val="008B279E"/>
    <w:rsid w:val="008B2866"/>
    <w:rsid w:val="008B3859"/>
    <w:rsid w:val="008B436D"/>
    <w:rsid w:val="008B4E49"/>
    <w:rsid w:val="008B7712"/>
    <w:rsid w:val="008B7B26"/>
    <w:rsid w:val="008B7D29"/>
    <w:rsid w:val="008C03AD"/>
    <w:rsid w:val="008C2B29"/>
    <w:rsid w:val="008C3524"/>
    <w:rsid w:val="008C4061"/>
    <w:rsid w:val="008C4229"/>
    <w:rsid w:val="008C5027"/>
    <w:rsid w:val="008C5388"/>
    <w:rsid w:val="008C5BE0"/>
    <w:rsid w:val="008C6C8A"/>
    <w:rsid w:val="008C6D09"/>
    <w:rsid w:val="008C7233"/>
    <w:rsid w:val="008C7467"/>
    <w:rsid w:val="008D15BD"/>
    <w:rsid w:val="008D2434"/>
    <w:rsid w:val="008D2B5B"/>
    <w:rsid w:val="008D3B3E"/>
    <w:rsid w:val="008D4BD9"/>
    <w:rsid w:val="008D5B0F"/>
    <w:rsid w:val="008D6C14"/>
    <w:rsid w:val="008E171D"/>
    <w:rsid w:val="008E2785"/>
    <w:rsid w:val="008E4389"/>
    <w:rsid w:val="008E680D"/>
    <w:rsid w:val="008E78A3"/>
    <w:rsid w:val="008F0654"/>
    <w:rsid w:val="008F06CB"/>
    <w:rsid w:val="008F26CF"/>
    <w:rsid w:val="008F2E83"/>
    <w:rsid w:val="008F612A"/>
    <w:rsid w:val="0090293D"/>
    <w:rsid w:val="00902D3B"/>
    <w:rsid w:val="00902D67"/>
    <w:rsid w:val="009034DE"/>
    <w:rsid w:val="00904D28"/>
    <w:rsid w:val="00905396"/>
    <w:rsid w:val="0090605D"/>
    <w:rsid w:val="00906419"/>
    <w:rsid w:val="00911A6C"/>
    <w:rsid w:val="0091249A"/>
    <w:rsid w:val="00912889"/>
    <w:rsid w:val="00913A42"/>
    <w:rsid w:val="00913A8C"/>
    <w:rsid w:val="00914167"/>
    <w:rsid w:val="009143DB"/>
    <w:rsid w:val="00915065"/>
    <w:rsid w:val="00917CE5"/>
    <w:rsid w:val="00921359"/>
    <w:rsid w:val="009217C0"/>
    <w:rsid w:val="00925241"/>
    <w:rsid w:val="00925CEC"/>
    <w:rsid w:val="00926A3F"/>
    <w:rsid w:val="00926BCD"/>
    <w:rsid w:val="009271A4"/>
    <w:rsid w:val="0092794E"/>
    <w:rsid w:val="009304E1"/>
    <w:rsid w:val="00930D30"/>
    <w:rsid w:val="00931007"/>
    <w:rsid w:val="0093222F"/>
    <w:rsid w:val="009332A2"/>
    <w:rsid w:val="00937598"/>
    <w:rsid w:val="009378BD"/>
    <w:rsid w:val="0093790B"/>
    <w:rsid w:val="00941BAB"/>
    <w:rsid w:val="00943751"/>
    <w:rsid w:val="00946DD0"/>
    <w:rsid w:val="009509E6"/>
    <w:rsid w:val="00952018"/>
    <w:rsid w:val="009523A8"/>
    <w:rsid w:val="00952800"/>
    <w:rsid w:val="0095300D"/>
    <w:rsid w:val="00956812"/>
    <w:rsid w:val="0095719A"/>
    <w:rsid w:val="00957E30"/>
    <w:rsid w:val="0096095D"/>
    <w:rsid w:val="009614C2"/>
    <w:rsid w:val="00961A06"/>
    <w:rsid w:val="009623E9"/>
    <w:rsid w:val="00963EEB"/>
    <w:rsid w:val="009648BC"/>
    <w:rsid w:val="00964C2F"/>
    <w:rsid w:val="00965F88"/>
    <w:rsid w:val="00967C15"/>
    <w:rsid w:val="00970748"/>
    <w:rsid w:val="00971A81"/>
    <w:rsid w:val="00975275"/>
    <w:rsid w:val="00975414"/>
    <w:rsid w:val="00976D2C"/>
    <w:rsid w:val="00982EDB"/>
    <w:rsid w:val="00983AD6"/>
    <w:rsid w:val="00983CE5"/>
    <w:rsid w:val="00984E03"/>
    <w:rsid w:val="00987E85"/>
    <w:rsid w:val="00990D00"/>
    <w:rsid w:val="00993046"/>
    <w:rsid w:val="0099750E"/>
    <w:rsid w:val="009A0D12"/>
    <w:rsid w:val="009A1987"/>
    <w:rsid w:val="009A2BEE"/>
    <w:rsid w:val="009A5289"/>
    <w:rsid w:val="009A6733"/>
    <w:rsid w:val="009A74E3"/>
    <w:rsid w:val="009A7A53"/>
    <w:rsid w:val="009B0402"/>
    <w:rsid w:val="009B0B75"/>
    <w:rsid w:val="009B0E5C"/>
    <w:rsid w:val="009B1066"/>
    <w:rsid w:val="009B16DF"/>
    <w:rsid w:val="009B28B7"/>
    <w:rsid w:val="009B4CB2"/>
    <w:rsid w:val="009B6701"/>
    <w:rsid w:val="009B67BA"/>
    <w:rsid w:val="009B6A6E"/>
    <w:rsid w:val="009B6A92"/>
    <w:rsid w:val="009B6EF7"/>
    <w:rsid w:val="009B7000"/>
    <w:rsid w:val="009B739C"/>
    <w:rsid w:val="009B7BB0"/>
    <w:rsid w:val="009B7CEA"/>
    <w:rsid w:val="009C04EC"/>
    <w:rsid w:val="009C2DF7"/>
    <w:rsid w:val="009C328C"/>
    <w:rsid w:val="009C4444"/>
    <w:rsid w:val="009C6DB2"/>
    <w:rsid w:val="009C79AD"/>
    <w:rsid w:val="009C7CA6"/>
    <w:rsid w:val="009D0785"/>
    <w:rsid w:val="009D07AE"/>
    <w:rsid w:val="009D0E50"/>
    <w:rsid w:val="009D1D32"/>
    <w:rsid w:val="009D3316"/>
    <w:rsid w:val="009D5108"/>
    <w:rsid w:val="009D55AA"/>
    <w:rsid w:val="009D633D"/>
    <w:rsid w:val="009D724B"/>
    <w:rsid w:val="009E0206"/>
    <w:rsid w:val="009E108E"/>
    <w:rsid w:val="009E1365"/>
    <w:rsid w:val="009E2081"/>
    <w:rsid w:val="009E316E"/>
    <w:rsid w:val="009E3E77"/>
    <w:rsid w:val="009E3FAB"/>
    <w:rsid w:val="009E4B6B"/>
    <w:rsid w:val="009E4D4D"/>
    <w:rsid w:val="009E5B3F"/>
    <w:rsid w:val="009E6A1E"/>
    <w:rsid w:val="009E7D90"/>
    <w:rsid w:val="009F1AB0"/>
    <w:rsid w:val="009F2D9A"/>
    <w:rsid w:val="009F501D"/>
    <w:rsid w:val="009F57D3"/>
    <w:rsid w:val="00A02438"/>
    <w:rsid w:val="00A039D5"/>
    <w:rsid w:val="00A03B2E"/>
    <w:rsid w:val="00A0422A"/>
    <w:rsid w:val="00A046AD"/>
    <w:rsid w:val="00A04AF5"/>
    <w:rsid w:val="00A079C1"/>
    <w:rsid w:val="00A12520"/>
    <w:rsid w:val="00A12D14"/>
    <w:rsid w:val="00A130FD"/>
    <w:rsid w:val="00A13D6D"/>
    <w:rsid w:val="00A1422E"/>
    <w:rsid w:val="00A14769"/>
    <w:rsid w:val="00A14D21"/>
    <w:rsid w:val="00A16151"/>
    <w:rsid w:val="00A16EC6"/>
    <w:rsid w:val="00A17C06"/>
    <w:rsid w:val="00A2126E"/>
    <w:rsid w:val="00A21706"/>
    <w:rsid w:val="00A24FCC"/>
    <w:rsid w:val="00A2659E"/>
    <w:rsid w:val="00A26A90"/>
    <w:rsid w:val="00A26ADB"/>
    <w:rsid w:val="00A26B27"/>
    <w:rsid w:val="00A26D02"/>
    <w:rsid w:val="00A27F84"/>
    <w:rsid w:val="00A30E4F"/>
    <w:rsid w:val="00A32253"/>
    <w:rsid w:val="00A3310E"/>
    <w:rsid w:val="00A333A0"/>
    <w:rsid w:val="00A368C1"/>
    <w:rsid w:val="00A37E70"/>
    <w:rsid w:val="00A42EFF"/>
    <w:rsid w:val="00A437E1"/>
    <w:rsid w:val="00A43CD4"/>
    <w:rsid w:val="00A4685E"/>
    <w:rsid w:val="00A47EA8"/>
    <w:rsid w:val="00A50CD4"/>
    <w:rsid w:val="00A51191"/>
    <w:rsid w:val="00A5470C"/>
    <w:rsid w:val="00A56D62"/>
    <w:rsid w:val="00A56F07"/>
    <w:rsid w:val="00A56F64"/>
    <w:rsid w:val="00A5762C"/>
    <w:rsid w:val="00A600FC"/>
    <w:rsid w:val="00A60BCA"/>
    <w:rsid w:val="00A6297B"/>
    <w:rsid w:val="00A638DA"/>
    <w:rsid w:val="00A644A6"/>
    <w:rsid w:val="00A64A90"/>
    <w:rsid w:val="00A65B41"/>
    <w:rsid w:val="00A65E00"/>
    <w:rsid w:val="00A66A78"/>
    <w:rsid w:val="00A7032C"/>
    <w:rsid w:val="00A7264B"/>
    <w:rsid w:val="00A7436E"/>
    <w:rsid w:val="00A74E96"/>
    <w:rsid w:val="00A75A8E"/>
    <w:rsid w:val="00A7738D"/>
    <w:rsid w:val="00A824DD"/>
    <w:rsid w:val="00A83676"/>
    <w:rsid w:val="00A83B7B"/>
    <w:rsid w:val="00A84274"/>
    <w:rsid w:val="00A850F3"/>
    <w:rsid w:val="00A864E3"/>
    <w:rsid w:val="00A94574"/>
    <w:rsid w:val="00A95936"/>
    <w:rsid w:val="00A95ED4"/>
    <w:rsid w:val="00A96265"/>
    <w:rsid w:val="00A97084"/>
    <w:rsid w:val="00AA0976"/>
    <w:rsid w:val="00AA1C2C"/>
    <w:rsid w:val="00AA35F6"/>
    <w:rsid w:val="00AA667C"/>
    <w:rsid w:val="00AA6E91"/>
    <w:rsid w:val="00AA7439"/>
    <w:rsid w:val="00AB047E"/>
    <w:rsid w:val="00AB0B0A"/>
    <w:rsid w:val="00AB0BB7"/>
    <w:rsid w:val="00AB1315"/>
    <w:rsid w:val="00AB1E1D"/>
    <w:rsid w:val="00AB22C6"/>
    <w:rsid w:val="00AB2AD0"/>
    <w:rsid w:val="00AB2BBE"/>
    <w:rsid w:val="00AB3B21"/>
    <w:rsid w:val="00AB4F01"/>
    <w:rsid w:val="00AB5D5B"/>
    <w:rsid w:val="00AB67FC"/>
    <w:rsid w:val="00AC00F2"/>
    <w:rsid w:val="00AC0628"/>
    <w:rsid w:val="00AC31B5"/>
    <w:rsid w:val="00AC4248"/>
    <w:rsid w:val="00AC4EA1"/>
    <w:rsid w:val="00AC5381"/>
    <w:rsid w:val="00AC56C8"/>
    <w:rsid w:val="00AC5920"/>
    <w:rsid w:val="00AC5E67"/>
    <w:rsid w:val="00AC7B45"/>
    <w:rsid w:val="00AD0E65"/>
    <w:rsid w:val="00AD1815"/>
    <w:rsid w:val="00AD2BF2"/>
    <w:rsid w:val="00AD4E90"/>
    <w:rsid w:val="00AD5422"/>
    <w:rsid w:val="00AD5FB7"/>
    <w:rsid w:val="00AD6E33"/>
    <w:rsid w:val="00AE02CD"/>
    <w:rsid w:val="00AE105A"/>
    <w:rsid w:val="00AE1270"/>
    <w:rsid w:val="00AE25BF"/>
    <w:rsid w:val="00AE4179"/>
    <w:rsid w:val="00AE4425"/>
    <w:rsid w:val="00AE4484"/>
    <w:rsid w:val="00AE4FBE"/>
    <w:rsid w:val="00AE5D5E"/>
    <w:rsid w:val="00AE650F"/>
    <w:rsid w:val="00AE6555"/>
    <w:rsid w:val="00AE7D16"/>
    <w:rsid w:val="00AF00CF"/>
    <w:rsid w:val="00AF1E26"/>
    <w:rsid w:val="00AF3645"/>
    <w:rsid w:val="00AF4CAA"/>
    <w:rsid w:val="00AF571A"/>
    <w:rsid w:val="00AF60A0"/>
    <w:rsid w:val="00AF67FC"/>
    <w:rsid w:val="00AF7DF5"/>
    <w:rsid w:val="00B006E5"/>
    <w:rsid w:val="00B00CD5"/>
    <w:rsid w:val="00B024C2"/>
    <w:rsid w:val="00B0378E"/>
    <w:rsid w:val="00B07700"/>
    <w:rsid w:val="00B07866"/>
    <w:rsid w:val="00B13137"/>
    <w:rsid w:val="00B13921"/>
    <w:rsid w:val="00B1528C"/>
    <w:rsid w:val="00B16ACD"/>
    <w:rsid w:val="00B17EB4"/>
    <w:rsid w:val="00B2045E"/>
    <w:rsid w:val="00B21487"/>
    <w:rsid w:val="00B2327F"/>
    <w:rsid w:val="00B232D1"/>
    <w:rsid w:val="00B2474A"/>
    <w:rsid w:val="00B24DB5"/>
    <w:rsid w:val="00B254B7"/>
    <w:rsid w:val="00B31F9E"/>
    <w:rsid w:val="00B3268F"/>
    <w:rsid w:val="00B32C2C"/>
    <w:rsid w:val="00B33184"/>
    <w:rsid w:val="00B33A1A"/>
    <w:rsid w:val="00B33E6C"/>
    <w:rsid w:val="00B371CC"/>
    <w:rsid w:val="00B403FE"/>
    <w:rsid w:val="00B41CD9"/>
    <w:rsid w:val="00B423CE"/>
    <w:rsid w:val="00B427E6"/>
    <w:rsid w:val="00B428A6"/>
    <w:rsid w:val="00B42DDA"/>
    <w:rsid w:val="00B43E1F"/>
    <w:rsid w:val="00B45FBC"/>
    <w:rsid w:val="00B51A7D"/>
    <w:rsid w:val="00B530D7"/>
    <w:rsid w:val="00B535C2"/>
    <w:rsid w:val="00B55544"/>
    <w:rsid w:val="00B632A5"/>
    <w:rsid w:val="00B642FC"/>
    <w:rsid w:val="00B64D26"/>
    <w:rsid w:val="00B64D70"/>
    <w:rsid w:val="00B64FBB"/>
    <w:rsid w:val="00B666F3"/>
    <w:rsid w:val="00B70058"/>
    <w:rsid w:val="00B7087A"/>
    <w:rsid w:val="00B70E22"/>
    <w:rsid w:val="00B7189C"/>
    <w:rsid w:val="00B74055"/>
    <w:rsid w:val="00B773C8"/>
    <w:rsid w:val="00B774CB"/>
    <w:rsid w:val="00B80402"/>
    <w:rsid w:val="00B80753"/>
    <w:rsid w:val="00B80B9A"/>
    <w:rsid w:val="00B811FC"/>
    <w:rsid w:val="00B830B7"/>
    <w:rsid w:val="00B848EA"/>
    <w:rsid w:val="00B84B2B"/>
    <w:rsid w:val="00B87B53"/>
    <w:rsid w:val="00B90500"/>
    <w:rsid w:val="00B9176C"/>
    <w:rsid w:val="00B91963"/>
    <w:rsid w:val="00B927A8"/>
    <w:rsid w:val="00B92D3E"/>
    <w:rsid w:val="00B935A4"/>
    <w:rsid w:val="00B941B9"/>
    <w:rsid w:val="00B94841"/>
    <w:rsid w:val="00BA30A8"/>
    <w:rsid w:val="00BA561A"/>
    <w:rsid w:val="00BA6712"/>
    <w:rsid w:val="00BA71A9"/>
    <w:rsid w:val="00BA7A60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78A"/>
    <w:rsid w:val="00BC62FB"/>
    <w:rsid w:val="00BC6E62"/>
    <w:rsid w:val="00BC7443"/>
    <w:rsid w:val="00BD0648"/>
    <w:rsid w:val="00BD1040"/>
    <w:rsid w:val="00BD34AA"/>
    <w:rsid w:val="00BD7E63"/>
    <w:rsid w:val="00BE0C44"/>
    <w:rsid w:val="00BE1B8B"/>
    <w:rsid w:val="00BE263E"/>
    <w:rsid w:val="00BE264C"/>
    <w:rsid w:val="00BE2A18"/>
    <w:rsid w:val="00BE2C01"/>
    <w:rsid w:val="00BE32A4"/>
    <w:rsid w:val="00BE39B0"/>
    <w:rsid w:val="00BE3ADA"/>
    <w:rsid w:val="00BE41EC"/>
    <w:rsid w:val="00BE56FB"/>
    <w:rsid w:val="00BE67C1"/>
    <w:rsid w:val="00BF1796"/>
    <w:rsid w:val="00BF3163"/>
    <w:rsid w:val="00BF3DDE"/>
    <w:rsid w:val="00BF4693"/>
    <w:rsid w:val="00BF6079"/>
    <w:rsid w:val="00BF6589"/>
    <w:rsid w:val="00BF6F7F"/>
    <w:rsid w:val="00C00647"/>
    <w:rsid w:val="00C02764"/>
    <w:rsid w:val="00C03997"/>
    <w:rsid w:val="00C04CEF"/>
    <w:rsid w:val="00C04F6F"/>
    <w:rsid w:val="00C0662F"/>
    <w:rsid w:val="00C06699"/>
    <w:rsid w:val="00C10868"/>
    <w:rsid w:val="00C110B5"/>
    <w:rsid w:val="00C11943"/>
    <w:rsid w:val="00C11ABA"/>
    <w:rsid w:val="00C11DF7"/>
    <w:rsid w:val="00C12E96"/>
    <w:rsid w:val="00C14763"/>
    <w:rsid w:val="00C147C8"/>
    <w:rsid w:val="00C16141"/>
    <w:rsid w:val="00C21545"/>
    <w:rsid w:val="00C2363F"/>
    <w:rsid w:val="00C236C8"/>
    <w:rsid w:val="00C260B1"/>
    <w:rsid w:val="00C26E56"/>
    <w:rsid w:val="00C31406"/>
    <w:rsid w:val="00C37194"/>
    <w:rsid w:val="00C40637"/>
    <w:rsid w:val="00C40F6C"/>
    <w:rsid w:val="00C419B7"/>
    <w:rsid w:val="00C434AD"/>
    <w:rsid w:val="00C4369E"/>
    <w:rsid w:val="00C44426"/>
    <w:rsid w:val="00C445F3"/>
    <w:rsid w:val="00C451F4"/>
    <w:rsid w:val="00C45EB1"/>
    <w:rsid w:val="00C47FFE"/>
    <w:rsid w:val="00C5092D"/>
    <w:rsid w:val="00C522A6"/>
    <w:rsid w:val="00C54A3A"/>
    <w:rsid w:val="00C55566"/>
    <w:rsid w:val="00C56448"/>
    <w:rsid w:val="00C60172"/>
    <w:rsid w:val="00C617F2"/>
    <w:rsid w:val="00C634FA"/>
    <w:rsid w:val="00C63682"/>
    <w:rsid w:val="00C64D7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C07"/>
    <w:rsid w:val="00C84C47"/>
    <w:rsid w:val="00C858A4"/>
    <w:rsid w:val="00C85CE5"/>
    <w:rsid w:val="00C86AFA"/>
    <w:rsid w:val="00C93CBA"/>
    <w:rsid w:val="00C94628"/>
    <w:rsid w:val="00CA67CF"/>
    <w:rsid w:val="00CA6D83"/>
    <w:rsid w:val="00CA70A4"/>
    <w:rsid w:val="00CB18D0"/>
    <w:rsid w:val="00CB1C8A"/>
    <w:rsid w:val="00CB24F5"/>
    <w:rsid w:val="00CB2663"/>
    <w:rsid w:val="00CB3BBE"/>
    <w:rsid w:val="00CB557A"/>
    <w:rsid w:val="00CB59E9"/>
    <w:rsid w:val="00CB7B17"/>
    <w:rsid w:val="00CC0089"/>
    <w:rsid w:val="00CC0D6A"/>
    <w:rsid w:val="00CC1AB4"/>
    <w:rsid w:val="00CC3831"/>
    <w:rsid w:val="00CC3E3D"/>
    <w:rsid w:val="00CC491C"/>
    <w:rsid w:val="00CC519B"/>
    <w:rsid w:val="00CC5EB5"/>
    <w:rsid w:val="00CD12C1"/>
    <w:rsid w:val="00CD2112"/>
    <w:rsid w:val="00CD214E"/>
    <w:rsid w:val="00CD2DE0"/>
    <w:rsid w:val="00CD46FA"/>
    <w:rsid w:val="00CD532C"/>
    <w:rsid w:val="00CD5973"/>
    <w:rsid w:val="00CE0A5A"/>
    <w:rsid w:val="00CE31A6"/>
    <w:rsid w:val="00CE425E"/>
    <w:rsid w:val="00CE7B28"/>
    <w:rsid w:val="00CE7E43"/>
    <w:rsid w:val="00CF09AA"/>
    <w:rsid w:val="00CF4813"/>
    <w:rsid w:val="00CF5233"/>
    <w:rsid w:val="00D00081"/>
    <w:rsid w:val="00D029B8"/>
    <w:rsid w:val="00D02F60"/>
    <w:rsid w:val="00D0464E"/>
    <w:rsid w:val="00D04A96"/>
    <w:rsid w:val="00D05E27"/>
    <w:rsid w:val="00D07A7B"/>
    <w:rsid w:val="00D10E06"/>
    <w:rsid w:val="00D127E4"/>
    <w:rsid w:val="00D14152"/>
    <w:rsid w:val="00D146B3"/>
    <w:rsid w:val="00D15197"/>
    <w:rsid w:val="00D16820"/>
    <w:rsid w:val="00D169C8"/>
    <w:rsid w:val="00D16EF3"/>
    <w:rsid w:val="00D1793F"/>
    <w:rsid w:val="00D20795"/>
    <w:rsid w:val="00D22458"/>
    <w:rsid w:val="00D22AF5"/>
    <w:rsid w:val="00D23072"/>
    <w:rsid w:val="00D23108"/>
    <w:rsid w:val="00D235EA"/>
    <w:rsid w:val="00D245A7"/>
    <w:rsid w:val="00D247A9"/>
    <w:rsid w:val="00D255C3"/>
    <w:rsid w:val="00D25976"/>
    <w:rsid w:val="00D26984"/>
    <w:rsid w:val="00D27861"/>
    <w:rsid w:val="00D32721"/>
    <w:rsid w:val="00D328DC"/>
    <w:rsid w:val="00D33387"/>
    <w:rsid w:val="00D35F69"/>
    <w:rsid w:val="00D402FB"/>
    <w:rsid w:val="00D404F1"/>
    <w:rsid w:val="00D41BE7"/>
    <w:rsid w:val="00D43A59"/>
    <w:rsid w:val="00D45479"/>
    <w:rsid w:val="00D47D7A"/>
    <w:rsid w:val="00D50ABD"/>
    <w:rsid w:val="00D55290"/>
    <w:rsid w:val="00D553A2"/>
    <w:rsid w:val="00D56FFE"/>
    <w:rsid w:val="00D5717E"/>
    <w:rsid w:val="00D57791"/>
    <w:rsid w:val="00D6046A"/>
    <w:rsid w:val="00D6056E"/>
    <w:rsid w:val="00D61622"/>
    <w:rsid w:val="00D61670"/>
    <w:rsid w:val="00D62870"/>
    <w:rsid w:val="00D65091"/>
    <w:rsid w:val="00D655D9"/>
    <w:rsid w:val="00D65650"/>
    <w:rsid w:val="00D65872"/>
    <w:rsid w:val="00D676F3"/>
    <w:rsid w:val="00D70EF5"/>
    <w:rsid w:val="00D71024"/>
    <w:rsid w:val="00D71A25"/>
    <w:rsid w:val="00D71D50"/>
    <w:rsid w:val="00D71FCF"/>
    <w:rsid w:val="00D72A54"/>
    <w:rsid w:val="00D72CC1"/>
    <w:rsid w:val="00D7346B"/>
    <w:rsid w:val="00D73B17"/>
    <w:rsid w:val="00D749A0"/>
    <w:rsid w:val="00D75A07"/>
    <w:rsid w:val="00D76EC9"/>
    <w:rsid w:val="00D80A35"/>
    <w:rsid w:val="00D80E7D"/>
    <w:rsid w:val="00D81397"/>
    <w:rsid w:val="00D848B9"/>
    <w:rsid w:val="00D90E69"/>
    <w:rsid w:val="00D91368"/>
    <w:rsid w:val="00D93106"/>
    <w:rsid w:val="00D933E9"/>
    <w:rsid w:val="00D94D15"/>
    <w:rsid w:val="00D9505D"/>
    <w:rsid w:val="00D953D0"/>
    <w:rsid w:val="00D959F5"/>
    <w:rsid w:val="00D96884"/>
    <w:rsid w:val="00D9764A"/>
    <w:rsid w:val="00DA3FDD"/>
    <w:rsid w:val="00DA7017"/>
    <w:rsid w:val="00DA7028"/>
    <w:rsid w:val="00DB1AD2"/>
    <w:rsid w:val="00DB2B58"/>
    <w:rsid w:val="00DB2E60"/>
    <w:rsid w:val="00DB5206"/>
    <w:rsid w:val="00DB5A75"/>
    <w:rsid w:val="00DB6276"/>
    <w:rsid w:val="00DB6341"/>
    <w:rsid w:val="00DB63F5"/>
    <w:rsid w:val="00DB64FC"/>
    <w:rsid w:val="00DB6615"/>
    <w:rsid w:val="00DC0BBA"/>
    <w:rsid w:val="00DC0F90"/>
    <w:rsid w:val="00DC1C6B"/>
    <w:rsid w:val="00DC1F8B"/>
    <w:rsid w:val="00DC2C2E"/>
    <w:rsid w:val="00DC4AF0"/>
    <w:rsid w:val="00DC503D"/>
    <w:rsid w:val="00DC7886"/>
    <w:rsid w:val="00DD0CF2"/>
    <w:rsid w:val="00DD24A2"/>
    <w:rsid w:val="00DD2802"/>
    <w:rsid w:val="00DE1554"/>
    <w:rsid w:val="00DE1E47"/>
    <w:rsid w:val="00DE2901"/>
    <w:rsid w:val="00DE3688"/>
    <w:rsid w:val="00DE590F"/>
    <w:rsid w:val="00DE6BC0"/>
    <w:rsid w:val="00DE7DC1"/>
    <w:rsid w:val="00DF1B2E"/>
    <w:rsid w:val="00DF20C5"/>
    <w:rsid w:val="00DF2140"/>
    <w:rsid w:val="00DF2784"/>
    <w:rsid w:val="00DF34C1"/>
    <w:rsid w:val="00DF3F7E"/>
    <w:rsid w:val="00DF4DFD"/>
    <w:rsid w:val="00DF7648"/>
    <w:rsid w:val="00E00E29"/>
    <w:rsid w:val="00E02BAB"/>
    <w:rsid w:val="00E04CEB"/>
    <w:rsid w:val="00E059B1"/>
    <w:rsid w:val="00E060BC"/>
    <w:rsid w:val="00E0730A"/>
    <w:rsid w:val="00E10E11"/>
    <w:rsid w:val="00E11420"/>
    <w:rsid w:val="00E12934"/>
    <w:rsid w:val="00E132FB"/>
    <w:rsid w:val="00E149DD"/>
    <w:rsid w:val="00E170B7"/>
    <w:rsid w:val="00E177DD"/>
    <w:rsid w:val="00E20900"/>
    <w:rsid w:val="00E20C7F"/>
    <w:rsid w:val="00E237D8"/>
    <w:rsid w:val="00E2396E"/>
    <w:rsid w:val="00E24728"/>
    <w:rsid w:val="00E276AC"/>
    <w:rsid w:val="00E30447"/>
    <w:rsid w:val="00E31BB7"/>
    <w:rsid w:val="00E34A35"/>
    <w:rsid w:val="00E37C2F"/>
    <w:rsid w:val="00E400C8"/>
    <w:rsid w:val="00E41584"/>
    <w:rsid w:val="00E41C28"/>
    <w:rsid w:val="00E43344"/>
    <w:rsid w:val="00E46308"/>
    <w:rsid w:val="00E467EC"/>
    <w:rsid w:val="00E47A02"/>
    <w:rsid w:val="00E51E17"/>
    <w:rsid w:val="00E52DAB"/>
    <w:rsid w:val="00E539B0"/>
    <w:rsid w:val="00E55994"/>
    <w:rsid w:val="00E57574"/>
    <w:rsid w:val="00E57CD3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333"/>
    <w:rsid w:val="00E71208"/>
    <w:rsid w:val="00E71444"/>
    <w:rsid w:val="00E71C91"/>
    <w:rsid w:val="00E720A1"/>
    <w:rsid w:val="00E724EC"/>
    <w:rsid w:val="00E75DDA"/>
    <w:rsid w:val="00E773E8"/>
    <w:rsid w:val="00E812AE"/>
    <w:rsid w:val="00E82659"/>
    <w:rsid w:val="00E83ADD"/>
    <w:rsid w:val="00E83AEC"/>
    <w:rsid w:val="00E84D45"/>
    <w:rsid w:val="00E84F38"/>
    <w:rsid w:val="00E85623"/>
    <w:rsid w:val="00E87441"/>
    <w:rsid w:val="00E916E6"/>
    <w:rsid w:val="00E91FAE"/>
    <w:rsid w:val="00E96E3F"/>
    <w:rsid w:val="00EA0558"/>
    <w:rsid w:val="00EA06AE"/>
    <w:rsid w:val="00EA0803"/>
    <w:rsid w:val="00EA0DEC"/>
    <w:rsid w:val="00EA270C"/>
    <w:rsid w:val="00EA28C1"/>
    <w:rsid w:val="00EA4974"/>
    <w:rsid w:val="00EA532E"/>
    <w:rsid w:val="00EA57AA"/>
    <w:rsid w:val="00EB06D9"/>
    <w:rsid w:val="00EB192B"/>
    <w:rsid w:val="00EB19ED"/>
    <w:rsid w:val="00EB1CAB"/>
    <w:rsid w:val="00EB1F19"/>
    <w:rsid w:val="00EB645F"/>
    <w:rsid w:val="00EC0F5A"/>
    <w:rsid w:val="00EC415F"/>
    <w:rsid w:val="00EC4265"/>
    <w:rsid w:val="00EC4592"/>
    <w:rsid w:val="00EC4A3B"/>
    <w:rsid w:val="00EC4CEB"/>
    <w:rsid w:val="00EC5AE5"/>
    <w:rsid w:val="00EC6191"/>
    <w:rsid w:val="00EC659E"/>
    <w:rsid w:val="00EC6CCF"/>
    <w:rsid w:val="00ED2072"/>
    <w:rsid w:val="00ED2AE0"/>
    <w:rsid w:val="00ED4BFB"/>
    <w:rsid w:val="00ED5553"/>
    <w:rsid w:val="00ED5B60"/>
    <w:rsid w:val="00ED5E36"/>
    <w:rsid w:val="00ED6961"/>
    <w:rsid w:val="00ED6A33"/>
    <w:rsid w:val="00EE5B19"/>
    <w:rsid w:val="00EE5FFF"/>
    <w:rsid w:val="00EE6290"/>
    <w:rsid w:val="00EF0B96"/>
    <w:rsid w:val="00EF0FB1"/>
    <w:rsid w:val="00EF3486"/>
    <w:rsid w:val="00EF47AF"/>
    <w:rsid w:val="00EF53B6"/>
    <w:rsid w:val="00EF78CD"/>
    <w:rsid w:val="00F00A48"/>
    <w:rsid w:val="00F00A81"/>
    <w:rsid w:val="00F00B73"/>
    <w:rsid w:val="00F0128D"/>
    <w:rsid w:val="00F02654"/>
    <w:rsid w:val="00F115CA"/>
    <w:rsid w:val="00F120B5"/>
    <w:rsid w:val="00F14817"/>
    <w:rsid w:val="00F14EBA"/>
    <w:rsid w:val="00F1510F"/>
    <w:rsid w:val="00F1533A"/>
    <w:rsid w:val="00F15E5A"/>
    <w:rsid w:val="00F1666C"/>
    <w:rsid w:val="00F17C73"/>
    <w:rsid w:val="00F17C75"/>
    <w:rsid w:val="00F17F0A"/>
    <w:rsid w:val="00F23ABA"/>
    <w:rsid w:val="00F24E9E"/>
    <w:rsid w:val="00F2668F"/>
    <w:rsid w:val="00F26DDF"/>
    <w:rsid w:val="00F2742F"/>
    <w:rsid w:val="00F2753B"/>
    <w:rsid w:val="00F310A6"/>
    <w:rsid w:val="00F31DF9"/>
    <w:rsid w:val="00F33F8B"/>
    <w:rsid w:val="00F340B2"/>
    <w:rsid w:val="00F40A4C"/>
    <w:rsid w:val="00F43390"/>
    <w:rsid w:val="00F443B2"/>
    <w:rsid w:val="00F458D8"/>
    <w:rsid w:val="00F47684"/>
    <w:rsid w:val="00F50237"/>
    <w:rsid w:val="00F529AE"/>
    <w:rsid w:val="00F53596"/>
    <w:rsid w:val="00F55BA8"/>
    <w:rsid w:val="00F55DB1"/>
    <w:rsid w:val="00F56ACA"/>
    <w:rsid w:val="00F600FE"/>
    <w:rsid w:val="00F601DB"/>
    <w:rsid w:val="00F610D5"/>
    <w:rsid w:val="00F62E4D"/>
    <w:rsid w:val="00F66939"/>
    <w:rsid w:val="00F66B34"/>
    <w:rsid w:val="00F675B9"/>
    <w:rsid w:val="00F70DE3"/>
    <w:rsid w:val="00F711C9"/>
    <w:rsid w:val="00F71841"/>
    <w:rsid w:val="00F71932"/>
    <w:rsid w:val="00F74C59"/>
    <w:rsid w:val="00F75C3A"/>
    <w:rsid w:val="00F7621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C82"/>
    <w:rsid w:val="00F9415B"/>
    <w:rsid w:val="00F9703C"/>
    <w:rsid w:val="00FA13C2"/>
    <w:rsid w:val="00FA3BD1"/>
    <w:rsid w:val="00FA47DD"/>
    <w:rsid w:val="00FA56AC"/>
    <w:rsid w:val="00FA5A86"/>
    <w:rsid w:val="00FA5CB8"/>
    <w:rsid w:val="00FA7F91"/>
    <w:rsid w:val="00FB0574"/>
    <w:rsid w:val="00FB121C"/>
    <w:rsid w:val="00FB1CDD"/>
    <w:rsid w:val="00FB1FBF"/>
    <w:rsid w:val="00FB2C2F"/>
    <w:rsid w:val="00FB305C"/>
    <w:rsid w:val="00FB3CE0"/>
    <w:rsid w:val="00FC2B00"/>
    <w:rsid w:val="00FC2E3D"/>
    <w:rsid w:val="00FC3BDE"/>
    <w:rsid w:val="00FC4DA8"/>
    <w:rsid w:val="00FC61BE"/>
    <w:rsid w:val="00FC7E57"/>
    <w:rsid w:val="00FD12B3"/>
    <w:rsid w:val="00FD1DBE"/>
    <w:rsid w:val="00FD25A7"/>
    <w:rsid w:val="00FD27B6"/>
    <w:rsid w:val="00FD33D2"/>
    <w:rsid w:val="00FD3689"/>
    <w:rsid w:val="00FD42A3"/>
    <w:rsid w:val="00FD5E4F"/>
    <w:rsid w:val="00FD7468"/>
    <w:rsid w:val="00FD7CE0"/>
    <w:rsid w:val="00FE007E"/>
    <w:rsid w:val="00FE0B3B"/>
    <w:rsid w:val="00FE10D2"/>
    <w:rsid w:val="00FE1BE2"/>
    <w:rsid w:val="00FE23EE"/>
    <w:rsid w:val="00FE3BEE"/>
    <w:rsid w:val="00FE5C5D"/>
    <w:rsid w:val="00FE6BBB"/>
    <w:rsid w:val="00FE730A"/>
    <w:rsid w:val="00FF1DD7"/>
    <w:rsid w:val="00FF4453"/>
    <w:rsid w:val="00FF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94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A01"/>
    <w:pPr>
      <w:spacing w:after="200" w:line="276" w:lineRule="auto"/>
    </w:pPr>
    <w:rPr>
      <w:rFonts w:ascii="Times New Roman" w:hAnsi="Times New Roman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10CE4"/>
    <w:pPr>
      <w:spacing w:line="240" w:lineRule="auto"/>
    </w:pPr>
    <w:rPr>
      <w:rFonts w:ascii="Times New Roman" w:hAnsi="Times New Roman"/>
      <w:szCs w:val="22"/>
    </w:rPr>
  </w:style>
  <w:style w:type="character" w:customStyle="1" w:styleId="UnresolvedMention">
    <w:name w:val="Unresolved Mention"/>
    <w:basedOn w:val="Domylnaczcionkaakapitu"/>
    <w:uiPriority w:val="99"/>
    <w:unhideWhenUsed/>
    <w:rsid w:val="009A74E3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rsid w:val="009A74E3"/>
    <w:rPr>
      <w:color w:val="2B579A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74E3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008481-AE13-4D15-BD69-3860672E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1911</Words>
  <Characters>11471</Characters>
  <Application>Microsoft Office Word</Application>
  <DocSecurity>0</DocSecurity>
  <Lines>95</Lines>
  <Paragraphs>26</Paragraphs>
  <ScaleCrop>false</ScaleCrop>
  <Manager/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2023-04-03T12:33:00Z</dcterms:created>
  <dcterms:modified xsi:type="dcterms:W3CDTF">2023-04-03T12:33:00Z</dcterms:modified>
  <cp:category/>
</cp:coreProperties>
</file>