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89374" w14:textId="77777777" w:rsidR="00914563" w:rsidRPr="00914563" w:rsidRDefault="00914563" w:rsidP="00914563">
      <w:pPr>
        <w:spacing w:after="120" w:line="360" w:lineRule="auto"/>
        <w:jc w:val="center"/>
        <w:outlineLvl w:val="0"/>
        <w:rPr>
          <w:rFonts w:ascii="Times New Roman" w:eastAsia="Times New Roman" w:hAnsi="Times New Roman" w:cs="Times New Roman"/>
          <w:b/>
          <w:sz w:val="24"/>
          <w:szCs w:val="24"/>
          <w:lang w:eastAsia="pl-PL"/>
        </w:rPr>
      </w:pPr>
      <w:bookmarkStart w:id="0" w:name="_GoBack"/>
      <w:bookmarkEnd w:id="0"/>
      <w:r w:rsidRPr="00914563">
        <w:rPr>
          <w:rFonts w:ascii="Times New Roman" w:eastAsia="Times New Roman" w:hAnsi="Times New Roman" w:cs="Times New Roman"/>
          <w:b/>
          <w:sz w:val="24"/>
          <w:szCs w:val="24"/>
          <w:lang w:eastAsia="pl-PL"/>
        </w:rPr>
        <w:t>UZASADNIENIE</w:t>
      </w:r>
    </w:p>
    <w:p w14:paraId="032DC84C" w14:textId="68F11EE3" w:rsidR="00914563" w:rsidRPr="00914563" w:rsidRDefault="00914563" w:rsidP="00914563">
      <w:pPr>
        <w:spacing w:after="0" w:line="360" w:lineRule="auto"/>
        <w:ind w:firstLine="708"/>
        <w:jc w:val="both"/>
        <w:rPr>
          <w:rFonts w:ascii="Times New Roman" w:eastAsia="Times New Roman" w:hAnsi="Times New Roman" w:cs="Times New Roman"/>
          <w:sz w:val="24"/>
          <w:szCs w:val="24"/>
          <w:lang w:eastAsia="pl-PL"/>
        </w:rPr>
      </w:pPr>
      <w:r w:rsidRPr="00914563">
        <w:rPr>
          <w:rFonts w:ascii="Times New Roman" w:eastAsia="Times New Roman" w:hAnsi="Times New Roman" w:cs="Times New Roman"/>
          <w:sz w:val="24"/>
          <w:szCs w:val="24"/>
          <w:lang w:eastAsia="pl-PL"/>
        </w:rPr>
        <w:t xml:space="preserve">Projekt rozporządzenia wykonuje upoważnienie zawarte w art. 33 ust. 2 ustawy </w:t>
      </w:r>
      <w:r w:rsidR="00C34EEA">
        <w:rPr>
          <w:rFonts w:ascii="Times New Roman" w:eastAsia="Times New Roman" w:hAnsi="Times New Roman" w:cs="Times New Roman"/>
          <w:sz w:val="24"/>
          <w:szCs w:val="24"/>
          <w:lang w:eastAsia="pl-PL"/>
        </w:rPr>
        <w:t xml:space="preserve">z </w:t>
      </w:r>
      <w:r w:rsidRPr="00914563">
        <w:rPr>
          <w:rFonts w:ascii="Times New Roman" w:eastAsia="Times New Roman" w:hAnsi="Times New Roman" w:cs="Times New Roman"/>
          <w:sz w:val="24"/>
          <w:szCs w:val="24"/>
          <w:lang w:eastAsia="pl-PL"/>
        </w:rPr>
        <w:t>dnia 24 sierpnia 1991 r. o ochronie przeciwpożarowej (Dz.</w:t>
      </w:r>
      <w:r w:rsidR="00305931">
        <w:rPr>
          <w:rFonts w:ascii="Times New Roman" w:eastAsia="Times New Roman" w:hAnsi="Times New Roman" w:cs="Times New Roman"/>
          <w:sz w:val="24"/>
          <w:szCs w:val="24"/>
          <w:lang w:eastAsia="pl-PL"/>
        </w:rPr>
        <w:t xml:space="preserve"> </w:t>
      </w:r>
      <w:r w:rsidRPr="00914563">
        <w:rPr>
          <w:rFonts w:ascii="Times New Roman" w:eastAsia="Times New Roman" w:hAnsi="Times New Roman" w:cs="Times New Roman"/>
          <w:sz w:val="24"/>
          <w:szCs w:val="24"/>
          <w:lang w:eastAsia="pl-PL"/>
        </w:rPr>
        <w:t>U.</w:t>
      </w:r>
      <w:r w:rsidR="00305931">
        <w:rPr>
          <w:rFonts w:ascii="Times New Roman" w:eastAsia="Times New Roman" w:hAnsi="Times New Roman" w:cs="Times New Roman"/>
          <w:sz w:val="24"/>
          <w:szCs w:val="24"/>
          <w:lang w:eastAsia="pl-PL"/>
        </w:rPr>
        <w:t xml:space="preserve"> </w:t>
      </w:r>
      <w:r w:rsidR="00DF3E25">
        <w:rPr>
          <w:rFonts w:ascii="Times New Roman" w:eastAsia="Times New Roman" w:hAnsi="Times New Roman" w:cs="Times New Roman"/>
          <w:sz w:val="24"/>
          <w:szCs w:val="24"/>
          <w:lang w:eastAsia="pl-PL"/>
        </w:rPr>
        <w:t xml:space="preserve">z </w:t>
      </w:r>
      <w:r w:rsidRPr="00914563">
        <w:rPr>
          <w:rFonts w:ascii="Times New Roman" w:eastAsia="Times New Roman" w:hAnsi="Times New Roman" w:cs="Times New Roman"/>
          <w:sz w:val="24"/>
          <w:szCs w:val="24"/>
          <w:lang w:eastAsia="pl-PL"/>
        </w:rPr>
        <w:t>20</w:t>
      </w:r>
      <w:r w:rsidR="00FC72F1">
        <w:rPr>
          <w:rFonts w:ascii="Times New Roman" w:eastAsia="Times New Roman" w:hAnsi="Times New Roman" w:cs="Times New Roman"/>
          <w:sz w:val="24"/>
          <w:szCs w:val="24"/>
          <w:lang w:eastAsia="pl-PL"/>
        </w:rPr>
        <w:t>2</w:t>
      </w:r>
      <w:r w:rsidR="004818A4">
        <w:rPr>
          <w:rFonts w:ascii="Times New Roman" w:eastAsia="Times New Roman" w:hAnsi="Times New Roman" w:cs="Times New Roman"/>
          <w:sz w:val="24"/>
          <w:szCs w:val="24"/>
          <w:lang w:eastAsia="pl-PL"/>
        </w:rPr>
        <w:t>2</w:t>
      </w:r>
      <w:r w:rsidRPr="00914563">
        <w:rPr>
          <w:rFonts w:ascii="Times New Roman" w:eastAsia="Times New Roman" w:hAnsi="Times New Roman" w:cs="Times New Roman"/>
          <w:sz w:val="24"/>
          <w:szCs w:val="24"/>
          <w:lang w:eastAsia="pl-PL"/>
        </w:rPr>
        <w:t xml:space="preserve"> r. poz.</w:t>
      </w:r>
      <w:r w:rsidR="004818A4">
        <w:rPr>
          <w:rFonts w:ascii="Times New Roman" w:eastAsia="Times New Roman" w:hAnsi="Times New Roman" w:cs="Times New Roman"/>
          <w:sz w:val="24"/>
          <w:szCs w:val="24"/>
          <w:lang w:eastAsia="pl-PL"/>
        </w:rPr>
        <w:t xml:space="preserve"> </w:t>
      </w:r>
      <w:r w:rsidR="0033329A">
        <w:rPr>
          <w:rFonts w:ascii="Times New Roman" w:eastAsia="Times New Roman" w:hAnsi="Times New Roman" w:cs="Times New Roman"/>
          <w:sz w:val="24"/>
          <w:szCs w:val="24"/>
          <w:lang w:eastAsia="pl-PL"/>
        </w:rPr>
        <w:t>2</w:t>
      </w:r>
      <w:r w:rsidR="004818A4">
        <w:rPr>
          <w:rFonts w:ascii="Times New Roman" w:eastAsia="Times New Roman" w:hAnsi="Times New Roman" w:cs="Times New Roman"/>
          <w:sz w:val="24"/>
          <w:szCs w:val="24"/>
          <w:lang w:eastAsia="pl-PL"/>
        </w:rPr>
        <w:t>057</w:t>
      </w:r>
      <w:r w:rsidR="00C34EEA">
        <w:rPr>
          <w:rFonts w:ascii="Times New Roman" w:eastAsia="Times New Roman" w:hAnsi="Times New Roman" w:cs="Times New Roman"/>
          <w:sz w:val="24"/>
          <w:szCs w:val="24"/>
          <w:lang w:eastAsia="pl-PL"/>
        </w:rPr>
        <w:t xml:space="preserve">). </w:t>
      </w:r>
      <w:r w:rsidRPr="00914563">
        <w:rPr>
          <w:rFonts w:ascii="Times New Roman" w:eastAsia="Times New Roman" w:hAnsi="Times New Roman" w:cs="Times New Roman"/>
          <w:sz w:val="24"/>
          <w:szCs w:val="24"/>
          <w:lang w:eastAsia="pl-PL"/>
        </w:rPr>
        <w:t>Na tej podstawie minister właściwy do spraw wewnętrznych corocznie określa wysokość środków finansowych z budżetu państwa oraz ich podział między jednostki ochrony przeciwpożarowej</w:t>
      </w:r>
      <w:r w:rsidR="006E26C6">
        <w:rPr>
          <w:rFonts w:ascii="Times New Roman" w:eastAsia="Times New Roman" w:hAnsi="Times New Roman" w:cs="Times New Roman"/>
          <w:sz w:val="24"/>
          <w:szCs w:val="24"/>
          <w:lang w:eastAsia="pl-PL"/>
        </w:rPr>
        <w:t xml:space="preserve"> </w:t>
      </w:r>
      <w:r w:rsidRPr="00914563">
        <w:rPr>
          <w:rFonts w:ascii="Times New Roman" w:eastAsia="Times New Roman" w:hAnsi="Times New Roman" w:cs="Times New Roman"/>
          <w:sz w:val="24"/>
          <w:szCs w:val="24"/>
          <w:lang w:eastAsia="pl-PL"/>
        </w:rPr>
        <w:t xml:space="preserve">włączone </w:t>
      </w:r>
      <w:r w:rsidR="0034654C">
        <w:rPr>
          <w:rFonts w:ascii="Times New Roman" w:eastAsia="Times New Roman" w:hAnsi="Times New Roman" w:cs="Times New Roman"/>
          <w:sz w:val="24"/>
          <w:szCs w:val="24"/>
          <w:lang w:eastAsia="pl-PL"/>
        </w:rPr>
        <w:br/>
      </w:r>
      <w:r w:rsidRPr="00914563">
        <w:rPr>
          <w:rFonts w:ascii="Times New Roman" w:eastAsia="Times New Roman" w:hAnsi="Times New Roman" w:cs="Times New Roman"/>
          <w:sz w:val="24"/>
          <w:szCs w:val="24"/>
          <w:lang w:eastAsia="pl-PL"/>
        </w:rPr>
        <w:t>do krajowego systemu ratowniczo-gaśniczego.</w:t>
      </w:r>
    </w:p>
    <w:p w14:paraId="0E69C874" w14:textId="65FE5C8B" w:rsidR="00914563" w:rsidRPr="0001765D" w:rsidRDefault="00914563" w:rsidP="00914563">
      <w:pPr>
        <w:spacing w:after="0" w:line="360" w:lineRule="auto"/>
        <w:ind w:firstLine="709"/>
        <w:jc w:val="both"/>
        <w:rPr>
          <w:rFonts w:ascii="Times New Roman" w:eastAsia="Times New Roman" w:hAnsi="Times New Roman" w:cs="Times New Roman"/>
          <w:sz w:val="24"/>
          <w:szCs w:val="24"/>
          <w:lang w:eastAsia="pl-PL"/>
        </w:rPr>
      </w:pPr>
      <w:r w:rsidRPr="00914563">
        <w:rPr>
          <w:rFonts w:ascii="Times New Roman" w:eastAsia="Times New Roman" w:hAnsi="Times New Roman" w:cs="Times New Roman"/>
          <w:sz w:val="24"/>
          <w:szCs w:val="24"/>
          <w:lang w:eastAsia="pl-PL"/>
        </w:rPr>
        <w:t xml:space="preserve">W ustawie budżetowej na rok </w:t>
      </w:r>
      <w:r w:rsidR="00FD77C3">
        <w:rPr>
          <w:rFonts w:ascii="Times New Roman" w:eastAsia="Times New Roman" w:hAnsi="Times New Roman" w:cs="Times New Roman"/>
          <w:sz w:val="24"/>
          <w:szCs w:val="24"/>
          <w:lang w:eastAsia="pl-PL"/>
        </w:rPr>
        <w:t>202</w:t>
      </w:r>
      <w:r w:rsidR="004818A4">
        <w:rPr>
          <w:rFonts w:ascii="Times New Roman" w:eastAsia="Times New Roman" w:hAnsi="Times New Roman" w:cs="Times New Roman"/>
          <w:sz w:val="24"/>
          <w:szCs w:val="24"/>
          <w:lang w:eastAsia="pl-PL"/>
        </w:rPr>
        <w:t>3</w:t>
      </w:r>
      <w:r w:rsidRPr="00914563">
        <w:rPr>
          <w:rFonts w:ascii="Times New Roman" w:eastAsia="Times New Roman" w:hAnsi="Times New Roman" w:cs="Times New Roman"/>
          <w:sz w:val="24"/>
          <w:szCs w:val="24"/>
          <w:lang w:eastAsia="pl-PL"/>
        </w:rPr>
        <w:t xml:space="preserve"> </w:t>
      </w:r>
      <w:r w:rsidRPr="00C70D8E">
        <w:rPr>
          <w:rFonts w:ascii="Times New Roman" w:eastAsia="Times New Roman" w:hAnsi="Times New Roman" w:cs="Times New Roman"/>
          <w:sz w:val="24"/>
          <w:szCs w:val="24"/>
          <w:lang w:eastAsia="pl-PL"/>
        </w:rPr>
        <w:t>z dnia</w:t>
      </w:r>
      <w:r w:rsidR="00FD77C3" w:rsidRPr="00C70D8E">
        <w:rPr>
          <w:rFonts w:ascii="Times New Roman" w:eastAsia="Times New Roman" w:hAnsi="Times New Roman" w:cs="Times New Roman"/>
          <w:sz w:val="24"/>
          <w:szCs w:val="24"/>
          <w:lang w:eastAsia="pl-PL"/>
        </w:rPr>
        <w:t xml:space="preserve"> </w:t>
      </w:r>
      <w:r w:rsidR="00052E7B" w:rsidRPr="00C70D8E">
        <w:rPr>
          <w:rFonts w:ascii="Times New Roman" w:eastAsia="Times New Roman" w:hAnsi="Times New Roman" w:cs="Times New Roman"/>
          <w:sz w:val="24"/>
          <w:szCs w:val="24"/>
          <w:lang w:eastAsia="pl-PL"/>
        </w:rPr>
        <w:t>1</w:t>
      </w:r>
      <w:r w:rsidR="004818A4">
        <w:rPr>
          <w:rFonts w:ascii="Times New Roman" w:eastAsia="Times New Roman" w:hAnsi="Times New Roman" w:cs="Times New Roman"/>
          <w:sz w:val="24"/>
          <w:szCs w:val="24"/>
          <w:lang w:eastAsia="pl-PL"/>
        </w:rPr>
        <w:t>5</w:t>
      </w:r>
      <w:r w:rsidR="00052E7B" w:rsidRPr="00C70D8E">
        <w:rPr>
          <w:rFonts w:ascii="Times New Roman" w:eastAsia="Times New Roman" w:hAnsi="Times New Roman" w:cs="Times New Roman"/>
          <w:sz w:val="24"/>
          <w:szCs w:val="24"/>
          <w:lang w:eastAsia="pl-PL"/>
        </w:rPr>
        <w:t xml:space="preserve"> </w:t>
      </w:r>
      <w:r w:rsidR="00FC72F1">
        <w:rPr>
          <w:rFonts w:ascii="Times New Roman" w:eastAsia="Times New Roman" w:hAnsi="Times New Roman" w:cs="Times New Roman"/>
          <w:sz w:val="24"/>
          <w:szCs w:val="24"/>
          <w:lang w:eastAsia="pl-PL"/>
        </w:rPr>
        <w:t>grudnia</w:t>
      </w:r>
      <w:r w:rsidRPr="00C70D8E">
        <w:rPr>
          <w:rFonts w:ascii="Times New Roman" w:eastAsia="Times New Roman" w:hAnsi="Times New Roman" w:cs="Times New Roman"/>
          <w:sz w:val="24"/>
          <w:szCs w:val="24"/>
          <w:lang w:eastAsia="pl-PL"/>
        </w:rPr>
        <w:t xml:space="preserve"> 20</w:t>
      </w:r>
      <w:r w:rsidR="00FD77C3" w:rsidRPr="00C70D8E">
        <w:rPr>
          <w:rFonts w:ascii="Times New Roman" w:eastAsia="Times New Roman" w:hAnsi="Times New Roman" w:cs="Times New Roman"/>
          <w:sz w:val="24"/>
          <w:szCs w:val="24"/>
          <w:lang w:eastAsia="pl-PL"/>
        </w:rPr>
        <w:t>2</w:t>
      </w:r>
      <w:r w:rsidR="004818A4">
        <w:rPr>
          <w:rFonts w:ascii="Times New Roman" w:eastAsia="Times New Roman" w:hAnsi="Times New Roman" w:cs="Times New Roman"/>
          <w:sz w:val="24"/>
          <w:szCs w:val="24"/>
          <w:lang w:eastAsia="pl-PL"/>
        </w:rPr>
        <w:t>2</w:t>
      </w:r>
      <w:r w:rsidRPr="00C70D8E">
        <w:rPr>
          <w:rFonts w:ascii="Times New Roman" w:eastAsia="Times New Roman" w:hAnsi="Times New Roman" w:cs="Times New Roman"/>
          <w:sz w:val="24"/>
          <w:szCs w:val="24"/>
          <w:lang w:eastAsia="pl-PL"/>
        </w:rPr>
        <w:t xml:space="preserve"> r. (Dz.</w:t>
      </w:r>
      <w:r w:rsidR="00B35B5A">
        <w:rPr>
          <w:rFonts w:ascii="Times New Roman" w:eastAsia="Times New Roman" w:hAnsi="Times New Roman" w:cs="Times New Roman"/>
          <w:sz w:val="24"/>
          <w:szCs w:val="24"/>
          <w:lang w:eastAsia="pl-PL"/>
        </w:rPr>
        <w:t xml:space="preserve"> </w:t>
      </w:r>
      <w:r w:rsidRPr="00C70D8E">
        <w:rPr>
          <w:rFonts w:ascii="Times New Roman" w:eastAsia="Times New Roman" w:hAnsi="Times New Roman" w:cs="Times New Roman"/>
          <w:sz w:val="24"/>
          <w:szCs w:val="24"/>
          <w:lang w:eastAsia="pl-PL"/>
        </w:rPr>
        <w:t>U.</w:t>
      </w:r>
      <w:r w:rsidR="004818A4">
        <w:rPr>
          <w:rFonts w:ascii="Times New Roman" w:eastAsia="Times New Roman" w:hAnsi="Times New Roman" w:cs="Times New Roman"/>
          <w:sz w:val="24"/>
          <w:szCs w:val="24"/>
          <w:lang w:eastAsia="pl-PL"/>
        </w:rPr>
        <w:t xml:space="preserve"> z 2023</w:t>
      </w:r>
      <w:r w:rsidR="006E7A71">
        <w:rPr>
          <w:rFonts w:ascii="Times New Roman" w:eastAsia="Times New Roman" w:hAnsi="Times New Roman" w:cs="Times New Roman"/>
          <w:sz w:val="24"/>
          <w:szCs w:val="24"/>
          <w:lang w:eastAsia="pl-PL"/>
        </w:rPr>
        <w:t xml:space="preserve"> r.</w:t>
      </w:r>
      <w:r w:rsidR="00947D7A">
        <w:rPr>
          <w:rFonts w:ascii="Times New Roman" w:eastAsia="Times New Roman" w:hAnsi="Times New Roman" w:cs="Times New Roman"/>
          <w:sz w:val="24"/>
          <w:szCs w:val="24"/>
          <w:lang w:eastAsia="pl-PL"/>
        </w:rPr>
        <w:t xml:space="preserve"> </w:t>
      </w:r>
      <w:r w:rsidRPr="00C70D8E">
        <w:rPr>
          <w:rFonts w:ascii="Times New Roman" w:eastAsia="Times New Roman" w:hAnsi="Times New Roman" w:cs="Times New Roman"/>
          <w:sz w:val="24"/>
          <w:szCs w:val="24"/>
          <w:lang w:eastAsia="pl-PL"/>
        </w:rPr>
        <w:t>poz. </w:t>
      </w:r>
      <w:r w:rsidR="00FC72F1">
        <w:rPr>
          <w:rFonts w:ascii="Times New Roman" w:eastAsia="Times New Roman" w:hAnsi="Times New Roman" w:cs="Times New Roman"/>
          <w:sz w:val="24"/>
          <w:szCs w:val="24"/>
          <w:lang w:eastAsia="pl-PL"/>
        </w:rPr>
        <w:t>2</w:t>
      </w:r>
      <w:r w:rsidR="004818A4">
        <w:rPr>
          <w:rFonts w:ascii="Times New Roman" w:eastAsia="Times New Roman" w:hAnsi="Times New Roman" w:cs="Times New Roman"/>
          <w:sz w:val="24"/>
          <w:szCs w:val="24"/>
          <w:lang w:eastAsia="pl-PL"/>
        </w:rPr>
        <w:t>56</w:t>
      </w:r>
      <w:r w:rsidRPr="00C70D8E">
        <w:rPr>
          <w:rFonts w:ascii="Times New Roman" w:eastAsia="Times New Roman" w:hAnsi="Times New Roman" w:cs="Times New Roman"/>
          <w:sz w:val="24"/>
          <w:szCs w:val="24"/>
          <w:lang w:eastAsia="pl-PL"/>
        </w:rPr>
        <w:t>) w</w:t>
      </w:r>
      <w:r w:rsidR="00480651" w:rsidRPr="00C70D8E">
        <w:rPr>
          <w:rFonts w:ascii="Times New Roman" w:eastAsia="Times New Roman" w:hAnsi="Times New Roman" w:cs="Times New Roman"/>
          <w:sz w:val="24"/>
          <w:szCs w:val="24"/>
          <w:lang w:eastAsia="pl-PL"/>
        </w:rPr>
        <w:t> </w:t>
      </w:r>
      <w:r w:rsidRPr="00C70D8E">
        <w:rPr>
          <w:rFonts w:ascii="Times New Roman" w:eastAsia="Times New Roman" w:hAnsi="Times New Roman" w:cs="Times New Roman"/>
          <w:sz w:val="24"/>
          <w:szCs w:val="24"/>
          <w:lang w:eastAsia="pl-PL"/>
        </w:rPr>
        <w:t>części</w:t>
      </w:r>
      <w:r w:rsidRPr="00914563">
        <w:rPr>
          <w:rFonts w:ascii="Times New Roman" w:eastAsia="Times New Roman" w:hAnsi="Times New Roman" w:cs="Times New Roman"/>
          <w:sz w:val="24"/>
          <w:szCs w:val="24"/>
          <w:lang w:eastAsia="pl-PL"/>
        </w:rPr>
        <w:t xml:space="preserve"> 42 – Sprawy wewnętrzne, dziale 754 – Bezpieczeństwo publiczne i ochrona przeciwpożarowa, rozdziale 75409 – Komenda Główna Państwowej Straży Pożarnej, </w:t>
      </w:r>
      <w:r w:rsidR="003B7273">
        <w:rPr>
          <w:rFonts w:ascii="Times New Roman" w:eastAsia="Times New Roman" w:hAnsi="Times New Roman" w:cs="Times New Roman"/>
          <w:sz w:val="24"/>
          <w:szCs w:val="24"/>
          <w:lang w:eastAsia="pl-PL"/>
        </w:rPr>
        <w:br/>
      </w:r>
      <w:r w:rsidRPr="00914563">
        <w:rPr>
          <w:rFonts w:ascii="Times New Roman" w:eastAsia="Times New Roman" w:hAnsi="Times New Roman" w:cs="Times New Roman"/>
          <w:sz w:val="24"/>
          <w:szCs w:val="24"/>
          <w:lang w:eastAsia="pl-PL"/>
        </w:rPr>
        <w:t xml:space="preserve">na dofinansowanie </w:t>
      </w:r>
      <w:r w:rsidRPr="00570BE5">
        <w:rPr>
          <w:rFonts w:ascii="Times New Roman" w:eastAsia="Times New Roman" w:hAnsi="Times New Roman" w:cs="Times New Roman"/>
          <w:sz w:val="24"/>
          <w:szCs w:val="24"/>
          <w:lang w:eastAsia="pl-PL"/>
        </w:rPr>
        <w:t>jednostek ochrony przeciwpożarowej włączonych do krajowego systemu ratowniczo-gaśniczego przewidziano kwotę 73 000 000 zł, z czego:</w:t>
      </w:r>
      <w:r w:rsidR="003B6FA1" w:rsidRPr="00570BE5">
        <w:rPr>
          <w:rFonts w:ascii="Times New Roman" w:eastAsia="Times New Roman" w:hAnsi="Times New Roman" w:cs="Times New Roman"/>
          <w:sz w:val="24"/>
          <w:szCs w:val="24"/>
          <w:lang w:eastAsia="pl-PL"/>
        </w:rPr>
        <w:t xml:space="preserve"> w grupie „wydatki majątkowe” – 46 805 000 zł,</w:t>
      </w:r>
      <w:r w:rsidRPr="00570BE5">
        <w:rPr>
          <w:rFonts w:ascii="Times New Roman" w:eastAsia="Times New Roman" w:hAnsi="Times New Roman" w:cs="Times New Roman"/>
          <w:sz w:val="24"/>
          <w:szCs w:val="24"/>
          <w:lang w:eastAsia="pl-PL"/>
        </w:rPr>
        <w:t xml:space="preserve"> w grupie „dotacje i</w:t>
      </w:r>
      <w:r w:rsidR="00480651" w:rsidRPr="00570BE5">
        <w:rPr>
          <w:rFonts w:ascii="Times New Roman" w:eastAsia="Times New Roman" w:hAnsi="Times New Roman" w:cs="Times New Roman"/>
          <w:sz w:val="24"/>
          <w:szCs w:val="24"/>
          <w:lang w:eastAsia="pl-PL"/>
        </w:rPr>
        <w:t> </w:t>
      </w:r>
      <w:r w:rsidRPr="00570BE5">
        <w:rPr>
          <w:rFonts w:ascii="Times New Roman" w:eastAsia="Times New Roman" w:hAnsi="Times New Roman" w:cs="Times New Roman"/>
          <w:sz w:val="24"/>
          <w:szCs w:val="24"/>
          <w:lang w:eastAsia="pl-PL"/>
        </w:rPr>
        <w:t xml:space="preserve">subwencje” – </w:t>
      </w:r>
      <w:r w:rsidR="00FD77C3" w:rsidRPr="00570BE5">
        <w:rPr>
          <w:rFonts w:ascii="Times New Roman" w:eastAsia="Times New Roman" w:hAnsi="Times New Roman" w:cs="Times New Roman"/>
          <w:sz w:val="24"/>
          <w:szCs w:val="24"/>
          <w:lang w:eastAsia="pl-PL"/>
        </w:rPr>
        <w:t>26 195</w:t>
      </w:r>
      <w:r w:rsidRPr="00570BE5">
        <w:rPr>
          <w:rFonts w:ascii="Times New Roman" w:eastAsia="Times New Roman" w:hAnsi="Times New Roman" w:cs="Times New Roman"/>
          <w:sz w:val="24"/>
          <w:szCs w:val="24"/>
          <w:lang w:eastAsia="pl-PL"/>
        </w:rPr>
        <w:t xml:space="preserve"> 000 zł</w:t>
      </w:r>
      <w:r w:rsidR="003B6FA1" w:rsidRPr="00570BE5">
        <w:rPr>
          <w:rFonts w:ascii="Times New Roman" w:eastAsia="Times New Roman" w:hAnsi="Times New Roman" w:cs="Times New Roman"/>
          <w:sz w:val="24"/>
          <w:szCs w:val="24"/>
          <w:lang w:eastAsia="pl-PL"/>
        </w:rPr>
        <w:t xml:space="preserve">, w tym dla zakładowych straży </w:t>
      </w:r>
      <w:r w:rsidR="003B6FA1" w:rsidRPr="0001765D">
        <w:rPr>
          <w:rFonts w:ascii="Times New Roman" w:eastAsia="Times New Roman" w:hAnsi="Times New Roman" w:cs="Times New Roman"/>
          <w:sz w:val="24"/>
          <w:szCs w:val="24"/>
          <w:lang w:eastAsia="pl-PL"/>
        </w:rPr>
        <w:t xml:space="preserve">pożarnych – </w:t>
      </w:r>
      <w:r w:rsidR="0001765D" w:rsidRPr="0001765D">
        <w:rPr>
          <w:rFonts w:ascii="Times New Roman" w:eastAsia="Times New Roman" w:hAnsi="Times New Roman" w:cs="Times New Roman"/>
          <w:sz w:val="24"/>
          <w:szCs w:val="24"/>
          <w:lang w:eastAsia="pl-PL"/>
        </w:rPr>
        <w:t>42</w:t>
      </w:r>
      <w:r w:rsidR="003B6FA1" w:rsidRPr="0001765D">
        <w:rPr>
          <w:rFonts w:ascii="Times New Roman" w:eastAsia="Times New Roman" w:hAnsi="Times New Roman" w:cs="Times New Roman"/>
          <w:sz w:val="24"/>
          <w:szCs w:val="24"/>
          <w:lang w:eastAsia="pl-PL"/>
        </w:rPr>
        <w:t xml:space="preserve"> 000 zł. </w:t>
      </w:r>
    </w:p>
    <w:p w14:paraId="0B3BD081" w14:textId="7A113493" w:rsidR="00914563" w:rsidRPr="00914563" w:rsidRDefault="00914563" w:rsidP="00914563">
      <w:pPr>
        <w:spacing w:after="0" w:line="360" w:lineRule="auto"/>
        <w:ind w:firstLine="708"/>
        <w:jc w:val="both"/>
        <w:rPr>
          <w:rFonts w:ascii="Times New Roman" w:eastAsia="Times New Roman" w:hAnsi="Times New Roman" w:cs="Times New Roman"/>
          <w:sz w:val="24"/>
          <w:szCs w:val="24"/>
          <w:lang w:eastAsia="pl-PL"/>
        </w:rPr>
      </w:pPr>
      <w:r w:rsidRPr="00914563">
        <w:rPr>
          <w:rFonts w:ascii="Times New Roman" w:eastAsia="Times New Roman" w:hAnsi="Times New Roman" w:cs="Times New Roman"/>
          <w:sz w:val="24"/>
          <w:szCs w:val="24"/>
          <w:lang w:eastAsia="pl-PL"/>
        </w:rPr>
        <w:t xml:space="preserve">Ustawa o ochronie przeciwpożarowej w art. 33 ust. 1 nakłada na budżet państwa obowiązek uczestniczenia w kosztach funkcjonowania jednostek, o których mowa w art. 15 pkt 2 – </w:t>
      </w:r>
      <w:r w:rsidR="00B52F54">
        <w:rPr>
          <w:rFonts w:ascii="Times New Roman" w:eastAsia="Times New Roman" w:hAnsi="Times New Roman" w:cs="Times New Roman"/>
          <w:sz w:val="24"/>
          <w:szCs w:val="24"/>
          <w:lang w:eastAsia="pl-PL"/>
        </w:rPr>
        <w:t>5</w:t>
      </w:r>
      <w:r w:rsidRPr="00914563">
        <w:rPr>
          <w:rFonts w:ascii="Times New Roman" w:eastAsia="Times New Roman" w:hAnsi="Times New Roman" w:cs="Times New Roman"/>
          <w:sz w:val="24"/>
          <w:szCs w:val="24"/>
          <w:lang w:eastAsia="pl-PL"/>
        </w:rPr>
        <w:t xml:space="preserve"> i 8 ustawy o ochronie przeciwpożarowej, jeżeli jednostki te działają w ramach krajowego systemu ratowniczo-gaśniczego. W świetle § 4 ust. 2 rozporządzenia Ministra Spraw Wewnętrznych z dnia 15 września 2014 r. w sprawie zakresu, szczegółowych warunków i trybu włączania jednostek ochrony przeciwpożarowej do krajowego systemu ratowniczo-gaśniczego (Dz.</w:t>
      </w:r>
      <w:r w:rsidR="00305931">
        <w:rPr>
          <w:rFonts w:ascii="Times New Roman" w:eastAsia="Times New Roman" w:hAnsi="Times New Roman" w:cs="Times New Roman"/>
          <w:sz w:val="24"/>
          <w:szCs w:val="24"/>
          <w:lang w:eastAsia="pl-PL"/>
        </w:rPr>
        <w:t xml:space="preserve"> </w:t>
      </w:r>
      <w:r w:rsidRPr="00914563">
        <w:rPr>
          <w:rFonts w:ascii="Times New Roman" w:eastAsia="Times New Roman" w:hAnsi="Times New Roman" w:cs="Times New Roman"/>
          <w:sz w:val="24"/>
          <w:szCs w:val="24"/>
          <w:lang w:eastAsia="pl-PL"/>
        </w:rPr>
        <w:t>U.</w:t>
      </w:r>
      <w:r w:rsidR="004818A4">
        <w:rPr>
          <w:rFonts w:ascii="Times New Roman" w:eastAsia="Times New Roman" w:hAnsi="Times New Roman" w:cs="Times New Roman"/>
          <w:sz w:val="24"/>
          <w:szCs w:val="24"/>
          <w:lang w:eastAsia="pl-PL"/>
        </w:rPr>
        <w:t xml:space="preserve"> </w:t>
      </w:r>
      <w:r w:rsidRPr="00914563">
        <w:rPr>
          <w:rFonts w:ascii="Times New Roman" w:eastAsia="Times New Roman" w:hAnsi="Times New Roman" w:cs="Times New Roman"/>
          <w:sz w:val="24"/>
          <w:szCs w:val="24"/>
          <w:lang w:eastAsia="pl-PL"/>
        </w:rPr>
        <w:t>poz.</w:t>
      </w:r>
      <w:r w:rsidR="00271DD4">
        <w:rPr>
          <w:rFonts w:ascii="Times New Roman" w:eastAsia="Times New Roman" w:hAnsi="Times New Roman" w:cs="Times New Roman"/>
          <w:sz w:val="24"/>
          <w:szCs w:val="24"/>
          <w:lang w:eastAsia="pl-PL"/>
        </w:rPr>
        <w:t xml:space="preserve"> </w:t>
      </w:r>
      <w:r w:rsidRPr="00914563">
        <w:rPr>
          <w:rFonts w:ascii="Times New Roman" w:eastAsia="Times New Roman" w:hAnsi="Times New Roman" w:cs="Times New Roman"/>
          <w:sz w:val="24"/>
          <w:szCs w:val="24"/>
          <w:lang w:eastAsia="pl-PL"/>
        </w:rPr>
        <w:t>1317)</w:t>
      </w:r>
      <w:r w:rsidR="00F017EE">
        <w:rPr>
          <w:rFonts w:ascii="Times New Roman" w:eastAsia="Times New Roman" w:hAnsi="Times New Roman" w:cs="Times New Roman"/>
          <w:sz w:val="24"/>
          <w:szCs w:val="24"/>
          <w:lang w:eastAsia="pl-PL"/>
        </w:rPr>
        <w:t xml:space="preserve"> n</w:t>
      </w:r>
      <w:r w:rsidR="00F017EE" w:rsidRPr="00F017EE">
        <w:rPr>
          <w:rFonts w:ascii="Times New Roman" w:eastAsia="Times New Roman" w:hAnsi="Times New Roman" w:cs="Times New Roman"/>
          <w:sz w:val="24"/>
          <w:szCs w:val="24"/>
          <w:lang w:eastAsia="pl-PL"/>
        </w:rPr>
        <w:t xml:space="preserve">a wniosek właściwego komendanta wojewódzkiego Państwowej Straży Pożarnej Komendant Główny Państwowej Straży Pożarnej może włączyć jednostkę </w:t>
      </w:r>
      <w:r w:rsidR="00F017EE">
        <w:rPr>
          <w:rFonts w:ascii="Times New Roman" w:eastAsia="Times New Roman" w:hAnsi="Times New Roman" w:cs="Times New Roman"/>
          <w:sz w:val="24"/>
          <w:szCs w:val="24"/>
          <w:lang w:eastAsia="pl-PL"/>
        </w:rPr>
        <w:br/>
      </w:r>
      <w:r w:rsidR="00F017EE" w:rsidRPr="00F017EE">
        <w:rPr>
          <w:rFonts w:ascii="Times New Roman" w:eastAsia="Times New Roman" w:hAnsi="Times New Roman" w:cs="Times New Roman"/>
          <w:sz w:val="24"/>
          <w:szCs w:val="24"/>
          <w:lang w:eastAsia="pl-PL"/>
        </w:rPr>
        <w:t>do systemu</w:t>
      </w:r>
      <w:r w:rsidRPr="00914563">
        <w:rPr>
          <w:rFonts w:ascii="Times New Roman" w:eastAsia="Times New Roman" w:hAnsi="Times New Roman" w:cs="Times New Roman"/>
          <w:sz w:val="24"/>
          <w:szCs w:val="24"/>
          <w:lang w:eastAsia="pl-PL"/>
        </w:rPr>
        <w:t>, zaś na podstawie § 6 tego rozporządzenia Komendant prowadzi ewidencję jednostek ochrony przeciwpożarowej włączonych do krajowego systemu ratowniczo-gaśniczego. W związku z powyższym</w:t>
      </w:r>
      <w:r w:rsidR="005932A4">
        <w:rPr>
          <w:rFonts w:ascii="Times New Roman" w:eastAsia="Times New Roman" w:hAnsi="Times New Roman" w:cs="Times New Roman"/>
          <w:sz w:val="24"/>
          <w:szCs w:val="24"/>
          <w:lang w:eastAsia="pl-PL"/>
        </w:rPr>
        <w:t>,</w:t>
      </w:r>
      <w:r w:rsidRPr="00914563">
        <w:rPr>
          <w:rFonts w:ascii="Times New Roman" w:eastAsia="Times New Roman" w:hAnsi="Times New Roman" w:cs="Times New Roman"/>
          <w:sz w:val="24"/>
          <w:szCs w:val="24"/>
          <w:lang w:eastAsia="pl-PL"/>
        </w:rPr>
        <w:t xml:space="preserve"> środki finansowe na zapewnienie gotowości bojowej zostaną przeznaczone dla zakładowych straży pożarnych, które figurują w ewidencji jednostek ochrony przeciwpożarowej włączonych do systemu, prowadzonej przez Komendanta Głównego Państwowej Straży Pożarnej.</w:t>
      </w:r>
    </w:p>
    <w:p w14:paraId="10BA9E7D" w14:textId="77777777" w:rsidR="00914563" w:rsidRPr="00914563" w:rsidRDefault="00914563" w:rsidP="00914563">
      <w:pPr>
        <w:spacing w:after="0" w:line="360" w:lineRule="auto"/>
        <w:ind w:firstLine="708"/>
        <w:jc w:val="both"/>
        <w:rPr>
          <w:rFonts w:ascii="Times New Roman" w:eastAsia="Calibri" w:hAnsi="Times New Roman" w:cs="Times New Roman"/>
          <w:sz w:val="24"/>
          <w:szCs w:val="24"/>
        </w:rPr>
      </w:pPr>
      <w:r w:rsidRPr="00914563">
        <w:rPr>
          <w:rFonts w:ascii="Times New Roman" w:eastAsia="Calibri" w:hAnsi="Times New Roman" w:cs="Times New Roman"/>
          <w:sz w:val="24"/>
          <w:szCs w:val="24"/>
        </w:rPr>
        <w:t xml:space="preserve"> Zgodnie z art. 32 ust. 1 ustawy o ochronie przeciwpożarowej koszty wyposażenia, utrzymania, wyszkolenia i zapewnienia gotowości bojowej jednostek ochrony przeciwpożarowej, wymienionych w art. 15 pkt 1a-5 i 8 </w:t>
      </w:r>
      <w:r w:rsidR="00480651">
        <w:rPr>
          <w:rFonts w:ascii="Times New Roman" w:eastAsia="Calibri" w:hAnsi="Times New Roman" w:cs="Times New Roman"/>
          <w:sz w:val="24"/>
          <w:szCs w:val="24"/>
        </w:rPr>
        <w:t>ustawy o ochronie przeciwpożarowej</w:t>
      </w:r>
      <w:r w:rsidRPr="00914563">
        <w:rPr>
          <w:rFonts w:ascii="Times New Roman" w:eastAsia="Calibri" w:hAnsi="Times New Roman" w:cs="Times New Roman"/>
          <w:sz w:val="24"/>
          <w:szCs w:val="24"/>
        </w:rPr>
        <w:t xml:space="preserve">, są ponoszone przez podmioty je tworzące. </w:t>
      </w:r>
    </w:p>
    <w:p w14:paraId="625EC8AC" w14:textId="77777777" w:rsidR="006A4622" w:rsidRDefault="00914563" w:rsidP="00914563">
      <w:pPr>
        <w:spacing w:after="0" w:line="360" w:lineRule="auto"/>
        <w:jc w:val="both"/>
        <w:rPr>
          <w:rFonts w:ascii="Times New Roman" w:eastAsia="Calibri" w:hAnsi="Times New Roman" w:cs="Times New Roman"/>
          <w:sz w:val="24"/>
          <w:szCs w:val="24"/>
        </w:rPr>
      </w:pPr>
      <w:r w:rsidRPr="00914563">
        <w:rPr>
          <w:rFonts w:ascii="Times New Roman" w:eastAsia="Calibri" w:hAnsi="Times New Roman" w:cs="Times New Roman"/>
          <w:sz w:val="24"/>
          <w:szCs w:val="24"/>
        </w:rPr>
        <w:tab/>
      </w:r>
    </w:p>
    <w:p w14:paraId="69454F37" w14:textId="77777777" w:rsidR="006A4622" w:rsidRPr="0001765D" w:rsidRDefault="006A4622" w:rsidP="00914563">
      <w:pPr>
        <w:spacing w:after="0" w:line="360" w:lineRule="auto"/>
        <w:jc w:val="both"/>
        <w:rPr>
          <w:rFonts w:ascii="Times New Roman" w:eastAsia="Calibri" w:hAnsi="Times New Roman" w:cs="Times New Roman"/>
          <w:sz w:val="24"/>
          <w:szCs w:val="24"/>
        </w:rPr>
      </w:pPr>
    </w:p>
    <w:p w14:paraId="22FCDDEE" w14:textId="0618A0CA" w:rsidR="006A4622" w:rsidRPr="006A4622" w:rsidRDefault="006A4622" w:rsidP="00933E11">
      <w:pPr>
        <w:spacing w:after="0" w:line="360" w:lineRule="auto"/>
        <w:ind w:firstLine="709"/>
        <w:jc w:val="both"/>
        <w:rPr>
          <w:rFonts w:ascii="Times New Roman" w:eastAsia="Calibri" w:hAnsi="Times New Roman" w:cs="Times New Roman"/>
          <w:color w:val="FF0000"/>
          <w:sz w:val="24"/>
          <w:szCs w:val="24"/>
        </w:rPr>
      </w:pPr>
      <w:r w:rsidRPr="0001765D">
        <w:rPr>
          <w:rFonts w:ascii="Times New Roman" w:hAnsi="Times New Roman" w:cs="Times New Roman"/>
          <w:sz w:val="24"/>
          <w:szCs w:val="24"/>
        </w:rPr>
        <w:lastRenderedPageBreak/>
        <w:t>Zakładowe straże pożarne (</w:t>
      </w:r>
      <w:r w:rsidR="0001765D" w:rsidRPr="0001765D">
        <w:rPr>
          <w:rFonts w:ascii="Times New Roman" w:hAnsi="Times New Roman" w:cs="Times New Roman"/>
          <w:sz w:val="24"/>
          <w:szCs w:val="24"/>
        </w:rPr>
        <w:t>3</w:t>
      </w:r>
      <w:r w:rsidRPr="0001765D">
        <w:rPr>
          <w:rFonts w:ascii="Times New Roman" w:hAnsi="Times New Roman" w:cs="Times New Roman"/>
          <w:sz w:val="24"/>
          <w:szCs w:val="24"/>
        </w:rPr>
        <w:t xml:space="preserve"> jednostki zakładowych straży pożarnych, 1 jednostka zakładowej służby ratowniczej, 2 jednostki lotniskowej służby ratowniczo-gaśniczej), </w:t>
      </w:r>
      <w:r w:rsidRPr="006A4622">
        <w:rPr>
          <w:rFonts w:ascii="Times New Roman" w:hAnsi="Times New Roman" w:cs="Times New Roman"/>
          <w:sz w:val="24"/>
          <w:szCs w:val="24"/>
        </w:rPr>
        <w:t>włączone do krajowego systemu ratowniczo-gaśniczego, w 202</w:t>
      </w:r>
      <w:r w:rsidR="004818A4">
        <w:rPr>
          <w:rFonts w:ascii="Times New Roman" w:hAnsi="Times New Roman" w:cs="Times New Roman"/>
          <w:sz w:val="24"/>
          <w:szCs w:val="24"/>
        </w:rPr>
        <w:t>2</w:t>
      </w:r>
      <w:r w:rsidRPr="006A4622">
        <w:rPr>
          <w:rFonts w:ascii="Times New Roman" w:hAnsi="Times New Roman" w:cs="Times New Roman"/>
          <w:sz w:val="24"/>
          <w:szCs w:val="24"/>
        </w:rPr>
        <w:t xml:space="preserve"> r</w:t>
      </w:r>
      <w:r w:rsidR="00185ECD">
        <w:rPr>
          <w:rFonts w:ascii="Times New Roman" w:hAnsi="Times New Roman" w:cs="Times New Roman"/>
          <w:sz w:val="24"/>
          <w:szCs w:val="24"/>
        </w:rPr>
        <w:t>.</w:t>
      </w:r>
      <w:r w:rsidRPr="006A4622">
        <w:rPr>
          <w:rFonts w:ascii="Times New Roman" w:hAnsi="Times New Roman" w:cs="Times New Roman"/>
          <w:sz w:val="24"/>
          <w:szCs w:val="24"/>
        </w:rPr>
        <w:t xml:space="preserve"> w ramach porozumień ksrg</w:t>
      </w:r>
      <w:r w:rsidR="00185ECD">
        <w:rPr>
          <w:rFonts w:ascii="Times New Roman" w:hAnsi="Times New Roman" w:cs="Times New Roman"/>
          <w:sz w:val="24"/>
          <w:szCs w:val="24"/>
        </w:rPr>
        <w:t>,</w:t>
      </w:r>
      <w:r w:rsidRPr="006A4622">
        <w:rPr>
          <w:rFonts w:ascii="Times New Roman" w:hAnsi="Times New Roman" w:cs="Times New Roman"/>
          <w:sz w:val="24"/>
          <w:szCs w:val="24"/>
        </w:rPr>
        <w:t xml:space="preserve"> brały udział łącznie </w:t>
      </w:r>
      <w:r w:rsidRPr="00621DBD">
        <w:rPr>
          <w:rFonts w:ascii="Times New Roman" w:hAnsi="Times New Roman" w:cs="Times New Roman"/>
          <w:sz w:val="24"/>
          <w:szCs w:val="24"/>
        </w:rPr>
        <w:t xml:space="preserve">w </w:t>
      </w:r>
      <w:r w:rsidR="00621DBD" w:rsidRPr="00621DBD">
        <w:rPr>
          <w:rFonts w:ascii="Times New Roman" w:hAnsi="Times New Roman" w:cs="Times New Roman"/>
          <w:sz w:val="24"/>
          <w:szCs w:val="24"/>
        </w:rPr>
        <w:t>449</w:t>
      </w:r>
      <w:r w:rsidRPr="00621DBD">
        <w:rPr>
          <w:rFonts w:ascii="Times New Roman" w:hAnsi="Times New Roman" w:cs="Times New Roman"/>
          <w:sz w:val="24"/>
          <w:szCs w:val="24"/>
        </w:rPr>
        <w:t xml:space="preserve"> działaniach ratowniczych</w:t>
      </w:r>
      <w:r w:rsidRPr="006A4622">
        <w:rPr>
          <w:rFonts w:ascii="Times New Roman" w:hAnsi="Times New Roman" w:cs="Times New Roman"/>
          <w:sz w:val="24"/>
          <w:szCs w:val="24"/>
        </w:rPr>
        <w:t>.</w:t>
      </w:r>
    </w:p>
    <w:p w14:paraId="59DAAAFB" w14:textId="77777777" w:rsidR="00800914" w:rsidRDefault="00480651" w:rsidP="00933E11">
      <w:pPr>
        <w:spacing w:after="0" w:line="360" w:lineRule="auto"/>
        <w:ind w:firstLine="709"/>
        <w:jc w:val="both"/>
        <w:rPr>
          <w:rFonts w:ascii="Times New Roman" w:eastAsia="Times New Roman" w:hAnsi="Times New Roman" w:cs="Times New Roman"/>
          <w:sz w:val="24"/>
          <w:szCs w:val="24"/>
          <w:lang w:eastAsia="pl-PL"/>
        </w:rPr>
      </w:pPr>
      <w:r w:rsidRPr="00914563">
        <w:rPr>
          <w:rFonts w:ascii="Times New Roman" w:eastAsia="Times New Roman" w:hAnsi="Times New Roman" w:cs="Times New Roman"/>
          <w:sz w:val="24"/>
          <w:szCs w:val="24"/>
          <w:lang w:eastAsia="pl-PL"/>
        </w:rPr>
        <w:t xml:space="preserve">Jednostki ubiegające się o przyznanie dotacji składają wnioski z wyszczególnieniem materiałów i wyposażenia przeznaczonych do dofinansowania właściwemu terytorialnie komendantowi powiatowemu (miejskiemu) Państwowej Straży Pożarnej. Komendant powiatowy (miejski) Państwowej Straży Pożarnej sprawdza prawidłowość wypełnionych wniosków pod względem formalno-rachunkowym i je akceptuje. Następnie wnioski akceptowane są przez komendanta wojewódzkiego Państwowej Straży Pożarnej. Warunkiem zawarcia przez Komendanta Głównego Państwowej Straży Pożarnej umowy dotacji jest zaakceptowanie wniosków złożonych przez jednostki na poszczególnych etapach procesu decyzyjnego. </w:t>
      </w:r>
    </w:p>
    <w:p w14:paraId="63DA1030" w14:textId="77777777" w:rsidR="00933E11" w:rsidRPr="003344CC" w:rsidRDefault="00933E11" w:rsidP="00933E11">
      <w:pPr>
        <w:spacing w:after="0" w:line="360" w:lineRule="auto"/>
        <w:ind w:firstLine="709"/>
        <w:jc w:val="both"/>
        <w:rPr>
          <w:rFonts w:ascii="Times New Roman" w:hAnsi="Times New Roman"/>
          <w:sz w:val="24"/>
          <w:szCs w:val="24"/>
        </w:rPr>
      </w:pPr>
      <w:r w:rsidRPr="003344CC">
        <w:rPr>
          <w:rFonts w:ascii="Times New Roman" w:hAnsi="Times New Roman"/>
          <w:sz w:val="24"/>
          <w:szCs w:val="24"/>
        </w:rPr>
        <w:t>Brak jest możliwości podjęcia alternatywnych, w stosunku do projektowanego rozporządzenia, działań umożliwiających, osiągnięcie zamierzonego celu.</w:t>
      </w:r>
    </w:p>
    <w:p w14:paraId="3FABE4DE" w14:textId="77777777" w:rsidR="00933E11" w:rsidRPr="003344CC" w:rsidRDefault="00933E11" w:rsidP="00933E11">
      <w:pPr>
        <w:spacing w:after="0" w:line="360" w:lineRule="auto"/>
        <w:ind w:firstLine="709"/>
        <w:jc w:val="both"/>
        <w:rPr>
          <w:rFonts w:ascii="Times New Roman" w:hAnsi="Times New Roman"/>
          <w:sz w:val="24"/>
          <w:szCs w:val="24"/>
        </w:rPr>
      </w:pPr>
      <w:r w:rsidRPr="003344CC">
        <w:rPr>
          <w:rFonts w:ascii="Times New Roman" w:hAnsi="Times New Roman"/>
          <w:sz w:val="24"/>
          <w:szCs w:val="24"/>
        </w:rPr>
        <w:t>Przedmiotowy projekt z uwagi na swój charakter nie zawiera regulacji dotyczących majątkowych praw i obowiązków przedsiębiorców lub praw i obowiązków przedsiębiorców wobec organów administracji publicznej, a zatem nie podlega obowiązkowi dokonania oceny przewidywanego wpływu proponowanych rozwiązań na działalność mikro, małych i średnich przedsiębiorców, stosownie do przepisów ustawy z dnia 6 marca 2018 r. – Prawo przedsiębiorców.</w:t>
      </w:r>
    </w:p>
    <w:p w14:paraId="4077FF60" w14:textId="77777777" w:rsidR="00933E11" w:rsidRPr="003344CC" w:rsidRDefault="00933E11" w:rsidP="00933E11">
      <w:pPr>
        <w:spacing w:after="0" w:line="360" w:lineRule="auto"/>
        <w:ind w:firstLine="709"/>
        <w:jc w:val="both"/>
        <w:rPr>
          <w:rFonts w:ascii="Times New Roman" w:hAnsi="Times New Roman"/>
          <w:sz w:val="24"/>
          <w:szCs w:val="24"/>
        </w:rPr>
      </w:pPr>
      <w:r w:rsidRPr="003344CC">
        <w:rPr>
          <w:rFonts w:ascii="Times New Roman" w:hAnsi="Times New Roman"/>
          <w:sz w:val="24"/>
          <w:szCs w:val="24"/>
        </w:rPr>
        <w:t xml:space="preserve">Projekt nie wywiera wpływu na działalność mikroprzedsiębiorców, małych i średnich przedsiębiorców, oraz na sytuację </w:t>
      </w:r>
      <w:r>
        <w:rPr>
          <w:rFonts w:ascii="Times New Roman" w:hAnsi="Times New Roman"/>
          <w:sz w:val="24"/>
          <w:szCs w:val="24"/>
        </w:rPr>
        <w:t xml:space="preserve">ekonomiczną i społeczną rodziny, </w:t>
      </w:r>
      <w:r w:rsidRPr="003344CC">
        <w:rPr>
          <w:rFonts w:ascii="Times New Roman" w:hAnsi="Times New Roman"/>
          <w:sz w:val="24"/>
          <w:szCs w:val="24"/>
        </w:rPr>
        <w:t>a także osób niepełnosprawnych oraz osób starszych.</w:t>
      </w:r>
    </w:p>
    <w:p w14:paraId="568CE0D6" w14:textId="77777777" w:rsidR="00933E11" w:rsidRDefault="00933E11" w:rsidP="00933E11">
      <w:pPr>
        <w:spacing w:after="0" w:line="360" w:lineRule="auto"/>
        <w:ind w:firstLine="709"/>
        <w:jc w:val="both"/>
        <w:rPr>
          <w:rFonts w:ascii="Times New Roman" w:hAnsi="Times New Roman"/>
          <w:sz w:val="24"/>
          <w:szCs w:val="24"/>
        </w:rPr>
      </w:pPr>
      <w:r w:rsidRPr="003344CC">
        <w:rPr>
          <w:rFonts w:ascii="Times New Roman" w:hAnsi="Times New Roman"/>
          <w:sz w:val="24"/>
          <w:szCs w:val="24"/>
        </w:rPr>
        <w:t>Zgodnie z § 4 rozporządzenia Rady Ministrów z dnia 23 grudnia 2002 r. w sprawie sposobu funkcjonowania krajowego systemu notyfikacji norm i aktów prawnych (Dz. U. poz. 2039</w:t>
      </w:r>
      <w:r>
        <w:rPr>
          <w:rFonts w:ascii="Times New Roman" w:hAnsi="Times New Roman"/>
          <w:sz w:val="24"/>
          <w:szCs w:val="24"/>
        </w:rPr>
        <w:t xml:space="preserve"> oraz z 2004 r. poz. 597</w:t>
      </w:r>
      <w:r w:rsidRPr="003344CC">
        <w:rPr>
          <w:rFonts w:ascii="Times New Roman" w:hAnsi="Times New Roman"/>
          <w:sz w:val="24"/>
          <w:szCs w:val="24"/>
        </w:rPr>
        <w:t>) projektowane rozporządzenie nie podlega notyfikacji Komisji Europejskiej.</w:t>
      </w:r>
    </w:p>
    <w:p w14:paraId="759A5F36" w14:textId="77777777" w:rsidR="00933E11" w:rsidRPr="003344CC" w:rsidRDefault="00933E11" w:rsidP="00933E11">
      <w:pPr>
        <w:spacing w:after="0" w:line="360" w:lineRule="auto"/>
        <w:ind w:firstLine="709"/>
        <w:jc w:val="both"/>
        <w:rPr>
          <w:rFonts w:ascii="Times New Roman" w:hAnsi="Times New Roman"/>
          <w:sz w:val="24"/>
          <w:szCs w:val="24"/>
        </w:rPr>
      </w:pPr>
      <w:r>
        <w:rPr>
          <w:rFonts w:ascii="Times New Roman" w:hAnsi="Times New Roman"/>
          <w:sz w:val="24"/>
          <w:szCs w:val="24"/>
        </w:rPr>
        <w:t>W ocenie projektodawcy p</w:t>
      </w:r>
      <w:r w:rsidRPr="003344CC">
        <w:rPr>
          <w:rFonts w:ascii="Times New Roman" w:hAnsi="Times New Roman"/>
          <w:sz w:val="24"/>
          <w:szCs w:val="24"/>
        </w:rPr>
        <w:t>rojekt nie jest objęty za</w:t>
      </w:r>
      <w:r>
        <w:rPr>
          <w:rFonts w:ascii="Times New Roman" w:hAnsi="Times New Roman"/>
          <w:sz w:val="24"/>
          <w:szCs w:val="24"/>
        </w:rPr>
        <w:t>kresem prawa Unii Europejskiej i </w:t>
      </w:r>
      <w:r w:rsidRPr="003344CC">
        <w:rPr>
          <w:rFonts w:ascii="Times New Roman" w:hAnsi="Times New Roman"/>
          <w:sz w:val="24"/>
          <w:szCs w:val="24"/>
        </w:rPr>
        <w:t>nie wymaga przedstawienia właściwym organom i instytucjom Unii Europejskiej, w tym Europejskiemu Bankowi Centralnemu, w celu uzyskania opinii, dokonania powiadomienia, konsultacji albo uzgodnienia.</w:t>
      </w:r>
    </w:p>
    <w:p w14:paraId="3E4382EB" w14:textId="77777777" w:rsidR="00933E11" w:rsidRDefault="00933E11" w:rsidP="00933E11">
      <w:pPr>
        <w:pStyle w:val="ARTartustawynprozporzdzenia"/>
        <w:spacing w:before="0"/>
        <w:ind w:firstLine="709"/>
        <w:rPr>
          <w:rFonts w:ascii="Times New Roman" w:hAnsi="Times New Roman" w:cs="Times New Roman"/>
        </w:rPr>
      </w:pPr>
      <w:r w:rsidRPr="003344CC">
        <w:rPr>
          <w:rFonts w:ascii="Times New Roman" w:hAnsi="Times New Roman" w:cs="Times New Roman"/>
        </w:rPr>
        <w:t>Projekt rozporządzenia został zamieszczony w Biuletynie Informacji Publicznej na</w:t>
      </w:r>
      <w:r>
        <w:rPr>
          <w:rFonts w:ascii="Times New Roman" w:hAnsi="Times New Roman" w:cs="Times New Roman"/>
        </w:rPr>
        <w:t> </w:t>
      </w:r>
      <w:r w:rsidRPr="003344CC">
        <w:rPr>
          <w:rFonts w:ascii="Times New Roman" w:hAnsi="Times New Roman" w:cs="Times New Roman"/>
        </w:rPr>
        <w:t xml:space="preserve">stronie podmiotowej Rządowego Centrum Legislacji w serwisie Rządowy Proces </w:t>
      </w:r>
      <w:r w:rsidRPr="003344CC">
        <w:rPr>
          <w:rFonts w:ascii="Times New Roman" w:hAnsi="Times New Roman" w:cs="Times New Roman"/>
        </w:rPr>
        <w:lastRenderedPageBreak/>
        <w:t>Legislacyjny zgodnie z art. 5 ustawy z dnia 7 lipca 2005 r. o działalności lobbingowej w procesie stanowienia prawa (Dz. U. z 2017 r. poz. 248) oraz § 52 ust. 1 uchwały nr 190 Rady Ministrów z dnia 29 października 2013 r. – Regulamin pracy Rady Ministrów (M.</w:t>
      </w:r>
      <w:r>
        <w:rPr>
          <w:rFonts w:ascii="Times New Roman" w:hAnsi="Times New Roman" w:cs="Times New Roman"/>
        </w:rPr>
        <w:t xml:space="preserve"> </w:t>
      </w:r>
      <w:r w:rsidRPr="003344CC">
        <w:rPr>
          <w:rFonts w:ascii="Times New Roman" w:hAnsi="Times New Roman" w:cs="Times New Roman"/>
        </w:rPr>
        <w:t>P. z</w:t>
      </w:r>
      <w:r>
        <w:rPr>
          <w:rFonts w:ascii="Times New Roman" w:hAnsi="Times New Roman" w:cs="Times New Roman"/>
        </w:rPr>
        <w:t> </w:t>
      </w:r>
      <w:r w:rsidRPr="003344CC">
        <w:rPr>
          <w:rFonts w:ascii="Times New Roman" w:hAnsi="Times New Roman" w:cs="Times New Roman"/>
        </w:rPr>
        <w:t>20</w:t>
      </w:r>
      <w:r>
        <w:rPr>
          <w:rFonts w:ascii="Times New Roman" w:hAnsi="Times New Roman" w:cs="Times New Roman"/>
        </w:rPr>
        <w:t>22 r. poz. 348</w:t>
      </w:r>
      <w:r w:rsidRPr="003344CC">
        <w:rPr>
          <w:rFonts w:ascii="Times New Roman" w:hAnsi="Times New Roman" w:cs="Times New Roman"/>
        </w:rPr>
        <w:t>).</w:t>
      </w:r>
    </w:p>
    <w:p w14:paraId="3F024537" w14:textId="77777777" w:rsidR="00933E11" w:rsidRPr="0061784B" w:rsidRDefault="00933E11" w:rsidP="00933E11">
      <w:pPr>
        <w:spacing w:after="0" w:line="36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p</w:t>
      </w:r>
      <w:r w:rsidRPr="00C70D8E">
        <w:rPr>
          <w:rFonts w:ascii="Times New Roman" w:eastAsia="Times New Roman" w:hAnsi="Times New Roman" w:cs="Times New Roman"/>
          <w:sz w:val="24"/>
          <w:szCs w:val="24"/>
          <w:lang w:eastAsia="pl-PL"/>
        </w:rPr>
        <w:t xml:space="preserve">rojekt </w:t>
      </w:r>
      <w:r>
        <w:rPr>
          <w:rFonts w:ascii="Times New Roman" w:eastAsia="Times New Roman" w:hAnsi="Times New Roman" w:cs="Times New Roman"/>
          <w:sz w:val="24"/>
          <w:szCs w:val="24"/>
          <w:lang w:eastAsia="pl-PL"/>
        </w:rPr>
        <w:t xml:space="preserve"> zostanie </w:t>
      </w:r>
      <w:r w:rsidRPr="00C70D8E">
        <w:rPr>
          <w:rFonts w:ascii="Times New Roman" w:eastAsia="Times New Roman" w:hAnsi="Times New Roman" w:cs="Times New Roman"/>
          <w:sz w:val="24"/>
          <w:szCs w:val="24"/>
          <w:lang w:eastAsia="pl-PL"/>
        </w:rPr>
        <w:t xml:space="preserve">przesłany do zaopiniowania przez: Polską Izbę Przemysłu Chemicznego oraz Stowarzyszenie Pożarników Polskich. </w:t>
      </w:r>
    </w:p>
    <w:p w14:paraId="552632A2" w14:textId="77777777" w:rsidR="00933E11" w:rsidRPr="003344CC" w:rsidRDefault="00933E11" w:rsidP="00933E11">
      <w:pPr>
        <w:pStyle w:val="ARTartustawynprozporzdzenia"/>
        <w:spacing w:before="0"/>
        <w:ind w:firstLine="709"/>
        <w:rPr>
          <w:rFonts w:ascii="Times New Roman" w:hAnsi="Times New Roman" w:cs="Times New Roman"/>
        </w:rPr>
      </w:pPr>
      <w:r w:rsidRPr="003344CC">
        <w:rPr>
          <w:rFonts w:ascii="Times New Roman" w:hAnsi="Times New Roman" w:cs="Times New Roman"/>
        </w:rPr>
        <w:t>Projekt nie podlega dokonaniu oceny OSR przez koordynatora OSR w trybie § 32 uchwały nr 190 Rady Ministrów z dnia 29 października 2013 r. – Regulamin pracy Rady Ministrów.</w:t>
      </w:r>
    </w:p>
    <w:p w14:paraId="35716105" w14:textId="77777777" w:rsidR="00933E11" w:rsidRPr="003344CC" w:rsidRDefault="00933E11" w:rsidP="00933E11">
      <w:pPr>
        <w:spacing w:after="0" w:line="360" w:lineRule="auto"/>
        <w:ind w:firstLine="709"/>
        <w:jc w:val="both"/>
        <w:rPr>
          <w:rFonts w:ascii="Times New Roman" w:hAnsi="Times New Roman"/>
          <w:b/>
          <w:sz w:val="24"/>
          <w:szCs w:val="24"/>
        </w:rPr>
      </w:pPr>
    </w:p>
    <w:p w14:paraId="30EE9690" w14:textId="015CE56C" w:rsidR="00B82835" w:rsidRPr="007D3043" w:rsidRDefault="00B82835" w:rsidP="00933E11">
      <w:pPr>
        <w:spacing w:after="0" w:line="360" w:lineRule="auto"/>
        <w:ind w:firstLine="709"/>
        <w:jc w:val="both"/>
        <w:rPr>
          <w:rFonts w:ascii="Times New Roman" w:hAnsi="Times New Roman" w:cs="Times New Roman"/>
          <w:sz w:val="24"/>
          <w:szCs w:val="24"/>
        </w:rPr>
      </w:pPr>
    </w:p>
    <w:sectPr w:rsidR="00B82835" w:rsidRPr="007D3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63"/>
    <w:rsid w:val="0001765D"/>
    <w:rsid w:val="0003339B"/>
    <w:rsid w:val="00052E7B"/>
    <w:rsid w:val="00185ECD"/>
    <w:rsid w:val="001A4F06"/>
    <w:rsid w:val="001E20DF"/>
    <w:rsid w:val="002205F6"/>
    <w:rsid w:val="0022334A"/>
    <w:rsid w:val="00271DD4"/>
    <w:rsid w:val="00275938"/>
    <w:rsid w:val="002E1065"/>
    <w:rsid w:val="00305931"/>
    <w:rsid w:val="0033329A"/>
    <w:rsid w:val="0034654C"/>
    <w:rsid w:val="0036271D"/>
    <w:rsid w:val="003720E8"/>
    <w:rsid w:val="00397D93"/>
    <w:rsid w:val="003B6FA1"/>
    <w:rsid w:val="003B7273"/>
    <w:rsid w:val="003E67A3"/>
    <w:rsid w:val="00450DC2"/>
    <w:rsid w:val="0046601F"/>
    <w:rsid w:val="00480651"/>
    <w:rsid w:val="004818A4"/>
    <w:rsid w:val="005011F7"/>
    <w:rsid w:val="00570BE5"/>
    <w:rsid w:val="005932A4"/>
    <w:rsid w:val="00621DBD"/>
    <w:rsid w:val="00673AB5"/>
    <w:rsid w:val="00681B97"/>
    <w:rsid w:val="00691633"/>
    <w:rsid w:val="006A4622"/>
    <w:rsid w:val="006D7689"/>
    <w:rsid w:val="006E26C6"/>
    <w:rsid w:val="006E7A71"/>
    <w:rsid w:val="00755403"/>
    <w:rsid w:val="007737FC"/>
    <w:rsid w:val="007B544C"/>
    <w:rsid w:val="007D3043"/>
    <w:rsid w:val="007E348D"/>
    <w:rsid w:val="00800914"/>
    <w:rsid w:val="00815DDA"/>
    <w:rsid w:val="008A795C"/>
    <w:rsid w:val="008D22DD"/>
    <w:rsid w:val="00914563"/>
    <w:rsid w:val="00933E11"/>
    <w:rsid w:val="00947D7A"/>
    <w:rsid w:val="00953BE6"/>
    <w:rsid w:val="009C43E9"/>
    <w:rsid w:val="009F21C2"/>
    <w:rsid w:val="00AA6905"/>
    <w:rsid w:val="00AB30F8"/>
    <w:rsid w:val="00B10AFA"/>
    <w:rsid w:val="00B35B5A"/>
    <w:rsid w:val="00B52F54"/>
    <w:rsid w:val="00B66A15"/>
    <w:rsid w:val="00B82835"/>
    <w:rsid w:val="00BF0BD5"/>
    <w:rsid w:val="00C04E7F"/>
    <w:rsid w:val="00C34EEA"/>
    <w:rsid w:val="00C70D8E"/>
    <w:rsid w:val="00C72C77"/>
    <w:rsid w:val="00CA32D0"/>
    <w:rsid w:val="00D24327"/>
    <w:rsid w:val="00D32C16"/>
    <w:rsid w:val="00D75F98"/>
    <w:rsid w:val="00DC048E"/>
    <w:rsid w:val="00DF3E25"/>
    <w:rsid w:val="00E34CA0"/>
    <w:rsid w:val="00E748E3"/>
    <w:rsid w:val="00EB5C68"/>
    <w:rsid w:val="00F017EE"/>
    <w:rsid w:val="00F24D27"/>
    <w:rsid w:val="00F43ABB"/>
    <w:rsid w:val="00F836F8"/>
    <w:rsid w:val="00F87D7A"/>
    <w:rsid w:val="00F9405A"/>
    <w:rsid w:val="00FC2C9A"/>
    <w:rsid w:val="00FC72F1"/>
    <w:rsid w:val="00FD77C3"/>
    <w:rsid w:val="00FE0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BDE6"/>
  <w15:docId w15:val="{2A096770-635E-4E5A-8F1A-CF7159CB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806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0651"/>
    <w:rPr>
      <w:rFonts w:ascii="Tahoma" w:hAnsi="Tahoma" w:cs="Tahoma"/>
      <w:sz w:val="16"/>
      <w:szCs w:val="16"/>
    </w:rPr>
  </w:style>
  <w:style w:type="paragraph" w:customStyle="1" w:styleId="ARTartustawynprozporzdzenia">
    <w:name w:val="ART(§) – art. ustawy (§ np. rozporządzenia)"/>
    <w:uiPriority w:val="11"/>
    <w:qFormat/>
    <w:rsid w:val="00933E11"/>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4658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Krzemień</dc:creator>
  <cp:lastModifiedBy>Zakrzewska Alicja</cp:lastModifiedBy>
  <cp:revision>2</cp:revision>
  <cp:lastPrinted>2022-03-15T10:03:00Z</cp:lastPrinted>
  <dcterms:created xsi:type="dcterms:W3CDTF">2023-04-19T15:29:00Z</dcterms:created>
  <dcterms:modified xsi:type="dcterms:W3CDTF">2023-04-19T15:29:00Z</dcterms:modified>
</cp:coreProperties>
</file>