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677"/>
        <w:gridCol w:w="545"/>
        <w:gridCol w:w="22"/>
        <w:gridCol w:w="283"/>
        <w:gridCol w:w="348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C2D184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5"/>
          </w:tcPr>
          <w:p w14:paraId="097793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B71A031" w14:textId="39151655" w:rsidR="006A701A" w:rsidRPr="008B4FE6" w:rsidRDefault="0012384F" w:rsidP="001238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384F">
              <w:rPr>
                <w:rFonts w:ascii="Times New Roman" w:hAnsi="Times New Roman"/>
                <w:color w:val="000000"/>
              </w:rPr>
              <w:t>Rozporządzenie Ministra Zdrowia w sprawie programu pilotażowego „Recepta na Ruch”</w:t>
            </w:r>
          </w:p>
          <w:p w14:paraId="611B562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56A8C15" w14:textId="68D74B05" w:rsidR="007415D0" w:rsidRDefault="0012384F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538CC00B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4462BE9" w14:textId="77777777" w:rsidR="009371A9" w:rsidRPr="009371A9" w:rsidRDefault="009371A9" w:rsidP="009371A9">
            <w:pPr>
              <w:spacing w:line="240" w:lineRule="auto"/>
              <w:rPr>
                <w:rFonts w:ascii="Times New Roman" w:hAnsi="Times New Roman"/>
              </w:rPr>
            </w:pPr>
            <w:r w:rsidRPr="009371A9">
              <w:rPr>
                <w:rFonts w:ascii="Times New Roman" w:hAnsi="Times New Roman"/>
              </w:rPr>
              <w:t>Pan Waldemar Kraska</w:t>
            </w:r>
          </w:p>
          <w:p w14:paraId="59B04B99" w14:textId="630F564B" w:rsidR="001B3460" w:rsidRPr="009371A9" w:rsidRDefault="009371A9" w:rsidP="009371A9">
            <w:pPr>
              <w:spacing w:line="240" w:lineRule="auto"/>
              <w:rPr>
                <w:rFonts w:ascii="Times New Roman" w:hAnsi="Times New Roman"/>
              </w:rPr>
            </w:pPr>
            <w:r w:rsidRPr="009371A9">
              <w:rPr>
                <w:rFonts w:ascii="Times New Roman" w:hAnsi="Times New Roman"/>
              </w:rPr>
              <w:t>Sekretarz Stanu w Ministerstwie Zdrowia</w:t>
            </w:r>
          </w:p>
          <w:p w14:paraId="5B51121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92577DB" w14:textId="77777777" w:rsidR="009371A9" w:rsidRPr="00171B3D" w:rsidRDefault="009371A9" w:rsidP="009371A9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Dariusz Poznański</w:t>
            </w:r>
          </w:p>
          <w:p w14:paraId="50309ABB" w14:textId="5C0EB51B" w:rsidR="006A701A" w:rsidRPr="008B4FE6" w:rsidRDefault="009371A9" w:rsidP="009371A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Dyrektor Departamentu Zdrowia Publicznego w Ministerstwie Zdrowia</w:t>
            </w:r>
            <w:r w:rsidR="00AD2B3F">
              <w:rPr>
                <w:rFonts w:ascii="Times New Roman" w:hAnsi="Times New Roman"/>
              </w:rPr>
              <w:t xml:space="preserve"> (</w:t>
            </w:r>
            <w:hyperlink r:id="rId8" w:history="1">
              <w:r w:rsidR="00AD2B3F" w:rsidRPr="00E06406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  <w:r w:rsidR="00AD2B3F">
              <w:rPr>
                <w:rFonts w:ascii="Times New Roman" w:hAnsi="Times New Roman"/>
              </w:rPr>
              <w:t>, tel.</w:t>
            </w:r>
            <w:r w:rsidR="00AD2B3F" w:rsidRPr="00AD2B3F">
              <w:rPr>
                <w:rFonts w:ascii="Times New Roman" w:hAnsi="Times New Roman"/>
              </w:rPr>
              <w:t xml:space="preserve"> 22 530 03 18</w:t>
            </w:r>
            <w:r w:rsidR="00AD2B3F">
              <w:rPr>
                <w:rFonts w:ascii="Times New Roman" w:hAnsi="Times New Roman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3ACDA9C" w14:textId="78E383F4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3-05-2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714D7">
                  <w:rPr>
                    <w:rFonts w:ascii="Times New Roman" w:hAnsi="Times New Roman"/>
                    <w:b/>
                    <w:sz w:val="21"/>
                    <w:szCs w:val="21"/>
                  </w:rPr>
                  <w:t>25.05.2023</w:t>
                </w:r>
              </w:sdtContent>
            </w:sdt>
          </w:p>
          <w:p w14:paraId="494B9B57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4933E6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70BC905" w14:textId="686018AF" w:rsidR="00730176" w:rsidRDefault="00730176" w:rsidP="00730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48e ust. 5 ustawy z dnia 27 sierpnia 2004 r. o świadczeniach opieki zdrowotnej finansowanych ze środków publicznych (Dz. U. z </w:t>
            </w:r>
            <w:r w:rsidR="00924E7E"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t xml:space="preserve">r. poz. </w:t>
            </w:r>
            <w:r w:rsidR="00413BDD">
              <w:rPr>
                <w:rFonts w:ascii="Times New Roman" w:hAnsi="Times New Roman"/>
              </w:rPr>
              <w:t>25</w:t>
            </w:r>
            <w:r w:rsidR="00924E7E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, z późn. zm.) </w:t>
            </w:r>
          </w:p>
          <w:p w14:paraId="1824280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E1FCA97" w14:textId="5A5DE798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E5208F" w:rsidRPr="00E5208F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E5208F">
              <w:rPr>
                <w:rFonts w:ascii="Times New Roman" w:hAnsi="Times New Roman"/>
                <w:b/>
                <w:color w:val="000000"/>
              </w:rPr>
              <w:t>Ministra Zdrowia</w:t>
            </w:r>
          </w:p>
          <w:p w14:paraId="3B01C1B3" w14:textId="3CE666C6" w:rsidR="00E5208F" w:rsidRPr="008B4FE6" w:rsidRDefault="00E5208F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1524</w:t>
            </w:r>
          </w:p>
          <w:p w14:paraId="2EA35CD5" w14:textId="77777777" w:rsidR="006A701A" w:rsidRPr="008B4FE6" w:rsidRDefault="006A701A" w:rsidP="004703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1D6CC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908CE1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3CEDF8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8669E2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37E34BE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6320E87" w14:textId="5E56C9DB" w:rsidR="006A701A" w:rsidRPr="00043930" w:rsidRDefault="00D265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3930">
              <w:rPr>
                <w:rFonts w:ascii="Times New Roman" w:hAnsi="Times New Roman"/>
                <w:color w:val="000000"/>
              </w:rPr>
              <w:t>Zbyt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nisk</w:t>
            </w:r>
            <w:r w:rsidRPr="00043930">
              <w:rPr>
                <w:rFonts w:ascii="Times New Roman" w:hAnsi="Times New Roman"/>
                <w:color w:val="000000"/>
              </w:rPr>
              <w:t>a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lub niewłaściw</w:t>
            </w:r>
            <w:r w:rsidRPr="00043930">
              <w:rPr>
                <w:rFonts w:ascii="Times New Roman" w:hAnsi="Times New Roman"/>
                <w:color w:val="000000"/>
              </w:rPr>
              <w:t>a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aktywnoś</w:t>
            </w:r>
            <w:r w:rsidRPr="00043930">
              <w:rPr>
                <w:rFonts w:ascii="Times New Roman" w:hAnsi="Times New Roman"/>
                <w:color w:val="000000"/>
              </w:rPr>
              <w:t>ć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fizyczn</w:t>
            </w:r>
            <w:r w:rsidRPr="00043930">
              <w:rPr>
                <w:rFonts w:ascii="Times New Roman" w:hAnsi="Times New Roman"/>
                <w:color w:val="000000"/>
              </w:rPr>
              <w:t>a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stanowi bardzo powszechny problem wśród </w:t>
            </w:r>
            <w:r w:rsidR="004903D6">
              <w:rPr>
                <w:rFonts w:ascii="Times New Roman" w:hAnsi="Times New Roman"/>
                <w:color w:val="000000"/>
              </w:rPr>
              <w:t xml:space="preserve">Polaków. 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Zarzucenie aktywności fizycznej stanowi obciążenie dla całego organizmu, stając się dodatkowym czynnikiem ryzyka w kontekście chorób układu oddechowego, chorób układu krążenia, czy zwiększenia ryzyka wystąpienia nadwagi, otyłości, cukrzycy, nadciśnienia tętniczego, ale również problemów w zakresie zdrowia psychicznego (obniżenie poczucia własnej wartości, ograniczenie dostępności zarówno do podstawowych potrzeb, jak i elementów życia społecznego, potęgujące uczucie osamotnienia i mogące prowadzić do stanów depresyjnych). </w:t>
            </w:r>
            <w:bookmarkStart w:id="3" w:name="_Hlk122081996"/>
            <w:r w:rsidR="00E418F1" w:rsidRPr="00043930">
              <w:rPr>
                <w:rFonts w:ascii="Times New Roman" w:hAnsi="Times New Roman"/>
                <w:color w:val="000000"/>
              </w:rPr>
              <w:t>Dodatkowym czynnikiem</w:t>
            </w:r>
            <w:r w:rsidR="00E947BA" w:rsidRPr="00043930">
              <w:rPr>
                <w:rFonts w:ascii="Times New Roman" w:hAnsi="Times New Roman"/>
                <w:color w:val="000000"/>
              </w:rPr>
              <w:t xml:space="preserve"> potęgującym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</w:t>
            </w:r>
            <w:r w:rsidR="00E947BA" w:rsidRPr="00043930">
              <w:rPr>
                <w:rFonts w:ascii="Times New Roman" w:hAnsi="Times New Roman"/>
                <w:color w:val="000000" w:themeColor="text1"/>
              </w:rPr>
              <w:t>obserwowane niekorzystne zjawiska</w:t>
            </w:r>
            <w:r w:rsidR="00E418F1" w:rsidRPr="00043930">
              <w:rPr>
                <w:rFonts w:ascii="Times New Roman" w:hAnsi="Times New Roman"/>
                <w:color w:val="000000"/>
              </w:rPr>
              <w:t xml:space="preserve"> jest niedostateczny dostęp do fizjoterapeutów, zarówno w zakresie aktywności fizycznej, zmiany w funkcjonowaniu i ergonomii dnia codziennego, jak i rehabilitacji po przebytych urazach, chorobach czy też w aktualnie dotykających </w:t>
            </w:r>
            <w:r w:rsidR="0092792B">
              <w:rPr>
                <w:rFonts w:ascii="Times New Roman" w:hAnsi="Times New Roman"/>
                <w:color w:val="000000"/>
              </w:rPr>
              <w:t>świadczeniobiorcę</w:t>
            </w:r>
            <w:r w:rsidR="0092792B" w:rsidRPr="00043930">
              <w:rPr>
                <w:rFonts w:ascii="Times New Roman" w:hAnsi="Times New Roman"/>
                <w:color w:val="000000"/>
              </w:rPr>
              <w:t xml:space="preserve"> </w:t>
            </w:r>
            <w:r w:rsidR="00E418F1" w:rsidRPr="00043930">
              <w:rPr>
                <w:rFonts w:ascii="Times New Roman" w:hAnsi="Times New Roman"/>
                <w:color w:val="000000"/>
              </w:rPr>
              <w:t>jednostkach chorobowych.</w:t>
            </w:r>
          </w:p>
          <w:bookmarkEnd w:id="3"/>
          <w:p w14:paraId="32A32586" w14:textId="29FABA2D" w:rsidR="00D26570" w:rsidRPr="00B37C80" w:rsidRDefault="00D265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3930">
              <w:rPr>
                <w:rFonts w:ascii="Times New Roman" w:hAnsi="Times New Roman"/>
                <w:color w:val="000000"/>
              </w:rPr>
              <w:t xml:space="preserve">Brak wystarczającej </w:t>
            </w:r>
            <w:r w:rsidR="00AD2B3F">
              <w:rPr>
                <w:rFonts w:ascii="Times New Roman" w:hAnsi="Times New Roman"/>
                <w:color w:val="000000"/>
              </w:rPr>
              <w:t>aktywności fizycznej</w:t>
            </w:r>
            <w:r w:rsidRPr="00043930">
              <w:rPr>
                <w:rFonts w:ascii="Times New Roman" w:hAnsi="Times New Roman"/>
                <w:color w:val="000000"/>
              </w:rPr>
              <w:t xml:space="preserve"> w czasie pandemii COVID-19, spędzanie wielu godzin przed komputerem, stres i </w:t>
            </w:r>
            <w:r w:rsidR="00AD2B3F">
              <w:rPr>
                <w:rFonts w:ascii="Times New Roman" w:hAnsi="Times New Roman"/>
                <w:color w:val="000000"/>
              </w:rPr>
              <w:t>spożywanie między posiłkami</w:t>
            </w:r>
            <w:r w:rsidRPr="00043930">
              <w:rPr>
                <w:rFonts w:ascii="Times New Roman" w:hAnsi="Times New Roman"/>
                <w:color w:val="000000"/>
              </w:rPr>
              <w:t xml:space="preserve"> miały negatywny wpływ na samopoczucie, zdrowie oraz sylwetkę Polaków</w:t>
            </w:r>
            <w:r w:rsidRPr="00043930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  <w:r w:rsidRPr="00043930">
              <w:rPr>
                <w:rFonts w:ascii="Times New Roman" w:hAnsi="Times New Roman"/>
                <w:color w:val="000000"/>
              </w:rPr>
              <w:t>. Okres pandemii COVID-19 spowodował w wielu krajach ofiar</w:t>
            </w:r>
            <w:r w:rsidR="00E947BA" w:rsidRPr="00043930">
              <w:rPr>
                <w:rFonts w:ascii="Times New Roman" w:hAnsi="Times New Roman"/>
                <w:color w:val="000000"/>
              </w:rPr>
              <w:t>y</w:t>
            </w:r>
            <w:r w:rsidRPr="00043930">
              <w:rPr>
                <w:rFonts w:ascii="Times New Roman" w:hAnsi="Times New Roman"/>
                <w:color w:val="000000"/>
              </w:rPr>
              <w:t xml:space="preserve"> śmierteln</w:t>
            </w:r>
            <w:r w:rsidR="00E947BA" w:rsidRPr="00043930">
              <w:rPr>
                <w:rFonts w:ascii="Times New Roman" w:hAnsi="Times New Roman"/>
                <w:color w:val="000000"/>
              </w:rPr>
              <w:t>e</w:t>
            </w:r>
            <w:r w:rsidRPr="00043930">
              <w:rPr>
                <w:rFonts w:ascii="Times New Roman" w:hAnsi="Times New Roman"/>
                <w:color w:val="000000"/>
              </w:rPr>
              <w:t>, ogromne straty materialne, pogłębił zjawisko nierówności społecznych w zdrowiu i skutki zdrowotne niedostatecznej aktywności fizycznej wszystkich grup społeczeństwa</w:t>
            </w:r>
            <w:r w:rsidRPr="00D26570">
              <w:rPr>
                <w:rFonts w:ascii="Times New Roman" w:hAnsi="Times New Roman"/>
                <w:color w:val="000000"/>
              </w:rPr>
              <w:t>.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</w:p>
        </w:tc>
      </w:tr>
      <w:tr w:rsidR="006A701A" w:rsidRPr="008B4FE6" w14:paraId="160A5D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5E324E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7FB9FC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B0D13CD" w14:textId="6B88015A" w:rsidR="002578BB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Celem programu pilotażowego jest ocena organizacji i efektywności objęcia świadczeniobiorców diagnostyką i profilaktyką w zakresie najczęściej występujących problemów zdrowotnych, w przypadku których </w:t>
            </w:r>
            <w:r w:rsidR="000869C0" w:rsidRPr="00D26570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zalecana aktywność fizyczna, uzupełnion</w:t>
            </w:r>
            <w:r w:rsidR="000E428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 o realizację indywidualnych programów treningowych i żywieniowych dostosowanych do możliwości i potrzeb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. W projekcie rozporządzenia zaproponowano, aby programem pilotażowym zostali objęci świadczeniobiorcy</w:t>
            </w:r>
            <w:r w:rsidR="006714D7">
              <w:rPr>
                <w:rFonts w:ascii="Times New Roman" w:hAnsi="Times New Roman"/>
                <w:color w:val="000000"/>
                <w:spacing w:val="-2"/>
              </w:rPr>
              <w:t xml:space="preserve">, którzy </w:t>
            </w:r>
            <w:r w:rsidR="006714D7" w:rsidRPr="006714D7">
              <w:rPr>
                <w:rFonts w:ascii="Times New Roman" w:hAnsi="Times New Roman"/>
                <w:color w:val="000000"/>
                <w:spacing w:val="-2"/>
              </w:rPr>
              <w:t>ukończyli 25 rok życia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. W ramach programu pilotażowego będą realizowane świadczenia opieki zdrowotnej z zakresu określonego w art. 15 ust. 2 pkt 1, 2, 5 i 9 ustawy z dnia 27 sierpnia 2004 r. o świadczeniach opieki zdrowotnej finansowanych ze środków publicznych. </w:t>
            </w:r>
            <w:r w:rsidR="000869C0" w:rsidRPr="000869C0">
              <w:rPr>
                <w:rFonts w:ascii="Times New Roman" w:hAnsi="Times New Roman"/>
                <w:color w:val="000000"/>
                <w:spacing w:val="-2"/>
              </w:rPr>
              <w:t>Zakres i rodzaj świadczeń opieki zdrowotnej udzielanych w ramach programu pilotażowego, warunki ich organizacji, udzielania oraz sposób rozliczenia tych świadczeń, a także schemat postępowania ze świadczeniobiorcą zakwalifikowanym do programu pilotażowego określa załącznik do rozporządzenia</w:t>
            </w:r>
            <w:r w:rsidR="000869C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62802CC" w14:textId="77777777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>Zakłada się, że okres realizacji programu pilotażowego obejmie:</w:t>
            </w:r>
          </w:p>
          <w:p w14:paraId="63B20704" w14:textId="52140FA1" w:rsidR="00D26570" w:rsidRPr="00D26570" w:rsidRDefault="00730176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7914C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ab/>
              <w:t xml:space="preserve">etap realizacji programu pilotażowego, który trwa 24 miesiące od dnia </w:t>
            </w:r>
            <w:r>
              <w:rPr>
                <w:rFonts w:ascii="Times New Roman" w:hAnsi="Times New Roman"/>
                <w:color w:val="000000"/>
                <w:spacing w:val="-2"/>
              </w:rPr>
              <w:t>wejścia w życie rozporządzenia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FC406C2" w14:textId="1FF6A0F9" w:rsidR="00D26570" w:rsidRDefault="00730176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7914C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ab/>
              <w:t>etap ewaluacji programu pilotażowego, który trwa 3 miesiące od dnia zakończenia etapu realizacji programu pilotażowego.</w:t>
            </w:r>
          </w:p>
          <w:p w14:paraId="6886CDA4" w14:textId="77777777" w:rsidR="000869C0" w:rsidRPr="000869C0" w:rsidRDefault="000869C0" w:rsidP="000869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9C0">
              <w:rPr>
                <w:rFonts w:ascii="Times New Roman" w:hAnsi="Times New Roman"/>
                <w:color w:val="000000"/>
                <w:spacing w:val="-2"/>
              </w:rPr>
              <w:t>Etap realizacji programu pilotażowego obejmuje:</w:t>
            </w:r>
          </w:p>
          <w:p w14:paraId="168BFC13" w14:textId="2A9898CD" w:rsidR="000869C0" w:rsidRPr="000869C0" w:rsidRDefault="000869C0" w:rsidP="000869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9C0">
              <w:rPr>
                <w:rFonts w:ascii="Times New Roman" w:hAnsi="Times New Roman"/>
                <w:color w:val="000000"/>
                <w:spacing w:val="-2"/>
              </w:rPr>
              <w:t>1) zawarcie umów na realizację programu pilotażowego z Narodowym Funduszem Zdrowia, zwany</w:t>
            </w:r>
            <w:r w:rsidR="00BE30E6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0869C0">
              <w:rPr>
                <w:rFonts w:ascii="Times New Roman" w:hAnsi="Times New Roman"/>
                <w:color w:val="000000"/>
                <w:spacing w:val="-2"/>
              </w:rPr>
              <w:t xml:space="preserve"> dalej „Funduszem”</w:t>
            </w:r>
            <w:r w:rsidR="00BE30E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0869C0">
              <w:rPr>
                <w:rFonts w:ascii="Times New Roman" w:hAnsi="Times New Roman"/>
                <w:color w:val="000000"/>
                <w:spacing w:val="-2"/>
              </w:rPr>
              <w:t xml:space="preserve"> nie później niż 6 miesięcy przed zakończeniem etapu realizacji programu pilotażowego;</w:t>
            </w:r>
          </w:p>
          <w:p w14:paraId="1352232C" w14:textId="7CC16C16" w:rsidR="000869C0" w:rsidRPr="000869C0" w:rsidRDefault="000869C0" w:rsidP="000869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9C0">
              <w:rPr>
                <w:rFonts w:ascii="Times New Roman" w:hAnsi="Times New Roman"/>
                <w:color w:val="000000"/>
                <w:spacing w:val="-2"/>
              </w:rPr>
              <w:t xml:space="preserve">2) realizację </w:t>
            </w:r>
            <w:r w:rsidR="00BE30E6" w:rsidRPr="000869C0">
              <w:rPr>
                <w:rFonts w:ascii="Times New Roman" w:hAnsi="Times New Roman"/>
                <w:color w:val="000000"/>
                <w:spacing w:val="-2"/>
              </w:rPr>
              <w:t xml:space="preserve">programu </w:t>
            </w:r>
            <w:r w:rsidRPr="000869C0">
              <w:rPr>
                <w:rFonts w:ascii="Times New Roman" w:hAnsi="Times New Roman"/>
                <w:color w:val="000000"/>
                <w:spacing w:val="-2"/>
              </w:rPr>
              <w:t>przez wybranych realizatorów programu pilotażowego;</w:t>
            </w:r>
          </w:p>
          <w:p w14:paraId="27813181" w14:textId="511C0049" w:rsidR="000869C0" w:rsidRPr="00D26570" w:rsidRDefault="000869C0" w:rsidP="000869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9C0">
              <w:rPr>
                <w:rFonts w:ascii="Times New Roman" w:hAnsi="Times New Roman"/>
                <w:color w:val="000000"/>
                <w:spacing w:val="-2"/>
              </w:rPr>
              <w:t>3) monitorowanie przez Fundusz realizacji programu pilotażowego.</w:t>
            </w:r>
          </w:p>
          <w:p w14:paraId="021AD742" w14:textId="77777777" w:rsidR="000869C0" w:rsidRDefault="000869C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E7F9B3C" w14:textId="682BA382" w:rsidR="006A701A" w:rsidRDefault="000869C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9C0">
              <w:rPr>
                <w:rFonts w:ascii="Times New Roman" w:hAnsi="Times New Roman"/>
                <w:color w:val="000000"/>
                <w:spacing w:val="-2"/>
              </w:rPr>
              <w:t xml:space="preserve">Realizatorem programu pilotażowego jest świadczeniodawca, który spełnia warunki organizacji i realizacji programu pilotażowego określone w załączniku do rozporządzenia oraz zawarł umowę z Funduszem na realizację programu pilotażowego. 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>Podmiotem zobowiązanym do wdrożenia, finansowania, monitorowania i ewaluacji programu pilotażowego będzie F</w:t>
            </w:r>
            <w:r w:rsidR="00B46263">
              <w:rPr>
                <w:rFonts w:ascii="Times New Roman" w:hAnsi="Times New Roman"/>
                <w:color w:val="000000"/>
                <w:spacing w:val="-2"/>
              </w:rPr>
              <w:t>undusz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>. Dokonuje on</w:t>
            </w:r>
            <w:r w:rsidR="00730176" w:rsidRPr="00730176">
              <w:rPr>
                <w:rFonts w:ascii="Times New Roman" w:hAnsi="Times New Roman"/>
                <w:color w:val="000000"/>
                <w:spacing w:val="-2"/>
              </w:rPr>
              <w:t>, w ramach etapu ewaluacji programu pilotażowego, o którym mowa w §</w:t>
            </w:r>
            <w:r w:rsidR="00B462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730176" w:rsidRPr="00730176">
              <w:rPr>
                <w:rFonts w:ascii="Times New Roman" w:hAnsi="Times New Roman"/>
                <w:color w:val="000000"/>
                <w:spacing w:val="-2"/>
              </w:rPr>
              <w:t xml:space="preserve"> pkt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2 </w:t>
            </w:r>
            <w:r w:rsidR="00730176">
              <w:rPr>
                <w:rFonts w:ascii="Times New Roman" w:hAnsi="Times New Roman"/>
                <w:color w:val="000000"/>
                <w:spacing w:val="-2"/>
              </w:rPr>
              <w:t>rozporządzenia,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lastRenderedPageBreak/>
              <w:t>oceny wyników programu pilotażowego przez sporządzenie analizy wskaźników tego programu, określonych w §</w:t>
            </w:r>
            <w:r w:rsidR="00C771A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3F67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D26570" w:rsidRPr="00D26570">
              <w:rPr>
                <w:rFonts w:ascii="Times New Roman" w:hAnsi="Times New Roman"/>
                <w:color w:val="000000"/>
                <w:spacing w:val="-2"/>
              </w:rPr>
              <w:t xml:space="preserve"> projektu rozporządzenia i przekazuje tę ocenę ministrowi właściwemu do spraw zdrowia</w:t>
            </w:r>
            <w:r w:rsidR="0073017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EE896D3" w14:textId="5918A39A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>Recepta na ruch to przede wszystkim zalecenia dotyczące określonego poziomu aktywności fizycznej wraz z odesłaniem do konkretnych treningów ruchowych przygotowywanych przez specjalistów w dziedzinie aktywności fizycznej</w:t>
            </w:r>
            <w:r w:rsidR="00E947B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z możliwością ich rozszerzenia o inne działania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, z wykorzystaniem rozwiązań udostępnionych w aplikacji mojeIKP. </w:t>
            </w:r>
          </w:p>
          <w:p w14:paraId="0BEEC7BD" w14:textId="22767D98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>Udział w programie</w:t>
            </w:r>
            <w:r w:rsidR="00301E87">
              <w:rPr>
                <w:rFonts w:ascii="Times New Roman" w:hAnsi="Times New Roman"/>
                <w:color w:val="000000"/>
                <w:spacing w:val="-2"/>
              </w:rPr>
              <w:t xml:space="preserve"> pilotażowym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 poprzedzony będzie oceną dotychczasowego poziomu aktywności fizycznej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, stanu zdrowia i aktualnych możliwości. </w:t>
            </w:r>
          </w:p>
          <w:p w14:paraId="62716225" w14:textId="0104D71A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Program </w:t>
            </w:r>
            <w:r w:rsidR="00301E87">
              <w:rPr>
                <w:rFonts w:ascii="Times New Roman" w:hAnsi="Times New Roman"/>
                <w:color w:val="000000"/>
                <w:spacing w:val="-2"/>
              </w:rPr>
              <w:t xml:space="preserve">pilotażowy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będzie obejmował dwa moduły. Pierwszym są treningi stacjonarne prowadzone przez fizjoterapeutę. Drugim modułem jest praca własna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, dla której narzędziem jest aplikacja </w:t>
            </w:r>
            <w:r w:rsidR="00E13871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ojeIKP. Dodatkowo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świadczeniobiorca</w:t>
            </w:r>
            <w:r w:rsidR="0092792B" w:rsidRPr="00D265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będzie miał dostęp do treści dotyczących przygotowanych dla niego zaleceń żywieniowych (które otrzyma zarówno w aplikacji, jak i od dietetyka) i innych treści dotyczących zdrowego żywienia i aktywności fizycznej.</w:t>
            </w:r>
          </w:p>
          <w:p w14:paraId="32CF0008" w14:textId="63959C5C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Program </w:t>
            </w:r>
            <w:r w:rsidR="00301E87">
              <w:rPr>
                <w:rFonts w:ascii="Times New Roman" w:hAnsi="Times New Roman"/>
                <w:color w:val="000000"/>
                <w:spacing w:val="-2"/>
              </w:rPr>
              <w:t xml:space="preserve">pilotażowy będzie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realizowany przez 3</w:t>
            </w:r>
            <w:r w:rsidR="00AD2B3F">
              <w:rPr>
                <w:rFonts w:ascii="Times New Roman" w:hAnsi="Times New Roman"/>
                <w:color w:val="000000"/>
                <w:spacing w:val="-2"/>
              </w:rPr>
              <w:t xml:space="preserve"> cykle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 postępowania z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świadczeniobiorcą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, trwając</w:t>
            </w:r>
            <w:r w:rsidR="000B393F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 w sumie 18 tygodni. Dobór zakresu działań i metod </w:t>
            </w:r>
            <w:r w:rsidR="000869C0">
              <w:rPr>
                <w:rFonts w:ascii="Times New Roman" w:hAnsi="Times New Roman"/>
                <w:color w:val="000000"/>
                <w:spacing w:val="-2"/>
              </w:rPr>
              <w:t xml:space="preserve">przez fizjoterapeutę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będzie uzależniony od stanu zdrowia i bazowej wydolności organizmu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="0092792B" w:rsidRPr="00D265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(kondycji fizycznej).</w:t>
            </w:r>
          </w:p>
          <w:p w14:paraId="4A40FD89" w14:textId="083BE102" w:rsidR="00D26570" w:rsidRPr="00D2657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Postęp osiąganych przez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świadczeniobiorcę</w:t>
            </w:r>
            <w:r w:rsidR="0092792B" w:rsidRPr="00D265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efektów będzie monitorowany, zarówno przez aplikację</w:t>
            </w:r>
            <w:r w:rsidR="000B393F" w:rsidRPr="00D26570">
              <w:rPr>
                <w:rFonts w:ascii="Times New Roman" w:hAnsi="Times New Roman"/>
                <w:color w:val="000000"/>
                <w:spacing w:val="-2"/>
              </w:rPr>
              <w:t xml:space="preserve"> mojeIKP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, jak i samego fizjoterapeutę przez cały okres realizacji projektu, zalecenia będą aktualizowane i dostosowywane w zależności od uzyskiwanych efektów. Dzięki udziałowi w projekcie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świadczeniobiorca</w:t>
            </w:r>
            <w:r w:rsidR="0092792B" w:rsidRPr="00D265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zyska dostęp do kompleksowego monitoringu kondycji i sprawności fizycznej, które wzmocnią odpowiedzialność za własne zdrowie w przyszłości.</w:t>
            </w:r>
          </w:p>
          <w:p w14:paraId="215EAC10" w14:textId="5EB9C32A" w:rsidR="00D26570" w:rsidRPr="00B37C80" w:rsidRDefault="00D26570" w:rsidP="00D26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Oczekuje się, że efektem podejmowanych działań w ramach programu pilotażowego będzie podniesienie poziomu aktywności fizycznej oraz adekwatne jej dostosowanie do potrzeb i możliwości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, co przyczyni się w dalszej kolejności do ograniczenia wysokich kosztów społecznych, ale także kosztów, jakie ponosi rynek pracy w przypadku chorób już rozwiniętych oraz </w:t>
            </w:r>
            <w:r w:rsidR="000B393F"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 xml:space="preserve"> w związku z ewentualnymi hospitalizacjami</w:t>
            </w:r>
            <w:r w:rsidR="00E947BA">
              <w:rPr>
                <w:rFonts w:ascii="Times New Roman" w:hAnsi="Times New Roman"/>
                <w:color w:val="000000"/>
                <w:spacing w:val="-2"/>
              </w:rPr>
              <w:t xml:space="preserve"> czy refundacją</w:t>
            </w:r>
            <w:r w:rsidRPr="00D2657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A4C4EA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B2D777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55ED3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AADC02B" w14:textId="25590FAD" w:rsidR="00B253C9" w:rsidRPr="006941CE" w:rsidRDefault="00B253C9" w:rsidP="00B253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 xml:space="preserve"> krajach anglosaskich (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Wielka Brytania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 xml:space="preserve">, USA, Kanada, Australia, Nowa Zelandia) i w krajach skandynawskich (np. Szwecja, Finlandia) funkcjonuje od dłuższego czasu tzw. recepta na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ruch 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E0284E">
              <w:rPr>
                <w:rFonts w:ascii="Times New Roman" w:hAnsi="Times New Roman"/>
                <w:color w:val="000000"/>
                <w:spacing w:val="-2"/>
              </w:rPr>
              <w:t xml:space="preserve">ang. </w:t>
            </w:r>
            <w:r w:rsidRPr="00E0284E">
              <w:rPr>
                <w:rFonts w:ascii="Times New Roman" w:hAnsi="Times New Roman"/>
                <w:i/>
                <w:iCs/>
                <w:color w:val="000000"/>
                <w:spacing w:val="-2"/>
              </w:rPr>
              <w:t>green prescription, excercise prescription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Recepta dla pacjenta w omawianych krajach wystawiania jest przez różnych </w:t>
            </w:r>
            <w:r w:rsidR="0041349B">
              <w:rPr>
                <w:rFonts w:ascii="Times New Roman" w:hAnsi="Times New Roman"/>
                <w:color w:val="000000"/>
                <w:spacing w:val="-2"/>
              </w:rPr>
              <w:t>przedstawicieli zawodów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medycznych, przede wszystkim lekarzy </w:t>
            </w:r>
            <w:r w:rsidR="00555407">
              <w:rPr>
                <w:rFonts w:ascii="Times New Roman" w:hAnsi="Times New Roman"/>
                <w:color w:val="000000"/>
                <w:spacing w:val="-2"/>
              </w:rPr>
              <w:t xml:space="preserve">podstawowej opieki zdrowotnej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pielęgniarki </w:t>
            </w:r>
            <w:r w:rsidR="00555407">
              <w:rPr>
                <w:rFonts w:ascii="Times New Roman" w:hAnsi="Times New Roman"/>
                <w:color w:val="000000"/>
                <w:spacing w:val="-2"/>
              </w:rPr>
              <w:t>podstawowej 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331A5C97" w14:textId="54163F85" w:rsidR="006A701A" w:rsidRPr="00B37C80" w:rsidRDefault="00B253C9" w:rsidP="00413B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Wielkiej Brytanii</w:t>
            </w:r>
            <w:r>
              <w:rPr>
                <w:rStyle w:val="Odwoanieprzypisudolnego"/>
                <w:rFonts w:ascii="Times New Roman" w:hAnsi="Times New Roman"/>
                <w:color w:val="000000"/>
                <w:spacing w:val="-2"/>
              </w:rPr>
              <w:footnoteReference w:id="3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recepta na ruch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może być uzupełniona o 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>porad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 xml:space="preserve"> dietetyczn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e, w szczególności w </w:t>
            </w:r>
            <w:r w:rsidRPr="006941CE">
              <w:rPr>
                <w:rFonts w:ascii="Times New Roman" w:hAnsi="Times New Roman"/>
                <w:color w:val="000000"/>
                <w:spacing w:val="-2"/>
              </w:rPr>
              <w:t>ramach grup wsparcia dla osób z otyłością czy cukrzycą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1C6CAB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1E24D9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4304EA3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25C48F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79680E2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27F514D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02D480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B7E0E" w:rsidRPr="008B4FE6" w14:paraId="10F79715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45C239" w14:textId="6332D407" w:rsidR="00BB7E0E" w:rsidRPr="008B4FE6" w:rsidRDefault="00480266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="006714D7">
              <w:rPr>
                <w:rFonts w:ascii="Times New Roman" w:hAnsi="Times New Roman"/>
                <w:color w:val="000000"/>
                <w:spacing w:val="-2"/>
              </w:rPr>
              <w:t>, którzy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14D7" w:rsidRPr="006714D7">
              <w:rPr>
                <w:rFonts w:ascii="Times New Roman" w:hAnsi="Times New Roman"/>
                <w:color w:val="000000"/>
                <w:spacing w:val="-2"/>
              </w:rPr>
              <w:t>ukończyli 25 rok życia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0B38C200" w14:textId="5D4AB4AE" w:rsidR="00BB7E0E" w:rsidRPr="00B37C80" w:rsidRDefault="00D36D15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28 341 066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1B7743CF" w14:textId="5A097696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GUS 2021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710C74" w14:textId="381743A4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Poprawa poziomu aktywności fizycznej, stanu zdrowia i jakości życia związanej ze zdrowiem</w:t>
            </w:r>
          </w:p>
        </w:tc>
      </w:tr>
      <w:tr w:rsidR="00FB1678" w:rsidRPr="008B4FE6" w14:paraId="5A291CF7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5C818AF" w14:textId="662966DA" w:rsidR="00FB1678" w:rsidRDefault="00FB1678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Liczba </w:t>
            </w:r>
            <w:r w:rsidR="0092792B">
              <w:rPr>
                <w:rFonts w:ascii="Times New Roman" w:hAnsi="Times New Roman"/>
                <w:color w:val="000000"/>
                <w:spacing w:val="-2"/>
              </w:rPr>
              <w:t xml:space="preserve">świadczeniobiorców </w:t>
            </w:r>
            <w:r>
              <w:rPr>
                <w:rFonts w:ascii="Times New Roman" w:hAnsi="Times New Roman"/>
                <w:color w:val="000000"/>
                <w:spacing w:val="-2"/>
              </w:rPr>
              <w:t>planowanych do objęcia programem</w:t>
            </w:r>
            <w:r w:rsidR="00DA66AF">
              <w:rPr>
                <w:rFonts w:ascii="Times New Roman" w:hAnsi="Times New Roman"/>
                <w:color w:val="000000"/>
                <w:spacing w:val="-2"/>
              </w:rPr>
              <w:t xml:space="preserve"> pilotażowym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2867C891" w14:textId="6D0A3AF8" w:rsidR="00FB1678" w:rsidRPr="004910BF" w:rsidRDefault="00FB1678" w:rsidP="00BB7E0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15 00</w:t>
            </w:r>
            <w:r w:rsidR="000247E3">
              <w:rPr>
                <w:rFonts w:ascii="Times New Roman" w:hAnsi="Times New Roman"/>
                <w:spacing w:val="-2"/>
              </w:rPr>
              <w:t>0</w:t>
            </w:r>
            <w:r>
              <w:rPr>
                <w:rStyle w:val="Odwoanieprzypisudolnego"/>
                <w:rFonts w:ascii="Times New Roman" w:hAnsi="Times New Roman"/>
                <w:spacing w:val="-2"/>
              </w:rPr>
              <w:footnoteReference w:id="4"/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30863818" w14:textId="4BFDCB63" w:rsidR="00FB1678" w:rsidRDefault="00FB1678" w:rsidP="00BB7E0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AOTMiT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822CD42" w14:textId="0D43B2ED" w:rsidR="00FB1678" w:rsidRDefault="00FB1678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Poprawa poziomu aktywności fizycznej, stanu zdrowia i jakości życia związanej ze zdrowiem</w:t>
            </w:r>
          </w:p>
        </w:tc>
      </w:tr>
      <w:tr w:rsidR="00BB7E0E" w:rsidRPr="008B4FE6" w14:paraId="08FED994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vMerge w:val="restart"/>
            <w:shd w:val="clear" w:color="auto" w:fill="auto"/>
          </w:tcPr>
          <w:p w14:paraId="32CDE021" w14:textId="77777777" w:rsidR="00BB7E0E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C4F87B" w14:textId="77777777" w:rsidR="00BB7E0E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285F5B" w14:textId="1F1C17AD" w:rsidR="00BB7E0E" w:rsidRPr="00DC7B5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7B56">
              <w:rPr>
                <w:rFonts w:ascii="Times New Roman" w:hAnsi="Times New Roman"/>
                <w:color w:val="000000"/>
              </w:rPr>
              <w:t>Świadczeniodawcy spełniający wymaga</w:t>
            </w:r>
            <w:r>
              <w:rPr>
                <w:rFonts w:ascii="Times New Roman" w:hAnsi="Times New Roman"/>
                <w:color w:val="000000"/>
              </w:rPr>
              <w:t xml:space="preserve">nia </w:t>
            </w:r>
            <w:r w:rsidRPr="00DC7B56">
              <w:rPr>
                <w:rFonts w:ascii="Times New Roman" w:hAnsi="Times New Roman"/>
                <w:color w:val="000000"/>
              </w:rPr>
              <w:t>określone w rozporządzeniu</w:t>
            </w:r>
          </w:p>
          <w:p w14:paraId="3C1DAE73" w14:textId="4D5D9506" w:rsidR="00BB7E0E" w:rsidRPr="008B4FE6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7B56">
              <w:rPr>
                <w:rFonts w:ascii="Times New Roman" w:hAnsi="Times New Roman"/>
                <w:color w:val="000000"/>
              </w:rPr>
              <w:t>(lekarze</w:t>
            </w:r>
            <w:r>
              <w:rPr>
                <w:rFonts w:ascii="Times New Roman" w:hAnsi="Times New Roman"/>
                <w:color w:val="000000"/>
              </w:rPr>
              <w:t>, fizjoterapeuci i dietetycy</w:t>
            </w:r>
            <w:r w:rsidRPr="00DC7B56">
              <w:rPr>
                <w:rFonts w:ascii="Times New Roman" w:hAnsi="Times New Roman"/>
                <w:color w:val="000000"/>
              </w:rPr>
              <w:t>)</w:t>
            </w:r>
            <w:r w:rsidR="002265E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określone w rozporządzeniu</w:t>
            </w:r>
          </w:p>
          <w:p w14:paraId="056BCB69" w14:textId="69DD4711" w:rsidR="00BB7E0E" w:rsidRPr="008B4FE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14:paraId="4CFEED46" w14:textId="77777777" w:rsidR="00BB7E0E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139 853 Lekarzy</w:t>
            </w:r>
            <w:r>
              <w:rPr>
                <w:rStyle w:val="Odwoanieprzypisudolnego"/>
                <w:rFonts w:ascii="Times New Roman" w:hAnsi="Times New Roman"/>
                <w:color w:val="000000"/>
                <w:spacing w:val="-2"/>
              </w:rPr>
              <w:footnoteReference w:id="5"/>
            </w:r>
          </w:p>
          <w:p w14:paraId="13673943" w14:textId="77777777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23" w:type="dxa"/>
            <w:gridSpan w:val="11"/>
            <w:shd w:val="clear" w:color="auto" w:fill="auto"/>
          </w:tcPr>
          <w:p w14:paraId="7A0C8911" w14:textId="64BCA2D3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Centralny Rejestr</w:t>
            </w:r>
            <w:r w:rsidRPr="00DC7B56">
              <w:rPr>
                <w:rFonts w:ascii="Times New Roman" w:hAnsi="Times New Roman"/>
                <w:color w:val="000000"/>
                <w:spacing w:val="-2"/>
              </w:rPr>
              <w:t xml:space="preserve"> Lekarzy Rzeczypospolitej Polskiej prowadzon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DC7B56">
              <w:rPr>
                <w:rFonts w:ascii="Times New Roman" w:hAnsi="Times New Roman"/>
                <w:color w:val="000000"/>
                <w:spacing w:val="-2"/>
              </w:rPr>
              <w:t xml:space="preserve"> przez NIL, wg stanu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05.05.2022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F34730" w14:textId="1E284C72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Diagnostyka, ocena efektów realizacji terapii</w:t>
            </w:r>
          </w:p>
        </w:tc>
      </w:tr>
      <w:tr w:rsidR="00BB7E0E" w:rsidRPr="008B4FE6" w14:paraId="7379F89E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vMerge/>
            <w:shd w:val="clear" w:color="auto" w:fill="auto"/>
          </w:tcPr>
          <w:p w14:paraId="33EDADC7" w14:textId="0B6851FB" w:rsidR="00BB7E0E" w:rsidRPr="008B4FE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14:paraId="4FE8E522" w14:textId="77777777" w:rsidR="00BB7E0E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72 389 Fizjoterapeutów</w:t>
            </w:r>
          </w:p>
          <w:p w14:paraId="403068CF" w14:textId="77777777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23" w:type="dxa"/>
            <w:gridSpan w:val="11"/>
            <w:shd w:val="clear" w:color="auto" w:fill="auto"/>
          </w:tcPr>
          <w:p w14:paraId="1C31ABE9" w14:textId="34AB1B40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Krajowy Rejestr Fizjoterapeutów prowadzony przez KIF ze stanem na dzień 30.08.2022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9CD3E6" w14:textId="32F1A4C5" w:rsidR="00BB7E0E" w:rsidRPr="00B37C80" w:rsidRDefault="00D45A74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Diagnostyka, przygotowanie i prowadzenie </w:t>
            </w:r>
            <w:r w:rsidRPr="007B1418">
              <w:rPr>
                <w:rFonts w:ascii="Times New Roman" w:hAnsi="Times New Roman"/>
                <w:color w:val="000000"/>
                <w:spacing w:val="-2"/>
              </w:rPr>
              <w:t>indywidualnych programów treningowych</w:t>
            </w:r>
            <w:r>
              <w:rPr>
                <w:rFonts w:ascii="Times New Roman" w:hAnsi="Times New Roman"/>
                <w:color w:val="000000"/>
                <w:spacing w:val="-2"/>
              </w:rPr>
              <w:t>, ocena efektów realizacji terapii</w:t>
            </w:r>
          </w:p>
        </w:tc>
      </w:tr>
      <w:tr w:rsidR="00BB7E0E" w:rsidRPr="008B4FE6" w14:paraId="2DD62F6F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vMerge/>
            <w:shd w:val="clear" w:color="auto" w:fill="auto"/>
          </w:tcPr>
          <w:p w14:paraId="2943ABFA" w14:textId="65AF26D0" w:rsidR="00BB7E0E" w:rsidRPr="008B4FE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14:paraId="242962EC" w14:textId="23412E2F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2827 Dietetyków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62C4CE0D" w14:textId="169582F0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7B56">
              <w:rPr>
                <w:rFonts w:ascii="Times New Roman" w:hAnsi="Times New Roman"/>
                <w:color w:val="000000"/>
                <w:spacing w:val="-2"/>
              </w:rPr>
              <w:t>Biuletyn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C7B56">
              <w:rPr>
                <w:rFonts w:ascii="Times New Roman" w:hAnsi="Times New Roman"/>
                <w:color w:val="000000"/>
                <w:spacing w:val="-2"/>
              </w:rPr>
              <w:t>Statystyczn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DC7B56">
              <w:rPr>
                <w:rFonts w:ascii="Times New Roman" w:hAnsi="Times New Roman"/>
                <w:color w:val="000000"/>
                <w:spacing w:val="-2"/>
              </w:rPr>
              <w:t xml:space="preserve"> Ministerstwa Zdrowia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ze stanem na dzień 31.12.2020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21AC27" w14:textId="0BA79DAE" w:rsidR="00BB7E0E" w:rsidRPr="00B37C80" w:rsidRDefault="00480BCD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45A74">
              <w:rPr>
                <w:rFonts w:ascii="Times New Roman" w:hAnsi="Times New Roman"/>
                <w:color w:val="000000"/>
                <w:spacing w:val="-2"/>
              </w:rPr>
              <w:t xml:space="preserve">rowadzenie </w:t>
            </w:r>
            <w:r w:rsidR="00D45A74" w:rsidRPr="007B1418">
              <w:rPr>
                <w:rFonts w:ascii="Times New Roman" w:hAnsi="Times New Roman"/>
                <w:color w:val="000000"/>
                <w:spacing w:val="-2"/>
              </w:rPr>
              <w:t>indywidualnych programów żywieniowych</w:t>
            </w:r>
          </w:p>
        </w:tc>
      </w:tr>
      <w:tr w:rsidR="00BB7E0E" w:rsidRPr="008B4FE6" w14:paraId="3D63DBF3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E671F2" w14:textId="50EA7B83" w:rsidR="00BB7E0E" w:rsidRPr="008B4FE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7B56">
              <w:rPr>
                <w:rFonts w:ascii="Times New Roman" w:hAnsi="Times New Roman"/>
                <w:color w:val="000000"/>
              </w:rPr>
              <w:t xml:space="preserve">Narodowy Fundusz Zdrowia oraz 16 oddziałów wojewódzkich </w:t>
            </w:r>
            <w:r w:rsidR="000B393F">
              <w:rPr>
                <w:rFonts w:ascii="Times New Roman" w:hAnsi="Times New Roman"/>
                <w:color w:val="000000"/>
              </w:rPr>
              <w:t>Funduszu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7FAE025D" w14:textId="2F99D14A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519DA57E" w14:textId="3AFEC31F" w:rsidR="00BB7E0E" w:rsidRPr="00B37C80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B1418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7E2A86B" w14:textId="42B13E46" w:rsidR="00BB7E0E" w:rsidRPr="00B37C80" w:rsidRDefault="00480BCD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B7E0E" w:rsidRPr="007B1418">
              <w:rPr>
                <w:rFonts w:ascii="Times New Roman" w:hAnsi="Times New Roman"/>
                <w:color w:val="000000"/>
                <w:spacing w:val="-2"/>
              </w:rPr>
              <w:t>drożeni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B7E0E" w:rsidRPr="007B1418">
              <w:rPr>
                <w:rFonts w:ascii="Times New Roman" w:hAnsi="Times New Roman"/>
                <w:color w:val="000000"/>
                <w:spacing w:val="-2"/>
              </w:rPr>
              <w:t>, finansowani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B7E0E" w:rsidRPr="007B1418">
              <w:rPr>
                <w:rFonts w:ascii="Times New Roman" w:hAnsi="Times New Roman"/>
                <w:color w:val="000000"/>
                <w:spacing w:val="-2"/>
              </w:rPr>
              <w:t>, monitorowani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B7E0E" w:rsidRPr="007B1418">
              <w:rPr>
                <w:rFonts w:ascii="Times New Roman" w:hAnsi="Times New Roman"/>
                <w:color w:val="000000"/>
                <w:spacing w:val="-2"/>
              </w:rPr>
              <w:t xml:space="preserve"> i ewaluacj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B7E0E" w:rsidRPr="007B1418">
              <w:rPr>
                <w:rFonts w:ascii="Times New Roman" w:hAnsi="Times New Roman"/>
                <w:color w:val="000000"/>
                <w:spacing w:val="-2"/>
              </w:rPr>
              <w:t xml:space="preserve"> programu pilotażowego</w:t>
            </w:r>
          </w:p>
        </w:tc>
      </w:tr>
      <w:tr w:rsidR="00BB7E0E" w:rsidRPr="008B4FE6" w14:paraId="2BFD6408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985A666" w14:textId="28AB8CBA" w:rsidR="00BB7E0E" w:rsidRPr="00DC7B56" w:rsidRDefault="00BB7E0E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CeZ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174D7D7C" w14:textId="58428E84" w:rsidR="00BB7E0E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12D3BD37" w14:textId="77777777" w:rsidR="00BB7E0E" w:rsidRPr="007B1418" w:rsidRDefault="00BB7E0E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00E9F2D" w14:textId="313220AF" w:rsidR="00BB7E0E" w:rsidRPr="007B1418" w:rsidRDefault="00480BCD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 xml:space="preserve">drożenie, nadzór i rozwijanie rozwiązań w aplikacji </w:t>
            </w:r>
            <w:r w:rsidR="00E13871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BB7E0E">
              <w:rPr>
                <w:rFonts w:ascii="Times New Roman" w:hAnsi="Times New Roman"/>
                <w:color w:val="000000"/>
                <w:spacing w:val="-2"/>
              </w:rPr>
              <w:t>ojeIKP</w:t>
            </w:r>
          </w:p>
        </w:tc>
      </w:tr>
      <w:tr w:rsidR="00073739" w:rsidRPr="008B4FE6" w14:paraId="2C933667" w14:textId="77777777" w:rsidTr="000E4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C9BA491" w14:textId="297FA479" w:rsidR="00073739" w:rsidRDefault="00073739" w:rsidP="00BB7E0E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Krajowa Izba Fizjoterapeutów</w:t>
            </w:r>
          </w:p>
        </w:tc>
        <w:tc>
          <w:tcPr>
            <w:tcW w:w="2465" w:type="dxa"/>
            <w:gridSpan w:val="7"/>
            <w:shd w:val="clear" w:color="auto" w:fill="auto"/>
          </w:tcPr>
          <w:p w14:paraId="0A052E83" w14:textId="1FBB9A41" w:rsidR="00073739" w:rsidRDefault="00073739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823" w:type="dxa"/>
            <w:gridSpan w:val="11"/>
            <w:shd w:val="clear" w:color="auto" w:fill="auto"/>
          </w:tcPr>
          <w:p w14:paraId="03D61748" w14:textId="77777777" w:rsidR="00073739" w:rsidRPr="007B1418" w:rsidRDefault="00073739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747E7C4" w14:textId="42BEFD6C" w:rsidR="00073739" w:rsidRDefault="00073739" w:rsidP="00BB7E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Dostosowanie i rozwój aplikacji Finezjo na potrzeby aplikacji </w:t>
            </w:r>
            <w:r w:rsidR="00E13871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>ojeIKP</w:t>
            </w:r>
          </w:p>
        </w:tc>
      </w:tr>
      <w:tr w:rsidR="006A701A" w:rsidRPr="008B4FE6" w14:paraId="1D2AB75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AF9D344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A3DF81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4424571D" w14:textId="77777777" w:rsidR="00BB7E0E" w:rsidRPr="0060453E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0453E">
              <w:rPr>
                <w:rFonts w:ascii="Times New Roman" w:hAnsi="Times New Roman"/>
                <w:color w:val="000000"/>
                <w:spacing w:val="-2"/>
              </w:rPr>
              <w:t>Odnośnie do ww. projektu rozporządzenia nie prowadzono tzw. pre-konsultacji.</w:t>
            </w:r>
          </w:p>
          <w:p w14:paraId="412EDC0F" w14:textId="4477C9C6" w:rsidR="00BB7E0E" w:rsidRPr="0060453E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0453E">
              <w:rPr>
                <w:rFonts w:ascii="Times New Roman" w:hAnsi="Times New Roman"/>
                <w:color w:val="000000"/>
                <w:spacing w:val="-2"/>
              </w:rPr>
              <w:t xml:space="preserve">Projekt rozporządzenia w ramach opiniowania i konsultacji publicznych (z </w:t>
            </w:r>
            <w:r w:rsidR="00073739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5821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0453E">
              <w:rPr>
                <w:rFonts w:ascii="Times New Roman" w:hAnsi="Times New Roman"/>
                <w:color w:val="000000"/>
                <w:spacing w:val="-2"/>
              </w:rPr>
              <w:t>dniowym terminem zgłaszania uwag) otrzyma</w:t>
            </w:r>
            <w:r w:rsidR="00FB1678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Pr="0060453E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C350FD0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Centrum e-Zdrowia.</w:t>
            </w:r>
          </w:p>
          <w:p w14:paraId="3BDA8D48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diabetologii;</w:t>
            </w:r>
          </w:p>
          <w:p w14:paraId="4A6ADDD2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endokrynologii;</w:t>
            </w:r>
          </w:p>
          <w:p w14:paraId="00CC92E4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fizjoterapii;</w:t>
            </w:r>
          </w:p>
          <w:p w14:paraId="432BE0E3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geriatrii;</w:t>
            </w:r>
          </w:p>
          <w:p w14:paraId="055F36D1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kardiologii;</w:t>
            </w:r>
          </w:p>
          <w:p w14:paraId="4F047D43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medycyny rodzinnej;</w:t>
            </w:r>
          </w:p>
          <w:p w14:paraId="7A46581D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ortopedii i traumatologii narządu ruchu;</w:t>
            </w:r>
          </w:p>
          <w:p w14:paraId="77AF5C80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Konsultant Krajowy w dziedzinie zdrowia publicznego;</w:t>
            </w:r>
          </w:p>
          <w:p w14:paraId="1D7C8008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4C486B2D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002EB1B5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Naczelna Rada Lekarska;</w:t>
            </w:r>
          </w:p>
          <w:p w14:paraId="1A640C87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6BEAEA5F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Ogólnopolski Związek Lekarzy;</w:t>
            </w:r>
          </w:p>
          <w:p w14:paraId="2E2E2E15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Ogólnopolski Związek Pracodawców Opieki Zdrowotnej;</w:t>
            </w:r>
          </w:p>
          <w:p w14:paraId="3CAAA0F0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Ogólnopolski Związek Pracodawców Prywatnej Służby Zdrowia;</w:t>
            </w:r>
          </w:p>
          <w:p w14:paraId="78ECF1B3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Ogólnopolski Związek Pracodawców Samodzielnych Publicznych Szpitali Klinicznych;</w:t>
            </w:r>
          </w:p>
          <w:p w14:paraId="00E20934" w14:textId="77777777" w:rsidR="00A73F67" w:rsidRDefault="00774BD1" w:rsidP="00A73F67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Położnych;</w:t>
            </w:r>
          </w:p>
          <w:p w14:paraId="25CADAB1" w14:textId="64C1FBB4" w:rsidR="00774BD1" w:rsidRPr="00A73F67" w:rsidRDefault="00774BD1" w:rsidP="00A73F67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73F67">
              <w:rPr>
                <w:rFonts w:ascii="Times New Roman" w:hAnsi="Times New Roman"/>
                <w:color w:val="000000"/>
                <w:spacing w:val="-2"/>
              </w:rPr>
              <w:t>Polski Związek Zawodowy Dietetyków;</w:t>
            </w:r>
          </w:p>
          <w:p w14:paraId="72347344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Polskie Stowarzyszenie Dietetyków;</w:t>
            </w:r>
          </w:p>
          <w:p w14:paraId="6136F608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Polskie Towarzystwo Fizjoterapii;</w:t>
            </w:r>
          </w:p>
          <w:p w14:paraId="7840E280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Polskie Towarzystwo Kardiologiczne;</w:t>
            </w:r>
          </w:p>
          <w:p w14:paraId="2DD6A35C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Polskie Towarzystwo Nauk Żywieniowych;</w:t>
            </w:r>
          </w:p>
          <w:p w14:paraId="796A7DE0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Prezes Agencji Oceny Technologii Medycznych i Taryfikacji;</w:t>
            </w:r>
          </w:p>
          <w:p w14:paraId="056BEEE4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Prezes Narodowego Funduszu Zdrowia;</w:t>
            </w:r>
          </w:p>
          <w:p w14:paraId="0D148760" w14:textId="5843B0E2" w:rsidR="00774BD1" w:rsidRPr="00A73F67" w:rsidRDefault="00774BD1" w:rsidP="00A73F67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679A2D7D" w14:textId="77777777" w:rsidR="00774BD1" w:rsidRPr="00774BD1" w:rsidRDefault="00774BD1" w:rsidP="00774BD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4BD1">
              <w:rPr>
                <w:rFonts w:ascii="Times New Roman" w:hAnsi="Times New Roman"/>
                <w:color w:val="000000"/>
                <w:spacing w:val="-2"/>
              </w:rPr>
              <w:t>Stowarzyszenie Fizjoterapia Polska;</w:t>
            </w:r>
          </w:p>
          <w:p w14:paraId="36BE0336" w14:textId="77777777" w:rsidR="00BB7E0E" w:rsidRDefault="00BB7E0E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7E0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5821C6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5821C6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5821C6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5D582987" w14:textId="22138A22" w:rsidR="002B290B" w:rsidRPr="00B37C80" w:rsidRDefault="002B290B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028B">
              <w:rPr>
                <w:rFonts w:ascii="Times New Roman" w:hAnsi="Times New Roman"/>
              </w:rPr>
              <w:t>Wyniki konsultacji publicznych i opiniowania zosta</w:t>
            </w:r>
            <w:r>
              <w:rPr>
                <w:rFonts w:ascii="Times New Roman" w:hAnsi="Times New Roman"/>
              </w:rPr>
              <w:t>ną</w:t>
            </w:r>
            <w:r w:rsidRPr="004B028B">
              <w:rPr>
                <w:rFonts w:ascii="Times New Roman" w:hAnsi="Times New Roman"/>
              </w:rPr>
              <w:t xml:space="preserve"> omówione w raporcie dołączonym do </w:t>
            </w:r>
            <w:r>
              <w:rPr>
                <w:rFonts w:ascii="Times New Roman" w:hAnsi="Times New Roman"/>
              </w:rPr>
              <w:t>o</w:t>
            </w:r>
            <w:r w:rsidRPr="004B028B">
              <w:rPr>
                <w:rFonts w:ascii="Times New Roman" w:hAnsi="Times New Roman"/>
              </w:rPr>
              <w:t>ceny</w:t>
            </w:r>
            <w:r>
              <w:rPr>
                <w:rFonts w:ascii="Times New Roman" w:hAnsi="Times New Roman"/>
              </w:rPr>
              <w:t xml:space="preserve"> skutków regulacji</w:t>
            </w:r>
            <w:r w:rsidRPr="004B028B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34FDABF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66327E0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C43FD7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2BA2827" w14:textId="6491D021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</w:t>
            </w:r>
            <w:r w:rsidR="000737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2023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3AA30D5A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39856623" w14:textId="77777777" w:rsidTr="000E428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60229C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E1CAD1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64" w:type="dxa"/>
            <w:gridSpan w:val="2"/>
            <w:shd w:val="clear" w:color="auto" w:fill="FFFFFF"/>
          </w:tcPr>
          <w:p w14:paraId="6D290CE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E16AB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14:paraId="14C8A6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70B0439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51F0AB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EC0F1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0BA6B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06BD2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269E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F50D9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F16674B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3D2D2EB4" w14:textId="77777777" w:rsidTr="000E428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AC27E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83A4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355B1A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1090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2D720F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BC0A2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31C5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81C9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2DF8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A6E6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ECD7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0ED4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ED3C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93AF22B" w14:textId="77777777" w:rsidTr="000E428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6585D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CD13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54823E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95E8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490A39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284391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3E98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5C3E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DE75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536D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8CEF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D6CE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CC0BD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9E6D0C8" w14:textId="77777777" w:rsidTr="000E428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69298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6BB61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6535DFF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DE868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19DC144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2B01DD5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949F9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BAD63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B8F9F0" w14:textId="697A6BDE" w:rsidR="0057668E" w:rsidRPr="00B37C80" w:rsidRDefault="005821C6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`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59381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C9A44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AFC3B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EF3CC0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8E13389" w14:textId="77777777" w:rsidTr="000E428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E450E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FFF23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78FB714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35C06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66241DB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1295DD7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5CDC3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7A061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48C32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7463F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2B298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E43DF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E29E92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BDD2F95" w14:textId="77777777" w:rsidTr="000E428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82F07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504CC3" w14:textId="23DFBEBB" w:rsidR="0057668E" w:rsidRPr="00B37C80" w:rsidRDefault="000737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6,4</w:t>
            </w:r>
          </w:p>
        </w:tc>
        <w:tc>
          <w:tcPr>
            <w:tcW w:w="864" w:type="dxa"/>
            <w:gridSpan w:val="2"/>
            <w:shd w:val="clear" w:color="auto" w:fill="FFFFFF"/>
          </w:tcPr>
          <w:p w14:paraId="479DC9E1" w14:textId="6C5CC4AC" w:rsidR="0057668E" w:rsidRPr="00B37C80" w:rsidRDefault="00E8462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12,81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56A305" w14:textId="59A4E34C" w:rsidR="0057668E" w:rsidRPr="00B37C80" w:rsidRDefault="000737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6,4</w:t>
            </w:r>
            <w:r w:rsidR="00E8462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14:paraId="15B8A7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6810B4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F9CE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6670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016E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896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AC60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F526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C59B22" w14:textId="62D0A67C" w:rsidR="0057668E" w:rsidRPr="00B37C80" w:rsidRDefault="00FB1678" w:rsidP="00FB16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167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,61 mln zł</w:t>
            </w:r>
          </w:p>
        </w:tc>
      </w:tr>
      <w:tr w:rsidR="0057668E" w:rsidRPr="008B4FE6" w14:paraId="63F1A9B7" w14:textId="77777777" w:rsidTr="000E428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744D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99B5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2CC32A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314A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3C0CB4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E6772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9297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C0AF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1C0E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EF0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2D0C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3BDD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9C017C" w14:textId="5F843424" w:rsidR="0057668E" w:rsidRPr="00B37C80" w:rsidRDefault="0057668E" w:rsidP="00FB16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60FF2E4" w14:textId="77777777" w:rsidTr="000E428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08D01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249AF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159B2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2477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37133C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81126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FCBB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AA7B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5940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10FA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6668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BEF1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95612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F69F049" w14:textId="77777777" w:rsidTr="000E428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E5F87C" w14:textId="00BA7F04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</w:t>
            </w:r>
            <w:r w:rsidR="007D5A3B">
              <w:rPr>
                <w:rFonts w:ascii="Times New Roman" w:hAnsi="Times New Roman"/>
                <w:color w:val="000000"/>
                <w:sz w:val="21"/>
                <w:szCs w:val="21"/>
              </w:rPr>
              <w:t>: 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7A76D9" w14:textId="40AB9545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6,4</w:t>
            </w:r>
          </w:p>
        </w:tc>
        <w:tc>
          <w:tcPr>
            <w:tcW w:w="864" w:type="dxa"/>
            <w:gridSpan w:val="2"/>
            <w:shd w:val="clear" w:color="auto" w:fill="FFFFFF"/>
          </w:tcPr>
          <w:p w14:paraId="0E2E5FD1" w14:textId="72D2E8FC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12,81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1E8781" w14:textId="04A945B9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6,4</w:t>
            </w:r>
          </w:p>
        </w:tc>
        <w:tc>
          <w:tcPr>
            <w:tcW w:w="283" w:type="dxa"/>
            <w:shd w:val="clear" w:color="auto" w:fill="FFFFFF"/>
          </w:tcPr>
          <w:p w14:paraId="42412A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590DBA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A79B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F903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02BD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2EE8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9655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5C69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50A8D5" w14:textId="34D18444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167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,61 mln zł</w:t>
            </w:r>
          </w:p>
        </w:tc>
      </w:tr>
      <w:tr w:rsidR="0057668E" w:rsidRPr="008B4FE6" w14:paraId="5E5C6E44" w14:textId="77777777" w:rsidTr="000E428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33F27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EA9A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083C9C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501A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540662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13ECDB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9A6B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082E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DA97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F361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E299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19C5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BEA8BE" w14:textId="1012B208" w:rsidR="0057668E" w:rsidRPr="00B37C80" w:rsidRDefault="00FB1678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FB167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,61 mln zł</w:t>
            </w:r>
          </w:p>
        </w:tc>
      </w:tr>
      <w:tr w:rsidR="0057668E" w:rsidRPr="008B4FE6" w14:paraId="0C211392" w14:textId="77777777" w:rsidTr="000E428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F207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8D2F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6B53CE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234C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2A4210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3809F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769B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9347F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0A78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BBE8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E211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D0B3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80E014" w14:textId="00F1361D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9841AEE" w14:textId="77777777" w:rsidTr="000E428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F8734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6B16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14:paraId="68587B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884E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FFFFFF"/>
          </w:tcPr>
          <w:p w14:paraId="7946B6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28E27E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1BC7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B3BD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8114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327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C01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6AC8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9BCF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808A9E8" w14:textId="77777777" w:rsidTr="000E428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09C48D" w14:textId="31D73BA4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</w:t>
            </w:r>
            <w:r w:rsidR="007D5A3B">
              <w:rPr>
                <w:rFonts w:ascii="Times New Roman" w:hAnsi="Times New Roman"/>
                <w:color w:val="000000"/>
                <w:sz w:val="21"/>
                <w:szCs w:val="21"/>
              </w:rPr>
              <w:t>: 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C60F85" w14:textId="62A26834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-6,4</w:t>
            </w:r>
          </w:p>
        </w:tc>
        <w:tc>
          <w:tcPr>
            <w:tcW w:w="864" w:type="dxa"/>
            <w:gridSpan w:val="2"/>
            <w:shd w:val="clear" w:color="auto" w:fill="FFFFFF"/>
          </w:tcPr>
          <w:p w14:paraId="024E20EF" w14:textId="7B6913A4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-12,81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522C79" w14:textId="3BC2C81F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-6,4</w:t>
            </w:r>
          </w:p>
        </w:tc>
        <w:tc>
          <w:tcPr>
            <w:tcW w:w="283" w:type="dxa"/>
            <w:shd w:val="clear" w:color="auto" w:fill="FFFFFF"/>
          </w:tcPr>
          <w:p w14:paraId="0D80C1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1F8E13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B5B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432A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D40A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5A9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71A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3578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5FECB5" w14:textId="5F0398A6" w:rsidR="0057668E" w:rsidRPr="00B37C80" w:rsidRDefault="007D5A3B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FB167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,61 mln zł</w:t>
            </w:r>
          </w:p>
        </w:tc>
      </w:tr>
      <w:tr w:rsidR="006A701A" w:rsidRPr="008B4FE6" w14:paraId="69C6ED5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F6AEE11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757D7A3A" w14:textId="40D4E2D3" w:rsidR="006A701A" w:rsidRPr="00B37C80" w:rsidRDefault="00E8462B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Program </w:t>
            </w:r>
            <w:r w:rsidR="00DA66A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pilotażowy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będzie finansowany ze środków pozostających w dyspozycji </w:t>
            </w:r>
            <w:r w:rsidR="000B393F">
              <w:rPr>
                <w:rFonts w:ascii="Times New Roman" w:hAnsi="Times New Roman"/>
                <w:color w:val="000000"/>
                <w:sz w:val="21"/>
                <w:szCs w:val="21"/>
              </w:rPr>
              <w:t>Funduszu</w:t>
            </w:r>
            <w:r w:rsidR="000737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 w:rsidR="00F612A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nie stanowi podstawy do ubiegania się przez </w:t>
            </w:r>
            <w:r w:rsidR="000B393F">
              <w:rPr>
                <w:rFonts w:ascii="Times New Roman" w:hAnsi="Times New Roman"/>
                <w:color w:val="000000"/>
                <w:sz w:val="21"/>
                <w:szCs w:val="21"/>
              </w:rPr>
              <w:t>Fundusz</w:t>
            </w:r>
            <w:r w:rsidR="00F612A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 dodatkowe środki z budżetu państwa.</w:t>
            </w:r>
          </w:p>
        </w:tc>
      </w:tr>
      <w:tr w:rsidR="00E24BD7" w:rsidRPr="008B4FE6" w14:paraId="52E74228" w14:textId="77777777" w:rsidTr="00413BDD">
        <w:trPr>
          <w:gridAfter w:val="1"/>
          <w:wAfter w:w="10" w:type="dxa"/>
          <w:trHeight w:val="1207"/>
        </w:trPr>
        <w:tc>
          <w:tcPr>
            <w:tcW w:w="2243" w:type="dxa"/>
            <w:gridSpan w:val="2"/>
            <w:shd w:val="clear" w:color="auto" w:fill="FFFFFF"/>
          </w:tcPr>
          <w:p w14:paraId="0F8B2C26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20CC7FF6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55D2A3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77EA1FD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0193A88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4DC37E8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0CE1CEB4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39A235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FD997D2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F6E6B08" w14:textId="77777777" w:rsidTr="000E428E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EEC0E2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244" w:type="dxa"/>
            <w:gridSpan w:val="3"/>
            <w:shd w:val="clear" w:color="auto" w:fill="FFFFFF"/>
          </w:tcPr>
          <w:p w14:paraId="60E8AC8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592FFBF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E1A6F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CF3E1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88D51C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86B78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B3A8789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79FB82A6" w14:textId="77777777" w:rsidTr="000E428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0D110E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2544FBA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7838655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BC55D11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244" w:type="dxa"/>
            <w:gridSpan w:val="3"/>
            <w:shd w:val="clear" w:color="auto" w:fill="FFFFFF"/>
          </w:tcPr>
          <w:p w14:paraId="0D904E7D" w14:textId="70D23B44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741FC7E1" w14:textId="4C38A5E6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4404F8" w14:textId="34414EAF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7F45E2" w14:textId="48745927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A8B3E3" w14:textId="328D153F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209F28E" w14:textId="6974D0D3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2AB201C" w14:textId="417C1EAC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E6D63" w:rsidRPr="008B4FE6" w14:paraId="58F83F68" w14:textId="77777777" w:rsidTr="000E428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D0082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D595AA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244" w:type="dxa"/>
            <w:gridSpan w:val="3"/>
            <w:shd w:val="clear" w:color="auto" w:fill="FFFFFF"/>
          </w:tcPr>
          <w:p w14:paraId="27DB57E7" w14:textId="302EEE21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24C7F4CA" w14:textId="0D3B1F5D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06A1E1" w14:textId="5640C10E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7D0CED" w14:textId="483938B1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65D848" w14:textId="664D8D79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27297C" w14:textId="64C14A55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A6F4008" w14:textId="36DBB2FB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E6D63" w:rsidRPr="008B4FE6" w14:paraId="3312293B" w14:textId="77777777" w:rsidTr="000E428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A5641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FD314D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1244" w:type="dxa"/>
            <w:gridSpan w:val="3"/>
            <w:shd w:val="clear" w:color="auto" w:fill="FFFFFF"/>
          </w:tcPr>
          <w:p w14:paraId="79592F3C" w14:textId="13723C6F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6D760FF3" w14:textId="20853D00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4EC08E" w14:textId="3281F833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3DFB5A" w14:textId="3F1B9624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E07785" w14:textId="205BC636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35622A0" w14:textId="7BCFC501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A7B30F7" w14:textId="6CC5AAD3" w:rsidR="002E6D63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A608F" w:rsidRPr="008B4FE6" w14:paraId="73A9E87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1A808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EC1587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A6C9C03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054099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47309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1FB5F2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6193DB61" w14:textId="7852802B" w:rsidR="008A608F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B167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będzie miał pozytywny wpływ na średnich i małych przedsiębiorców, a także na mikro-przedsiębiorców, ze względu na zwiększenie ochrony zdrowotnej mieszkańców kraju oraz wzrost świadomości społecznej w zakresie korzyści płynących z właściwej aktywności fizycznej i prawidłowych nawyków żywieniowych dla zdrowia populacji, a tym samym zmniejszeniem absencji chorobowej w pracy.</w:t>
            </w:r>
          </w:p>
        </w:tc>
      </w:tr>
      <w:tr w:rsidR="009E3C4B" w:rsidRPr="008B4FE6" w14:paraId="7B330E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3015255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C0443F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6F07040B" w14:textId="7303C80E" w:rsidR="009E3C4B" w:rsidRPr="00B37C80" w:rsidRDefault="00FB1678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B167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będzie miał pozytywny wpływ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rodziny, obywateli i gospodarstwa domowe, </w:t>
            </w:r>
            <w:r w:rsidRPr="00FB167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ze względu na zwiększenie ochrony zdrowotnej mieszkańców kraju oraz wzrost świadomości społecznej w zakresie korzyści płynących z właściwej aktywności fizycznej i prawidłowych nawyków żywieniowych dla zdrowia populacji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tym samym wydłużenie życia w zdrowiu.</w:t>
            </w:r>
          </w:p>
        </w:tc>
      </w:tr>
      <w:tr w:rsidR="00FD270A" w:rsidRPr="008B4FE6" w14:paraId="7DDB7C2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0DC62680" w14:textId="77777777" w:rsidR="00FD270A" w:rsidRPr="00301959" w:rsidRDefault="00FD270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BFB573" w14:textId="46EDF20A" w:rsidR="00FD270A" w:rsidRDefault="00AD19C8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osoby niepełnosprawne,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6A0B20E" w14:textId="61CC514C" w:rsidR="00FD270A" w:rsidRPr="00FB1678" w:rsidRDefault="00073739" w:rsidP="0007373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będzie miał pozytywny wpływ na osoby niepełnosprawne, osoby starsze, </w:t>
            </w:r>
            <w:r w:rsidRPr="00FB167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ze względu na zwiększenie ochrony zdrowotnej mieszkańców kraju oraz wzrost świadomości społecznej w zakresie korzyści płynących z właściwej aktywności fizycznej i prawidłowych nawyków żywieniowych dla zdrowia populacji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tym samym wydłużenie życia w zdrowiu.</w:t>
            </w:r>
          </w:p>
        </w:tc>
      </w:tr>
      <w:tr w:rsidR="00FB1678" w:rsidRPr="008B4FE6" w14:paraId="73C58B3B" w14:textId="77777777" w:rsidTr="004D5E22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5C0FE4D6" w14:textId="77777777" w:rsidR="00FB1678" w:rsidRPr="00301959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8CAD8AE" w14:textId="4688CCAE" w:rsidR="00FB1678" w:rsidRPr="00301959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48E77D7A" w14:textId="14C6989B" w:rsidR="00FB1678" w:rsidRPr="00B37C80" w:rsidRDefault="00FB1678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E24BD7" w:rsidRPr="008B4FE6" w14:paraId="7DF8211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646E2F6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tbl>
            <w:tblPr>
              <w:tblStyle w:val="Tabela-Siatka"/>
              <w:tblpPr w:leftFromText="141" w:rightFromText="141" w:horzAnchor="margin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1104"/>
              <w:gridCol w:w="1108"/>
              <w:gridCol w:w="1113"/>
              <w:gridCol w:w="1114"/>
              <w:gridCol w:w="1493"/>
            </w:tblGrid>
            <w:tr w:rsidR="00FB1678" w:rsidRPr="00F878D4" w14:paraId="023127BB" w14:textId="77777777" w:rsidTr="009B0507">
              <w:trPr>
                <w:trHeight w:val="494"/>
              </w:trPr>
              <w:tc>
                <w:tcPr>
                  <w:tcW w:w="1156" w:type="dxa"/>
                  <w:shd w:val="clear" w:color="auto" w:fill="D9D9D9" w:themeFill="background1" w:themeFillShade="D9"/>
                  <w:vAlign w:val="center"/>
                </w:tcPr>
                <w:p w14:paraId="33ECD4F2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Produkt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FB2282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Wycena</w:t>
                  </w:r>
                </w:p>
              </w:tc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14:paraId="10BA0FCC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Wielkość populacji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4CFCB31D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Odsetek populacji objętej produktem</w:t>
                  </w:r>
                </w:p>
              </w:tc>
              <w:tc>
                <w:tcPr>
                  <w:tcW w:w="1114" w:type="dxa"/>
                  <w:shd w:val="clear" w:color="auto" w:fill="D9D9D9" w:themeFill="background1" w:themeFillShade="D9"/>
                  <w:vAlign w:val="center"/>
                </w:tcPr>
                <w:p w14:paraId="15704D9C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Krotność w programie</w:t>
                  </w:r>
                </w:p>
              </w:tc>
              <w:tc>
                <w:tcPr>
                  <w:tcW w:w="1493" w:type="dxa"/>
                  <w:shd w:val="clear" w:color="auto" w:fill="D9D9D9" w:themeFill="background1" w:themeFillShade="D9"/>
                  <w:vAlign w:val="center"/>
                </w:tcPr>
                <w:p w14:paraId="105E06A2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Koszt</w:t>
                  </w:r>
                </w:p>
              </w:tc>
            </w:tr>
            <w:tr w:rsidR="00FB1678" w:rsidRPr="00F878D4" w14:paraId="6BCF4731" w14:textId="77777777" w:rsidTr="00FB1678">
              <w:trPr>
                <w:trHeight w:val="505"/>
              </w:trPr>
              <w:tc>
                <w:tcPr>
                  <w:tcW w:w="1156" w:type="dxa"/>
                  <w:vAlign w:val="center"/>
                </w:tcPr>
                <w:p w14:paraId="32CDF139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Fizjoterapeuta kwalifikacja</w:t>
                  </w:r>
                </w:p>
              </w:tc>
              <w:tc>
                <w:tcPr>
                  <w:tcW w:w="1104" w:type="dxa"/>
                  <w:vAlign w:val="center"/>
                </w:tcPr>
                <w:p w14:paraId="21ABEBB5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75,88zł</w:t>
                  </w:r>
                </w:p>
              </w:tc>
              <w:tc>
                <w:tcPr>
                  <w:tcW w:w="1108" w:type="dxa"/>
                  <w:vMerge w:val="restart"/>
                  <w:vAlign w:val="center"/>
                </w:tcPr>
                <w:p w14:paraId="5B7E3A9F" w14:textId="40A891B9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15 00</w:t>
                  </w:r>
                  <w:r w:rsidR="00E8462B">
                    <w:rPr>
                      <w:rFonts w:ascii="Times New Roman" w:hAnsi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13" w:type="dxa"/>
                  <w:vMerge w:val="restart"/>
                  <w:vAlign w:val="center"/>
                </w:tcPr>
                <w:p w14:paraId="149BC4A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114" w:type="dxa"/>
                  <w:vAlign w:val="center"/>
                </w:tcPr>
                <w:p w14:paraId="36D2DFF4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</w:tcPr>
                <w:p w14:paraId="52E6657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1 138 807,04zł</w:t>
                  </w:r>
                </w:p>
              </w:tc>
            </w:tr>
            <w:tr w:rsidR="00FB1678" w:rsidRPr="00F878D4" w14:paraId="5410E04D" w14:textId="77777777" w:rsidTr="00FB1678">
              <w:trPr>
                <w:trHeight w:val="494"/>
              </w:trPr>
              <w:tc>
                <w:tcPr>
                  <w:tcW w:w="1156" w:type="dxa"/>
                  <w:vAlign w:val="center"/>
                </w:tcPr>
                <w:p w14:paraId="09EB0F27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6 tygodniowy cykl</w:t>
                  </w:r>
                </w:p>
              </w:tc>
              <w:tc>
                <w:tcPr>
                  <w:tcW w:w="1104" w:type="dxa"/>
                  <w:vAlign w:val="center"/>
                </w:tcPr>
                <w:p w14:paraId="19B0F17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475,74zł</w:t>
                  </w:r>
                </w:p>
              </w:tc>
              <w:tc>
                <w:tcPr>
                  <w:tcW w:w="1108" w:type="dxa"/>
                  <w:vMerge/>
                  <w:vAlign w:val="center"/>
                </w:tcPr>
                <w:p w14:paraId="342BE86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vMerge/>
                  <w:vAlign w:val="center"/>
                </w:tcPr>
                <w:p w14:paraId="137E80AC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14:paraId="771AF922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</w:tcPr>
                <w:p w14:paraId="60D4857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21 419 717,76zł</w:t>
                  </w:r>
                </w:p>
              </w:tc>
            </w:tr>
            <w:tr w:rsidR="00FB1678" w:rsidRPr="00F878D4" w14:paraId="1764557D" w14:textId="77777777" w:rsidTr="00FB1678">
              <w:trPr>
                <w:trHeight w:val="505"/>
              </w:trPr>
              <w:tc>
                <w:tcPr>
                  <w:tcW w:w="1156" w:type="dxa"/>
                  <w:vAlign w:val="center"/>
                </w:tcPr>
                <w:p w14:paraId="2679BB0C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Konsultacja psycholog</w:t>
                  </w:r>
                </w:p>
              </w:tc>
              <w:tc>
                <w:tcPr>
                  <w:tcW w:w="1104" w:type="dxa"/>
                  <w:vAlign w:val="center"/>
                </w:tcPr>
                <w:p w14:paraId="2709835E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99,04zł</w:t>
                  </w:r>
                </w:p>
              </w:tc>
              <w:tc>
                <w:tcPr>
                  <w:tcW w:w="1108" w:type="dxa"/>
                  <w:vMerge/>
                  <w:vAlign w:val="center"/>
                </w:tcPr>
                <w:p w14:paraId="330175FB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5A17E6F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20%</w:t>
                  </w:r>
                </w:p>
              </w:tc>
              <w:tc>
                <w:tcPr>
                  <w:tcW w:w="1114" w:type="dxa"/>
                  <w:vAlign w:val="center"/>
                </w:tcPr>
                <w:p w14:paraId="62036D5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</w:tcPr>
                <w:p w14:paraId="38866884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297 278,46zł</w:t>
                  </w:r>
                </w:p>
              </w:tc>
            </w:tr>
            <w:tr w:rsidR="00FB1678" w:rsidRPr="00F878D4" w14:paraId="338EDAE1" w14:textId="77777777" w:rsidTr="00FB1678">
              <w:trPr>
                <w:trHeight w:val="311"/>
              </w:trPr>
              <w:tc>
                <w:tcPr>
                  <w:tcW w:w="1156" w:type="dxa"/>
                  <w:vAlign w:val="center"/>
                </w:tcPr>
                <w:p w14:paraId="7F30657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Zabieg masażu</w:t>
                  </w:r>
                </w:p>
              </w:tc>
              <w:tc>
                <w:tcPr>
                  <w:tcW w:w="1104" w:type="dxa"/>
                  <w:vAlign w:val="center"/>
                </w:tcPr>
                <w:p w14:paraId="7EB163E3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25,92zł</w:t>
                  </w:r>
                </w:p>
              </w:tc>
              <w:tc>
                <w:tcPr>
                  <w:tcW w:w="1108" w:type="dxa"/>
                  <w:vMerge/>
                  <w:vAlign w:val="center"/>
                </w:tcPr>
                <w:p w14:paraId="7651FDC3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42811D3F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30%</w:t>
                  </w:r>
                </w:p>
              </w:tc>
              <w:tc>
                <w:tcPr>
                  <w:tcW w:w="1114" w:type="dxa"/>
                  <w:vAlign w:val="center"/>
                </w:tcPr>
                <w:p w14:paraId="6E4BDA04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93" w:type="dxa"/>
                  <w:vAlign w:val="center"/>
                </w:tcPr>
                <w:p w14:paraId="6EF7CD6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1 400 426,50zł</w:t>
                  </w:r>
                </w:p>
              </w:tc>
            </w:tr>
            <w:tr w:rsidR="00FB1678" w:rsidRPr="00F878D4" w14:paraId="396B20EF" w14:textId="77777777" w:rsidTr="00FB1678">
              <w:trPr>
                <w:trHeight w:val="505"/>
              </w:trPr>
              <w:tc>
                <w:tcPr>
                  <w:tcW w:w="1156" w:type="dxa"/>
                  <w:vAlign w:val="center"/>
                </w:tcPr>
                <w:p w14:paraId="0A6FBF1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Zabiegi fizykalne</w:t>
                  </w:r>
                </w:p>
              </w:tc>
              <w:tc>
                <w:tcPr>
                  <w:tcW w:w="1104" w:type="dxa"/>
                  <w:vAlign w:val="center"/>
                </w:tcPr>
                <w:p w14:paraId="7C025E32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7,59zł</w:t>
                  </w:r>
                </w:p>
              </w:tc>
              <w:tc>
                <w:tcPr>
                  <w:tcW w:w="1108" w:type="dxa"/>
                  <w:vMerge/>
                  <w:vAlign w:val="center"/>
                </w:tcPr>
                <w:p w14:paraId="01E48EA4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vMerge w:val="restart"/>
                  <w:vAlign w:val="center"/>
                </w:tcPr>
                <w:p w14:paraId="3840E167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20%</w:t>
                  </w: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14:paraId="2C13EC43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93" w:type="dxa"/>
                  <w:vAlign w:val="center"/>
                </w:tcPr>
                <w:p w14:paraId="135B8788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227 821,44zł</w:t>
                  </w:r>
                </w:p>
              </w:tc>
            </w:tr>
            <w:tr w:rsidR="00FB1678" w:rsidRPr="00F878D4" w14:paraId="5C6BFDDE" w14:textId="77777777" w:rsidTr="00FB1678">
              <w:trPr>
                <w:trHeight w:val="494"/>
              </w:trPr>
              <w:tc>
                <w:tcPr>
                  <w:tcW w:w="1156" w:type="dxa"/>
                  <w:vAlign w:val="center"/>
                </w:tcPr>
                <w:p w14:paraId="5DDB30F6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Zabiegi w kriokomorze</w:t>
                  </w:r>
                </w:p>
              </w:tc>
              <w:tc>
                <w:tcPr>
                  <w:tcW w:w="1104" w:type="dxa"/>
                  <w:vAlign w:val="center"/>
                </w:tcPr>
                <w:p w14:paraId="3CF239CA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37,50zł</w:t>
                  </w:r>
                </w:p>
              </w:tc>
              <w:tc>
                <w:tcPr>
                  <w:tcW w:w="1108" w:type="dxa"/>
                  <w:vMerge/>
                  <w:vAlign w:val="center"/>
                </w:tcPr>
                <w:p w14:paraId="339FCDDB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vMerge/>
                  <w:vAlign w:val="center"/>
                </w:tcPr>
                <w:p w14:paraId="14A90B60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14" w:type="dxa"/>
                  <w:vMerge/>
                  <w:vAlign w:val="center"/>
                </w:tcPr>
                <w:p w14:paraId="342619EC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14:paraId="34BD477B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sz w:val="14"/>
                      <w:szCs w:val="14"/>
                    </w:rPr>
                    <w:t>1 125 600,00zł</w:t>
                  </w:r>
                </w:p>
              </w:tc>
            </w:tr>
            <w:tr w:rsidR="00FB1678" w:rsidRPr="00F878D4" w14:paraId="39D5C29E" w14:textId="77777777" w:rsidTr="009B0507">
              <w:trPr>
                <w:trHeight w:val="311"/>
              </w:trPr>
              <w:tc>
                <w:tcPr>
                  <w:tcW w:w="5595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5F712BA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Razem</w:t>
                  </w:r>
                </w:p>
              </w:tc>
              <w:tc>
                <w:tcPr>
                  <w:tcW w:w="1493" w:type="dxa"/>
                  <w:shd w:val="clear" w:color="auto" w:fill="D9D9D9" w:themeFill="background1" w:themeFillShade="D9"/>
                  <w:vAlign w:val="center"/>
                </w:tcPr>
                <w:p w14:paraId="629644AE" w14:textId="77777777" w:rsidR="00FB1678" w:rsidRPr="00FB1678" w:rsidRDefault="00FB1678" w:rsidP="00FB1678">
                  <w:pPr>
                    <w:spacing w:before="12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FB1678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25 609 651,20zł</w:t>
                  </w:r>
                </w:p>
              </w:tc>
            </w:tr>
          </w:tbl>
          <w:p w14:paraId="60F44593" w14:textId="77777777" w:rsidR="008A4D52" w:rsidRDefault="008A4D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4CC8D4F" w14:textId="77777777" w:rsidR="008A4D52" w:rsidRDefault="008A4D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E6E6E9" w14:textId="77777777" w:rsidR="008A4D52" w:rsidRDefault="008A4D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9C4803" w14:textId="77777777" w:rsidR="008A4D52" w:rsidRDefault="008A4D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6AC243E" w14:textId="3890D816" w:rsidR="008A4D52" w:rsidRDefault="008A4D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7BE8EB3" w14:textId="2048879A" w:rsidR="00894DF0" w:rsidRDefault="00894DF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7AF71F5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9029362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9139788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03B14F0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010E095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092486D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FC6229F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5E70614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8FC6466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18BDFB3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7B447E7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E2C8D2B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42E8D5F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0A79AB6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9A7B0B2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11CB38F" w14:textId="77777777" w:rsidR="00413BDD" w:rsidRDefault="00413B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0F745D4" w14:textId="77777777" w:rsidR="00E13871" w:rsidRDefault="00E1387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44A066F" w14:textId="340CFA9E" w:rsidR="00E24BD7" w:rsidRDefault="00FB16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Tabela 1. Wycena realizacji programu, źródło: oszacowanie wykonane przez AOTMiT</w:t>
            </w:r>
          </w:p>
          <w:p w14:paraId="319E1963" w14:textId="2E588941" w:rsidR="00E8462B" w:rsidRDefault="00E8462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</w:t>
            </w:r>
            <w:r w:rsidRPr="00E8462B">
              <w:rPr>
                <w:rFonts w:ascii="Times New Roman" w:hAnsi="Times New Roman"/>
                <w:color w:val="000000"/>
                <w:sz w:val="21"/>
                <w:szCs w:val="21"/>
              </w:rPr>
              <w:t>etodą płatności za świadczenia realizowane w ramach programu</w:t>
            </w:r>
            <w:r w:rsidR="00894D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pilotażowego </w:t>
            </w:r>
            <w:r w:rsidRPr="00E8462B">
              <w:rPr>
                <w:rFonts w:ascii="Times New Roman" w:hAnsi="Times New Roman"/>
                <w:color w:val="000000"/>
                <w:sz w:val="21"/>
                <w:szCs w:val="21"/>
              </w:rPr>
              <w:t>jest płatność za: świadczenie/cykl.</w:t>
            </w:r>
          </w:p>
          <w:p w14:paraId="6198F1C8" w14:textId="4B2ADD15" w:rsidR="0063383D" w:rsidRDefault="0063383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Badania diagnostyczne </w:t>
            </w:r>
            <w:r w:rsidRPr="0063383D">
              <w:rPr>
                <w:rFonts w:ascii="Times New Roman" w:hAnsi="Times New Roman"/>
                <w:color w:val="000000"/>
                <w:sz w:val="21"/>
                <w:szCs w:val="21"/>
              </w:rPr>
              <w:t>będą wykonywane w ramach odrębnych umów</w:t>
            </w:r>
            <w:r w:rsidR="000737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 udzielanie świadczeń w tym zakresie zawartych</w:t>
            </w:r>
            <w:r w:rsidRPr="006338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13871">
              <w:rPr>
                <w:rFonts w:ascii="Times New Roman" w:hAnsi="Times New Roman"/>
                <w:color w:val="000000"/>
                <w:sz w:val="21"/>
                <w:szCs w:val="21"/>
              </w:rPr>
              <w:t>Funduszem.</w:t>
            </w:r>
          </w:p>
          <w:p w14:paraId="4F7E4E16" w14:textId="1D6F20B2" w:rsidR="0063383D" w:rsidRDefault="0063383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Zaproponowane wyceny zabiegów fizykalnych i zabiegów masażu obejmują zarówno świadczenia już wskazane w wykazie świadczeń gwarantowanych</w:t>
            </w:r>
            <w:r>
              <w:rPr>
                <w:rStyle w:val="Odwoanieprzypisudolnego"/>
                <w:rFonts w:ascii="Times New Roman" w:hAnsi="Times New Roman"/>
                <w:color w:val="000000"/>
                <w:sz w:val="21"/>
                <w:szCs w:val="21"/>
              </w:rPr>
              <w:footnoteReference w:id="6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jak i nowe, zaproponowane na potrzeby realizacji programu</w:t>
            </w:r>
            <w:r w:rsidR="00194B2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pilotażowego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="007C4CE3">
              <w:rPr>
                <w:rFonts w:ascii="Times New Roman" w:hAnsi="Times New Roman"/>
                <w:color w:val="000000"/>
                <w:sz w:val="21"/>
                <w:szCs w:val="21"/>
              </w:rPr>
              <w:t>o których mowa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załączniku do rozporządzenia.</w:t>
            </w:r>
          </w:p>
          <w:p w14:paraId="13BB062D" w14:textId="5C5F77DA" w:rsidR="00E8462B" w:rsidRDefault="007C4CE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Przedstawiona wycena nie uwzględnia </w:t>
            </w:r>
            <w:r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kosztów skierowania </w:t>
            </w:r>
            <w:r w:rsidR="0092792B">
              <w:rPr>
                <w:rFonts w:ascii="Times New Roman" w:hAnsi="Times New Roman"/>
                <w:color w:val="000000"/>
                <w:sz w:val="21"/>
                <w:szCs w:val="21"/>
              </w:rPr>
              <w:t>świadczeniobiorcy</w:t>
            </w:r>
            <w:r w:rsidR="0092792B"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>do programu</w:t>
            </w:r>
            <w:r w:rsidR="00194B2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pilotażowego</w:t>
            </w:r>
            <w:r w:rsidR="00E1387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przyjęto założenie, że skierowanie wystawiane jest </w:t>
            </w:r>
            <w:r w:rsidR="00415B8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podczas wizyty </w:t>
            </w:r>
            <w:r w:rsidR="0092792B">
              <w:rPr>
                <w:rFonts w:ascii="Times New Roman" w:hAnsi="Times New Roman"/>
                <w:color w:val="000000"/>
                <w:sz w:val="21"/>
                <w:szCs w:val="21"/>
              </w:rPr>
              <w:t>świadczeniobiorcy</w:t>
            </w:r>
            <w:r w:rsidR="0092792B"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C4CE3">
              <w:rPr>
                <w:rFonts w:ascii="Times New Roman" w:hAnsi="Times New Roman"/>
                <w:color w:val="000000"/>
                <w:sz w:val="21"/>
                <w:szCs w:val="21"/>
              </w:rPr>
              <w:t>w podmiocie leczniczym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0F1D324D" w14:textId="77777777" w:rsidR="00FC2B1D" w:rsidRDefault="004365C2" w:rsidP="00C7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65C2">
              <w:rPr>
                <w:rFonts w:ascii="Times New Roman" w:hAnsi="Times New Roman"/>
                <w:color w:val="000000"/>
                <w:sz w:val="21"/>
                <w:szCs w:val="21"/>
              </w:rPr>
              <w:t>W ramach programu pilotażowego przewidziane są również konsultacje ze specjalistami. Konsultacje z dietetykiem przewidziane są dla wszystkich świadczeniobiorców w programie pilotażowym, w przypadku konsultacji z psychologiem czy lekarzem specjalistą, konieczność takiej konsultacji stwierdza fizjoterapeuta. Na potrzeby wyceny kosztów programu pilotażowego przyjęto założenia, że konsultacja:</w:t>
            </w:r>
          </w:p>
          <w:p w14:paraId="131893CA" w14:textId="601CAC14" w:rsidR="00C70A26" w:rsidRPr="00C70A26" w:rsidRDefault="00FC2B1D" w:rsidP="00C7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1) 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>świadczeniobiorcy z dietetykiem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dotyczyć będzie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wszystkich 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>świadczeniobiorców uczestniczących w programie pilotażowym,</w:t>
            </w:r>
          </w:p>
          <w:p w14:paraId="30EA772A" w14:textId="47026211" w:rsidR="00C70A26" w:rsidRPr="00C70A26" w:rsidRDefault="00FC2B1D" w:rsidP="00C7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2) 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>świadczeniobiorcy z psychologiem dotyczyć będzie do 20% świadczeniobiorców uczestniczących w programie pilotażowym,</w:t>
            </w:r>
          </w:p>
          <w:p w14:paraId="5322ED58" w14:textId="5B38DD28" w:rsidR="00C70A26" w:rsidRPr="00301959" w:rsidRDefault="00FC2B1D" w:rsidP="00C70A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3)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fizjoterapeuty z lekarzem specjalistą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C70A26" w:rsidRPr="00C70A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dotyczyć będzie do 20% świadczeniobiorców uczestniczących w programie pilotażowym.   </w:t>
            </w:r>
          </w:p>
        </w:tc>
      </w:tr>
      <w:tr w:rsidR="006A701A" w:rsidRPr="008B4FE6" w14:paraId="0A7830F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31A13D9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D1D131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3FFC4CDA" w14:textId="25E4F45B" w:rsidR="00D86AFF" w:rsidRPr="008B4FE6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7E0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36ADF3A1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9"/>
            <w:shd w:val="clear" w:color="auto" w:fill="FFFFFF"/>
          </w:tcPr>
          <w:p w14:paraId="6F727FFE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6A53248" w14:textId="77777777" w:rsidR="00D86AFF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5A86A323" w14:textId="77777777" w:rsidR="00D86AFF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7A2D4B48" w14:textId="5B4BEC40" w:rsidR="00D86AFF" w:rsidRDefault="00000000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21C6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797ED82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9"/>
            <w:shd w:val="clear" w:color="auto" w:fill="FFFFFF"/>
          </w:tcPr>
          <w:p w14:paraId="4A6845AC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D45BDB0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78AD97D" w14:textId="4DB09819" w:rsidR="001B3460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67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4C64E00" w14:textId="77777777" w:rsidR="001B3460" w:rsidRPr="008B4FE6" w:rsidRDefault="00000000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6AB3BAE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21D4857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86D3268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033A2E9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17FDAA66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2AEFAC4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9"/>
            <w:shd w:val="clear" w:color="auto" w:fill="FFFFFF"/>
          </w:tcPr>
          <w:p w14:paraId="12374CDA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6E8C0442" w14:textId="77777777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0C8C599B" w14:textId="77777777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7F564C12" w14:textId="51234363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167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2CB15AA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DAE2C1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14:paraId="47B12A69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72B4D954" w14:textId="5A7478B6" w:rsidR="00117017" w:rsidRDefault="00FB16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6C83F72B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7C5D42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DDDADB1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6B613B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8BFA305" w14:textId="14B7F7EF" w:rsidR="00BB7E0E" w:rsidRPr="00BB7E0E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E0E">
              <w:rPr>
                <w:rFonts w:ascii="Times New Roman" w:hAnsi="Times New Roman"/>
                <w:color w:val="000000"/>
              </w:rPr>
              <w:t>Regulacja wpłynie na konkurencyjność gospodarki i przedsiębiorczość, w tym funkcjonowanie przedsiębiorców, a zwłaszcza mikroprzedsiębiorców, małych i średnich przedsiębiorców</w:t>
            </w:r>
            <w:r w:rsidR="00E13871">
              <w:rPr>
                <w:rFonts w:ascii="Times New Roman" w:hAnsi="Times New Roman"/>
                <w:color w:val="000000"/>
              </w:rPr>
              <w:t xml:space="preserve">. </w:t>
            </w:r>
            <w:r w:rsidR="00351BE0">
              <w:rPr>
                <w:rFonts w:ascii="Times New Roman" w:hAnsi="Times New Roman"/>
                <w:color w:val="000000"/>
              </w:rPr>
              <w:t>Realizacja p</w:t>
            </w:r>
            <w:r w:rsidR="003F2646">
              <w:rPr>
                <w:rFonts w:ascii="Times New Roman" w:hAnsi="Times New Roman"/>
                <w:color w:val="000000"/>
              </w:rPr>
              <w:t>rogram</w:t>
            </w:r>
            <w:r w:rsidR="00351BE0">
              <w:rPr>
                <w:rFonts w:ascii="Times New Roman" w:hAnsi="Times New Roman"/>
                <w:color w:val="000000"/>
              </w:rPr>
              <w:t>u</w:t>
            </w:r>
            <w:r w:rsidR="003F2646">
              <w:rPr>
                <w:rFonts w:ascii="Times New Roman" w:hAnsi="Times New Roman"/>
                <w:color w:val="000000"/>
              </w:rPr>
              <w:t xml:space="preserve"> </w:t>
            </w:r>
            <w:r w:rsidR="00351BE0">
              <w:rPr>
                <w:rFonts w:ascii="Times New Roman" w:hAnsi="Times New Roman"/>
                <w:color w:val="000000"/>
                <w:sz w:val="21"/>
                <w:szCs w:val="21"/>
              </w:rPr>
              <w:t>pilotażowego</w:t>
            </w:r>
            <w:r w:rsidR="00351BE0" w:rsidRPr="00E8462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F2646">
              <w:rPr>
                <w:rFonts w:ascii="Times New Roman" w:hAnsi="Times New Roman"/>
                <w:color w:val="000000"/>
              </w:rPr>
              <w:t>wpłynie na</w:t>
            </w:r>
            <w:r w:rsidR="003F2646" w:rsidRPr="003F2646">
              <w:rPr>
                <w:rFonts w:ascii="Times New Roman" w:hAnsi="Times New Roman"/>
                <w:color w:val="000000"/>
              </w:rPr>
              <w:t xml:space="preserve"> zwiększenie ochrony zdrowotnej mieszkańców kraju oraz wzrost świadomości w zakresie problemów zdrowotnych, a tym samym zmniejszenie absencji chorobowej w pracy.</w:t>
            </w:r>
          </w:p>
          <w:p w14:paraId="7C73B28B" w14:textId="1ADDE424" w:rsidR="001B3460" w:rsidRPr="008B4FE6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E0E">
              <w:rPr>
                <w:rFonts w:ascii="Times New Roman" w:hAnsi="Times New Roman"/>
                <w:color w:val="000000"/>
              </w:rPr>
              <w:t>Przedmiotowy projekt z uwagi na swój charakter nie zawiera przepisów dotyczących zasad podejmowania, wykonywania lub zakończenia działalności gospodarczej,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 ani analizy zgodności projektu z tym rozporządzeniem w powyższym zakresie.</w:t>
            </w:r>
          </w:p>
          <w:p w14:paraId="4D5906A8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65AB71E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C2795D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E53599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D3E8CB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A9B088" w14:textId="77777777" w:rsidR="001B3460" w:rsidRPr="008B4FE6" w:rsidRDefault="0000000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FE64012" w14:textId="199E9CF7" w:rsidR="001B3460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4F873EA" w14:textId="5BF7C872" w:rsidR="00592D9C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6367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17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30176" w:rsidRPr="008B4FE6" w:rsidDel="00730176">
              <w:rPr>
                <w:rFonts w:ascii="Times New Roman" w:hAnsi="Times New Roman"/>
                <w:color w:val="000000"/>
              </w:rPr>
              <w:t xml:space="preserve"> </w:t>
            </w:r>
            <w:r w:rsidR="00592D9C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3F34FD9B" w14:textId="4E755F58" w:rsidR="001B3460" w:rsidRPr="008B4FE6" w:rsidRDefault="001B3460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3"/>
            <w:shd w:val="clear" w:color="auto" w:fill="FFFFFF"/>
          </w:tcPr>
          <w:p w14:paraId="6EF201F1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5416433" w14:textId="77777777" w:rsidR="001B3460" w:rsidRPr="008B4FE6" w:rsidRDefault="0000000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D733563" w14:textId="77777777" w:rsidR="00592D9C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  <w:r w:rsidR="00592D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ADD6DD" w14:textId="17EB6AF7" w:rsidR="001B3460" w:rsidRPr="008B4FE6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2905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D9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92D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2D9C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592D9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018AA0F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40F01E" w14:textId="38C3B553" w:rsidR="001B3460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3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F48939B" w14:textId="32B9FBCB" w:rsidR="001B3460" w:rsidRPr="008B4FE6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7E0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476A9C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EA06C6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0B6BFCB2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8C9F881" w14:textId="70AF5A59" w:rsidR="001B3460" w:rsidRPr="008B4FE6" w:rsidRDefault="00BB7E0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Poprawa dostępności do </w:t>
            </w:r>
            <w:r w:rsidR="00551D8C">
              <w:rPr>
                <w:rFonts w:ascii="Times New Roman" w:hAnsi="Times New Roman"/>
                <w:color w:val="000000"/>
                <w:spacing w:val="-2"/>
              </w:rPr>
              <w:t>świadczeń z zakresu fizjoterapii, poprawa wydolności i kondycji fizycznej</w:t>
            </w:r>
            <w:r w:rsidR="003F2646">
              <w:rPr>
                <w:rFonts w:ascii="Times New Roman" w:hAnsi="Times New Roman"/>
                <w:color w:val="000000"/>
                <w:spacing w:val="-2"/>
              </w:rPr>
              <w:t xml:space="preserve"> osób objętych </w:t>
            </w:r>
            <w:r w:rsidR="00A81820">
              <w:rPr>
                <w:rFonts w:ascii="Times New Roman" w:hAnsi="Times New Roman"/>
                <w:color w:val="000000"/>
                <w:spacing w:val="-2"/>
              </w:rPr>
              <w:t>programem pilotażowym</w:t>
            </w:r>
            <w:r w:rsidR="00551D8C">
              <w:rPr>
                <w:rFonts w:ascii="Times New Roman" w:hAnsi="Times New Roman"/>
                <w:color w:val="000000"/>
                <w:spacing w:val="-2"/>
              </w:rPr>
              <w:t xml:space="preserve">, zapobieganie chorobom cywilizacyjnym,  </w:t>
            </w:r>
          </w:p>
          <w:p w14:paraId="074F3D6A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5F3C91A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581721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75B63FA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46450A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813AF9E" w14:textId="5C4AD48B" w:rsidR="001B3460" w:rsidRPr="00B37C80" w:rsidRDefault="00BB7E0E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B7E0E">
              <w:rPr>
                <w:rFonts w:ascii="Times New Roman" w:hAnsi="Times New Roman"/>
                <w:spacing w:val="-2"/>
              </w:rPr>
              <w:t xml:space="preserve">Rozporządzenie </w:t>
            </w:r>
            <w:r w:rsidR="00F45938">
              <w:rPr>
                <w:rFonts w:ascii="Times New Roman" w:hAnsi="Times New Roman"/>
                <w:spacing w:val="-2"/>
              </w:rPr>
              <w:t xml:space="preserve">wejdzie </w:t>
            </w:r>
            <w:r w:rsidRPr="00BB7E0E">
              <w:rPr>
                <w:rFonts w:ascii="Times New Roman" w:hAnsi="Times New Roman"/>
                <w:spacing w:val="-2"/>
              </w:rPr>
              <w:t>w życie z dniem następującym po dniu ogłoszenia.</w:t>
            </w:r>
          </w:p>
        </w:tc>
      </w:tr>
      <w:tr w:rsidR="001B3460" w:rsidRPr="008B4FE6" w14:paraId="3F8ED7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19F83C4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176D87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0E123E6" w14:textId="77777777" w:rsidR="00BB7E0E" w:rsidRPr="00BB7E0E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7E0E">
              <w:rPr>
                <w:rFonts w:ascii="Times New Roman" w:hAnsi="Times New Roman"/>
                <w:color w:val="000000"/>
                <w:spacing w:val="-2"/>
              </w:rPr>
              <w:t>Ewaluacja programu pilotażowego przewidziana jest na 3 miesiące od dnia zakończenia etapu realizacji programu pilotażowego.</w:t>
            </w:r>
          </w:p>
          <w:p w14:paraId="682B0877" w14:textId="77777777" w:rsidR="00BB7E0E" w:rsidRPr="00BB7E0E" w:rsidRDefault="00BB7E0E" w:rsidP="00BB7E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7E0E">
              <w:rPr>
                <w:rFonts w:ascii="Times New Roman" w:hAnsi="Times New Roman"/>
                <w:color w:val="000000"/>
                <w:spacing w:val="-2"/>
              </w:rPr>
              <w:t>Na potrzeby ewaluacji programu zastosowano wskaźniki określone w rozporządzeniu:</w:t>
            </w:r>
          </w:p>
          <w:p w14:paraId="6BD8C41E" w14:textId="77777777" w:rsidR="005821C6" w:rsidRPr="005821C6" w:rsidRDefault="005821C6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1C6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5821C6">
              <w:rPr>
                <w:rFonts w:ascii="Times New Roman" w:hAnsi="Times New Roman"/>
                <w:color w:val="000000"/>
                <w:spacing w:val="-2"/>
              </w:rPr>
              <w:tab/>
              <w:t>liczba świadczeniobiorców, w podziale na wiek i płeć, objętych programem pilotażowym w stosunku do populacji osób uprawnionych do udziału w programie pilotażowym;</w:t>
            </w:r>
          </w:p>
          <w:p w14:paraId="75E89B58" w14:textId="77777777" w:rsidR="005821C6" w:rsidRPr="005821C6" w:rsidRDefault="005821C6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1C6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5821C6">
              <w:rPr>
                <w:rFonts w:ascii="Times New Roman" w:hAnsi="Times New Roman"/>
                <w:color w:val="000000"/>
                <w:spacing w:val="-2"/>
              </w:rPr>
              <w:tab/>
              <w:t>liczba świadczeniodawców, którzy złożyli wniosek o zawarcie umowy na realizację programu pilotażowego oraz liczba świadczeniodawców, którzy zostali realizatorami programu pilotażowego;</w:t>
            </w:r>
          </w:p>
          <w:p w14:paraId="7EFA4004" w14:textId="41A4DA48" w:rsidR="001B3460" w:rsidRPr="00B37C80" w:rsidRDefault="005821C6" w:rsidP="005821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1C6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5821C6">
              <w:rPr>
                <w:rFonts w:ascii="Times New Roman" w:hAnsi="Times New Roman"/>
                <w:color w:val="000000"/>
                <w:spacing w:val="-2"/>
              </w:rPr>
              <w:tab/>
              <w:t>liczba świadczeniobiorców, u których stwierdzono poprawę stanu zdrowia po udziale w programie przez ocenę tempa restytucji tlenowej i wartości MET przed udziałem w programie i po jego zakończeniu.</w:t>
            </w:r>
          </w:p>
        </w:tc>
      </w:tr>
      <w:tr w:rsidR="001B3460" w:rsidRPr="008B4FE6" w14:paraId="62CABB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75AD5D9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A1E76F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BF4D1BA" w14:textId="4F19D635" w:rsidR="001B3460" w:rsidRPr="00B37C80" w:rsidRDefault="00BB7E0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751B830F" w14:textId="62CF0B40" w:rsidR="006176ED" w:rsidRPr="00522D94" w:rsidRDefault="006176ED" w:rsidP="00551D8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6125" w14:textId="77777777" w:rsidR="00236C5F" w:rsidRDefault="00236C5F" w:rsidP="00044739">
      <w:pPr>
        <w:spacing w:line="240" w:lineRule="auto"/>
      </w:pPr>
      <w:r>
        <w:separator/>
      </w:r>
    </w:p>
  </w:endnote>
  <w:endnote w:type="continuationSeparator" w:id="0">
    <w:p w14:paraId="149E0A32" w14:textId="77777777" w:rsidR="00236C5F" w:rsidRDefault="00236C5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7D41" w14:textId="77777777" w:rsidR="00236C5F" w:rsidRDefault="00236C5F" w:rsidP="00044739">
      <w:pPr>
        <w:spacing w:line="240" w:lineRule="auto"/>
      </w:pPr>
      <w:r>
        <w:separator/>
      </w:r>
    </w:p>
  </w:footnote>
  <w:footnote w:type="continuationSeparator" w:id="0">
    <w:p w14:paraId="1A355D50" w14:textId="77777777" w:rsidR="00236C5F" w:rsidRDefault="00236C5F" w:rsidP="00044739">
      <w:pPr>
        <w:spacing w:line="240" w:lineRule="auto"/>
      </w:pPr>
      <w:r>
        <w:continuationSeparator/>
      </w:r>
    </w:p>
  </w:footnote>
  <w:footnote w:id="1">
    <w:p w14:paraId="5384A915" w14:textId="716B4132" w:rsidR="00D26570" w:rsidRDefault="00D265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5ACB">
        <w:rPr>
          <w:rFonts w:ascii="Times New Roman" w:hAnsi="Times New Roman"/>
          <w:sz w:val="18"/>
          <w:szCs w:val="18"/>
        </w:rPr>
        <w:t>Wyniki badania MultiSport Index</w:t>
      </w:r>
      <w:r>
        <w:rPr>
          <w:rFonts w:ascii="Times New Roman" w:hAnsi="Times New Roman"/>
          <w:sz w:val="18"/>
          <w:szCs w:val="18"/>
        </w:rPr>
        <w:t>,</w:t>
      </w:r>
      <w:r w:rsidRPr="00135ACB">
        <w:rPr>
          <w:rFonts w:ascii="Times New Roman" w:hAnsi="Times New Roman"/>
          <w:sz w:val="18"/>
          <w:szCs w:val="18"/>
        </w:rPr>
        <w:t xml:space="preserve"> 2020</w:t>
      </w:r>
    </w:p>
  </w:footnote>
  <w:footnote w:id="2">
    <w:p w14:paraId="2C803DD7" w14:textId="0A1EF8EC" w:rsidR="00D26570" w:rsidRPr="00C73009" w:rsidRDefault="00D26570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17C1">
        <w:rPr>
          <w:rFonts w:ascii="Times New Roman" w:hAnsi="Times New Roman"/>
          <w:sz w:val="18"/>
          <w:szCs w:val="18"/>
        </w:rPr>
        <w:t>https://www.pzh.gov.pl/niedostateczny-poziom-aktywnosci-fizycznej-w-polsce-jako-zagrozenie-i-wyzwanie-dla-zdrowia-publicznego-raport-komitetu-zdrowia-publicznego-polskiej-akademii-nauk/</w:t>
      </w:r>
    </w:p>
  </w:footnote>
  <w:footnote w:id="3">
    <w:p w14:paraId="138C01C0" w14:textId="7F3D0912" w:rsidR="00B253C9" w:rsidRPr="00FB1678" w:rsidRDefault="00B253C9">
      <w:pPr>
        <w:pStyle w:val="Tekstprzypisudolnego"/>
        <w:rPr>
          <w:sz w:val="18"/>
          <w:szCs w:val="18"/>
        </w:rPr>
      </w:pPr>
      <w:r w:rsidRPr="00FB1678">
        <w:rPr>
          <w:rStyle w:val="Odwoanieprzypisudolnego"/>
          <w:sz w:val="18"/>
          <w:szCs w:val="18"/>
        </w:rPr>
        <w:footnoteRef/>
      </w:r>
      <w:r w:rsidRPr="00FB1678">
        <w:rPr>
          <w:sz w:val="18"/>
          <w:szCs w:val="18"/>
        </w:rPr>
        <w:t xml:space="preserve"> </w:t>
      </w:r>
      <w:r w:rsidRPr="00FB1678">
        <w:rPr>
          <w:rFonts w:ascii="Times New Roman" w:hAnsi="Times New Roman"/>
          <w:color w:val="000000"/>
          <w:spacing w:val="-2"/>
          <w:sz w:val="18"/>
          <w:szCs w:val="18"/>
        </w:rPr>
        <w:t>https://www.nhs.uk/conditions/obesity/treatment/</w:t>
      </w:r>
    </w:p>
  </w:footnote>
  <w:footnote w:id="4">
    <w:p w14:paraId="581C4228" w14:textId="3ED8B711" w:rsidR="00FB1678" w:rsidRPr="00FB1678" w:rsidRDefault="00FB1678" w:rsidP="000B393F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B16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1678">
        <w:rPr>
          <w:rFonts w:ascii="Times New Roman" w:hAnsi="Times New Roman"/>
          <w:sz w:val="18"/>
          <w:szCs w:val="18"/>
        </w:rPr>
        <w:t xml:space="preserve"> Szacunki AOTMiT - maksymalna liczba </w:t>
      </w:r>
      <w:r w:rsidR="0092792B">
        <w:rPr>
          <w:rFonts w:ascii="Times New Roman" w:hAnsi="Times New Roman"/>
          <w:sz w:val="18"/>
          <w:szCs w:val="18"/>
        </w:rPr>
        <w:t>świadczeniobiorców</w:t>
      </w:r>
      <w:r w:rsidR="0092792B" w:rsidRPr="00FB1678">
        <w:rPr>
          <w:rFonts w:ascii="Times New Roman" w:hAnsi="Times New Roman"/>
          <w:sz w:val="18"/>
          <w:szCs w:val="18"/>
        </w:rPr>
        <w:t xml:space="preserve"> </w:t>
      </w:r>
      <w:r w:rsidRPr="00FB1678">
        <w:rPr>
          <w:rFonts w:ascii="Times New Roman" w:hAnsi="Times New Roman"/>
          <w:sz w:val="18"/>
          <w:szCs w:val="18"/>
        </w:rPr>
        <w:t xml:space="preserve">w 1 ośrodku w programie w okresie 24 miesięcy tj. ok. 469 </w:t>
      </w:r>
      <w:r w:rsidR="0092792B">
        <w:rPr>
          <w:rFonts w:ascii="Times New Roman" w:hAnsi="Times New Roman"/>
          <w:sz w:val="18"/>
          <w:szCs w:val="18"/>
        </w:rPr>
        <w:t>świadczeniobiorców</w:t>
      </w:r>
      <w:r w:rsidRPr="00FB1678">
        <w:rPr>
          <w:rFonts w:ascii="Times New Roman" w:hAnsi="Times New Roman"/>
          <w:sz w:val="18"/>
          <w:szCs w:val="18"/>
        </w:rPr>
        <w:t xml:space="preserve">. Przyjmując założenie o 2 ośrodkach w województwie, populacja możliwa do objęcia opieką w ramach programu to ok. 15 008 </w:t>
      </w:r>
      <w:r w:rsidR="0092792B">
        <w:rPr>
          <w:rFonts w:ascii="Times New Roman" w:hAnsi="Times New Roman"/>
          <w:sz w:val="18"/>
          <w:szCs w:val="18"/>
        </w:rPr>
        <w:t>świadczeniobiorców</w:t>
      </w:r>
    </w:p>
  </w:footnote>
  <w:footnote w:id="5">
    <w:p w14:paraId="6AE16A6C" w14:textId="77777777" w:rsidR="00BB7E0E" w:rsidRDefault="00BB7E0E">
      <w:pPr>
        <w:pStyle w:val="Tekstprzypisudolnego"/>
      </w:pPr>
      <w:r w:rsidRPr="00FB16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1678">
        <w:rPr>
          <w:rFonts w:ascii="Times New Roman" w:hAnsi="Times New Roman"/>
          <w:sz w:val="18"/>
          <w:szCs w:val="18"/>
        </w:rPr>
        <w:t xml:space="preserve"> Posiadających prawo wykonywania zawodu (bez dodatkowych uwarunkowań i okoliczności)</w:t>
      </w:r>
    </w:p>
  </w:footnote>
  <w:footnote w:id="6">
    <w:p w14:paraId="268E54E1" w14:textId="6B9EE4AB" w:rsidR="0063383D" w:rsidRDefault="006338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CE3">
        <w:t>R</w:t>
      </w:r>
      <w:r w:rsidRPr="0063383D">
        <w:t>ozporządzenie Ministra Zdrowia z dnia 6 listopada 2013 r. w sprawie świadczeń gwarantowanych z zakresu rehabilitacji leczniczej</w:t>
      </w:r>
      <w:r>
        <w:t xml:space="preserve"> (Dz. U. z 2021 r. poz. 265)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AFB7CD3"/>
    <w:multiLevelType w:val="hybridMultilevel"/>
    <w:tmpl w:val="08ECC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964649F"/>
    <w:multiLevelType w:val="hybridMultilevel"/>
    <w:tmpl w:val="0A4C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3149448">
    <w:abstractNumId w:val="3"/>
  </w:num>
  <w:num w:numId="2" w16cid:durableId="1071973301">
    <w:abstractNumId w:val="0"/>
  </w:num>
  <w:num w:numId="3" w16cid:durableId="719286124">
    <w:abstractNumId w:val="8"/>
  </w:num>
  <w:num w:numId="4" w16cid:durableId="1204172235">
    <w:abstractNumId w:val="18"/>
  </w:num>
  <w:num w:numId="5" w16cid:durableId="133329936">
    <w:abstractNumId w:val="1"/>
  </w:num>
  <w:num w:numId="6" w16cid:durableId="415631944">
    <w:abstractNumId w:val="7"/>
  </w:num>
  <w:num w:numId="7" w16cid:durableId="2065254529">
    <w:abstractNumId w:val="12"/>
  </w:num>
  <w:num w:numId="8" w16cid:durableId="480273264">
    <w:abstractNumId w:val="4"/>
  </w:num>
  <w:num w:numId="9" w16cid:durableId="1808620616">
    <w:abstractNumId w:val="14"/>
  </w:num>
  <w:num w:numId="10" w16cid:durableId="1747415893">
    <w:abstractNumId w:val="11"/>
  </w:num>
  <w:num w:numId="11" w16cid:durableId="1488403176">
    <w:abstractNumId w:val="13"/>
  </w:num>
  <w:num w:numId="12" w16cid:durableId="1254707505">
    <w:abstractNumId w:val="2"/>
  </w:num>
  <w:num w:numId="13" w16cid:durableId="1774208109">
    <w:abstractNumId w:val="9"/>
  </w:num>
  <w:num w:numId="14" w16cid:durableId="171605392">
    <w:abstractNumId w:val="19"/>
  </w:num>
  <w:num w:numId="15" w16cid:durableId="350112273">
    <w:abstractNumId w:val="15"/>
  </w:num>
  <w:num w:numId="16" w16cid:durableId="1399403487">
    <w:abstractNumId w:val="17"/>
  </w:num>
  <w:num w:numId="17" w16cid:durableId="415245383">
    <w:abstractNumId w:val="5"/>
  </w:num>
  <w:num w:numId="18" w16cid:durableId="1619264475">
    <w:abstractNumId w:val="21"/>
  </w:num>
  <w:num w:numId="19" w16cid:durableId="474378833">
    <w:abstractNumId w:val="22"/>
  </w:num>
  <w:num w:numId="20" w16cid:durableId="868178453">
    <w:abstractNumId w:val="16"/>
  </w:num>
  <w:num w:numId="21" w16cid:durableId="1166095658">
    <w:abstractNumId w:val="6"/>
  </w:num>
  <w:num w:numId="22" w16cid:durableId="1366561421">
    <w:abstractNumId w:val="20"/>
  </w:num>
  <w:num w:numId="23" w16cid:durableId="2134135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47E3"/>
    <w:rsid w:val="0002626E"/>
    <w:rsid w:val="00026FD7"/>
    <w:rsid w:val="000356A9"/>
    <w:rsid w:val="00043930"/>
    <w:rsid w:val="00044138"/>
    <w:rsid w:val="00044739"/>
    <w:rsid w:val="00051637"/>
    <w:rsid w:val="00056681"/>
    <w:rsid w:val="000648A7"/>
    <w:rsid w:val="0006618B"/>
    <w:rsid w:val="000670C0"/>
    <w:rsid w:val="00071B99"/>
    <w:rsid w:val="00073739"/>
    <w:rsid w:val="000756E5"/>
    <w:rsid w:val="0007704E"/>
    <w:rsid w:val="00080EC8"/>
    <w:rsid w:val="000869C0"/>
    <w:rsid w:val="000944AC"/>
    <w:rsid w:val="00094C2A"/>
    <w:rsid w:val="00094CB9"/>
    <w:rsid w:val="000956B2"/>
    <w:rsid w:val="000969E7"/>
    <w:rsid w:val="000A1A30"/>
    <w:rsid w:val="000A23DE"/>
    <w:rsid w:val="000A4020"/>
    <w:rsid w:val="000B393F"/>
    <w:rsid w:val="000B54FB"/>
    <w:rsid w:val="000C29B0"/>
    <w:rsid w:val="000C76FC"/>
    <w:rsid w:val="000D38FC"/>
    <w:rsid w:val="000D4D90"/>
    <w:rsid w:val="000E2D10"/>
    <w:rsid w:val="000E428E"/>
    <w:rsid w:val="000F3204"/>
    <w:rsid w:val="0010548B"/>
    <w:rsid w:val="001072D1"/>
    <w:rsid w:val="00117017"/>
    <w:rsid w:val="0012384F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53E"/>
    <w:rsid w:val="001727BB"/>
    <w:rsid w:val="00180D25"/>
    <w:rsid w:val="0018318D"/>
    <w:rsid w:val="0018572C"/>
    <w:rsid w:val="00187E79"/>
    <w:rsid w:val="00187F0D"/>
    <w:rsid w:val="00192CC5"/>
    <w:rsid w:val="00194B2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7952"/>
    <w:rsid w:val="001F653A"/>
    <w:rsid w:val="001F6979"/>
    <w:rsid w:val="001F7889"/>
    <w:rsid w:val="00201EF6"/>
    <w:rsid w:val="00202BC6"/>
    <w:rsid w:val="00205141"/>
    <w:rsid w:val="0020516B"/>
    <w:rsid w:val="00213559"/>
    <w:rsid w:val="00213EFD"/>
    <w:rsid w:val="002172F1"/>
    <w:rsid w:val="00223C7B"/>
    <w:rsid w:val="00224AB1"/>
    <w:rsid w:val="002265E8"/>
    <w:rsid w:val="0022687A"/>
    <w:rsid w:val="00230728"/>
    <w:rsid w:val="00234040"/>
    <w:rsid w:val="00235CD2"/>
    <w:rsid w:val="00236C5F"/>
    <w:rsid w:val="00237FBF"/>
    <w:rsid w:val="00254DED"/>
    <w:rsid w:val="00255619"/>
    <w:rsid w:val="00255DAD"/>
    <w:rsid w:val="00256108"/>
    <w:rsid w:val="002578BB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A393A"/>
    <w:rsid w:val="002B290B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7276"/>
    <w:rsid w:val="00300991"/>
    <w:rsid w:val="00301959"/>
    <w:rsid w:val="00301E87"/>
    <w:rsid w:val="003048FE"/>
    <w:rsid w:val="00305B8A"/>
    <w:rsid w:val="003168C0"/>
    <w:rsid w:val="00325320"/>
    <w:rsid w:val="00331BF9"/>
    <w:rsid w:val="0033495E"/>
    <w:rsid w:val="00334962"/>
    <w:rsid w:val="00334A79"/>
    <w:rsid w:val="00334D8D"/>
    <w:rsid w:val="00337345"/>
    <w:rsid w:val="00337DD2"/>
    <w:rsid w:val="003404D1"/>
    <w:rsid w:val="003443FF"/>
    <w:rsid w:val="00351BE0"/>
    <w:rsid w:val="00355808"/>
    <w:rsid w:val="00362C7E"/>
    <w:rsid w:val="00363309"/>
    <w:rsid w:val="00363601"/>
    <w:rsid w:val="00371857"/>
    <w:rsid w:val="00376AC9"/>
    <w:rsid w:val="003863C9"/>
    <w:rsid w:val="00393032"/>
    <w:rsid w:val="00394B69"/>
    <w:rsid w:val="00397078"/>
    <w:rsid w:val="003A083D"/>
    <w:rsid w:val="003A6953"/>
    <w:rsid w:val="003A6BCA"/>
    <w:rsid w:val="003B6083"/>
    <w:rsid w:val="003C3838"/>
    <w:rsid w:val="003C5847"/>
    <w:rsid w:val="003D0681"/>
    <w:rsid w:val="003D12F6"/>
    <w:rsid w:val="003D1426"/>
    <w:rsid w:val="003E2F4E"/>
    <w:rsid w:val="003E720A"/>
    <w:rsid w:val="003F2646"/>
    <w:rsid w:val="00403E6E"/>
    <w:rsid w:val="004129B4"/>
    <w:rsid w:val="0041349B"/>
    <w:rsid w:val="00413BDD"/>
    <w:rsid w:val="00415B89"/>
    <w:rsid w:val="00417EF0"/>
    <w:rsid w:val="00422181"/>
    <w:rsid w:val="004244A8"/>
    <w:rsid w:val="00425F72"/>
    <w:rsid w:val="00427736"/>
    <w:rsid w:val="004365C2"/>
    <w:rsid w:val="00441787"/>
    <w:rsid w:val="00444F2D"/>
    <w:rsid w:val="00452034"/>
    <w:rsid w:val="00455FA6"/>
    <w:rsid w:val="00466C70"/>
    <w:rsid w:val="004702C9"/>
    <w:rsid w:val="0047037B"/>
    <w:rsid w:val="00472E45"/>
    <w:rsid w:val="00472F8B"/>
    <w:rsid w:val="00473FEA"/>
    <w:rsid w:val="0047579D"/>
    <w:rsid w:val="00480266"/>
    <w:rsid w:val="00480BCD"/>
    <w:rsid w:val="00483262"/>
    <w:rsid w:val="00484107"/>
    <w:rsid w:val="00485CC5"/>
    <w:rsid w:val="004903D6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1D8C"/>
    <w:rsid w:val="00552794"/>
    <w:rsid w:val="0055540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21C6"/>
    <w:rsid w:val="00592D9C"/>
    <w:rsid w:val="00595E83"/>
    <w:rsid w:val="00596530"/>
    <w:rsid w:val="005967F3"/>
    <w:rsid w:val="005A06DF"/>
    <w:rsid w:val="005A1DDA"/>
    <w:rsid w:val="005A5527"/>
    <w:rsid w:val="005A5A59"/>
    <w:rsid w:val="005A5AE6"/>
    <w:rsid w:val="005A6097"/>
    <w:rsid w:val="005B1206"/>
    <w:rsid w:val="005B37E8"/>
    <w:rsid w:val="005B517C"/>
    <w:rsid w:val="005C0056"/>
    <w:rsid w:val="005D61D6"/>
    <w:rsid w:val="005E0D13"/>
    <w:rsid w:val="005E5047"/>
    <w:rsid w:val="005E553C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295"/>
    <w:rsid w:val="00623665"/>
    <w:rsid w:val="00623CFE"/>
    <w:rsid w:val="00627221"/>
    <w:rsid w:val="00627EE8"/>
    <w:rsid w:val="006316FA"/>
    <w:rsid w:val="0063275A"/>
    <w:rsid w:val="0063383D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4D7"/>
    <w:rsid w:val="00671523"/>
    <w:rsid w:val="006754EF"/>
    <w:rsid w:val="00676C8D"/>
    <w:rsid w:val="00676F1F"/>
    <w:rsid w:val="00677381"/>
    <w:rsid w:val="00677414"/>
    <w:rsid w:val="006832CF"/>
    <w:rsid w:val="0068598B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0F52"/>
    <w:rsid w:val="00722B48"/>
    <w:rsid w:val="00724164"/>
    <w:rsid w:val="00725DE7"/>
    <w:rsid w:val="0072636A"/>
    <w:rsid w:val="00726B44"/>
    <w:rsid w:val="00730176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74BD1"/>
    <w:rsid w:val="007914C8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C4CE3"/>
    <w:rsid w:val="007D2192"/>
    <w:rsid w:val="007D5A3B"/>
    <w:rsid w:val="007F0021"/>
    <w:rsid w:val="007F2F52"/>
    <w:rsid w:val="00801F71"/>
    <w:rsid w:val="0080387E"/>
    <w:rsid w:val="00805F28"/>
    <w:rsid w:val="00807396"/>
    <w:rsid w:val="0080749F"/>
    <w:rsid w:val="00811D46"/>
    <w:rsid w:val="008125B0"/>
    <w:rsid w:val="008144CB"/>
    <w:rsid w:val="00821717"/>
    <w:rsid w:val="00824210"/>
    <w:rsid w:val="008263C0"/>
    <w:rsid w:val="00826661"/>
    <w:rsid w:val="00841422"/>
    <w:rsid w:val="00841D3B"/>
    <w:rsid w:val="0084314C"/>
    <w:rsid w:val="00843171"/>
    <w:rsid w:val="00856799"/>
    <w:rsid w:val="008575C3"/>
    <w:rsid w:val="00857F79"/>
    <w:rsid w:val="00863D28"/>
    <w:rsid w:val="008648C3"/>
    <w:rsid w:val="00880F26"/>
    <w:rsid w:val="00894DF0"/>
    <w:rsid w:val="00896C2E"/>
    <w:rsid w:val="008A4D52"/>
    <w:rsid w:val="008A5095"/>
    <w:rsid w:val="008A608F"/>
    <w:rsid w:val="008B1A9A"/>
    <w:rsid w:val="008B4FE6"/>
    <w:rsid w:val="008B658F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4E7E"/>
    <w:rsid w:val="009251A9"/>
    <w:rsid w:val="0092792B"/>
    <w:rsid w:val="00930699"/>
    <w:rsid w:val="00931F69"/>
    <w:rsid w:val="00934123"/>
    <w:rsid w:val="009371A9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0507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11FB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3F67"/>
    <w:rsid w:val="00A767D2"/>
    <w:rsid w:val="00A77616"/>
    <w:rsid w:val="00A805DA"/>
    <w:rsid w:val="00A811B4"/>
    <w:rsid w:val="00A81820"/>
    <w:rsid w:val="00A87CDE"/>
    <w:rsid w:val="00A92BAF"/>
    <w:rsid w:val="00A94737"/>
    <w:rsid w:val="00A94BA3"/>
    <w:rsid w:val="00A96CBA"/>
    <w:rsid w:val="00AA2B7A"/>
    <w:rsid w:val="00AB1ACD"/>
    <w:rsid w:val="00AB277F"/>
    <w:rsid w:val="00AB4099"/>
    <w:rsid w:val="00AB449A"/>
    <w:rsid w:val="00AC037B"/>
    <w:rsid w:val="00AD14F9"/>
    <w:rsid w:val="00AD19C8"/>
    <w:rsid w:val="00AD2B3F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6844"/>
    <w:rsid w:val="00B2219A"/>
    <w:rsid w:val="00B253C9"/>
    <w:rsid w:val="00B3581B"/>
    <w:rsid w:val="00B36B81"/>
    <w:rsid w:val="00B36FEE"/>
    <w:rsid w:val="00B37C80"/>
    <w:rsid w:val="00B46263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ABD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A744C"/>
    <w:rsid w:val="00BB0DCA"/>
    <w:rsid w:val="00BB2666"/>
    <w:rsid w:val="00BB6B80"/>
    <w:rsid w:val="00BB7E0E"/>
    <w:rsid w:val="00BC3773"/>
    <w:rsid w:val="00BC381A"/>
    <w:rsid w:val="00BD0962"/>
    <w:rsid w:val="00BD1EED"/>
    <w:rsid w:val="00BD4420"/>
    <w:rsid w:val="00BE30E6"/>
    <w:rsid w:val="00BE50D6"/>
    <w:rsid w:val="00BF0DA2"/>
    <w:rsid w:val="00BF109C"/>
    <w:rsid w:val="00BF34FA"/>
    <w:rsid w:val="00C004B6"/>
    <w:rsid w:val="00C047A7"/>
    <w:rsid w:val="00C05DE5"/>
    <w:rsid w:val="00C33027"/>
    <w:rsid w:val="00C37667"/>
    <w:rsid w:val="00C424C3"/>
    <w:rsid w:val="00C435DB"/>
    <w:rsid w:val="00C44D73"/>
    <w:rsid w:val="00C50B42"/>
    <w:rsid w:val="00C516FF"/>
    <w:rsid w:val="00C52BFA"/>
    <w:rsid w:val="00C536C1"/>
    <w:rsid w:val="00C53D1D"/>
    <w:rsid w:val="00C53F26"/>
    <w:rsid w:val="00C540BC"/>
    <w:rsid w:val="00C5499D"/>
    <w:rsid w:val="00C64F7D"/>
    <w:rsid w:val="00C67309"/>
    <w:rsid w:val="00C70A26"/>
    <w:rsid w:val="00C73009"/>
    <w:rsid w:val="00C7614E"/>
    <w:rsid w:val="00C771A3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03899"/>
    <w:rsid w:val="00D218DC"/>
    <w:rsid w:val="00D24E56"/>
    <w:rsid w:val="00D26570"/>
    <w:rsid w:val="00D31643"/>
    <w:rsid w:val="00D31AEB"/>
    <w:rsid w:val="00D32ECD"/>
    <w:rsid w:val="00D361E4"/>
    <w:rsid w:val="00D36D15"/>
    <w:rsid w:val="00D42A8F"/>
    <w:rsid w:val="00D439F6"/>
    <w:rsid w:val="00D459C6"/>
    <w:rsid w:val="00D45A74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66AF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0E7"/>
    <w:rsid w:val="00E0284E"/>
    <w:rsid w:val="00E02EC8"/>
    <w:rsid w:val="00E037F5"/>
    <w:rsid w:val="00E04ECB"/>
    <w:rsid w:val="00E05A09"/>
    <w:rsid w:val="00E06CA1"/>
    <w:rsid w:val="00E1387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8F1"/>
    <w:rsid w:val="00E46B89"/>
    <w:rsid w:val="00E5208F"/>
    <w:rsid w:val="00E57322"/>
    <w:rsid w:val="00E628CB"/>
    <w:rsid w:val="00E62AD9"/>
    <w:rsid w:val="00E638C8"/>
    <w:rsid w:val="00E7509B"/>
    <w:rsid w:val="00E8462B"/>
    <w:rsid w:val="00E86590"/>
    <w:rsid w:val="00E907FF"/>
    <w:rsid w:val="00E947BA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59E6"/>
    <w:rsid w:val="00EF7683"/>
    <w:rsid w:val="00EF7A2D"/>
    <w:rsid w:val="00F04F8D"/>
    <w:rsid w:val="00F10AD0"/>
    <w:rsid w:val="00F116CC"/>
    <w:rsid w:val="00F12BD1"/>
    <w:rsid w:val="00F15327"/>
    <w:rsid w:val="00F15EA1"/>
    <w:rsid w:val="00F168CF"/>
    <w:rsid w:val="00F2555C"/>
    <w:rsid w:val="00F31DF3"/>
    <w:rsid w:val="00F33AE5"/>
    <w:rsid w:val="00F3597D"/>
    <w:rsid w:val="00F4376D"/>
    <w:rsid w:val="00F45399"/>
    <w:rsid w:val="00F45938"/>
    <w:rsid w:val="00F465EA"/>
    <w:rsid w:val="00F54E7B"/>
    <w:rsid w:val="00F55A88"/>
    <w:rsid w:val="00F60488"/>
    <w:rsid w:val="00F612A0"/>
    <w:rsid w:val="00F72A22"/>
    <w:rsid w:val="00F74005"/>
    <w:rsid w:val="00F76884"/>
    <w:rsid w:val="00F83D24"/>
    <w:rsid w:val="00F83DD9"/>
    <w:rsid w:val="00F83F40"/>
    <w:rsid w:val="00FA117A"/>
    <w:rsid w:val="00FB1678"/>
    <w:rsid w:val="00FB386A"/>
    <w:rsid w:val="00FC0786"/>
    <w:rsid w:val="00FC2B1D"/>
    <w:rsid w:val="00FC49EF"/>
    <w:rsid w:val="00FC752C"/>
    <w:rsid w:val="00FD270A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1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5A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462B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38C1"/>
    <w:rsid w:val="000C314E"/>
    <w:rsid w:val="002618DD"/>
    <w:rsid w:val="003175C9"/>
    <w:rsid w:val="00433F07"/>
    <w:rsid w:val="006C460F"/>
    <w:rsid w:val="00730D77"/>
    <w:rsid w:val="007944CC"/>
    <w:rsid w:val="007F20BA"/>
    <w:rsid w:val="00817140"/>
    <w:rsid w:val="008C7CA2"/>
    <w:rsid w:val="00A1548F"/>
    <w:rsid w:val="00AD66A9"/>
    <w:rsid w:val="00AE6B5E"/>
    <w:rsid w:val="00C535F8"/>
    <w:rsid w:val="00CF1550"/>
    <w:rsid w:val="00EB7AE6"/>
    <w:rsid w:val="00F30BE8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2ED4-6CC9-499E-949B-18611B50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18782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2023-05-25T12:04:00Z</dcterms:created>
  <dcterms:modified xsi:type="dcterms:W3CDTF">2023-05-25T19:45:00Z</dcterms:modified>
</cp:coreProperties>
</file>