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472"/>
        <w:gridCol w:w="351"/>
        <w:gridCol w:w="392"/>
        <w:gridCol w:w="512"/>
        <w:gridCol w:w="428"/>
        <w:gridCol w:w="84"/>
        <w:gridCol w:w="480"/>
        <w:gridCol w:w="32"/>
        <w:gridCol w:w="107"/>
        <w:gridCol w:w="136"/>
        <w:gridCol w:w="268"/>
        <w:gridCol w:w="283"/>
        <w:gridCol w:w="229"/>
        <w:gridCol w:w="512"/>
        <w:gridCol w:w="72"/>
        <w:gridCol w:w="12"/>
        <w:gridCol w:w="428"/>
        <w:gridCol w:w="334"/>
        <w:gridCol w:w="63"/>
        <w:gridCol w:w="114"/>
        <w:gridCol w:w="239"/>
        <w:gridCol w:w="273"/>
        <w:gridCol w:w="199"/>
        <w:gridCol w:w="313"/>
        <w:gridCol w:w="512"/>
        <w:gridCol w:w="1376"/>
      </w:tblGrid>
      <w:tr w:rsidR="00394091" w:rsidRPr="00394091" w14:paraId="7454E13F" w14:textId="77777777" w:rsidTr="006C58E0">
        <w:trPr>
          <w:trHeight w:val="1611"/>
        </w:trPr>
        <w:tc>
          <w:tcPr>
            <w:tcW w:w="577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05A82" w14:textId="77777777" w:rsidR="00394091" w:rsidRPr="00394091" w:rsidRDefault="00394091" w:rsidP="00394091">
            <w:pPr>
              <w:autoSpaceDE w:val="0"/>
              <w:spacing w:before="60" w:after="0" w:line="240" w:lineRule="auto"/>
              <w:ind w:hanging="45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bookmarkStart w:id="0" w:name="t1"/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>Nazwa projektu</w:t>
            </w:r>
          </w:p>
          <w:p w14:paraId="44FCD4DD" w14:textId="79DF462F" w:rsidR="00394091" w:rsidRPr="00394091" w:rsidRDefault="00394091" w:rsidP="00BC7806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Rozporządzenie</w:t>
            </w:r>
            <w:r w:rsidRPr="00394091">
              <w:rPr>
                <w:rFonts w:ascii="Times New Roman" w:eastAsia="Times New Roman" w:hAnsi="Times New Roman" w:cs="Arial"/>
                <w:szCs w:val="20"/>
                <w:lang w:eastAsia="ar-SA"/>
              </w:rPr>
              <w:t xml:space="preserve"> Ministra Zdrowia </w:t>
            </w:r>
            <w:r w:rsidR="00E07B1E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zmieniające rozporządzenie </w:t>
            </w:r>
            <w:r w:rsidR="00E07B1E" w:rsidRPr="00E07B1E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w sprawie formy i szczegółowego zakresu wzorcowych medycznych procedur radiologicznych dla standardowych ekspozycji medycznych oraz szczegółowych medycznych procedur radiologicznych</w:t>
            </w:r>
          </w:p>
          <w:p w14:paraId="327EFF7F" w14:textId="77777777" w:rsidR="00394091" w:rsidRPr="00394091" w:rsidRDefault="00394091" w:rsidP="00BC7806">
            <w:pPr>
              <w:autoSpaceDE w:val="0"/>
              <w:spacing w:before="24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BC7806">
              <w:rPr>
                <w:rFonts w:ascii="Times New Roman" w:eastAsia="Calibri" w:hAnsi="Times New Roman" w:cs="Arial"/>
                <w:b/>
                <w:szCs w:val="20"/>
                <w:lang w:eastAsia="ar-SA"/>
              </w:rPr>
              <w:t>Ministerstwo</w:t>
            </w: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 xml:space="preserve"> wiodące i ministerstwa współpracujące</w:t>
            </w:r>
          </w:p>
          <w:bookmarkEnd w:id="0"/>
          <w:p w14:paraId="4D1C837A" w14:textId="77777777" w:rsidR="00394091" w:rsidRPr="00394091" w:rsidRDefault="00394091" w:rsidP="00BC7806">
            <w:pPr>
              <w:autoSpaceDE w:val="0"/>
              <w:spacing w:after="0" w:line="240" w:lineRule="auto"/>
              <w:ind w:hanging="34"/>
              <w:jc w:val="both"/>
              <w:rPr>
                <w:rFonts w:ascii="Times New Roman" w:eastAsia="Calibri" w:hAnsi="Times New Roman" w:cs="Arial"/>
                <w:b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Ministerstwo Zdrowia</w:t>
            </w:r>
          </w:p>
          <w:p w14:paraId="24B934BC" w14:textId="77777777" w:rsidR="00DD0B68" w:rsidRDefault="00394091" w:rsidP="00BC7806">
            <w:pPr>
              <w:autoSpaceDE w:val="0"/>
              <w:spacing w:before="240" w:after="0" w:line="240" w:lineRule="auto"/>
              <w:jc w:val="both"/>
              <w:rPr>
                <w:rFonts w:ascii="Times New Roman" w:eastAsia="Calibri" w:hAnsi="Times New Roman" w:cs="Arial"/>
                <w:b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b/>
                <w:szCs w:val="20"/>
                <w:lang w:eastAsia="ar-SA"/>
              </w:rPr>
              <w:t xml:space="preserve">Osoba odpowiedzialna za projekt w randze Ministra, Sekretarza Stanu lub Podsekretarza Stanu </w:t>
            </w:r>
          </w:p>
          <w:p w14:paraId="6A6B4159" w14:textId="3B6ECCF2" w:rsidR="00394091" w:rsidRPr="00DD0B68" w:rsidRDefault="00394091" w:rsidP="00BC7806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Arial"/>
                <w:b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bCs/>
                <w:szCs w:val="20"/>
                <w:lang w:eastAsia="ar-SA"/>
              </w:rPr>
              <w:t xml:space="preserve">Waldemar Kraska – Sekretarz Stanu w Ministerstwie Zdrowia </w:t>
            </w:r>
          </w:p>
          <w:p w14:paraId="2FB6E06E" w14:textId="77777777" w:rsidR="00394091" w:rsidRPr="00394091" w:rsidRDefault="00394091" w:rsidP="00BC7806">
            <w:pPr>
              <w:autoSpaceDE w:val="0"/>
              <w:spacing w:before="24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BC7806">
              <w:rPr>
                <w:rFonts w:ascii="Times New Roman" w:eastAsia="Calibri" w:hAnsi="Times New Roman" w:cs="Arial"/>
                <w:b/>
                <w:szCs w:val="20"/>
                <w:lang w:eastAsia="ar-SA"/>
              </w:rPr>
              <w:t>Kontakt</w:t>
            </w: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 xml:space="preserve"> do opiekuna merytorycznego projektu</w:t>
            </w:r>
          </w:p>
          <w:p w14:paraId="15CCA16C" w14:textId="4CF61F7A" w:rsidR="00394091" w:rsidRPr="00394091" w:rsidRDefault="00394091" w:rsidP="00BC7806">
            <w:pPr>
              <w:autoSpaceDE w:val="0"/>
              <w:spacing w:after="0" w:line="240" w:lineRule="auto"/>
              <w:ind w:hanging="34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Dariusz Poznański – Dyrektor Departamentu Zdrowia Publicznego </w:t>
            </w:r>
            <w:r w:rsidR="00D05AB7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w </w:t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Ministerstw</w:t>
            </w:r>
            <w:r w:rsidR="00D05AB7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ie</w:t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Zdrowia</w:t>
            </w:r>
            <w:r w:rsidR="00D05AB7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,</w:t>
            </w:r>
          </w:p>
          <w:p w14:paraId="66596E52" w14:textId="0D849CAF" w:rsidR="00D05AB7" w:rsidRPr="00394091" w:rsidRDefault="00394091" w:rsidP="00D05AB7">
            <w:pPr>
              <w:autoSpaceDE w:val="0"/>
              <w:spacing w:before="60" w:after="0" w:line="240" w:lineRule="auto"/>
              <w:ind w:hanging="34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Telefon: +48 22 530 03 18, </w:t>
            </w:r>
            <w:r w:rsidR="00D05AB7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e-</w:t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mail: </w:t>
            </w:r>
            <w:hyperlink r:id="rId5" w:history="1">
              <w:r w:rsidR="00D05AB7" w:rsidRPr="00C13053">
                <w:rPr>
                  <w:rStyle w:val="Hipercze"/>
                  <w:rFonts w:ascii="Times New Roman" w:eastAsia="Calibri" w:hAnsi="Times New Roman" w:cs="Arial"/>
                  <w:szCs w:val="20"/>
                  <w:lang w:eastAsia="ar-SA"/>
                </w:rPr>
                <w:t>dep-zp@mz.gov.pl</w:t>
              </w:r>
            </w:hyperlink>
            <w:r w:rsidR="00D05AB7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.</w:t>
            </w:r>
          </w:p>
        </w:tc>
        <w:tc>
          <w:tcPr>
            <w:tcW w:w="38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A2193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b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b/>
                <w:szCs w:val="20"/>
                <w:lang w:eastAsia="ar-SA"/>
              </w:rPr>
              <w:t xml:space="preserve">Data sporządzenia: </w:t>
            </w:r>
          </w:p>
          <w:p w14:paraId="2416B974" w14:textId="3AF38C7B" w:rsidR="00394091" w:rsidRPr="0052728C" w:rsidRDefault="000F7B63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bCs/>
                <w:szCs w:val="20"/>
                <w:lang w:eastAsia="ar-SA"/>
              </w:rPr>
            </w:pPr>
            <w:r w:rsidRPr="0052728C">
              <w:rPr>
                <w:rFonts w:ascii="Times New Roman" w:eastAsia="Calibri" w:hAnsi="Times New Roman" w:cs="Arial"/>
                <w:bCs/>
                <w:szCs w:val="20"/>
                <w:lang w:eastAsia="ar-SA"/>
              </w:rPr>
              <w:t>10</w:t>
            </w:r>
            <w:r w:rsidR="00394091" w:rsidRPr="0052728C">
              <w:rPr>
                <w:rFonts w:ascii="Times New Roman" w:eastAsia="Calibri" w:hAnsi="Times New Roman" w:cs="Arial"/>
                <w:bCs/>
                <w:szCs w:val="20"/>
                <w:lang w:eastAsia="ar-SA"/>
              </w:rPr>
              <w:t>.0</w:t>
            </w:r>
            <w:r w:rsidR="00364957" w:rsidRPr="0052728C">
              <w:rPr>
                <w:rFonts w:ascii="Times New Roman" w:eastAsia="Calibri" w:hAnsi="Times New Roman" w:cs="Arial"/>
                <w:bCs/>
                <w:szCs w:val="20"/>
                <w:lang w:eastAsia="ar-SA"/>
              </w:rPr>
              <w:t>5</w:t>
            </w:r>
            <w:r w:rsidR="00394091" w:rsidRPr="0052728C">
              <w:rPr>
                <w:rFonts w:ascii="Times New Roman" w:eastAsia="Calibri" w:hAnsi="Times New Roman" w:cs="Arial"/>
                <w:bCs/>
                <w:szCs w:val="20"/>
                <w:lang w:eastAsia="ar-SA"/>
              </w:rPr>
              <w:t>.202</w:t>
            </w:r>
            <w:r w:rsidR="00DD0B68" w:rsidRPr="0052728C">
              <w:rPr>
                <w:rFonts w:ascii="Times New Roman" w:eastAsia="Calibri" w:hAnsi="Times New Roman" w:cs="Arial"/>
                <w:bCs/>
                <w:szCs w:val="20"/>
                <w:lang w:eastAsia="ar-SA"/>
              </w:rPr>
              <w:t>3</w:t>
            </w:r>
            <w:r w:rsidR="0052728C">
              <w:rPr>
                <w:rFonts w:ascii="Times New Roman" w:eastAsia="Calibri" w:hAnsi="Times New Roman" w:cs="Arial"/>
                <w:bCs/>
                <w:szCs w:val="20"/>
                <w:lang w:eastAsia="ar-SA"/>
              </w:rPr>
              <w:t xml:space="preserve"> </w:t>
            </w:r>
            <w:r w:rsidR="00394091" w:rsidRPr="0052728C">
              <w:rPr>
                <w:rFonts w:ascii="Times New Roman" w:eastAsia="Calibri" w:hAnsi="Times New Roman" w:cs="Arial"/>
                <w:bCs/>
                <w:szCs w:val="20"/>
                <w:lang w:eastAsia="ar-SA"/>
              </w:rPr>
              <w:t>r.</w:t>
            </w:r>
            <w:r w:rsidR="00394091" w:rsidRPr="0052728C">
              <w:rPr>
                <w:rFonts w:ascii="Times New Roman" w:eastAsia="Calibri" w:hAnsi="Times New Roman" w:cs="Arial"/>
                <w:bCs/>
                <w:szCs w:val="20"/>
                <w:lang w:eastAsia="ar-SA"/>
              </w:rPr>
              <w:br/>
            </w:r>
          </w:p>
          <w:p w14:paraId="1311B93E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b/>
                <w:szCs w:val="20"/>
                <w:lang w:eastAsia="ar-SA"/>
              </w:rPr>
              <w:t xml:space="preserve">Źródło: </w:t>
            </w:r>
            <w:bookmarkStart w:id="1" w:name="Lista1"/>
          </w:p>
          <w:bookmarkEnd w:id="1"/>
          <w:p w14:paraId="29FC2F41" w14:textId="1EF51356" w:rsidR="00394091" w:rsidRPr="00394091" w:rsidRDefault="00817A8B" w:rsidP="00894ACE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strike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szCs w:val="20"/>
                <w:lang w:eastAsia="ar-SA"/>
              </w:rPr>
              <w:t>A</w:t>
            </w:r>
            <w:r w:rsidR="00394091"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>rt. 33zm ustawy z dnia 29 listopada 2000 r. – Prawo atomowe (Dz.</w:t>
            </w:r>
            <w:r w:rsidR="0052728C">
              <w:rPr>
                <w:rFonts w:ascii="Times New Roman" w:eastAsia="Calibri" w:hAnsi="Times New Roman" w:cs="Arial"/>
                <w:szCs w:val="20"/>
                <w:lang w:eastAsia="ar-SA"/>
              </w:rPr>
              <w:t> </w:t>
            </w:r>
            <w:r w:rsidR="00394091"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>U.</w:t>
            </w:r>
            <w:r w:rsidR="0052728C">
              <w:rPr>
                <w:rFonts w:ascii="Times New Roman" w:eastAsia="Calibri" w:hAnsi="Times New Roman" w:cs="Arial"/>
                <w:szCs w:val="20"/>
                <w:lang w:eastAsia="ar-SA"/>
              </w:rPr>
              <w:t> </w:t>
            </w:r>
            <w:r w:rsidR="00394091"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>z</w:t>
            </w:r>
            <w:r w:rsidR="00894ACE">
              <w:rPr>
                <w:rFonts w:ascii="Times New Roman" w:eastAsia="Calibri" w:hAnsi="Times New Roman" w:cs="Arial"/>
                <w:szCs w:val="20"/>
                <w:lang w:eastAsia="ar-SA"/>
              </w:rPr>
              <w:t> </w:t>
            </w:r>
            <w:r w:rsidR="00394091"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>2021</w:t>
            </w:r>
            <w:r w:rsidR="00894ACE">
              <w:rPr>
                <w:rFonts w:ascii="Times New Roman" w:eastAsia="Calibri" w:hAnsi="Times New Roman" w:cs="Arial"/>
                <w:szCs w:val="20"/>
                <w:lang w:eastAsia="ar-SA"/>
              </w:rPr>
              <w:t> </w:t>
            </w:r>
            <w:r w:rsidR="00394091"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 xml:space="preserve">r. poz. </w:t>
            </w:r>
            <w:r w:rsidR="00E07B1E">
              <w:rPr>
                <w:rFonts w:ascii="Times New Roman" w:eastAsia="Calibri" w:hAnsi="Times New Roman" w:cs="Arial"/>
                <w:szCs w:val="20"/>
                <w:lang w:eastAsia="ar-SA"/>
              </w:rPr>
              <w:t xml:space="preserve">1941, z </w:t>
            </w:r>
            <w:proofErr w:type="spellStart"/>
            <w:r w:rsidR="000F7B63">
              <w:rPr>
                <w:rFonts w:ascii="Times New Roman" w:eastAsia="Calibri" w:hAnsi="Times New Roman" w:cs="Arial"/>
                <w:szCs w:val="20"/>
                <w:lang w:eastAsia="ar-SA"/>
              </w:rPr>
              <w:t>późn</w:t>
            </w:r>
            <w:proofErr w:type="spellEnd"/>
            <w:r w:rsidR="000F7B63">
              <w:rPr>
                <w:rFonts w:ascii="Times New Roman" w:eastAsia="Calibri" w:hAnsi="Times New Roman" w:cs="Arial"/>
                <w:szCs w:val="20"/>
                <w:lang w:eastAsia="ar-SA"/>
              </w:rPr>
              <w:t>. zm.</w:t>
            </w:r>
            <w:r w:rsidR="00394091"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>)</w:t>
            </w:r>
          </w:p>
          <w:p w14:paraId="4AAD9F23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szCs w:val="20"/>
                <w:lang w:eastAsia="ar-SA"/>
              </w:rPr>
            </w:pPr>
          </w:p>
          <w:p w14:paraId="01BEE958" w14:textId="17DC7A8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b/>
                <w:bCs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>Nr w wykazie prac</w:t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</w:t>
            </w:r>
            <w:r w:rsidRPr="00394091">
              <w:rPr>
                <w:rFonts w:ascii="Times New Roman" w:eastAsia="Calibri" w:hAnsi="Times New Roman" w:cs="Arial"/>
                <w:b/>
                <w:bCs/>
                <w:color w:val="000000"/>
                <w:szCs w:val="20"/>
                <w:lang w:eastAsia="ar-SA"/>
              </w:rPr>
              <w:t>legislacyjnych Ministra Zdrowia:</w:t>
            </w:r>
          </w:p>
          <w:p w14:paraId="140A9077" w14:textId="27BF550A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b/>
                <w:bCs/>
                <w:color w:val="000000"/>
                <w:szCs w:val="20"/>
                <w:lang w:eastAsia="ar-SA"/>
              </w:rPr>
              <w:t>MZ</w:t>
            </w:r>
            <w:r w:rsidR="00FF0116">
              <w:rPr>
                <w:rFonts w:ascii="Times New Roman" w:eastAsia="Calibri" w:hAnsi="Times New Roman" w:cs="Arial"/>
                <w:b/>
                <w:bCs/>
                <w:color w:val="000000"/>
                <w:szCs w:val="20"/>
                <w:lang w:eastAsia="ar-SA"/>
              </w:rPr>
              <w:t xml:space="preserve"> 1518</w:t>
            </w:r>
          </w:p>
        </w:tc>
      </w:tr>
      <w:tr w:rsidR="00394091" w:rsidRPr="00394091" w14:paraId="2748F3E5" w14:textId="77777777" w:rsidTr="006C58E0">
        <w:trPr>
          <w:trHeight w:val="1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75231AF" w14:textId="77777777" w:rsidR="00394091" w:rsidRPr="00394091" w:rsidRDefault="00394091" w:rsidP="00394091">
            <w:pPr>
              <w:autoSpaceDE w:val="0"/>
              <w:spacing w:before="60"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b/>
                <w:color w:val="FFFFFF"/>
                <w:sz w:val="32"/>
                <w:szCs w:val="32"/>
                <w:lang w:eastAsia="ar-SA"/>
              </w:rPr>
              <w:t>OCENA SKUTKÓW REGULACJI</w:t>
            </w:r>
          </w:p>
        </w:tc>
      </w:tr>
      <w:tr w:rsidR="00394091" w:rsidRPr="00394091" w14:paraId="7C576D8A" w14:textId="77777777" w:rsidTr="006C58E0">
        <w:trPr>
          <w:trHeight w:val="333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4C172A2" w14:textId="77777777" w:rsidR="00394091" w:rsidRPr="00394091" w:rsidRDefault="00394091" w:rsidP="00394091">
            <w:pPr>
              <w:widowControl w:val="0"/>
              <w:autoSpaceDE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b/>
                <w:szCs w:val="20"/>
                <w:lang w:eastAsia="ar-SA"/>
              </w:rPr>
              <w:t>Jaki problem jest rozwiązywany?</w:t>
            </w:r>
            <w:bookmarkStart w:id="2" w:name="Wyb%25252525252525252525C3%2525252525252"/>
            <w:bookmarkEnd w:id="2"/>
          </w:p>
        </w:tc>
      </w:tr>
      <w:tr w:rsidR="00394091" w:rsidRPr="00394091" w14:paraId="4782C263" w14:textId="77777777" w:rsidTr="006C58E0">
        <w:trPr>
          <w:trHeight w:val="1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53773" w14:textId="22AA355D" w:rsid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Projekt</w:t>
            </w:r>
            <w:r w:rsidR="00A037D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owane </w:t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rozporządzenia </w:t>
            </w:r>
            <w:r w:rsidR="00E07B1E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jest wydawane na podstawie </w:t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upoważnienia zawartego w art. 33zm ustawy </w:t>
            </w:r>
            <w:r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>z dnia 29</w:t>
            </w:r>
            <w:r w:rsidR="007E68A1">
              <w:rPr>
                <w:rFonts w:ascii="Times New Roman" w:eastAsia="Calibri" w:hAnsi="Times New Roman" w:cs="Arial"/>
                <w:szCs w:val="20"/>
                <w:lang w:eastAsia="ar-SA"/>
              </w:rPr>
              <w:t> </w:t>
            </w:r>
            <w:r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>listopada 2000 r.</w:t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– Prawo atomowe. Zgodnie z tym upoważnieniem minister właściwy do spraw zdrowia określi, w drodze rozporządzenia, formę i szczegółowy zakres procedur wzorcowych i procedur szczegółowych, mając na względzie </w:t>
            </w:r>
            <w:r w:rsidR="007E68A1" w:rsidRPr="007E68A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zagrożenie wynikające z narażenia osoby poddawanej ekspozycji.</w:t>
            </w:r>
            <w:r w:rsidR="00B537F4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</w:t>
            </w:r>
          </w:p>
          <w:p w14:paraId="04DDF8EA" w14:textId="76CDFF02" w:rsidR="007203DE" w:rsidRDefault="00B537F4" w:rsidP="003310CA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Na tej podstawie </w:t>
            </w:r>
            <w:r w:rsidR="00E93423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zostało wydane rozporządzenie Ministra Zdrowia </w:t>
            </w: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z dnia 1</w:t>
            </w:r>
            <w:r w:rsidRPr="00B537F4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8 października 2021 r</w:t>
            </w:r>
            <w:r w:rsidRPr="00F41513">
              <w:rPr>
                <w:rFonts w:ascii="Times New Roman" w:eastAsia="Calibri" w:hAnsi="Times New Roman" w:cs="Arial"/>
                <w:i/>
                <w:iCs/>
                <w:color w:val="000000"/>
                <w:szCs w:val="20"/>
                <w:lang w:eastAsia="ar-SA"/>
              </w:rPr>
              <w:t xml:space="preserve">. </w:t>
            </w:r>
            <w:r w:rsidRPr="00EA48BD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w sprawie formy i szczegółowego zakresu wzorcowych medycznych procedur radiologicznych dla standardowych ekspozycji medycznych oraz szczegółowych medycznych procedur radiologicznych</w:t>
            </w:r>
            <w:r w:rsidRPr="00F41513">
              <w:rPr>
                <w:rFonts w:ascii="Times New Roman" w:eastAsia="Calibri" w:hAnsi="Times New Roman" w:cs="Arial"/>
                <w:i/>
                <w:iCs/>
                <w:color w:val="000000"/>
                <w:szCs w:val="20"/>
                <w:lang w:eastAsia="ar-SA"/>
              </w:rPr>
              <w:t xml:space="preserve"> </w:t>
            </w:r>
            <w:r w:rsidRPr="00B537F4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(Dz. U. poz. 1920)</w:t>
            </w:r>
            <w:r w:rsidR="00553296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,</w:t>
            </w:r>
            <w:r w:rsidR="00490F4D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zwane dalej „rozporządzeniem zmienianym”</w:t>
            </w:r>
            <w:r w:rsidR="00F41513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. </w:t>
            </w:r>
          </w:p>
          <w:p w14:paraId="51BADAC8" w14:textId="33E137C9" w:rsidR="0060658D" w:rsidRPr="004C21F1" w:rsidRDefault="00F41513" w:rsidP="003310CA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Rozporządzenie</w:t>
            </w:r>
            <w:r w:rsid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zmieniane </w:t>
            </w:r>
            <w:r w:rsidR="00592A3A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zastąpiło</w:t>
            </w: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</w:t>
            </w:r>
            <w:r w:rsidR="00E93423">
              <w:rPr>
                <w:rFonts w:ascii="Times New Roman" w:eastAsia="Times New Roman" w:hAnsi="Times New Roman" w:cs="Arial"/>
                <w:lang w:eastAsia="ar-SA"/>
              </w:rPr>
              <w:t xml:space="preserve">rozporządzenie Ministra Zdrowia z dnia 2 lutego 2007 r. </w:t>
            </w:r>
            <w:r w:rsidR="00E93423" w:rsidRPr="00E76425">
              <w:rPr>
                <w:rFonts w:ascii="Times New Roman" w:eastAsia="Times New Roman" w:hAnsi="Times New Roman" w:cs="Arial"/>
                <w:lang w:eastAsia="ar-SA"/>
              </w:rPr>
              <w:t>w</w:t>
            </w:r>
            <w:r w:rsidR="00E93423" w:rsidRPr="00F41513">
              <w:rPr>
                <w:rFonts w:ascii="Times New Roman" w:eastAsia="Times New Roman" w:hAnsi="Times New Roman" w:cs="Arial"/>
                <w:i/>
                <w:iCs/>
                <w:lang w:eastAsia="ar-SA"/>
              </w:rPr>
              <w:t xml:space="preserve"> </w:t>
            </w:r>
            <w:r w:rsidR="00E93423" w:rsidRPr="00EA48BD">
              <w:rPr>
                <w:rFonts w:ascii="Times New Roman" w:eastAsia="Times New Roman" w:hAnsi="Times New Roman" w:cs="Arial"/>
                <w:lang w:eastAsia="ar-SA"/>
              </w:rPr>
              <w:t>sprawie szczegółowych wymagań dotyczących formy i treści wzorcowych i</w:t>
            </w:r>
            <w:r w:rsidR="0060658D" w:rsidRPr="00EA48BD">
              <w:rPr>
                <w:rFonts w:ascii="Times New Roman" w:eastAsia="Times New Roman" w:hAnsi="Times New Roman" w:cs="Arial"/>
                <w:lang w:eastAsia="ar-SA"/>
              </w:rPr>
              <w:t> </w:t>
            </w:r>
            <w:r w:rsidR="00E93423" w:rsidRPr="00EA48BD">
              <w:rPr>
                <w:rFonts w:ascii="Times New Roman" w:eastAsia="Times New Roman" w:hAnsi="Times New Roman" w:cs="Arial"/>
                <w:lang w:eastAsia="ar-SA"/>
              </w:rPr>
              <w:t>roboczych medycznych procedur radiologicznych</w:t>
            </w:r>
            <w:r w:rsidR="00553296" w:rsidRPr="004C21F1">
              <w:rPr>
                <w:rFonts w:ascii="Times New Roman" w:eastAsia="Times New Roman" w:hAnsi="Times New Roman" w:cs="Arial"/>
                <w:lang w:eastAsia="ar-SA"/>
              </w:rPr>
              <w:t xml:space="preserve"> (</w:t>
            </w:r>
            <w:r w:rsidR="00E93423" w:rsidRPr="004C21F1">
              <w:rPr>
                <w:rFonts w:ascii="Times New Roman" w:eastAsia="Times New Roman" w:hAnsi="Times New Roman" w:cs="Arial"/>
                <w:lang w:eastAsia="ar-SA"/>
              </w:rPr>
              <w:t>Dz. U. poz. 161</w:t>
            </w:r>
            <w:r w:rsidR="00553296" w:rsidRPr="004C21F1">
              <w:rPr>
                <w:rFonts w:ascii="Times New Roman" w:eastAsia="Times New Roman" w:hAnsi="Times New Roman" w:cs="Arial"/>
                <w:lang w:eastAsia="ar-SA"/>
              </w:rPr>
              <w:t>)</w:t>
            </w:r>
            <w:r w:rsidRPr="004C21F1">
              <w:rPr>
                <w:rFonts w:ascii="Times New Roman" w:eastAsia="Times New Roman" w:hAnsi="Times New Roman" w:cs="Arial"/>
                <w:lang w:eastAsia="ar-SA"/>
              </w:rPr>
              <w:t>, tj. przepisy dotychczas regulujące kwestie formy i zakresu</w:t>
            </w:r>
            <w:r w:rsidR="0060658D" w:rsidRPr="004C21F1">
              <w:rPr>
                <w:rFonts w:ascii="Times New Roman" w:eastAsia="Times New Roman" w:hAnsi="Times New Roman" w:cs="Arial"/>
                <w:lang w:eastAsia="ar-SA"/>
              </w:rPr>
              <w:t>:</w:t>
            </w:r>
          </w:p>
          <w:p w14:paraId="20FF54AA" w14:textId="79903D7F" w:rsidR="0060658D" w:rsidRPr="00EA48BD" w:rsidRDefault="00F41513" w:rsidP="00EA48BD">
            <w:pPr>
              <w:pStyle w:val="Akapitzlist"/>
              <w:numPr>
                <w:ilvl w:val="0"/>
                <w:numId w:val="6"/>
              </w:num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</w:pPr>
            <w:r w:rsidRPr="00EA48BD">
              <w:rPr>
                <w:rFonts w:ascii="Times New Roman" w:eastAsia="Times New Roman" w:hAnsi="Times New Roman" w:cs="Times New Roman"/>
                <w:lang w:eastAsia="ar-SA"/>
              </w:rPr>
              <w:t xml:space="preserve">procedur wzorcowych </w:t>
            </w:r>
            <w:r w:rsidR="002E394E">
              <w:rPr>
                <w:rFonts w:ascii="Times New Roman" w:eastAsia="Times New Roman" w:hAnsi="Times New Roman" w:cs="Times New Roman"/>
                <w:lang w:eastAsia="ar-SA"/>
              </w:rPr>
              <w:sym w:font="Symbol" w:char="F02D"/>
            </w:r>
            <w:r w:rsidR="002E394E" w:rsidRPr="00B27B9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3310C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opracowan</w:t>
            </w:r>
            <w:r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ych </w:t>
            </w:r>
            <w:r w:rsidR="003310C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przez komisje do spraw procedur i audytów klinicznych zewnętrznych i</w:t>
            </w:r>
            <w:r w:rsidR="00F33F26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 </w:t>
            </w:r>
            <w:r w:rsidR="003310C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opublikowan</w:t>
            </w:r>
            <w:r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ych </w:t>
            </w:r>
            <w:r w:rsidR="007A7F05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w </w:t>
            </w:r>
            <w:proofErr w:type="spellStart"/>
            <w:r w:rsidR="00E76425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obwieszczenia</w:t>
            </w:r>
            <w:r w:rsidR="00E76425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ch</w:t>
            </w:r>
            <w:proofErr w:type="spellEnd"/>
            <w:r w:rsidR="00E76425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</w:t>
            </w:r>
            <w:r w:rsidR="003310C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Ministra Zdrowia</w:t>
            </w:r>
            <w:r w:rsidR="00DC348C" w:rsidRPr="00B27B99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:</w:t>
            </w:r>
            <w:r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</w:t>
            </w:r>
            <w:r w:rsidR="003310C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z dnia 22 grudnia 2014 r.</w:t>
            </w:r>
            <w:r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</w:t>
            </w:r>
            <w:r w:rsidR="007037CD" w:rsidRPr="007037C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w</w:t>
            </w:r>
            <w:r w:rsidR="003F2FEE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 </w:t>
            </w:r>
            <w:r w:rsidR="007037CD" w:rsidRPr="007037C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sprawie ogłoszenia wykazu wzorcowych procedur radiologicznych z zakresu radioterapii</w:t>
            </w:r>
            <w:r w:rsidR="007037C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</w:t>
            </w:r>
            <w:r w:rsidR="007037CD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onkologicznej </w:t>
            </w:r>
            <w:r w:rsidR="009D3E68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(</w:t>
            </w:r>
            <w:r w:rsidR="003310C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Dz.</w:t>
            </w:r>
            <w:r w:rsidR="00B27B99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 </w:t>
            </w:r>
            <w:r w:rsidR="003310C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Urz. Min. </w:t>
            </w:r>
            <w:proofErr w:type="spellStart"/>
            <w:r w:rsidR="003310C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Zdrow</w:t>
            </w:r>
            <w:proofErr w:type="spellEnd"/>
            <w:r w:rsidR="003310C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.  poz. 81</w:t>
            </w:r>
            <w:r w:rsidR="009D3E68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),</w:t>
            </w:r>
            <w:r w:rsidR="00B27B99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</w:t>
            </w:r>
            <w:r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</w:t>
            </w:r>
            <w:r w:rsidR="007A7F05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z dnia 2</w:t>
            </w:r>
            <w:r w:rsidR="007037CD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2</w:t>
            </w:r>
            <w:r w:rsidR="007A7F05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grudnia 2014 r.</w:t>
            </w:r>
            <w:r w:rsidR="00F33F26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</w:t>
            </w:r>
            <w:r w:rsidR="007037CD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w sprawie ogłoszenia wykazu wzorcowych procedur radiologicznych z zakresu medycyny nuklearnej </w:t>
            </w:r>
            <w:r w:rsidR="009D3E68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(</w:t>
            </w:r>
            <w:r w:rsidR="003310C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Dz. Urz. Min. </w:t>
            </w:r>
            <w:proofErr w:type="spellStart"/>
            <w:r w:rsidR="003310C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Zdrow</w:t>
            </w:r>
            <w:proofErr w:type="spellEnd"/>
            <w:r w:rsidR="003310C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. poz. 82</w:t>
            </w:r>
            <w:r w:rsidR="009D3E68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)</w:t>
            </w:r>
            <w:r w:rsidR="00F33F26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</w:t>
            </w:r>
            <w:r w:rsidR="003310C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oraz</w:t>
            </w:r>
            <w:r w:rsidR="00F33F26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</w:t>
            </w:r>
            <w:r w:rsidR="007A7F05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z dnia 10 listopada 2015 r.</w:t>
            </w:r>
            <w:r w:rsidR="00B27B99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</w:t>
            </w:r>
            <w:r w:rsidR="007037CD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w sprawie ogłoszenia wykazu wzorcowych procedur radiologicznych z zakresu radiologii – diagnostyki obrazowej i radiologii zabiegowej </w:t>
            </w:r>
            <w:r w:rsidR="00B27B99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(</w:t>
            </w:r>
            <w:r w:rsidR="003310C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Dz. Urz. Min. </w:t>
            </w:r>
            <w:proofErr w:type="spellStart"/>
            <w:r w:rsidR="003310C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Zdrow</w:t>
            </w:r>
            <w:proofErr w:type="spellEnd"/>
            <w:r w:rsidR="003310C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. poz. 78)</w:t>
            </w:r>
            <w:r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oraz </w:t>
            </w:r>
          </w:p>
          <w:p w14:paraId="1DE252DE" w14:textId="2A7799DF" w:rsidR="0060658D" w:rsidRPr="00EA48BD" w:rsidRDefault="00F41513" w:rsidP="00EA48BD">
            <w:pPr>
              <w:pStyle w:val="Akapitzlist"/>
              <w:numPr>
                <w:ilvl w:val="0"/>
                <w:numId w:val="6"/>
              </w:num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</w:pPr>
            <w:r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procedur roboczych </w:t>
            </w:r>
            <w:r w:rsidR="002E394E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sym w:font="Symbol" w:char="F02D"/>
            </w:r>
            <w:r w:rsidR="002E394E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</w:t>
            </w:r>
            <w:r w:rsidR="00D430FD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tworzon</w:t>
            </w:r>
            <w:r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ych</w:t>
            </w:r>
            <w:r w:rsidR="00D430FD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w jednostkach ochrony zdrowia na podstawie procedur wzorcowych</w:t>
            </w:r>
            <w:r w:rsidR="002E394E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,</w:t>
            </w:r>
            <w:r w:rsidR="00592A3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</w:t>
            </w:r>
            <w:r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zwanych </w:t>
            </w:r>
            <w:r w:rsidR="00592A3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procedurami szczegółowymi</w:t>
            </w:r>
            <w:r w:rsidR="009D3E68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,</w:t>
            </w:r>
            <w:r w:rsidR="00E134D3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zgodnie z przepisami </w:t>
            </w:r>
            <w:r w:rsidR="00E134D3" w:rsidRPr="007203DE">
              <w:rPr>
                <w:rFonts w:ascii="Times New Roman" w:hAnsi="Times New Roman" w:cs="Times New Roman"/>
                <w:lang w:eastAsia="ar-SA"/>
              </w:rPr>
              <w:t xml:space="preserve">ustawy z dnia 13 czerwca 2019 r. </w:t>
            </w:r>
            <w:r w:rsidR="00E134D3" w:rsidRPr="00EA48BD">
              <w:rPr>
                <w:rFonts w:ascii="Times New Roman" w:hAnsi="Times New Roman" w:cs="Times New Roman"/>
                <w:iCs/>
                <w:lang w:eastAsia="ar-SA"/>
              </w:rPr>
              <w:t>o</w:t>
            </w:r>
            <w:r w:rsidR="003F2FEE">
              <w:rPr>
                <w:rFonts w:ascii="Times New Roman" w:hAnsi="Times New Roman" w:cs="Times New Roman"/>
                <w:iCs/>
                <w:lang w:eastAsia="ar-SA"/>
              </w:rPr>
              <w:t> </w:t>
            </w:r>
            <w:r w:rsidR="00E134D3" w:rsidRPr="00EA48BD">
              <w:rPr>
                <w:rFonts w:ascii="Times New Roman" w:hAnsi="Times New Roman" w:cs="Times New Roman"/>
                <w:iCs/>
                <w:lang w:eastAsia="ar-SA"/>
              </w:rPr>
              <w:t>zmianie ustawy – Prawo atomowe oraz ustawy o ochronie przeciwpożarowej</w:t>
            </w:r>
            <w:r w:rsidR="009D3E68">
              <w:rPr>
                <w:rFonts w:ascii="Times New Roman" w:hAnsi="Times New Roman" w:cs="Times New Roman"/>
                <w:iCs/>
                <w:lang w:eastAsia="ar-SA"/>
              </w:rPr>
              <w:t xml:space="preserve"> 9dz. U. poz. 1593 oraz z 2020 r. poz. 284</w:t>
            </w:r>
            <w:r w:rsidR="00592A3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)</w:t>
            </w:r>
            <w:r w:rsidR="00D430FD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>.</w:t>
            </w:r>
            <w:r w:rsidR="00592A3A" w:rsidRPr="00EA48BD">
              <w:rPr>
                <w:rFonts w:ascii="Times New Roman" w:eastAsia="Calibri" w:hAnsi="Times New Roman" w:cs="Times New Roman"/>
                <w:iCs/>
                <w:color w:val="000000"/>
                <w:szCs w:val="20"/>
                <w:lang w:eastAsia="ar-SA"/>
              </w:rPr>
              <w:t xml:space="preserve"> </w:t>
            </w:r>
          </w:p>
          <w:p w14:paraId="6EFEFED2" w14:textId="3EC27A16" w:rsidR="00394091" w:rsidRPr="007203DE" w:rsidRDefault="00F33F26" w:rsidP="007203DE">
            <w:pPr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203DE">
              <w:rPr>
                <w:rFonts w:ascii="Times New Roman" w:hAnsi="Times New Roman" w:cs="Times New Roman"/>
                <w:lang w:eastAsia="ar-SA"/>
              </w:rPr>
              <w:t xml:space="preserve">Zarówno procedury wzorcowe, jak i procedury robocze </w:t>
            </w:r>
            <w:r w:rsidR="0060658D" w:rsidRPr="007203DE">
              <w:rPr>
                <w:rFonts w:ascii="Times New Roman" w:hAnsi="Times New Roman" w:cs="Times New Roman"/>
                <w:lang w:eastAsia="ar-SA"/>
              </w:rPr>
              <w:t xml:space="preserve">(szczegółowe) </w:t>
            </w:r>
            <w:r w:rsidRPr="007203DE">
              <w:rPr>
                <w:rFonts w:ascii="Times New Roman" w:hAnsi="Times New Roman" w:cs="Times New Roman"/>
                <w:lang w:eastAsia="ar-SA"/>
              </w:rPr>
              <w:t xml:space="preserve">zostały </w:t>
            </w:r>
            <w:r w:rsidR="007A7F05" w:rsidRPr="007203DE">
              <w:rPr>
                <w:rFonts w:ascii="Times New Roman" w:hAnsi="Times New Roman" w:cs="Times New Roman"/>
                <w:lang w:eastAsia="ar-SA"/>
              </w:rPr>
              <w:t>utrzymane w mocy na</w:t>
            </w:r>
            <w:r w:rsidR="0060658D" w:rsidRPr="007203DE">
              <w:rPr>
                <w:rFonts w:ascii="Times New Roman" w:hAnsi="Times New Roman" w:cs="Times New Roman"/>
                <w:lang w:eastAsia="ar-SA"/>
              </w:rPr>
              <w:t> </w:t>
            </w:r>
            <w:r w:rsidR="007A7F05" w:rsidRPr="007203DE">
              <w:rPr>
                <w:rFonts w:ascii="Times New Roman" w:hAnsi="Times New Roman" w:cs="Times New Roman"/>
                <w:lang w:eastAsia="ar-SA"/>
              </w:rPr>
              <w:t>podstawie art. 30</w:t>
            </w:r>
            <w:r w:rsidR="0060658D" w:rsidRPr="007203DE">
              <w:rPr>
                <w:rFonts w:ascii="Times New Roman" w:hAnsi="Times New Roman" w:cs="Times New Roman"/>
                <w:lang w:eastAsia="ar-SA"/>
              </w:rPr>
              <w:t> </w:t>
            </w:r>
            <w:r w:rsidR="007A7F05" w:rsidRPr="007203DE">
              <w:rPr>
                <w:rFonts w:ascii="Times New Roman" w:hAnsi="Times New Roman" w:cs="Times New Roman"/>
                <w:lang w:eastAsia="ar-SA"/>
              </w:rPr>
              <w:t>ust.</w:t>
            </w:r>
            <w:r w:rsidR="0060658D" w:rsidRPr="007203DE">
              <w:rPr>
                <w:rFonts w:ascii="Times New Roman" w:hAnsi="Times New Roman" w:cs="Times New Roman"/>
                <w:lang w:eastAsia="ar-SA"/>
              </w:rPr>
              <w:t> </w:t>
            </w:r>
            <w:r w:rsidR="007A7F05" w:rsidRPr="007203DE">
              <w:rPr>
                <w:rFonts w:ascii="Times New Roman" w:hAnsi="Times New Roman" w:cs="Times New Roman"/>
                <w:lang w:eastAsia="ar-SA"/>
              </w:rPr>
              <w:t xml:space="preserve">1 </w:t>
            </w:r>
            <w:r w:rsidRPr="007203DE">
              <w:rPr>
                <w:rFonts w:ascii="Times New Roman" w:hAnsi="Times New Roman" w:cs="Times New Roman"/>
                <w:lang w:eastAsia="ar-SA"/>
              </w:rPr>
              <w:t>i 3</w:t>
            </w:r>
            <w:r w:rsidR="00E134D3">
              <w:rPr>
                <w:rFonts w:ascii="Times New Roman" w:hAnsi="Times New Roman" w:cs="Times New Roman"/>
                <w:lang w:eastAsia="ar-SA"/>
              </w:rPr>
              <w:t xml:space="preserve"> ww. ustawy </w:t>
            </w:r>
            <w:r w:rsidR="00592A3A" w:rsidRPr="007203DE">
              <w:rPr>
                <w:rFonts w:ascii="Times New Roman" w:hAnsi="Times New Roman" w:cs="Times New Roman"/>
                <w:lang w:eastAsia="ar-SA"/>
              </w:rPr>
              <w:t>, a zgodnie z §</w:t>
            </w:r>
            <w:r w:rsidR="00670FF5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592A3A" w:rsidRPr="007203DE">
              <w:rPr>
                <w:rFonts w:ascii="Times New Roman" w:hAnsi="Times New Roman" w:cs="Times New Roman"/>
                <w:lang w:eastAsia="ar-SA"/>
              </w:rPr>
              <w:t xml:space="preserve">5 rozporządzenia </w:t>
            </w:r>
            <w:r w:rsidR="00E134D3">
              <w:rPr>
                <w:rFonts w:ascii="Times New Roman" w:hAnsi="Times New Roman" w:cs="Times New Roman"/>
                <w:lang w:eastAsia="ar-SA"/>
              </w:rPr>
              <w:t>zmienianego</w:t>
            </w:r>
            <w:r w:rsidR="00592A3A" w:rsidRPr="007203D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60658D" w:rsidRPr="007203DE">
              <w:rPr>
                <w:rFonts w:ascii="Times New Roman" w:hAnsi="Times New Roman" w:cs="Times New Roman"/>
                <w:lang w:eastAsia="ar-SA"/>
              </w:rPr>
              <w:t xml:space="preserve">utrzymane w mocy procedury wzorcowe i procedury szczegółowe </w:t>
            </w:r>
            <w:r w:rsidR="00592A3A" w:rsidRPr="007203DE">
              <w:rPr>
                <w:rFonts w:ascii="Times New Roman" w:hAnsi="Times New Roman" w:cs="Times New Roman"/>
                <w:lang w:eastAsia="ar-SA"/>
              </w:rPr>
              <w:t>miały</w:t>
            </w:r>
            <w:r w:rsidR="0060658D" w:rsidRPr="007203D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592A3A" w:rsidRPr="007203DE">
              <w:rPr>
                <w:rFonts w:ascii="Times New Roman" w:hAnsi="Times New Roman" w:cs="Times New Roman"/>
                <w:lang w:eastAsia="ar-SA"/>
              </w:rPr>
              <w:t>zostać dostosowane do wymagań określonych w przepisach tego rozporządzenia w terminie odpowiednio</w:t>
            </w:r>
            <w:r w:rsidR="0060658D" w:rsidRPr="007203DE">
              <w:rPr>
                <w:rFonts w:ascii="Times New Roman" w:hAnsi="Times New Roman" w:cs="Times New Roman"/>
                <w:lang w:eastAsia="ar-SA"/>
              </w:rPr>
              <w:t xml:space="preserve">: </w:t>
            </w:r>
            <w:r w:rsidR="00592A3A" w:rsidRPr="007203DE">
              <w:rPr>
                <w:rFonts w:ascii="Times New Roman" w:hAnsi="Times New Roman" w:cs="Times New Roman"/>
                <w:lang w:eastAsia="ar-SA"/>
              </w:rPr>
              <w:t xml:space="preserve">18 i 24 miesięcy od dnia jego wejścia w życie (tj. do </w:t>
            </w:r>
            <w:r w:rsidR="003F2FEE">
              <w:rPr>
                <w:rFonts w:ascii="Times New Roman" w:hAnsi="Times New Roman" w:cs="Times New Roman"/>
                <w:lang w:eastAsia="ar-SA"/>
              </w:rPr>
              <w:t xml:space="preserve">dnia </w:t>
            </w:r>
            <w:r w:rsidR="00592A3A" w:rsidRPr="007203DE">
              <w:rPr>
                <w:rFonts w:ascii="Times New Roman" w:hAnsi="Times New Roman" w:cs="Times New Roman"/>
                <w:lang w:eastAsia="ar-SA"/>
              </w:rPr>
              <w:t>2</w:t>
            </w:r>
            <w:r w:rsidR="00E134D3">
              <w:rPr>
                <w:rFonts w:ascii="Times New Roman" w:hAnsi="Times New Roman" w:cs="Times New Roman"/>
                <w:lang w:eastAsia="ar-SA"/>
              </w:rPr>
              <w:t>6</w:t>
            </w:r>
            <w:r w:rsidR="00592A3A" w:rsidRPr="007203DE">
              <w:rPr>
                <w:rFonts w:ascii="Times New Roman" w:hAnsi="Times New Roman" w:cs="Times New Roman"/>
                <w:lang w:eastAsia="ar-SA"/>
              </w:rPr>
              <w:t xml:space="preserve"> kwietnia 2023 r. – w przypadku procedur wzorcowych, oraz do 2</w:t>
            </w:r>
            <w:r w:rsidR="00E134D3">
              <w:rPr>
                <w:rFonts w:ascii="Times New Roman" w:hAnsi="Times New Roman" w:cs="Times New Roman"/>
                <w:lang w:eastAsia="ar-SA"/>
              </w:rPr>
              <w:t>6</w:t>
            </w:r>
            <w:r w:rsidR="00592A3A" w:rsidRPr="007203DE">
              <w:rPr>
                <w:rFonts w:ascii="Times New Roman" w:hAnsi="Times New Roman" w:cs="Times New Roman"/>
                <w:lang w:eastAsia="ar-SA"/>
              </w:rPr>
              <w:t xml:space="preserve"> października 2023 r. – w</w:t>
            </w:r>
            <w:r w:rsidR="003F2FEE">
              <w:rPr>
                <w:rFonts w:ascii="Times New Roman" w:hAnsi="Times New Roman" w:cs="Times New Roman"/>
                <w:lang w:eastAsia="ar-SA"/>
              </w:rPr>
              <w:t> </w:t>
            </w:r>
            <w:r w:rsidR="00592A3A" w:rsidRPr="007203DE">
              <w:rPr>
                <w:rFonts w:ascii="Times New Roman" w:hAnsi="Times New Roman" w:cs="Times New Roman"/>
                <w:lang w:eastAsia="ar-SA"/>
              </w:rPr>
              <w:t>przypadku proced</w:t>
            </w:r>
            <w:r w:rsidR="0060658D" w:rsidRPr="007203DE">
              <w:rPr>
                <w:rFonts w:ascii="Times New Roman" w:hAnsi="Times New Roman" w:cs="Times New Roman"/>
                <w:lang w:eastAsia="ar-SA"/>
              </w:rPr>
              <w:t xml:space="preserve">ur </w:t>
            </w:r>
            <w:r w:rsidR="007203DE">
              <w:rPr>
                <w:rFonts w:ascii="Times New Roman" w:hAnsi="Times New Roman" w:cs="Times New Roman"/>
                <w:lang w:eastAsia="ar-SA"/>
              </w:rPr>
              <w:t>szczegółowych</w:t>
            </w:r>
            <w:r w:rsidR="0060658D" w:rsidRPr="007203DE">
              <w:rPr>
                <w:rFonts w:ascii="Times New Roman" w:hAnsi="Times New Roman" w:cs="Times New Roman"/>
                <w:lang w:eastAsia="ar-SA"/>
              </w:rPr>
              <w:t xml:space="preserve">). </w:t>
            </w:r>
            <w:r w:rsidR="007203DE" w:rsidRPr="007203DE">
              <w:rPr>
                <w:rFonts w:ascii="Times New Roman" w:hAnsi="Times New Roman" w:cs="Times New Roman"/>
                <w:lang w:eastAsia="ar-SA"/>
              </w:rPr>
              <w:t xml:space="preserve">Termin </w:t>
            </w:r>
            <w:r w:rsidR="007203DE">
              <w:rPr>
                <w:rFonts w:ascii="Times New Roman" w:hAnsi="Times New Roman" w:cs="Times New Roman"/>
                <w:lang w:eastAsia="ar-SA"/>
              </w:rPr>
              <w:t xml:space="preserve">wskazany </w:t>
            </w:r>
            <w:r w:rsidR="007203DE" w:rsidRPr="007203DE">
              <w:rPr>
                <w:rFonts w:ascii="Times New Roman" w:hAnsi="Times New Roman" w:cs="Times New Roman"/>
                <w:lang w:eastAsia="ar-SA"/>
              </w:rPr>
              <w:t>w §</w:t>
            </w:r>
            <w:r w:rsidR="00AB25D8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7203DE" w:rsidRPr="007203DE">
              <w:rPr>
                <w:rFonts w:ascii="Times New Roman" w:hAnsi="Times New Roman" w:cs="Times New Roman"/>
                <w:lang w:eastAsia="ar-SA"/>
              </w:rPr>
              <w:t>5 ust. 1 rozporządzenia zmienianego</w:t>
            </w:r>
            <w:r w:rsidR="007203DE">
              <w:rPr>
                <w:rFonts w:ascii="Times New Roman" w:hAnsi="Times New Roman" w:cs="Times New Roman"/>
                <w:lang w:eastAsia="ar-SA"/>
              </w:rPr>
              <w:t xml:space="preserve">, tj. termin przewidziany </w:t>
            </w:r>
            <w:r w:rsidR="007203DE" w:rsidRPr="007203DE">
              <w:rPr>
                <w:rFonts w:ascii="Times New Roman" w:hAnsi="Times New Roman" w:cs="Times New Roman"/>
                <w:lang w:eastAsia="ar-SA"/>
              </w:rPr>
              <w:t xml:space="preserve">dla komisji do spraw procedur i audytów klinicznych zewnętrznych nie </w:t>
            </w:r>
            <w:r w:rsidR="003F2FEE">
              <w:rPr>
                <w:rFonts w:ascii="Times New Roman" w:hAnsi="Times New Roman" w:cs="Times New Roman"/>
                <w:lang w:eastAsia="ar-SA"/>
              </w:rPr>
              <w:t>został</w:t>
            </w:r>
            <w:r w:rsidR="003F2FEE" w:rsidRPr="007203DE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7203DE" w:rsidRPr="007203DE">
              <w:rPr>
                <w:rFonts w:ascii="Times New Roman" w:hAnsi="Times New Roman" w:cs="Times New Roman"/>
                <w:lang w:eastAsia="ar-SA"/>
              </w:rPr>
              <w:t>dotrzymany, w konsekwencji czego również termin</w:t>
            </w:r>
            <w:r w:rsidR="007203DE">
              <w:rPr>
                <w:rFonts w:ascii="Times New Roman" w:hAnsi="Times New Roman" w:cs="Times New Roman"/>
                <w:lang w:eastAsia="ar-SA"/>
              </w:rPr>
              <w:t xml:space="preserve"> określony </w:t>
            </w:r>
            <w:r w:rsidR="007203DE" w:rsidRPr="007203DE">
              <w:rPr>
                <w:rFonts w:ascii="Times New Roman" w:hAnsi="Times New Roman" w:cs="Times New Roman"/>
                <w:lang w:eastAsia="ar-SA"/>
              </w:rPr>
              <w:t>w §</w:t>
            </w:r>
            <w:r w:rsidR="00AB25D8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7203DE" w:rsidRPr="007203DE">
              <w:rPr>
                <w:rFonts w:ascii="Times New Roman" w:hAnsi="Times New Roman" w:cs="Times New Roman"/>
                <w:lang w:eastAsia="ar-SA"/>
              </w:rPr>
              <w:t xml:space="preserve">5 ust. 2 </w:t>
            </w:r>
            <w:r w:rsidR="003F2FEE">
              <w:rPr>
                <w:rFonts w:ascii="Times New Roman" w:hAnsi="Times New Roman" w:cs="Times New Roman"/>
                <w:lang w:eastAsia="ar-SA"/>
              </w:rPr>
              <w:t xml:space="preserve">rozporządzenia zmienianego </w:t>
            </w:r>
            <w:r w:rsidR="007203DE">
              <w:rPr>
                <w:rFonts w:ascii="Times New Roman" w:hAnsi="Times New Roman" w:cs="Times New Roman"/>
                <w:lang w:eastAsia="ar-SA"/>
              </w:rPr>
              <w:t>dla  </w:t>
            </w:r>
            <w:r w:rsidR="007203DE" w:rsidRPr="007203DE">
              <w:rPr>
                <w:rFonts w:ascii="Times New Roman" w:hAnsi="Times New Roman" w:cs="Times New Roman"/>
                <w:lang w:eastAsia="ar-SA"/>
              </w:rPr>
              <w:t xml:space="preserve">jednostek ochrony zdrowia stosujących promieniowanie jonizujące również nie będzie mógł być </w:t>
            </w:r>
            <w:r w:rsidR="007203DE" w:rsidRPr="007203DE">
              <w:rPr>
                <w:rFonts w:ascii="Times New Roman" w:hAnsi="Times New Roman" w:cs="Times New Roman"/>
                <w:lang w:eastAsia="ar-SA"/>
              </w:rPr>
              <w:lastRenderedPageBreak/>
              <w:t>dotrzymany przy zachowaniu zasady, że na dostosowanie opracowanych w jednostkach procedur szczegółowych do zmienionych przez komisje procedur wzorcowych konieczny jest okres co najmniej 6</w:t>
            </w:r>
            <w:r w:rsidR="00DD0B68">
              <w:rPr>
                <w:rFonts w:ascii="Times New Roman" w:hAnsi="Times New Roman" w:cs="Times New Roman"/>
                <w:lang w:eastAsia="ar-SA"/>
              </w:rPr>
              <w:t> </w:t>
            </w:r>
            <w:r w:rsidR="007203DE" w:rsidRPr="007203DE">
              <w:rPr>
                <w:rFonts w:ascii="Times New Roman" w:hAnsi="Times New Roman" w:cs="Times New Roman"/>
                <w:lang w:eastAsia="ar-SA"/>
              </w:rPr>
              <w:t xml:space="preserve">miesięcy, co wynika z przepisów </w:t>
            </w:r>
            <w:r w:rsidR="007203DE">
              <w:rPr>
                <w:rFonts w:ascii="Times New Roman" w:hAnsi="Times New Roman" w:cs="Times New Roman"/>
                <w:lang w:eastAsia="ar-SA"/>
              </w:rPr>
              <w:t>§</w:t>
            </w:r>
            <w:r w:rsidR="00AB25D8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7203DE">
              <w:rPr>
                <w:rFonts w:ascii="Times New Roman" w:hAnsi="Times New Roman" w:cs="Times New Roman"/>
                <w:lang w:eastAsia="ar-SA"/>
              </w:rPr>
              <w:t>5 rozporządzenia</w:t>
            </w:r>
            <w:r w:rsidR="00664123">
              <w:rPr>
                <w:rFonts w:ascii="Times New Roman" w:hAnsi="Times New Roman" w:cs="Times New Roman"/>
                <w:lang w:eastAsia="ar-SA"/>
              </w:rPr>
              <w:t xml:space="preserve"> zmienianego</w:t>
            </w:r>
            <w:r w:rsidR="007203DE">
              <w:rPr>
                <w:rFonts w:ascii="Times New Roman" w:hAnsi="Times New Roman" w:cs="Times New Roman"/>
                <w:lang w:eastAsia="ar-SA"/>
              </w:rPr>
              <w:t>.</w:t>
            </w:r>
            <w:r w:rsidR="007203DE" w:rsidRPr="007203DE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394091" w:rsidRPr="00394091" w14:paraId="7E7185FC" w14:textId="77777777" w:rsidTr="006C58E0">
        <w:trPr>
          <w:trHeight w:val="1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E6832CB" w14:textId="77777777" w:rsidR="00394091" w:rsidRPr="00394091" w:rsidRDefault="00394091" w:rsidP="00394091">
            <w:pPr>
              <w:widowControl w:val="0"/>
              <w:autoSpaceDE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lastRenderedPageBreak/>
              <w:t>Rekomendowane rozwiązanie, w tym planowane narzędzia interwencji, i oczekiwany efekt</w:t>
            </w:r>
          </w:p>
        </w:tc>
      </w:tr>
      <w:tr w:rsidR="00394091" w:rsidRPr="00394091" w14:paraId="09289943" w14:textId="77777777" w:rsidTr="006C58E0">
        <w:trPr>
          <w:trHeight w:val="1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00B18" w14:textId="4638232C" w:rsidR="001E7002" w:rsidRDefault="007203DE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03DE">
              <w:rPr>
                <w:rFonts w:ascii="Times New Roman" w:eastAsia="Times New Roman" w:hAnsi="Times New Roman" w:cs="Times New Roman"/>
                <w:lang w:eastAsia="pl-PL"/>
              </w:rPr>
              <w:t>W związku z faktem, że termin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203DE">
              <w:rPr>
                <w:rFonts w:ascii="Times New Roman" w:eastAsia="Times New Roman" w:hAnsi="Times New Roman" w:cs="Times New Roman"/>
                <w:lang w:eastAsia="pl-PL"/>
              </w:rPr>
              <w:t>przewidzian</w:t>
            </w:r>
            <w:r w:rsidR="009419B7">
              <w:rPr>
                <w:rFonts w:ascii="Times New Roman" w:eastAsia="Times New Roman" w:hAnsi="Times New Roman" w:cs="Times New Roman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203DE">
              <w:rPr>
                <w:rFonts w:ascii="Times New Roman" w:eastAsia="Times New Roman" w:hAnsi="Times New Roman" w:cs="Times New Roman"/>
                <w:lang w:eastAsia="pl-PL"/>
              </w:rPr>
              <w:t>w §</w:t>
            </w:r>
            <w:r w:rsidR="00AB25D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203DE">
              <w:rPr>
                <w:rFonts w:ascii="Times New Roman" w:eastAsia="Times New Roman" w:hAnsi="Times New Roman" w:cs="Times New Roman"/>
                <w:lang w:eastAsia="pl-PL"/>
              </w:rPr>
              <w:t>5 ust. 1</w:t>
            </w:r>
            <w:r w:rsidR="009419B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203DE">
              <w:rPr>
                <w:rFonts w:ascii="Times New Roman" w:eastAsia="Times New Roman" w:hAnsi="Times New Roman" w:cs="Times New Roman"/>
                <w:lang w:eastAsia="pl-PL"/>
              </w:rPr>
              <w:t>rozporządzenia zmienianego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tj. termin</w:t>
            </w:r>
            <w:r w:rsidR="009419B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na</w:t>
            </w:r>
            <w:r w:rsidR="009419B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dostosowanie</w:t>
            </w:r>
            <w:r w:rsidR="009419B7">
              <w:rPr>
                <w:rFonts w:ascii="Times New Roman" w:eastAsia="Times New Roman" w:hAnsi="Times New Roman" w:cs="Times New Roman"/>
                <w:lang w:eastAsia="pl-PL"/>
              </w:rPr>
              <w:t xml:space="preserve">  przez komisje </w:t>
            </w:r>
            <w:r w:rsidR="009419B7" w:rsidRPr="007203DE">
              <w:rPr>
                <w:rFonts w:ascii="Times New Roman" w:eastAsia="Times New Roman" w:hAnsi="Times New Roman" w:cs="Times New Roman"/>
                <w:lang w:eastAsia="pl-PL"/>
              </w:rPr>
              <w:t>do spraw procedur i audytów klinicznych zewnętrznych</w:t>
            </w:r>
            <w:r w:rsidR="009419B7">
              <w:rPr>
                <w:rFonts w:ascii="Times New Roman" w:eastAsia="Times New Roman" w:hAnsi="Times New Roman" w:cs="Times New Roman"/>
                <w:lang w:eastAsia="pl-PL"/>
              </w:rPr>
              <w:t xml:space="preserve"> – obowiązujących aktualnie procedur wzorcowych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 wymagań rozporządzania </w:t>
            </w:r>
            <w:r w:rsidR="00764200">
              <w:rPr>
                <w:rFonts w:ascii="Times New Roman" w:eastAsia="Times New Roman" w:hAnsi="Times New Roman" w:cs="Times New Roman"/>
                <w:lang w:eastAsia="pl-PL"/>
              </w:rPr>
              <w:t>zmienianego</w:t>
            </w:r>
            <w:r w:rsidR="009419B7">
              <w:rPr>
                <w:rFonts w:ascii="Times New Roman" w:eastAsia="Times New Roman" w:hAnsi="Times New Roman" w:cs="Times New Roman"/>
                <w:lang w:eastAsia="pl-PL"/>
              </w:rPr>
              <w:t xml:space="preserve"> nie </w:t>
            </w:r>
            <w:r w:rsidR="00664123">
              <w:rPr>
                <w:rFonts w:ascii="Times New Roman" w:eastAsia="Times New Roman" w:hAnsi="Times New Roman" w:cs="Times New Roman"/>
                <w:lang w:eastAsia="pl-PL"/>
              </w:rPr>
              <w:t xml:space="preserve">został </w:t>
            </w:r>
            <w:r w:rsidR="009419B7">
              <w:rPr>
                <w:rFonts w:ascii="Times New Roman" w:eastAsia="Times New Roman" w:hAnsi="Times New Roman" w:cs="Times New Roman"/>
                <w:lang w:eastAsia="pl-PL"/>
              </w:rPr>
              <w:t>dotrzymany, w</w:t>
            </w:r>
            <w:r w:rsidR="0066412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9419B7">
              <w:rPr>
                <w:rFonts w:ascii="Times New Roman" w:eastAsia="Times New Roman" w:hAnsi="Times New Roman" w:cs="Times New Roman"/>
                <w:lang w:eastAsia="pl-PL"/>
              </w:rPr>
              <w:t>konsekwencji czego termin przewidziany w §</w:t>
            </w:r>
            <w:r w:rsidR="007642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419B7">
              <w:rPr>
                <w:rFonts w:ascii="Times New Roman" w:eastAsia="Times New Roman" w:hAnsi="Times New Roman" w:cs="Times New Roman"/>
                <w:lang w:eastAsia="pl-PL"/>
              </w:rPr>
              <w:t xml:space="preserve">5 ust. 2 </w:t>
            </w:r>
            <w:r w:rsidR="00B50DA3">
              <w:rPr>
                <w:rFonts w:ascii="Times New Roman" w:eastAsia="Times New Roman" w:hAnsi="Times New Roman" w:cs="Times New Roman"/>
                <w:lang w:eastAsia="pl-PL"/>
              </w:rPr>
              <w:t xml:space="preserve">tego </w:t>
            </w:r>
            <w:r w:rsidR="009419B7">
              <w:rPr>
                <w:rFonts w:ascii="Times New Roman" w:eastAsia="Times New Roman" w:hAnsi="Times New Roman" w:cs="Times New Roman"/>
                <w:lang w:eastAsia="pl-PL"/>
              </w:rPr>
              <w:t>rozporządzenia</w:t>
            </w:r>
            <w:r w:rsidR="00A07AD3">
              <w:rPr>
                <w:rFonts w:ascii="Times New Roman" w:eastAsia="Times New Roman" w:hAnsi="Times New Roman" w:cs="Times New Roman"/>
                <w:lang w:eastAsia="pl-PL"/>
              </w:rPr>
              <w:t>, tj. termin</w:t>
            </w:r>
            <w:r w:rsidR="009419B7">
              <w:rPr>
                <w:rFonts w:ascii="Times New Roman" w:eastAsia="Times New Roman" w:hAnsi="Times New Roman" w:cs="Times New Roman"/>
                <w:lang w:eastAsia="pl-PL"/>
              </w:rPr>
              <w:t xml:space="preserve"> na dostosowanie przez jednostki ochrony zdrowia obowiązujących w tych jednostkach procedur szczegółowych do </w:t>
            </w:r>
            <w:r w:rsidR="00A07AD3">
              <w:rPr>
                <w:rFonts w:ascii="Times New Roman" w:eastAsia="Times New Roman" w:hAnsi="Times New Roman" w:cs="Times New Roman"/>
                <w:lang w:eastAsia="pl-PL"/>
              </w:rPr>
              <w:t xml:space="preserve">procedur wzorcowych </w:t>
            </w:r>
            <w:r w:rsidR="009419B7">
              <w:rPr>
                <w:rFonts w:ascii="Times New Roman" w:eastAsia="Times New Roman" w:hAnsi="Times New Roman" w:cs="Times New Roman"/>
                <w:lang w:eastAsia="pl-PL"/>
              </w:rPr>
              <w:t>zmienionych</w:t>
            </w:r>
            <w:r w:rsidR="00A07AD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 xml:space="preserve">przez komisje </w:t>
            </w:r>
            <w:r w:rsidR="009419B7">
              <w:rPr>
                <w:rFonts w:ascii="Times New Roman" w:eastAsia="Times New Roman" w:hAnsi="Times New Roman" w:cs="Times New Roman"/>
                <w:lang w:eastAsia="pl-PL"/>
              </w:rPr>
              <w:t>również nie może zostać dotrzymany</w:t>
            </w:r>
            <w:r w:rsidRPr="007203DE">
              <w:rPr>
                <w:rFonts w:ascii="Times New Roman" w:eastAsia="Times New Roman" w:hAnsi="Times New Roman" w:cs="Times New Roman"/>
                <w:lang w:eastAsia="pl-PL"/>
              </w:rPr>
              <w:t xml:space="preserve">, konieczne jest </w:t>
            </w:r>
            <w:r w:rsidR="009419B7">
              <w:rPr>
                <w:rFonts w:ascii="Times New Roman" w:eastAsia="Times New Roman" w:hAnsi="Times New Roman" w:cs="Times New Roman"/>
                <w:lang w:eastAsia="pl-PL"/>
              </w:rPr>
              <w:t xml:space="preserve">odpowiednie przedłużenie </w:t>
            </w:r>
            <w:r w:rsidR="00764200">
              <w:rPr>
                <w:rFonts w:ascii="Times New Roman" w:eastAsia="Times New Roman" w:hAnsi="Times New Roman" w:cs="Times New Roman"/>
                <w:lang w:eastAsia="pl-PL"/>
              </w:rPr>
              <w:t>tych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9419B7">
              <w:rPr>
                <w:rFonts w:ascii="Times New Roman" w:eastAsia="Times New Roman" w:hAnsi="Times New Roman" w:cs="Times New Roman"/>
                <w:lang w:eastAsia="pl-PL"/>
              </w:rPr>
              <w:t>terminów</w:t>
            </w:r>
            <w:r w:rsidR="00BF209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7B48FEAC" w14:textId="52C7656B" w:rsidR="001E7002" w:rsidRDefault="00BF2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Termin na dostosowanie procedur wzorcowych do wymagań rozporządzenia zmienianego proponuje się przedłużyć do dnia 30 czerwca 2025 r</w:t>
            </w:r>
            <w:r w:rsidR="00A07AD3">
              <w:rPr>
                <w:rFonts w:ascii="Times New Roman" w:eastAsia="Times New Roman" w:hAnsi="Times New Roman" w:cs="Times New Roman"/>
                <w:lang w:eastAsia="pl-PL"/>
              </w:rPr>
              <w:t>. (§</w:t>
            </w:r>
            <w:r w:rsidR="0076420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07AD3">
              <w:rPr>
                <w:rFonts w:ascii="Times New Roman" w:eastAsia="Times New Roman" w:hAnsi="Times New Roman" w:cs="Times New Roman"/>
                <w:lang w:eastAsia="pl-PL"/>
              </w:rPr>
              <w:t>5 ust</w:t>
            </w:r>
            <w:r w:rsidR="00DD0B68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="00A07AD3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764200">
              <w:rPr>
                <w:rFonts w:ascii="Times New Roman" w:eastAsia="Times New Roman" w:hAnsi="Times New Roman" w:cs="Times New Roman"/>
                <w:lang w:eastAsia="pl-PL"/>
              </w:rPr>
              <w:t xml:space="preserve"> projektu </w:t>
            </w:r>
            <w:r w:rsidR="00AF1B3E">
              <w:rPr>
                <w:rFonts w:ascii="Times New Roman" w:eastAsia="Times New Roman" w:hAnsi="Times New Roman" w:cs="Times New Roman"/>
                <w:lang w:eastAsia="pl-PL"/>
              </w:rPr>
              <w:t>rozporządzenia</w:t>
            </w:r>
            <w:r w:rsidR="00A07AD3">
              <w:rPr>
                <w:rFonts w:ascii="Times New Roman" w:eastAsia="Times New Roman" w:hAnsi="Times New Roman" w:cs="Times New Roman"/>
                <w:lang w:eastAsia="pl-PL"/>
              </w:rPr>
              <w:t xml:space="preserve">) W ocenie projektodawcy w tym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okresie będzie możliwe dokonanie przez komisje do spraw procedur i audytów klinicznych zewnętrznych rzetelnego przeglądu znaczącej liczby procedur (aktualnie obowiązuje prawie 800 procedur wzorcowych) oraz dokonanie w tych procedurach poprawek i modyfikacji wynikających z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przepisów rozporządzenia zmienia</w:t>
            </w:r>
            <w:r w:rsidR="00A07AD3">
              <w:rPr>
                <w:rFonts w:ascii="Times New Roman" w:eastAsia="Times New Roman" w:hAnsi="Times New Roman" w:cs="Times New Roman"/>
                <w:lang w:eastAsia="pl-PL"/>
              </w:rPr>
              <w:t>nego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48448ED7" w14:textId="2AE8177E" w:rsidR="001E7002" w:rsidRPr="00A07AD3" w:rsidRDefault="007203DE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03DE">
              <w:rPr>
                <w:rFonts w:ascii="Times New Roman" w:eastAsia="Times New Roman" w:hAnsi="Times New Roman" w:cs="Times New Roman"/>
                <w:lang w:eastAsia="pl-PL"/>
              </w:rPr>
              <w:t>W konsekwencji tej zmiany, również termin przewidziany w §</w:t>
            </w:r>
            <w:r w:rsidR="00AF1B3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203DE">
              <w:rPr>
                <w:rFonts w:ascii="Times New Roman" w:eastAsia="Times New Roman" w:hAnsi="Times New Roman" w:cs="Times New Roman"/>
                <w:lang w:eastAsia="pl-PL"/>
              </w:rPr>
              <w:t xml:space="preserve">5 ust. 2 rozporządzenia </w:t>
            </w:r>
            <w:r w:rsidR="00AF1B3E">
              <w:rPr>
                <w:rFonts w:ascii="Times New Roman" w:eastAsia="Times New Roman" w:hAnsi="Times New Roman" w:cs="Times New Roman"/>
                <w:lang w:eastAsia="pl-PL"/>
              </w:rPr>
              <w:t>zmienianego</w:t>
            </w:r>
            <w:r w:rsidRPr="007203DE">
              <w:rPr>
                <w:rFonts w:ascii="Times New Roman" w:eastAsia="Times New Roman" w:hAnsi="Times New Roman" w:cs="Times New Roman"/>
                <w:lang w:eastAsia="pl-PL"/>
              </w:rPr>
              <w:t>, tj. termin na dostosowanie przez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7203DE">
              <w:rPr>
                <w:rFonts w:ascii="Times New Roman" w:eastAsia="Times New Roman" w:hAnsi="Times New Roman" w:cs="Times New Roman"/>
                <w:lang w:eastAsia="pl-PL"/>
              </w:rPr>
              <w:t xml:space="preserve">jednostki ochrony zdrowia opracowanych w tych jednostkach procedur szczegółowych do procedur wzorcowych zmienionych 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 xml:space="preserve">przez komisje </w:t>
            </w:r>
            <w:r w:rsidRPr="007203DE">
              <w:rPr>
                <w:rFonts w:ascii="Times New Roman" w:eastAsia="Times New Roman" w:hAnsi="Times New Roman" w:cs="Times New Roman"/>
                <w:lang w:eastAsia="pl-PL"/>
              </w:rPr>
              <w:t>wymaga odpowiedniego przedłużenia</w:t>
            </w:r>
            <w:r w:rsidR="00BF2091">
              <w:rPr>
                <w:rFonts w:ascii="Times New Roman" w:eastAsia="Times New Roman" w:hAnsi="Times New Roman" w:cs="Times New Roman"/>
                <w:lang w:eastAsia="pl-PL"/>
              </w:rPr>
              <w:t>. Proponuje się zachowanie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2091">
              <w:rPr>
                <w:rFonts w:ascii="Times New Roman" w:eastAsia="Times New Roman" w:hAnsi="Times New Roman" w:cs="Times New Roman"/>
                <w:lang w:eastAsia="pl-PL"/>
              </w:rPr>
              <w:t xml:space="preserve">wynikającej z </w:t>
            </w:r>
            <w:r w:rsidRPr="007203DE">
              <w:rPr>
                <w:rFonts w:ascii="Times New Roman" w:eastAsia="Times New Roman" w:hAnsi="Times New Roman" w:cs="Times New Roman"/>
                <w:lang w:eastAsia="pl-PL"/>
              </w:rPr>
              <w:t>dotychczasowych przepisów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 xml:space="preserve"> dostosowujących</w:t>
            </w:r>
            <w:r w:rsidRPr="007203DE">
              <w:rPr>
                <w:rFonts w:ascii="Times New Roman" w:eastAsia="Times New Roman" w:hAnsi="Times New Roman" w:cs="Times New Roman"/>
                <w:lang w:eastAsia="pl-PL"/>
              </w:rPr>
              <w:t xml:space="preserve"> (§</w:t>
            </w:r>
            <w:r w:rsidR="00AF1B3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203DE">
              <w:rPr>
                <w:rFonts w:ascii="Times New Roman" w:eastAsia="Times New Roman" w:hAnsi="Times New Roman" w:cs="Times New Roman"/>
                <w:lang w:eastAsia="pl-PL"/>
              </w:rPr>
              <w:t>5 ust. 1 w związku z</w:t>
            </w:r>
            <w:r w:rsidR="00DD0B6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7203DE">
              <w:rPr>
                <w:rFonts w:ascii="Times New Roman" w:eastAsia="Times New Roman" w:hAnsi="Times New Roman" w:cs="Times New Roman"/>
                <w:lang w:eastAsia="pl-PL"/>
              </w:rPr>
              <w:t xml:space="preserve">ust. 2 rozporządzenia 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 xml:space="preserve">zmienianego) </w:t>
            </w:r>
            <w:r w:rsidR="00BF2091">
              <w:rPr>
                <w:rFonts w:ascii="Times New Roman" w:eastAsia="Times New Roman" w:hAnsi="Times New Roman" w:cs="Times New Roman"/>
                <w:lang w:eastAsia="pl-PL"/>
              </w:rPr>
              <w:t>zasady, aby termin na dostosowanie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F2091">
              <w:rPr>
                <w:rFonts w:ascii="Times New Roman" w:eastAsia="Times New Roman" w:hAnsi="Times New Roman" w:cs="Times New Roman"/>
                <w:lang w:eastAsia="pl-PL"/>
              </w:rPr>
              <w:t>procedur szczegółowych do</w:t>
            </w:r>
            <w:r w:rsidR="00740E0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740E03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BF2091">
              <w:rPr>
                <w:rFonts w:ascii="Times New Roman" w:eastAsia="Times New Roman" w:hAnsi="Times New Roman" w:cs="Times New Roman"/>
                <w:lang w:eastAsia="pl-PL"/>
              </w:rPr>
              <w:t>zmienionych przez komisje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 xml:space="preserve"> – </w:t>
            </w:r>
            <w:r w:rsidR="00BF2091">
              <w:rPr>
                <w:rFonts w:ascii="Times New Roman" w:eastAsia="Times New Roman" w:hAnsi="Times New Roman" w:cs="Times New Roman"/>
                <w:lang w:eastAsia="pl-PL"/>
              </w:rPr>
              <w:t>procedur wzorcowych wynosił 6 miesięcy. W związku z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BF2091">
              <w:rPr>
                <w:rFonts w:ascii="Times New Roman" w:eastAsia="Times New Roman" w:hAnsi="Times New Roman" w:cs="Times New Roman"/>
                <w:lang w:eastAsia="pl-PL"/>
              </w:rPr>
              <w:t>tym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 xml:space="preserve">, w projekcie określa się </w:t>
            </w:r>
            <w:r w:rsidR="00740E03">
              <w:rPr>
                <w:rFonts w:ascii="Times New Roman" w:eastAsia="Times New Roman" w:hAnsi="Times New Roman" w:cs="Times New Roman"/>
                <w:lang w:eastAsia="pl-PL"/>
              </w:rPr>
              <w:t>(§</w:t>
            </w:r>
            <w:r w:rsidR="00AF1B3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40E03">
              <w:rPr>
                <w:rFonts w:ascii="Times New Roman" w:eastAsia="Times New Roman" w:hAnsi="Times New Roman" w:cs="Times New Roman"/>
                <w:lang w:eastAsia="pl-PL"/>
              </w:rPr>
              <w:t>5 ust</w:t>
            </w:r>
            <w:r w:rsidR="00DD0B68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  <w:r w:rsidR="00740E03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AF1B3E">
              <w:rPr>
                <w:rFonts w:ascii="Times New Roman" w:eastAsia="Times New Roman" w:hAnsi="Times New Roman" w:cs="Times New Roman"/>
                <w:lang w:eastAsia="pl-PL"/>
              </w:rPr>
              <w:t xml:space="preserve"> projektu rozporządzenia</w:t>
            </w:r>
            <w:r w:rsidR="00740E03">
              <w:rPr>
                <w:rFonts w:ascii="Times New Roman" w:eastAsia="Times New Roman" w:hAnsi="Times New Roman" w:cs="Times New Roman"/>
                <w:lang w:eastAsia="pl-PL"/>
              </w:rPr>
              <w:t xml:space="preserve">) 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 xml:space="preserve">nowy </w:t>
            </w:r>
            <w:r w:rsidR="00A07AD3">
              <w:rPr>
                <w:rFonts w:ascii="Times New Roman" w:eastAsia="Times New Roman" w:hAnsi="Times New Roman" w:cs="Times New Roman"/>
                <w:lang w:eastAsia="pl-PL"/>
              </w:rPr>
              <w:t>termin na</w:t>
            </w:r>
            <w:r w:rsidR="00740E0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07AD3">
              <w:rPr>
                <w:rFonts w:ascii="Times New Roman" w:eastAsia="Times New Roman" w:hAnsi="Times New Roman" w:cs="Times New Roman"/>
                <w:lang w:eastAsia="pl-PL"/>
              </w:rPr>
              <w:t xml:space="preserve">dostosowanie procedur szczegółowych do </w:t>
            </w:r>
            <w:r w:rsidR="00740E03">
              <w:rPr>
                <w:rFonts w:ascii="Times New Roman" w:eastAsia="Times New Roman" w:hAnsi="Times New Roman" w:cs="Times New Roman"/>
                <w:lang w:eastAsia="pl-PL"/>
              </w:rPr>
              <w:t xml:space="preserve">zmienionych 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 xml:space="preserve">procedur </w:t>
            </w:r>
            <w:r w:rsidR="00740E03">
              <w:rPr>
                <w:rFonts w:ascii="Times New Roman" w:eastAsia="Times New Roman" w:hAnsi="Times New Roman" w:cs="Times New Roman"/>
                <w:lang w:eastAsia="pl-PL"/>
              </w:rPr>
              <w:t>wzorcowych</w:t>
            </w:r>
            <w:r w:rsidR="00DD0B6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>dłuższy o 6 miesięcy w stosunku do terminu określonego w §</w:t>
            </w:r>
            <w:r w:rsidR="00AF1B3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E7002">
              <w:rPr>
                <w:rFonts w:ascii="Times New Roman" w:eastAsia="Times New Roman" w:hAnsi="Times New Roman" w:cs="Times New Roman"/>
                <w:lang w:eastAsia="pl-PL"/>
              </w:rPr>
              <w:t>5 ust. 1.</w:t>
            </w:r>
          </w:p>
        </w:tc>
      </w:tr>
      <w:tr w:rsidR="00394091" w:rsidRPr="00394091" w14:paraId="24630150" w14:textId="77777777" w:rsidTr="006C58E0">
        <w:trPr>
          <w:trHeight w:val="307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58C59EE" w14:textId="77777777" w:rsidR="00394091" w:rsidRPr="00394091" w:rsidRDefault="00394091" w:rsidP="003940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b/>
                <w:szCs w:val="20"/>
                <w:lang w:eastAsia="ar-SA"/>
              </w:rPr>
              <w:t xml:space="preserve">Jak problem został </w:t>
            </w: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>rozwiązany</w:t>
            </w:r>
            <w:r w:rsidRPr="00394091">
              <w:rPr>
                <w:rFonts w:ascii="Times New Roman" w:eastAsia="Calibri" w:hAnsi="Times New Roman" w:cs="Arial"/>
                <w:b/>
                <w:szCs w:val="20"/>
                <w:lang w:eastAsia="ar-SA"/>
              </w:rPr>
              <w:t xml:space="preserve"> w innych krajach, w szczególności krajach członkowskich OECD/UE</w:t>
            </w: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>?</w:t>
            </w:r>
            <w:r w:rsidRPr="00394091">
              <w:rPr>
                <w:rFonts w:ascii="Times New Roman" w:eastAsia="Times New Roman" w:hAnsi="Times New Roman" w:cs="Arial"/>
                <w:sz w:val="24"/>
                <w:szCs w:val="20"/>
                <w:lang w:eastAsia="ar-SA"/>
              </w:rPr>
              <w:t xml:space="preserve"> </w:t>
            </w:r>
          </w:p>
        </w:tc>
      </w:tr>
      <w:tr w:rsidR="00394091" w:rsidRPr="00394091" w14:paraId="5FD65AA3" w14:textId="77777777" w:rsidTr="006C58E0">
        <w:trPr>
          <w:trHeight w:val="1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62BAA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bCs/>
                <w:color w:val="000000"/>
                <w:szCs w:val="20"/>
                <w:lang w:eastAsia="ar-SA"/>
              </w:rPr>
              <w:t>NIEMCY</w:t>
            </w:r>
          </w:p>
          <w:p w14:paraId="0A35C4D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Zgodnie z obowiązującymi przepisami jednostki ochrony zdrowia, w celu ujednolicenia sposobu przeprowadzonych badań oraz ochrony przed promieniowaniem jonizującym, a także uniknięcia popełnienia błędu przy użytkowaniu urządzeń radiologicznych, zobowiązane są do opracowywania instrukcji roboczych, które powinny być sporządzone w formie pisemnej. Powinny one być przygotowane dla każdej pracowni, w której stosuje się promieniowanie jonizujące w celach diagnostycznych i leczniczych oraz być w każdym momencie dostępne do wglądu dla pracowników pracowni. Instrukcje powinny być sformułowane zwięźle i zawierać jedynie aspekty istotne dla każdego badania. Treść tych instrukcji powinna obejmować:</w:t>
            </w:r>
          </w:p>
          <w:p w14:paraId="4BCC5846" w14:textId="77777777" w:rsidR="00394091" w:rsidRPr="00394091" w:rsidRDefault="00394091" w:rsidP="00EA48BD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wskazówki odnośnie kierowania na badania, przygotowania do badania, dokumentacji i zapewnienia jakości, a także możliwe przyczyny błędów i komplikacji; </w:t>
            </w:r>
          </w:p>
          <w:p w14:paraId="796340CE" w14:textId="77777777" w:rsidR="00394091" w:rsidRPr="00394091" w:rsidRDefault="00394091" w:rsidP="00EA48BD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konkretne ustalenia związane z uzasadnieniem wskazania do leczenia oraz wskazówki dotyczące prawidłowego przebiegu badania, wszystkie zmienne parametry techniczne ważne przy ekspozycji na promieniowanie;</w:t>
            </w:r>
          </w:p>
          <w:p w14:paraId="6FBA14B2" w14:textId="77777777" w:rsidR="00394091" w:rsidRPr="00394091" w:rsidRDefault="00394091" w:rsidP="00EA48BD">
            <w:pPr>
              <w:widowControl w:val="0"/>
              <w:numPr>
                <w:ilvl w:val="0"/>
                <w:numId w:val="2"/>
              </w:numPr>
              <w:autoSpaceDE w:val="0"/>
              <w:spacing w:after="0" w:line="276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informacje o narażeniu pacjenta i niezbędnych środkach ochrony przed promieniowaniem jonizującym.</w:t>
            </w:r>
          </w:p>
          <w:p w14:paraId="50B8E63A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Określone zostały również kompetencje personelu medycznego, który jest zaangażowany w procesy diagnostyczno-lecznicze związane z zastosowaniem promieniowania jonizującego. Rolą personelu jest ponadto zaangażowanie w zakresie konsultacji i porad w kwestiach związanych z ochroną przed promieniowaniem w odniesieniu do narażenia medycznego.</w:t>
            </w:r>
          </w:p>
          <w:p w14:paraId="25FD7684" w14:textId="77777777" w:rsidR="00F3067A" w:rsidRDefault="00F3067A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bCs/>
                <w:color w:val="000000"/>
                <w:szCs w:val="20"/>
                <w:lang w:eastAsia="ar-SA"/>
              </w:rPr>
            </w:pPr>
          </w:p>
          <w:p w14:paraId="606518C2" w14:textId="22440195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bCs/>
                <w:color w:val="000000"/>
                <w:szCs w:val="20"/>
                <w:lang w:eastAsia="ar-SA"/>
              </w:rPr>
              <w:t xml:space="preserve">WIELKA BRYTANIA </w:t>
            </w:r>
          </w:p>
          <w:p w14:paraId="2173B494" w14:textId="77777777" w:rsidR="00394091" w:rsidRPr="00394091" w:rsidRDefault="00394091" w:rsidP="00394091">
            <w:pPr>
              <w:spacing w:before="62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940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 xml:space="preserve">Obowiązkiem każdego podmiotu stosującego promieniowanie jonizujące w celach medycznych jest zapewnienie wdrożenia i stosowanie protokołów postępowania związanych z ekspozycją medyczną. Protokoły takie muszą być utworzone dla każdego standardowego wykorzystania promieniowania i każdego urządzenia używanego w związku ze stosowaniem promieniowania jonizującego w celach medycznych. Przepisy określają minimalne wymagania odnośnie zakresu tematycznego, którego powinny dotyczyć procedury przygotowane w formie pisemnej. Są to m.in. prawidłowa identyfikacja osoby, która ma być poddana ekspozycji na promieniowanie jonizujące; identyfikacja osób uprawnionych do prowadzenia działań związanych z udzielaniem świadczeń wykorzystujących promieniowanie jonizujące w celach medycznych; ochrona radiologiczna osób w wieku rozrodczym, które są lub mogą być w ciąży lub karmiących piersią; ocena dawki promieniowania, na którą został eksponowany pacjent; stosowanie referencyjnych poziomów diagnostycznych ustalonych przez podmiot do badań radiodiagnostycznych; zmniejszenie prawdopodobieństwa wystąpienia i liczby przypadkowych lub niezamierzonych </w:t>
            </w:r>
            <w:proofErr w:type="spellStart"/>
            <w:r w:rsidRPr="003940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narażeń</w:t>
            </w:r>
            <w:proofErr w:type="spellEnd"/>
            <w:r w:rsidRPr="003940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pacjentów oraz informowanie o wystąpieniu takich zdarzeń.</w:t>
            </w:r>
          </w:p>
          <w:p w14:paraId="6EE34D08" w14:textId="77777777" w:rsidR="00394091" w:rsidRPr="00394091" w:rsidRDefault="00394091" w:rsidP="00394091">
            <w:pPr>
              <w:spacing w:before="240" w:beforeAutospacing="1" w:after="0" w:afterAutospacing="1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40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Przepisy wymagają od świadczeniodawcy opracowania pisemnych protokołów dla standardowych praktyk radiologicznych, zaleceń dotyczących kryteriów skierowania, programów zapewniania jakości standardowych procedur operacyjnych, referencyjnych poziomów diagnostycznych i ograniczeń dawki promieniowania, przeprowadzania badań incydentów oraz prowadzenia audytów.</w:t>
            </w:r>
          </w:p>
          <w:p w14:paraId="210F1FBF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bCs/>
                <w:color w:val="000000"/>
                <w:szCs w:val="20"/>
                <w:lang w:eastAsia="ar-SA"/>
              </w:rPr>
              <w:t>FRANCJA</w:t>
            </w:r>
          </w:p>
          <w:p w14:paraId="5C41B555" w14:textId="77777777" w:rsidR="00394091" w:rsidRPr="00394091" w:rsidRDefault="00394091" w:rsidP="00394091">
            <w:pPr>
              <w:spacing w:before="62" w:beforeAutospacing="1" w:after="0" w:afterAutospacing="1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pl-PL"/>
              </w:rPr>
            </w:pPr>
            <w:bookmarkStart w:id="3" w:name="result_box111"/>
            <w:bookmarkStart w:id="4" w:name="result_box11"/>
            <w:bookmarkEnd w:id="3"/>
            <w:bookmarkEnd w:id="4"/>
            <w:r w:rsidRPr="00394091">
              <w:rPr>
                <w:rFonts w:ascii="Times New Roman" w:eastAsia="Times New Roman" w:hAnsi="Times New Roman" w:cs="Times New Roman"/>
                <w:lang w:eastAsia="pl-PL"/>
              </w:rPr>
              <w:t xml:space="preserve">Organ </w:t>
            </w:r>
            <w:proofErr w:type="spellStart"/>
            <w:r w:rsidRPr="00394091">
              <w:rPr>
                <w:rFonts w:ascii="Times New Roman" w:eastAsia="Times New Roman" w:hAnsi="Times New Roman" w:cs="Times New Roman"/>
                <w:lang w:eastAsia="pl-PL"/>
              </w:rPr>
              <w:t>Haute</w:t>
            </w:r>
            <w:proofErr w:type="spellEnd"/>
            <w:r w:rsidRPr="003940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94091">
              <w:rPr>
                <w:rFonts w:ascii="Times New Roman" w:eastAsia="Times New Roman" w:hAnsi="Times New Roman" w:cs="Times New Roman"/>
                <w:lang w:eastAsia="pl-PL"/>
              </w:rPr>
              <w:t>Autorité</w:t>
            </w:r>
            <w:proofErr w:type="spellEnd"/>
            <w:r w:rsidRPr="00394091">
              <w:rPr>
                <w:rFonts w:ascii="Times New Roman" w:eastAsia="Times New Roman" w:hAnsi="Times New Roman" w:cs="Times New Roman"/>
                <w:lang w:eastAsia="pl-PL"/>
              </w:rPr>
              <w:t xml:space="preserve"> de </w:t>
            </w:r>
            <w:proofErr w:type="spellStart"/>
            <w:r w:rsidRPr="00394091">
              <w:rPr>
                <w:rFonts w:ascii="Times New Roman" w:eastAsia="Times New Roman" w:hAnsi="Times New Roman" w:cs="Times New Roman"/>
                <w:lang w:eastAsia="pl-PL"/>
              </w:rPr>
              <w:t>Santé</w:t>
            </w:r>
            <w:proofErr w:type="spellEnd"/>
            <w:r w:rsidRPr="00394091">
              <w:rPr>
                <w:rFonts w:ascii="Times New Roman" w:eastAsia="Times New Roman" w:hAnsi="Times New Roman" w:cs="Times New Roman"/>
                <w:lang w:eastAsia="pl-PL"/>
              </w:rPr>
              <w:t xml:space="preserve"> jest odpowiedzialny za tworzenie, wspólnie z właściwymi organizacjami profesjonalistów, narzędzi służących zapewnianiu odpowiedniej jakości świadczeń medycznych. Zostały opublikowane zalecenia dotyczące wskazań i procedur badań radiologicznych w stomatologii. Ponadto opracowano procedury dla najbardziej powszechnych badań radiologicznych. Uwzględniono specjalne środki ostrożności stosowane w odniesieniu do osób w ciąży, karmiących piersią, dzieci, poziomy referencyjne oraz zalecenia odnośnie redukcji dawki promieniowania. Procedury te są dostępne w Internecie na stronie Francuskiego Towarzystwa Radiologicznego (</w:t>
            </w:r>
            <w:proofErr w:type="spellStart"/>
            <w:r w:rsidRPr="00394091">
              <w:rPr>
                <w:rFonts w:ascii="Times New Roman" w:eastAsia="Times New Roman" w:hAnsi="Times New Roman" w:cs="Times New Roman"/>
                <w:lang w:eastAsia="pl-PL"/>
              </w:rPr>
              <w:t>Société</w:t>
            </w:r>
            <w:proofErr w:type="spellEnd"/>
            <w:r w:rsidRPr="0039409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394091">
              <w:rPr>
                <w:rFonts w:ascii="Times New Roman" w:eastAsia="Times New Roman" w:hAnsi="Times New Roman" w:cs="Times New Roman"/>
                <w:lang w:eastAsia="pl-PL"/>
              </w:rPr>
              <w:t>Française</w:t>
            </w:r>
            <w:proofErr w:type="spellEnd"/>
            <w:r w:rsidRPr="00394091">
              <w:rPr>
                <w:rFonts w:ascii="Times New Roman" w:eastAsia="Times New Roman" w:hAnsi="Times New Roman" w:cs="Times New Roman"/>
                <w:lang w:eastAsia="pl-PL"/>
              </w:rPr>
              <w:t xml:space="preserve"> de Radiologie). Ogólną zasadą jest, że protokoły</w:t>
            </w:r>
            <w:r w:rsidRPr="0039409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postępowania powinny mieć formę pisemną dla każdego urządzenia radiologicznego. Powinny one być dostępne dla pracownika w każdej chwili i znajdować się w pobliżu danego urządzenia radiologicznego.</w:t>
            </w:r>
          </w:p>
        </w:tc>
      </w:tr>
      <w:tr w:rsidR="00394091" w:rsidRPr="00394091" w14:paraId="2AE46614" w14:textId="77777777" w:rsidTr="006C58E0">
        <w:trPr>
          <w:trHeight w:val="359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D601A79" w14:textId="77777777" w:rsidR="00394091" w:rsidRPr="00394091" w:rsidRDefault="00394091" w:rsidP="00394091">
            <w:pPr>
              <w:widowControl w:val="0"/>
              <w:autoSpaceDE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lastRenderedPageBreak/>
              <w:t>Podmioty, na które oddziałuje projekt</w:t>
            </w:r>
          </w:p>
        </w:tc>
      </w:tr>
      <w:tr w:rsidR="00394091" w:rsidRPr="00394091" w14:paraId="1EFA7F81" w14:textId="77777777" w:rsidTr="00F3067A">
        <w:trPr>
          <w:trHeight w:val="468"/>
        </w:trPr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CEA1B" w14:textId="77777777" w:rsidR="00394091" w:rsidRPr="00394091" w:rsidRDefault="00394091" w:rsidP="00EA48BD">
            <w:pPr>
              <w:autoSpaceDE w:val="0"/>
              <w:spacing w:before="60"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Grupa</w:t>
            </w:r>
          </w:p>
        </w:tc>
        <w:tc>
          <w:tcPr>
            <w:tcW w:w="2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DC34F" w14:textId="77777777" w:rsidR="00394091" w:rsidRPr="00394091" w:rsidRDefault="00394091" w:rsidP="00EA48BD">
            <w:pPr>
              <w:autoSpaceDE w:val="0"/>
              <w:spacing w:before="60" w:after="6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Wielkość</w:t>
            </w:r>
          </w:p>
        </w:tc>
        <w:tc>
          <w:tcPr>
            <w:tcW w:w="2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A7BB3" w14:textId="331527DF" w:rsidR="00394091" w:rsidRPr="00394091" w:rsidRDefault="00394091" w:rsidP="00EA48BD">
            <w:pPr>
              <w:autoSpaceDE w:val="0"/>
              <w:spacing w:before="60"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Źródło danych</w:t>
            </w:r>
          </w:p>
        </w:tc>
        <w:tc>
          <w:tcPr>
            <w:tcW w:w="2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5F3E" w14:textId="77777777" w:rsidR="00394091" w:rsidRPr="00394091" w:rsidRDefault="00394091" w:rsidP="00EA48BD">
            <w:pPr>
              <w:autoSpaceDE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Oddziaływanie</w:t>
            </w:r>
          </w:p>
        </w:tc>
      </w:tr>
      <w:tr w:rsidR="00394091" w:rsidRPr="00394091" w14:paraId="080427E1" w14:textId="77777777" w:rsidTr="006C58E0">
        <w:trPr>
          <w:trHeight w:val="142"/>
        </w:trPr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A3143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Komisje do spraw procedur i audytów klinicznych zewnętrznych</w:t>
            </w:r>
          </w:p>
        </w:tc>
        <w:tc>
          <w:tcPr>
            <w:tcW w:w="2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09010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3</w:t>
            </w:r>
          </w:p>
        </w:tc>
        <w:tc>
          <w:tcPr>
            <w:tcW w:w="2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37C8C" w14:textId="3005F67F" w:rsidR="00394091" w:rsidRPr="00394091" w:rsidRDefault="00B32A4D" w:rsidP="00394091">
            <w:pPr>
              <w:autoSpaceDE w:val="0"/>
              <w:spacing w:before="60"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u</w:t>
            </w:r>
            <w:r w:rsidR="00394091"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stawa </w:t>
            </w:r>
            <w:r w:rsidR="00394091"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 xml:space="preserve">z dnia 29 listopada 2000 r. </w:t>
            </w:r>
            <w:r w:rsidR="00394091"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– Prawo atomowe</w:t>
            </w:r>
          </w:p>
        </w:tc>
        <w:tc>
          <w:tcPr>
            <w:tcW w:w="2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4794" w14:textId="55B8618C" w:rsidR="00F3067A" w:rsidRDefault="0009336E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W</w:t>
            </w:r>
            <w:r w:rsidR="0001090C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ydłuż</w:t>
            </w: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enie</w:t>
            </w:r>
            <w:r w:rsidR="0001090C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</w:t>
            </w:r>
            <w:r w:rsidR="00F3067A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termin</w:t>
            </w: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u</w:t>
            </w:r>
            <w:r w:rsidR="00F3067A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do dostosowania obowiązujących procedur wzorcowych do wymagań rozporządzenia zmienianego</w:t>
            </w:r>
            <w:r w:rsidR="00B32A4D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.</w:t>
            </w:r>
            <w:r w:rsidR="00F3067A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</w:t>
            </w:r>
          </w:p>
          <w:p w14:paraId="502DCC51" w14:textId="32490724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4091" w:rsidRPr="00394091" w14:paraId="61D23FB6" w14:textId="77777777" w:rsidTr="006C58E0">
        <w:trPr>
          <w:trHeight w:val="142"/>
        </w:trPr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9E29" w14:textId="77777777" w:rsidR="00394091" w:rsidRPr="00394091" w:rsidRDefault="00394091" w:rsidP="00394091">
            <w:pPr>
              <w:keepNext/>
              <w:keepLines/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Jednostki ochrony zdrowia stosujące promieniowanie jonizujące w celach medycznych </w:t>
            </w:r>
          </w:p>
        </w:tc>
        <w:tc>
          <w:tcPr>
            <w:tcW w:w="20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3FF1" w14:textId="77777777" w:rsidR="00394091" w:rsidRPr="00394091" w:rsidRDefault="00394091" w:rsidP="00394091">
            <w:pPr>
              <w:keepNext/>
              <w:keepLines/>
              <w:autoSpaceDE w:val="0"/>
              <w:spacing w:before="60"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ok. </w:t>
            </w:r>
            <w:r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 xml:space="preserve">23 </w:t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tys.</w:t>
            </w:r>
          </w:p>
        </w:tc>
        <w:tc>
          <w:tcPr>
            <w:tcW w:w="26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BF178" w14:textId="7EC649C3" w:rsidR="00394091" w:rsidRPr="00394091" w:rsidRDefault="00394091" w:rsidP="00394091">
            <w:pPr>
              <w:keepNext/>
              <w:keepLines/>
              <w:autoSpaceDE w:val="0"/>
              <w:spacing w:before="60"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Dane Krajowego Centrum Ochrony Radiologicznej w</w:t>
            </w:r>
            <w:r w:rsid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 </w:t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Ochronie Zdrowia</w:t>
            </w:r>
          </w:p>
        </w:tc>
        <w:tc>
          <w:tcPr>
            <w:tcW w:w="2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B582C" w14:textId="3F0F34DB" w:rsidR="00394091" w:rsidRPr="00F3067A" w:rsidRDefault="0009336E" w:rsidP="00394091">
            <w:pPr>
              <w:keepNext/>
              <w:keepLines/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Wydłużenie</w:t>
            </w:r>
            <w:r w:rsidR="00960BDE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</w:t>
            </w:r>
            <w:r w:rsidR="00F3067A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termin</w:t>
            </w: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u</w:t>
            </w:r>
            <w:r w:rsidR="00F3067A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do dostosowania stosowanych w tych jednostkach procedur szczegółowych do procedur wzorcowych zmienionych przez komisje do spraw procedur i audytów klinicznych zewnętrznych</w:t>
            </w: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.</w:t>
            </w:r>
            <w:r w:rsidR="00F3067A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</w:t>
            </w:r>
          </w:p>
        </w:tc>
      </w:tr>
      <w:tr w:rsidR="00394091" w:rsidRPr="00394091" w14:paraId="7902F3FC" w14:textId="77777777" w:rsidTr="006C58E0">
        <w:trPr>
          <w:trHeight w:val="30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59E31E01" w14:textId="77777777" w:rsidR="00394091" w:rsidRPr="00394091" w:rsidRDefault="00394091" w:rsidP="00394091">
            <w:pPr>
              <w:widowControl w:val="0"/>
              <w:autoSpaceDE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>Informacje na temat zakresu, czasu trwania i podsumowanie wyników konsultacji</w:t>
            </w:r>
          </w:p>
        </w:tc>
      </w:tr>
      <w:tr w:rsidR="00394091" w:rsidRPr="00394091" w14:paraId="446A3413" w14:textId="77777777" w:rsidTr="006C58E0">
        <w:trPr>
          <w:trHeight w:val="3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FBB49" w14:textId="6349A6BE" w:rsidR="00394091" w:rsidRPr="00D035BA" w:rsidRDefault="0010604D" w:rsidP="003016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lastRenderedPageBreak/>
              <w:t xml:space="preserve">Z uwagi na zmianę </w:t>
            </w:r>
            <w:r w:rsidR="00237C1B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 xml:space="preserve">ograniczającą się wyłącznie do wydłużenia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 xml:space="preserve">okresu </w:t>
            </w:r>
            <w:r w:rsidR="002F47F1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dostosowa</w:t>
            </w:r>
            <w:r w:rsidR="00F13A9C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wczego</w:t>
            </w:r>
            <w:r w:rsidR="002F47F1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 xml:space="preserve"> </w:t>
            </w:r>
            <w:r w:rsidR="00F13A9C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 xml:space="preserve"> dla</w:t>
            </w:r>
            <w:r w:rsidR="007037CD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 xml:space="preserve"> </w:t>
            </w:r>
            <w:r w:rsidR="002F47F1" w:rsidRPr="002F47F1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komisj</w:t>
            </w:r>
            <w:r w:rsidR="00F13A9C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i</w:t>
            </w:r>
            <w:r w:rsidR="002F47F1" w:rsidRPr="002F47F1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 xml:space="preserve"> do spraw procedur i audytów klinicznych zewnętrznych oraz jednost</w:t>
            </w:r>
            <w:r w:rsidR="00F13A9C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e</w:t>
            </w:r>
            <w:r w:rsidR="002F47F1" w:rsidRPr="002F47F1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k ochrony zdrowia stosujący</w:t>
            </w:r>
            <w:r w:rsidR="00F13A9C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ch</w:t>
            </w:r>
            <w:r w:rsidR="002F47F1" w:rsidRPr="002F47F1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 xml:space="preserve"> promieniowanie jonizujące dotychczas obowiązujących wzorowych medycznych procedur radiologicznych dla standardowych ekspozycji medycznych oraz medycznych procedur radiologicznych opracowanych w jednostkach ochrony zdrowia</w:t>
            </w:r>
            <w:r w:rsidR="00DF10F7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 xml:space="preserve"> </w:t>
            </w:r>
            <w:r w:rsidR="002C6C9A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zdecydowano o</w:t>
            </w:r>
            <w:r w:rsidR="00B11B78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 xml:space="preserve"> odstąpieniu od</w:t>
            </w:r>
            <w:r w:rsidR="00D035BA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 xml:space="preserve"> </w:t>
            </w:r>
            <w:r w:rsidR="00B11B78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 xml:space="preserve">przekazania projektu do </w:t>
            </w:r>
            <w:r w:rsidR="00D035BA" w:rsidRPr="00D035BA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konsultacj</w:t>
            </w:r>
            <w:r w:rsidR="00B11B78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i</w:t>
            </w:r>
            <w:r w:rsidR="00D035BA" w:rsidRPr="00D035BA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 xml:space="preserve"> publiczn</w:t>
            </w:r>
            <w:r w:rsidR="00B11B78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ych</w:t>
            </w:r>
            <w:r w:rsidR="00D035BA" w:rsidRPr="00D035BA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 xml:space="preserve"> i</w:t>
            </w:r>
            <w:r w:rsidR="00B11B78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 </w:t>
            </w:r>
            <w:r w:rsidR="00D035BA" w:rsidRPr="00D035BA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opiniowani</w:t>
            </w:r>
            <w:r w:rsidR="00B11B78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a</w:t>
            </w:r>
            <w:r w:rsidR="00D035BA">
              <w:rPr>
                <w:rFonts w:ascii="Times New Roman" w:eastAsia="Times New Roman" w:hAnsi="Times New Roman" w:cs="Times New Roman"/>
                <w:color w:val="000000"/>
                <w:spacing w:val="-2"/>
                <w:lang w:eastAsia="pl-PL"/>
              </w:rPr>
              <w:t>.</w:t>
            </w:r>
          </w:p>
          <w:p w14:paraId="5DE74775" w14:textId="77777777" w:rsidR="00D80EAE" w:rsidRDefault="00D80EAE" w:rsidP="00D80EAE">
            <w:pPr>
              <w:spacing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Projekt rozporządzenia został udostępniony w Biuletynie Informacji Publicznej Ministerstwa Zdrowia, zgodnie z art. 5 ustawy z dnia 7 lipca 2005 r. o działalności lobbingowej w procesie stanowienia prawa (Dz. U. z 2017 r. poz. 248), oraz w Biuletynie Informacji Publicznej Rządowego Centrum Legislacji, zgodnie z § 52 uchwały nr 190 Rady Ministrów z dnia 29 października 2013 r. – Regulamin pracy Rady Ministrów (M.P. z 2022 r. poz. 348). </w:t>
            </w:r>
          </w:p>
          <w:p w14:paraId="5DCE0A33" w14:textId="06CF5578" w:rsidR="00394091" w:rsidRPr="00394091" w:rsidRDefault="00394091" w:rsidP="00394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4091" w:rsidRPr="00394091" w14:paraId="2D8625ED" w14:textId="77777777" w:rsidTr="006C58E0">
        <w:trPr>
          <w:trHeight w:val="363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95C85CF" w14:textId="77777777" w:rsidR="00394091" w:rsidRPr="00394091" w:rsidRDefault="00394091" w:rsidP="00394091">
            <w:pPr>
              <w:widowControl w:val="0"/>
              <w:autoSpaceDE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>Wpływ na sektor finansów publicznych</w:t>
            </w:r>
          </w:p>
        </w:tc>
      </w:tr>
      <w:tr w:rsidR="00394091" w:rsidRPr="00394091" w14:paraId="6253B06C" w14:textId="77777777" w:rsidTr="006C58E0">
        <w:trPr>
          <w:trHeight w:val="142"/>
        </w:trPr>
        <w:tc>
          <w:tcPr>
            <w:tcW w:w="26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69B2C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(ceny stałe z … r.)</w:t>
            </w:r>
          </w:p>
        </w:tc>
        <w:tc>
          <w:tcPr>
            <w:tcW w:w="700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BCF7D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Skutki w okresie 10 lat od wejścia w życie zmian [mln zł]</w:t>
            </w:r>
          </w:p>
        </w:tc>
      </w:tr>
      <w:tr w:rsidR="00394091" w:rsidRPr="00394091" w14:paraId="033C7DB7" w14:textId="77777777" w:rsidTr="006C58E0">
        <w:trPr>
          <w:trHeight w:val="142"/>
        </w:trPr>
        <w:tc>
          <w:tcPr>
            <w:tcW w:w="26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A3FA0C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i/>
                <w:color w:val="000000"/>
                <w:szCs w:val="20"/>
                <w:lang w:eastAsia="ar-S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BC7DE5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36845F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1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81039C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2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743C01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3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2EE560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228D1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5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8C411E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6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AADC7C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7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970E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8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CDA231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D3FBD5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0DF8A" w14:textId="77777777" w:rsidR="00394091" w:rsidRPr="00394091" w:rsidRDefault="00394091" w:rsidP="00394091">
            <w:pPr>
              <w:autoSpaceDE w:val="0"/>
              <w:spacing w:before="60" w:after="0" w:line="240" w:lineRule="auto"/>
              <w:ind w:left="-76"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Łącznie (0–10)</w:t>
            </w:r>
          </w:p>
        </w:tc>
      </w:tr>
      <w:tr w:rsidR="00394091" w:rsidRPr="00394091" w14:paraId="05D9744C" w14:textId="77777777" w:rsidTr="006C58E0">
        <w:trPr>
          <w:trHeight w:val="321"/>
        </w:trPr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AF7B05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>Dochody ogółem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0F48B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661D9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8982F8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723385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F3D79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5621BA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589D15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8F1788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867B46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33EF1F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691EB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9D7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</w:tr>
      <w:tr w:rsidR="00394091" w:rsidRPr="00394091" w14:paraId="4863463E" w14:textId="77777777" w:rsidTr="006C58E0">
        <w:trPr>
          <w:trHeight w:val="321"/>
        </w:trPr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4F3B04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budżet państwa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97ACC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CCC54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B859D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5B0696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1889F9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71FB5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C4D376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12405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FF989A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8E1C0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D6B280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AD6E7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</w:tr>
      <w:tr w:rsidR="00394091" w:rsidRPr="00394091" w14:paraId="1EDA8764" w14:textId="77777777" w:rsidTr="006C58E0">
        <w:trPr>
          <w:trHeight w:val="344"/>
        </w:trPr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8A88C6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JST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ADDC0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DE2EE3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B9A577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0D886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364D13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37CF8E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226BF5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9442AA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CE3121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3F6966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BB408D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83A8A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</w:tr>
      <w:tr w:rsidR="00394091" w:rsidRPr="00394091" w14:paraId="26848197" w14:textId="77777777" w:rsidTr="006C58E0">
        <w:trPr>
          <w:trHeight w:val="344"/>
        </w:trPr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88D734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pozostałe jednostki (oddzielnie)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B4B17E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A132E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8E8E78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C8BBA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893B67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B8E0A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8EE818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6AA59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5EF5D5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9C8C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7DF9E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A9721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</w:tr>
      <w:tr w:rsidR="00394091" w:rsidRPr="00394091" w14:paraId="5A6D2CE4" w14:textId="77777777" w:rsidTr="006C58E0">
        <w:trPr>
          <w:trHeight w:val="330"/>
        </w:trPr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6C44F6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>Wydatki ogółem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9E79AC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AE68F7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FDAF63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3E32C6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E862F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DE920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946E3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55B1EA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9727D1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F2D2E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D516A7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2CF7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</w:tr>
      <w:tr w:rsidR="00394091" w:rsidRPr="00394091" w14:paraId="489C33CD" w14:textId="77777777" w:rsidTr="006C58E0">
        <w:trPr>
          <w:trHeight w:val="330"/>
        </w:trPr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6016EC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budżet państwa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5C2B6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F92BA9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0CE32A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7383F9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AA667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EE60B6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00EECD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D5E94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63AC46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D4E4F5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03138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CFD3E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</w:tr>
      <w:tr w:rsidR="00394091" w:rsidRPr="00394091" w14:paraId="112E31CC" w14:textId="77777777" w:rsidTr="006C58E0">
        <w:trPr>
          <w:trHeight w:val="351"/>
        </w:trPr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7C181D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JST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B5E5CE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3DDE70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8B36EC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C6B31A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D1F590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C67EBC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8E1F0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00A6E7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0FC95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AC6EF1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28E6F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0B220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</w:tr>
      <w:tr w:rsidR="00394091" w:rsidRPr="00394091" w14:paraId="24FC8A67" w14:textId="77777777" w:rsidTr="006C58E0">
        <w:trPr>
          <w:trHeight w:val="351"/>
        </w:trPr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390D1E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pozostałe jednostki (oddzielnie)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B8FF9C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32B0A1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AEE9BA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496B3A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A33DB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82ED9F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E2C55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B8F5D1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BB25A6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A01928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F21B26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8785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</w:tr>
      <w:tr w:rsidR="00394091" w:rsidRPr="00394091" w14:paraId="7B24845A" w14:textId="77777777" w:rsidTr="006C58E0">
        <w:trPr>
          <w:trHeight w:val="360"/>
        </w:trPr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565622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>Saldo ogółem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32F91F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8BD887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FE8AB5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1C2F86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8057E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D7762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DBDB8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80C5F1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36A5D6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84E32E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0C066C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F253E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</w:tr>
      <w:tr w:rsidR="00394091" w:rsidRPr="00394091" w14:paraId="5B058996" w14:textId="77777777" w:rsidTr="006C58E0">
        <w:trPr>
          <w:trHeight w:val="360"/>
        </w:trPr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F65FD0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budżet państwa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C696C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3904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121BC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BF900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046EDA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1D632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72532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C0DCD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DA522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DA1F8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8B62BD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57B69D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</w:tr>
      <w:tr w:rsidR="00394091" w:rsidRPr="00394091" w14:paraId="4CD1F476" w14:textId="77777777" w:rsidTr="006C58E0">
        <w:trPr>
          <w:trHeight w:val="357"/>
        </w:trPr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7C368D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JST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45B11C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A882F8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B5516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0129DF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02C1A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989DFD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F1C3C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EFC2F1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166CBF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56A30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B8C32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425F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</w:tr>
      <w:tr w:rsidR="00394091" w:rsidRPr="00394091" w14:paraId="52FDC21E" w14:textId="77777777" w:rsidTr="006C58E0">
        <w:trPr>
          <w:trHeight w:val="357"/>
        </w:trPr>
        <w:tc>
          <w:tcPr>
            <w:tcW w:w="2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9C2A76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pozostałe jednostki (oddzielnie)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15B14E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3FDF4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51D0E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186466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D06D61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0F14A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356F8F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5AC51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B0AAC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501E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660FE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3CFF6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</w:tr>
      <w:tr w:rsidR="00394091" w:rsidRPr="00394091" w14:paraId="77076671" w14:textId="77777777" w:rsidTr="006C58E0">
        <w:trPr>
          <w:trHeight w:val="348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0CEA1D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Źródła finansowania </w:t>
            </w:r>
          </w:p>
        </w:tc>
        <w:tc>
          <w:tcPr>
            <w:tcW w:w="77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E517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Nie dotyczy.</w:t>
            </w:r>
          </w:p>
        </w:tc>
      </w:tr>
      <w:tr w:rsidR="00394091" w:rsidRPr="00394091" w14:paraId="6616E499" w14:textId="77777777" w:rsidTr="00894ACE">
        <w:trPr>
          <w:trHeight w:val="1674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F1E9B2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Times New Roman" w:hAnsi="Times New Roman" w:cs="Arial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Dodatkowe informacje, w tym wskazanie źródeł danych i przyjętych do obliczeń założeń</w:t>
            </w:r>
          </w:p>
        </w:tc>
        <w:tc>
          <w:tcPr>
            <w:tcW w:w="77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F3A30" w14:textId="77777777" w:rsidR="00394091" w:rsidRPr="00394091" w:rsidRDefault="00394091" w:rsidP="00394091">
            <w:pPr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Arial"/>
                <w:lang w:eastAsia="ar-SA"/>
              </w:rPr>
            </w:pPr>
            <w:r w:rsidRPr="00394091">
              <w:rPr>
                <w:rFonts w:ascii="Times New Roman" w:eastAsia="Times New Roman" w:hAnsi="Times New Roman" w:cs="Arial"/>
                <w:lang w:eastAsia="ar-SA"/>
              </w:rPr>
              <w:t>Projekt rozporządzenia nie ma wpływu na sektor finansów publicznych.</w:t>
            </w:r>
          </w:p>
          <w:p w14:paraId="3F882C43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4091" w:rsidRPr="00394091" w14:paraId="73D8EE8A" w14:textId="77777777" w:rsidTr="006C58E0">
        <w:trPr>
          <w:trHeight w:val="345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174CAEC1" w14:textId="77777777" w:rsidR="00394091" w:rsidRPr="00394091" w:rsidRDefault="00394091" w:rsidP="0039409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 xml:space="preserve">Wpływ na konkurencyjność gospodarki i przedsiębiorczość, w tym funkcjonowanie przedsiębiorców oraz na rodzinę, obywateli i gospodarstwa domowe </w:t>
            </w:r>
          </w:p>
        </w:tc>
      </w:tr>
      <w:tr w:rsidR="00394091" w:rsidRPr="00394091" w14:paraId="2105791A" w14:textId="77777777" w:rsidTr="006C58E0">
        <w:trPr>
          <w:trHeight w:val="1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40876" w14:textId="77777777" w:rsidR="00394091" w:rsidRPr="00394091" w:rsidRDefault="00394091" w:rsidP="00394091">
            <w:pPr>
              <w:autoSpaceDE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Skutki</w:t>
            </w:r>
          </w:p>
        </w:tc>
      </w:tr>
      <w:tr w:rsidR="00394091" w:rsidRPr="00394091" w14:paraId="65624A60" w14:textId="77777777" w:rsidTr="00894ACE">
        <w:trPr>
          <w:trHeight w:val="142"/>
        </w:trPr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0392F0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Czas w latach od wejścia w życie zmian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8FFBE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0</w:t>
            </w: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7EDD9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1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9C5ECC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2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ED7E18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3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B2B38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85EEA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10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0E79E" w14:textId="77777777" w:rsidR="00394091" w:rsidRPr="00394091" w:rsidRDefault="00394091" w:rsidP="00394091">
            <w:pPr>
              <w:autoSpaceDE w:val="0"/>
              <w:spacing w:before="60" w:after="0" w:line="240" w:lineRule="auto"/>
              <w:ind w:left="-88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Łącznie (0–10)</w:t>
            </w:r>
          </w:p>
        </w:tc>
      </w:tr>
      <w:tr w:rsidR="00394091" w:rsidRPr="00394091" w14:paraId="7E671782" w14:textId="77777777" w:rsidTr="00894ACE">
        <w:trPr>
          <w:trHeight w:val="14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CC24A3" w14:textId="77777777" w:rsidR="00394091" w:rsidRPr="00394091" w:rsidRDefault="00394091" w:rsidP="00394091">
            <w:pPr>
              <w:autoSpaceDE w:val="0"/>
              <w:spacing w:after="0" w:line="240" w:lineRule="auto"/>
              <w:rPr>
                <w:rFonts w:ascii="Times New Roman" w:eastAsia="Calibri" w:hAnsi="Times New Roman" w:cs="Arial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W ujęciu pieniężnym</w:t>
            </w:r>
          </w:p>
          <w:p w14:paraId="60A639EF" w14:textId="77777777" w:rsidR="00394091" w:rsidRPr="00394091" w:rsidRDefault="00394091" w:rsidP="00394091">
            <w:pPr>
              <w:autoSpaceDE w:val="0"/>
              <w:spacing w:after="0" w:line="240" w:lineRule="auto"/>
              <w:rPr>
                <w:rFonts w:ascii="Times New Roman" w:eastAsia="Calibri" w:hAnsi="Times New Roman" w:cs="Arial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lastRenderedPageBreak/>
              <w:t xml:space="preserve">(w mln zł, </w:t>
            </w:r>
          </w:p>
          <w:p w14:paraId="640972EB" w14:textId="77777777" w:rsidR="00394091" w:rsidRPr="00394091" w:rsidRDefault="00394091" w:rsidP="00394091">
            <w:pPr>
              <w:autoSpaceDE w:val="0"/>
              <w:spacing w:after="0" w:line="240" w:lineRule="auto"/>
              <w:rPr>
                <w:rFonts w:ascii="Times New Roman" w:eastAsia="Calibri" w:hAnsi="Times New Roman" w:cs="Arial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>ceny stałe</w:t>
            </w:r>
          </w:p>
          <w:p w14:paraId="598A8D31" w14:textId="77777777" w:rsidR="00394091" w:rsidRPr="00394091" w:rsidRDefault="00394091" w:rsidP="00394091">
            <w:pPr>
              <w:autoSpaceDE w:val="0"/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>z … r.)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577940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lastRenderedPageBreak/>
              <w:t>duże przedsiębiorstwa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D36E08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310451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7F8858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E679E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9F575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A7A45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9111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</w:tr>
      <w:tr w:rsidR="00394091" w:rsidRPr="00394091" w14:paraId="6220A5B7" w14:textId="77777777" w:rsidTr="00894ACE">
        <w:trPr>
          <w:trHeight w:val="14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DCA5D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49409B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sektor mikro-, małych i średnich przedsiębiorstw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404695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E0BEE2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07CE94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8CBB96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054FB2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CF3037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96B93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</w:tr>
      <w:tr w:rsidR="00394091" w:rsidRPr="00394091" w14:paraId="50E8BE06" w14:textId="77777777" w:rsidTr="00894ACE">
        <w:trPr>
          <w:trHeight w:val="142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8249FB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5CD642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</w:pPr>
            <w:r w:rsidRPr="0039409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rodzina, obywatele oraz gospodarstwa domowe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948509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C062B1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96F187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BC779F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45F5B7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F03722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00265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</w:tr>
      <w:tr w:rsidR="0001090C" w:rsidRPr="00394091" w14:paraId="0B3AF38F" w14:textId="77777777" w:rsidTr="00894ACE">
        <w:trPr>
          <w:trHeight w:val="14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BCEC426" w14:textId="77777777" w:rsidR="0001090C" w:rsidRPr="00394091" w:rsidRDefault="0001090C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W ujęciu niepieniężnym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47A2B9" w14:textId="77777777" w:rsidR="0001090C" w:rsidRPr="00394091" w:rsidRDefault="0001090C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duże przedsiębiorstwa</w:t>
            </w:r>
          </w:p>
        </w:tc>
        <w:tc>
          <w:tcPr>
            <w:tcW w:w="606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6088" w14:textId="27EB4B0D" w:rsidR="0001090C" w:rsidRPr="00394091" w:rsidRDefault="0001090C" w:rsidP="00394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94091">
              <w:rPr>
                <w:rFonts w:ascii="Times New Roman" w:eastAsia="Times New Roman" w:hAnsi="Times New Roman" w:cs="Times New Roman"/>
                <w:lang w:eastAsia="pl-PL"/>
              </w:rPr>
              <w:t>Brak wpływu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3B962CA1" w14:textId="77777777" w:rsidR="0001090C" w:rsidRPr="00394091" w:rsidRDefault="0001090C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</w:tr>
      <w:tr w:rsidR="0001090C" w:rsidRPr="00394091" w14:paraId="5A28053B" w14:textId="77777777" w:rsidTr="00894ACE">
        <w:trPr>
          <w:trHeight w:val="142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F9E6AF8" w14:textId="77777777" w:rsidR="0001090C" w:rsidRPr="00394091" w:rsidRDefault="0001090C" w:rsidP="00394091">
            <w:pPr>
              <w:autoSpaceDE w:val="0"/>
              <w:snapToGrid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7AAAE0" w14:textId="77777777" w:rsidR="0001090C" w:rsidRPr="00394091" w:rsidRDefault="0001090C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sektor mikro-, małych i średnich przedsiębiorstw</w:t>
            </w:r>
          </w:p>
        </w:tc>
        <w:tc>
          <w:tcPr>
            <w:tcW w:w="606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A13BE" w14:textId="6585AA25" w:rsidR="0001090C" w:rsidRPr="00394091" w:rsidRDefault="0001090C" w:rsidP="00394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94091">
              <w:rPr>
                <w:rFonts w:ascii="Times New Roman" w:eastAsia="Times New Roman" w:hAnsi="Times New Roman" w:cs="Times New Roman"/>
                <w:lang w:eastAsia="pl-PL"/>
              </w:rPr>
              <w:t>Brak wpływu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63D4149F" w14:textId="77777777" w:rsidR="0001090C" w:rsidRPr="00394091" w:rsidRDefault="0001090C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</w:tr>
      <w:tr w:rsidR="0001090C" w:rsidRPr="00394091" w14:paraId="13183211" w14:textId="77777777" w:rsidTr="00894ACE">
        <w:trPr>
          <w:trHeight w:val="596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C5D90BC" w14:textId="77777777" w:rsidR="0001090C" w:rsidRPr="00394091" w:rsidRDefault="0001090C" w:rsidP="00394091">
            <w:pPr>
              <w:autoSpaceDE w:val="0"/>
              <w:snapToGrid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865024" w14:textId="369BBED4" w:rsidR="0001090C" w:rsidRPr="00394091" w:rsidRDefault="0001090C" w:rsidP="00394091">
            <w:pPr>
              <w:tabs>
                <w:tab w:val="right" w:pos="1936"/>
              </w:tabs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 xml:space="preserve">rodzina, </w:t>
            </w:r>
            <w:r>
              <w:rPr>
                <w:rFonts w:ascii="Times New Roman" w:eastAsia="Calibri" w:hAnsi="Times New Roman" w:cs="Arial"/>
                <w:szCs w:val="20"/>
                <w:lang w:eastAsia="ar-SA"/>
              </w:rPr>
              <w:t xml:space="preserve">osoby niepełnosprawne, </w:t>
            </w:r>
            <w:r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>obywatele oraz gospodarstwa domowe</w:t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</w:t>
            </w:r>
          </w:p>
        </w:tc>
        <w:tc>
          <w:tcPr>
            <w:tcW w:w="606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D58BD" w14:textId="015A6B28" w:rsidR="0001090C" w:rsidRPr="00394091" w:rsidRDefault="0001090C" w:rsidP="00394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94091">
              <w:rPr>
                <w:rFonts w:ascii="Times New Roman" w:eastAsia="Times New Roman" w:hAnsi="Times New Roman" w:cs="Times New Roman"/>
                <w:lang w:eastAsia="pl-PL"/>
              </w:rPr>
              <w:t>Brak wpływu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0601EE1B" w14:textId="77777777" w:rsidR="0001090C" w:rsidRPr="00394091" w:rsidRDefault="0001090C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</w:p>
        </w:tc>
      </w:tr>
      <w:tr w:rsidR="00394091" w:rsidRPr="00394091" w14:paraId="7D24016D" w14:textId="77777777" w:rsidTr="00894ACE">
        <w:trPr>
          <w:trHeight w:val="1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4568C1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Niemierzalne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D07EE4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  <w:tc>
          <w:tcPr>
            <w:tcW w:w="606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0D54E" w14:textId="77777777" w:rsidR="00394091" w:rsidRPr="00394091" w:rsidRDefault="00394091" w:rsidP="00394091">
            <w:pPr>
              <w:autoSpaceDE w:val="0"/>
              <w:snapToGrid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</w:p>
        </w:tc>
      </w:tr>
      <w:tr w:rsidR="00394091" w:rsidRPr="00394091" w14:paraId="1D3EE793" w14:textId="77777777" w:rsidTr="006C58E0">
        <w:trPr>
          <w:trHeight w:val="1168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57A89C" w14:textId="77777777" w:rsidR="00394091" w:rsidRPr="00394091" w:rsidRDefault="00394091" w:rsidP="00394091">
            <w:pPr>
              <w:autoSpaceDE w:val="0"/>
              <w:spacing w:before="60"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Dodatkowe informacje, w tym wskazanie źródeł danych i przyjętych do obliczeń założeń </w:t>
            </w:r>
          </w:p>
        </w:tc>
        <w:tc>
          <w:tcPr>
            <w:tcW w:w="77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C45CE" w14:textId="24C59DF8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Projekt rozporządzenia nie ma wpływu na konkurencyjność gospodarki i</w:t>
            </w:r>
            <w:r w:rsid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 </w:t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przedsiębiorczość, w tym funkcjonowanie przedsiębiorców oraz na rodzinę, obywateli i gospodarstwa domowe</w:t>
            </w:r>
            <w:r w:rsidR="00FB290B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.</w:t>
            </w:r>
          </w:p>
        </w:tc>
      </w:tr>
      <w:tr w:rsidR="00394091" w:rsidRPr="00394091" w14:paraId="5FD7A914" w14:textId="77777777" w:rsidTr="006C58E0">
        <w:trPr>
          <w:trHeight w:val="3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146AFEC" w14:textId="77777777" w:rsidR="00394091" w:rsidRPr="00394091" w:rsidRDefault="00394091" w:rsidP="00394091">
            <w:pPr>
              <w:widowControl w:val="0"/>
              <w:autoSpaceDE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>Zmiana obciążeń regulacyjnych (w tym obowiązków informacyjnych) wynikających z projektu</w:t>
            </w:r>
          </w:p>
        </w:tc>
      </w:tr>
      <w:tr w:rsidR="00394091" w:rsidRPr="00394091" w14:paraId="5C8B3C2A" w14:textId="77777777" w:rsidTr="006C58E0">
        <w:trPr>
          <w:trHeight w:val="151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E54E1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Wybór1"/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bookmarkEnd w:id="5"/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nie dotyczy</w:t>
            </w:r>
          </w:p>
        </w:tc>
      </w:tr>
      <w:tr w:rsidR="00394091" w:rsidRPr="00394091" w14:paraId="1F89FD92" w14:textId="77777777" w:rsidTr="006C58E0">
        <w:trPr>
          <w:trHeight w:val="946"/>
        </w:trPr>
        <w:tc>
          <w:tcPr>
            <w:tcW w:w="44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FFDFC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Wprowadzane są obciążenia poza bezwzględnie wymaganymi przez UE (szczegóły w odwróconej tabeli zgodności).</w:t>
            </w:r>
          </w:p>
        </w:tc>
        <w:tc>
          <w:tcPr>
            <w:tcW w:w="52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F8784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tak</w:t>
            </w:r>
          </w:p>
          <w:p w14:paraId="05CE73B3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nie</w:t>
            </w:r>
          </w:p>
          <w:p w14:paraId="5C395BF7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nie dotyczy</w:t>
            </w:r>
          </w:p>
        </w:tc>
      </w:tr>
      <w:tr w:rsidR="00394091" w:rsidRPr="00394091" w14:paraId="7DCAF613" w14:textId="77777777" w:rsidTr="006C58E0">
        <w:trPr>
          <w:trHeight w:val="1245"/>
        </w:trPr>
        <w:tc>
          <w:tcPr>
            <w:tcW w:w="44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D19558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zmniejszenie liczby dokumentów </w:t>
            </w:r>
          </w:p>
          <w:p w14:paraId="025B1981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zmniejszenie liczby procedur</w:t>
            </w:r>
          </w:p>
          <w:p w14:paraId="7BEE16BE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skrócenie czasu na załatwienie sprawy</w:t>
            </w:r>
          </w:p>
          <w:p w14:paraId="77EB6FA8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inne: </w:t>
            </w:r>
          </w:p>
        </w:tc>
        <w:tc>
          <w:tcPr>
            <w:tcW w:w="52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781E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zwiększenie liczby dokumentów</w:t>
            </w:r>
          </w:p>
          <w:p w14:paraId="6CAE8CB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zwiększenie liczby procedur</w:t>
            </w:r>
          </w:p>
          <w:p w14:paraId="7F588172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wydłużenie czasu na załatwienie sprawy</w:t>
            </w:r>
          </w:p>
          <w:p w14:paraId="016AEB21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inne: </w:t>
            </w:r>
          </w:p>
        </w:tc>
      </w:tr>
      <w:tr w:rsidR="00394091" w:rsidRPr="00394091" w14:paraId="46F7D620" w14:textId="77777777" w:rsidTr="006C58E0">
        <w:trPr>
          <w:trHeight w:val="870"/>
        </w:trPr>
        <w:tc>
          <w:tcPr>
            <w:tcW w:w="44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4F33B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Wprowadzane obciążenia są przystosowane do ich elektronizacji. </w:t>
            </w:r>
          </w:p>
        </w:tc>
        <w:tc>
          <w:tcPr>
            <w:tcW w:w="52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089D6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tak</w:t>
            </w:r>
          </w:p>
          <w:p w14:paraId="3134CF27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nie</w:t>
            </w:r>
          </w:p>
          <w:p w14:paraId="51FBE11C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nie dotyczy</w:t>
            </w:r>
          </w:p>
        </w:tc>
      </w:tr>
      <w:tr w:rsidR="00394091" w:rsidRPr="00394091" w14:paraId="6827FA18" w14:textId="77777777" w:rsidTr="006C58E0">
        <w:trPr>
          <w:trHeight w:val="630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E5322" w14:textId="50E9BD09" w:rsidR="00394091" w:rsidRPr="00394091" w:rsidRDefault="004F1D3F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Jw.</w:t>
            </w:r>
          </w:p>
        </w:tc>
      </w:tr>
      <w:tr w:rsidR="00394091" w:rsidRPr="00394091" w14:paraId="3452D8B9" w14:textId="77777777" w:rsidTr="006C58E0">
        <w:trPr>
          <w:trHeight w:val="1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0B25424" w14:textId="77777777" w:rsidR="00394091" w:rsidRPr="00394091" w:rsidRDefault="00394091" w:rsidP="00394091">
            <w:pPr>
              <w:keepNext/>
              <w:keepLines/>
              <w:widowControl w:val="0"/>
              <w:autoSpaceDE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 xml:space="preserve">Wpływ na rynek pracy </w:t>
            </w:r>
          </w:p>
        </w:tc>
      </w:tr>
      <w:tr w:rsidR="00394091" w:rsidRPr="00394091" w14:paraId="63167491" w14:textId="77777777" w:rsidTr="006C58E0">
        <w:trPr>
          <w:trHeight w:val="1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0FD68" w14:textId="77777777" w:rsidR="00394091" w:rsidRPr="00394091" w:rsidRDefault="00394091" w:rsidP="00394091">
            <w:pPr>
              <w:autoSpaceDE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Projekt rozporządzenia nie ma wpływu na rynek pracy.</w:t>
            </w:r>
          </w:p>
        </w:tc>
      </w:tr>
      <w:tr w:rsidR="00394091" w:rsidRPr="00394091" w14:paraId="0806CDEF" w14:textId="77777777" w:rsidTr="006C58E0">
        <w:trPr>
          <w:trHeight w:val="1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F82CD31" w14:textId="77777777" w:rsidR="00394091" w:rsidRPr="00394091" w:rsidRDefault="00394091" w:rsidP="00394091">
            <w:pPr>
              <w:keepNext/>
              <w:keepLines/>
              <w:widowControl w:val="0"/>
              <w:autoSpaceDE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>Wpływ na pozostałe obszary</w:t>
            </w:r>
          </w:p>
        </w:tc>
      </w:tr>
      <w:tr w:rsidR="00394091" w:rsidRPr="00394091" w14:paraId="3C31C1C3" w14:textId="77777777" w:rsidTr="00894ACE">
        <w:trPr>
          <w:trHeight w:val="1031"/>
        </w:trPr>
        <w:tc>
          <w:tcPr>
            <w:tcW w:w="35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70A7E" w14:textId="77777777" w:rsidR="00394091" w:rsidRPr="00394091" w:rsidRDefault="00394091" w:rsidP="0089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</w:t>
            </w:r>
            <w:r w:rsidRPr="00894ACE">
              <w:rPr>
                <w:rFonts w:ascii="Times New Roman" w:eastAsia="Calibri" w:hAnsi="Times New Roman" w:cs="Times New Roman"/>
                <w:color w:val="000000"/>
              </w:rPr>
              <w:t>środowisko</w:t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naturalne</w:t>
            </w:r>
          </w:p>
          <w:p w14:paraId="76FA2DE1" w14:textId="77777777" w:rsidR="00394091" w:rsidRPr="00394091" w:rsidRDefault="00394091" w:rsidP="0089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 sytuacja i rozwój </w:t>
            </w:r>
            <w:r w:rsidRPr="00894ACE">
              <w:rPr>
                <w:rFonts w:ascii="Times New Roman" w:eastAsia="Calibri" w:hAnsi="Times New Roman" w:cs="Times New Roman"/>
                <w:color w:val="000000"/>
              </w:rPr>
              <w:t>regionalny</w:t>
            </w:r>
          </w:p>
          <w:p w14:paraId="76BF1416" w14:textId="5A76501E" w:rsidR="00394091" w:rsidRPr="00394091" w:rsidRDefault="00394091" w:rsidP="0089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</w:t>
            </w:r>
            <w:r w:rsidR="005F432E" w:rsidRPr="005F432E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sądy </w:t>
            </w:r>
            <w:r w:rsidR="005F432E" w:rsidRPr="00894ACE">
              <w:rPr>
                <w:rFonts w:ascii="Times New Roman" w:eastAsia="Calibri" w:hAnsi="Times New Roman" w:cs="Times New Roman"/>
                <w:spacing w:val="-2"/>
              </w:rPr>
              <w:t>powszechne</w:t>
            </w:r>
            <w:r w:rsidR="005F432E" w:rsidRPr="005F432E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, administracyjne lub wojskowe</w:t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</w:t>
            </w:r>
          </w:p>
        </w:tc>
        <w:tc>
          <w:tcPr>
            <w:tcW w:w="29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7279DE" w14:textId="77777777" w:rsidR="00394091" w:rsidRPr="00394091" w:rsidRDefault="00394091" w:rsidP="0089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</w:t>
            </w:r>
            <w:r w:rsidRPr="00894ACE">
              <w:rPr>
                <w:rFonts w:ascii="Times New Roman" w:eastAsia="Calibri" w:hAnsi="Times New Roman" w:cs="Times New Roman"/>
                <w:color w:val="000000"/>
              </w:rPr>
              <w:t>demografia</w:t>
            </w:r>
          </w:p>
          <w:p w14:paraId="0180CF2C" w14:textId="77777777" w:rsidR="00394091" w:rsidRDefault="00394091" w:rsidP="00894ACE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mienie </w:t>
            </w:r>
            <w:r w:rsidRPr="00894ACE">
              <w:rPr>
                <w:rFonts w:ascii="Times New Roman" w:eastAsia="Calibri" w:hAnsi="Times New Roman" w:cs="Times New Roman"/>
                <w:color w:val="000000"/>
              </w:rPr>
              <w:t>państwowe</w:t>
            </w:r>
          </w:p>
          <w:p w14:paraId="11BA0674" w14:textId="6A95C189" w:rsidR="00563DBB" w:rsidRPr="00394091" w:rsidRDefault="00563DBB" w:rsidP="00894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</w:t>
            </w:r>
            <w:r w:rsidRPr="00894ACE">
              <w:rPr>
                <w:rFonts w:ascii="Times New Roman" w:eastAsia="Calibri" w:hAnsi="Times New Roman" w:cs="Times New Roman"/>
                <w:color w:val="000000"/>
              </w:rPr>
              <w:t>inne</w:t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:</w:t>
            </w:r>
            <w:r w:rsidR="0090291A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…</w:t>
            </w:r>
          </w:p>
        </w:tc>
        <w:tc>
          <w:tcPr>
            <w:tcW w:w="3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64A96" w14:textId="77777777" w:rsidR="00394091" w:rsidRDefault="00394091" w:rsidP="00894ACE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40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</w:t>
            </w:r>
            <w:r w:rsidRPr="00894ACE">
              <w:rPr>
                <w:rFonts w:ascii="Times New Roman" w:eastAsia="Calibri" w:hAnsi="Times New Roman" w:cs="Times New Roman"/>
                <w:color w:val="000000"/>
              </w:rPr>
              <w:t>informatyzacja</w:t>
            </w:r>
          </w:p>
          <w:p w14:paraId="4D9AF8C8" w14:textId="6C6AF187" w:rsidR="00DD0B68" w:rsidRPr="00394091" w:rsidRDefault="00DD0B68" w:rsidP="00894ACE">
            <w:pPr>
              <w:spacing w:after="0" w:line="240" w:lineRule="auto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instrText xml:space="preserve"> FORMCHECKBOX </w:instrText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r>
            <w:r w:rsidR="005F655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separate"/>
            </w: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fldChar w:fldCharType="end"/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</w:t>
            </w:r>
            <w:r w:rsidRPr="00894ACE">
              <w:rPr>
                <w:rFonts w:ascii="Times New Roman" w:eastAsia="Calibri" w:hAnsi="Times New Roman" w:cs="Times New Roman"/>
                <w:color w:val="000000"/>
              </w:rPr>
              <w:t>zdrowie</w:t>
            </w:r>
          </w:p>
          <w:p w14:paraId="28B82A0B" w14:textId="66CCECD3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94091" w:rsidRPr="00394091" w14:paraId="2AAAE494" w14:textId="77777777" w:rsidTr="006C58E0">
        <w:trPr>
          <w:trHeight w:val="712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E3208B" w14:textId="77777777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lastRenderedPageBreak/>
              <w:t>Omówienie wpływu</w:t>
            </w:r>
          </w:p>
        </w:tc>
        <w:tc>
          <w:tcPr>
            <w:tcW w:w="7749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45202" w14:textId="241B2F7E" w:rsidR="00394091" w:rsidRPr="00DD0B68" w:rsidRDefault="006147A3" w:rsidP="00DD0B68">
            <w:pPr>
              <w:autoSpaceDE w:val="0"/>
              <w:spacing w:before="60"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</w:pP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Przedłużenie przewidzianych w rozporządzeniu </w:t>
            </w:r>
            <w:r w:rsidR="00FB290B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zmienianym</w:t>
            </w: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</w:t>
            </w:r>
            <w:r w:rsidR="00F3067A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termin</w:t>
            </w: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ów na dostosowanie: wzorcowych medycznych procedur radiologicznych do wymagań tego rozporządzenia (zadanie komisji do spraw procedur i audytów klinicznych zewnętrznych) oraz szczegółowych medycznych procedur radiologicznych do</w:t>
            </w:r>
            <w:r w:rsid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 </w:t>
            </w: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procedur wzorcowych </w:t>
            </w:r>
            <w:r w:rsid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zmienionych </w:t>
            </w:r>
            <w:r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przez komisje (zadanie jednostek ochrony zdrowia) zapewni czas niezbędny do kompleksowej i rzetelnej analizy dotychczas obowiązujących procedur wzorcowych oraz procedur szczegółowych opracowanych w jednostkach ochrony zdrowia na podstawie poprzednio obowiązujących regulacji. W konsekwencji przyczyni się to do zagwarantowania odpowiedniego poziomu bezpieczeństwa radiologicznego przy realizacji </w:t>
            </w:r>
            <w:r w:rsidR="00DD0B68" w:rsidRP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bada</w:t>
            </w:r>
            <w:r w:rsid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ń </w:t>
            </w:r>
            <w:r w:rsidR="00DD0B68" w:rsidRP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diagnostyczn</w:t>
            </w:r>
            <w:r w:rsid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ych</w:t>
            </w:r>
            <w:r w:rsidR="00DD0B68" w:rsidRP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, zabieg</w:t>
            </w:r>
            <w:r w:rsid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ów</w:t>
            </w:r>
            <w:r w:rsidR="00DD0B68" w:rsidRP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lub leczenia, z</w:t>
            </w:r>
            <w:r w:rsid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 </w:t>
            </w:r>
            <w:r w:rsidR="00DD0B68" w:rsidRP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zastosowaniem promieniowania jonizującego, </w:t>
            </w:r>
            <w:r w:rsid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które zgodnie z art. 33f ust.</w:t>
            </w:r>
            <w:r w:rsidR="000A671C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 </w:t>
            </w:r>
            <w:r w:rsid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2 ustawy </w:t>
            </w:r>
            <w:r w:rsidR="00DA1129" w:rsidRPr="00DA1129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z dnia 29 listopada 2000 r. </w:t>
            </w:r>
            <w:r w:rsid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– Prawo atomowe odbywa się </w:t>
            </w:r>
            <w:r w:rsidR="00DD0B68" w:rsidRP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zgodnie ze</w:t>
            </w:r>
            <w:r w:rsidR="000A671C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 </w:t>
            </w:r>
            <w:r w:rsidR="00DD0B68" w:rsidRP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szczegółowymi medycznymi procedurami radiologicznymi opracowanymi w</w:t>
            </w:r>
            <w:r w:rsidR="000A671C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 </w:t>
            </w:r>
            <w:r w:rsidR="00DD0B68" w:rsidRP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jednostce ochrony zdrowia</w:t>
            </w:r>
            <w:r w:rsid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.</w:t>
            </w:r>
          </w:p>
        </w:tc>
      </w:tr>
      <w:tr w:rsidR="00394091" w:rsidRPr="00394091" w14:paraId="6ED34D36" w14:textId="77777777" w:rsidTr="006C58E0">
        <w:trPr>
          <w:trHeight w:val="1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90FD109" w14:textId="77777777" w:rsidR="00394091" w:rsidRPr="00394091" w:rsidRDefault="00394091" w:rsidP="00394091">
            <w:pPr>
              <w:keepNext/>
              <w:keepLines/>
              <w:widowControl w:val="0"/>
              <w:autoSpaceDE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>Planowane</w:t>
            </w:r>
            <w:r w:rsidRPr="00394091">
              <w:rPr>
                <w:rFonts w:ascii="Times New Roman" w:eastAsia="Calibri" w:hAnsi="Times New Roman" w:cs="Arial"/>
                <w:b/>
                <w:szCs w:val="20"/>
                <w:lang w:eastAsia="ar-SA"/>
              </w:rPr>
              <w:t xml:space="preserve"> wykonanie przepisów </w:t>
            </w: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>aktu</w:t>
            </w:r>
            <w:r w:rsidRPr="00394091">
              <w:rPr>
                <w:rFonts w:ascii="Times New Roman" w:eastAsia="Calibri" w:hAnsi="Times New Roman" w:cs="Arial"/>
                <w:b/>
                <w:szCs w:val="20"/>
                <w:lang w:eastAsia="ar-SA"/>
              </w:rPr>
              <w:t xml:space="preserve"> prawnego</w:t>
            </w:r>
          </w:p>
        </w:tc>
      </w:tr>
      <w:tr w:rsidR="00394091" w:rsidRPr="00394091" w14:paraId="0AC950FD" w14:textId="77777777" w:rsidTr="006C58E0">
        <w:trPr>
          <w:trHeight w:val="1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61611" w14:textId="69D7E444" w:rsidR="00394091" w:rsidRPr="00394091" w:rsidRDefault="00394091" w:rsidP="00394091">
            <w:pPr>
              <w:autoSpaceDE w:val="0"/>
              <w:spacing w:before="60" w:after="60" w:line="240" w:lineRule="auto"/>
              <w:jc w:val="both"/>
              <w:rPr>
                <w:rFonts w:ascii="Times New Roman" w:eastAsia="Calibri" w:hAnsi="Times New Roman" w:cs="Arial"/>
                <w:szCs w:val="20"/>
                <w:lang w:eastAsia="ar-SA"/>
              </w:rPr>
            </w:pPr>
            <w:r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 xml:space="preserve">Rozporządzenie wejdzie w </w:t>
            </w: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życie</w:t>
            </w:r>
            <w:r w:rsidR="00DD0B68">
              <w:rPr>
                <w:rFonts w:ascii="Times New Roman" w:eastAsia="Calibri" w:hAnsi="Times New Roman" w:cs="Arial"/>
                <w:szCs w:val="20"/>
                <w:lang w:eastAsia="ar-SA"/>
              </w:rPr>
              <w:t xml:space="preserve"> z dniem następującym po </w:t>
            </w:r>
            <w:r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>dni</w:t>
            </w:r>
            <w:r w:rsidR="00DD0B68">
              <w:rPr>
                <w:rFonts w:ascii="Times New Roman" w:eastAsia="Calibri" w:hAnsi="Times New Roman" w:cs="Arial"/>
                <w:szCs w:val="20"/>
                <w:lang w:eastAsia="ar-SA"/>
              </w:rPr>
              <w:t>u</w:t>
            </w:r>
            <w:r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 xml:space="preserve"> ogłoszenia</w:t>
            </w:r>
            <w:r w:rsidR="00271493">
              <w:rPr>
                <w:rFonts w:ascii="Times New Roman" w:eastAsia="Calibri" w:hAnsi="Times New Roman" w:cs="Arial"/>
                <w:szCs w:val="20"/>
                <w:lang w:eastAsia="ar-SA"/>
              </w:rPr>
              <w:t>,</w:t>
            </w:r>
            <w:r w:rsidR="00271493">
              <w:t xml:space="preserve"> </w:t>
            </w:r>
            <w:r w:rsidR="00271493" w:rsidRPr="00271493">
              <w:rPr>
                <w:rFonts w:ascii="Times New Roman" w:eastAsia="Calibri" w:hAnsi="Times New Roman" w:cs="Arial"/>
                <w:szCs w:val="20"/>
                <w:lang w:eastAsia="ar-SA"/>
              </w:rPr>
              <w:t>z mocą od dnia 26 kwietnia 2023 r</w:t>
            </w:r>
            <w:r w:rsidRPr="00394091">
              <w:rPr>
                <w:rFonts w:ascii="Times New Roman" w:eastAsia="Calibri" w:hAnsi="Times New Roman" w:cs="Arial"/>
                <w:szCs w:val="20"/>
                <w:lang w:eastAsia="ar-SA"/>
              </w:rPr>
              <w:t xml:space="preserve">. </w:t>
            </w:r>
          </w:p>
        </w:tc>
      </w:tr>
      <w:tr w:rsidR="00394091" w:rsidRPr="00394091" w14:paraId="45E9F7C9" w14:textId="77777777" w:rsidTr="006C58E0">
        <w:trPr>
          <w:trHeight w:val="1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8349FF9" w14:textId="77777777" w:rsidR="00394091" w:rsidRPr="00394091" w:rsidRDefault="00394091" w:rsidP="00394091">
            <w:pPr>
              <w:keepNext/>
              <w:keepLines/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b/>
                <w:szCs w:val="20"/>
                <w:lang w:eastAsia="ar-SA"/>
              </w:rPr>
              <w:t>W jaki sposób i kiedy nastąpi ewaluacja efektów projektu oraz jakie mierniki zostaną zastosowane?</w:t>
            </w:r>
          </w:p>
        </w:tc>
      </w:tr>
      <w:tr w:rsidR="00394091" w:rsidRPr="00394091" w14:paraId="44E6E23D" w14:textId="77777777" w:rsidTr="006C58E0">
        <w:trPr>
          <w:trHeight w:val="1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3BC2D" w14:textId="4C4F4BF8" w:rsidR="00394091" w:rsidRPr="00394091" w:rsidRDefault="00394091" w:rsidP="00394091">
            <w:pPr>
              <w:autoSpaceDE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Efekty wprowadzenia przepisów objętych projektem rozporządzenia będą przedmiotem analizy dokonywanej przez komisje do spraw procedur i audytów klinicznych zewnętrznych</w:t>
            </w:r>
            <w:r w:rsidR="00DD0B68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 xml:space="preserve"> oraz Krajowe Centrum Ochrony Radiologicznej w Ochronie Zdrowia.</w:t>
            </w:r>
          </w:p>
        </w:tc>
      </w:tr>
      <w:tr w:rsidR="00394091" w:rsidRPr="00394091" w14:paraId="623E6567" w14:textId="77777777" w:rsidTr="006C58E0">
        <w:trPr>
          <w:trHeight w:val="1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68821A78" w14:textId="77777777" w:rsidR="00394091" w:rsidRPr="00394091" w:rsidRDefault="00394091" w:rsidP="00394091">
            <w:pPr>
              <w:keepNext/>
              <w:keepLines/>
              <w:widowControl w:val="0"/>
              <w:autoSpaceDE w:val="0"/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 xml:space="preserve">Załączniki </w:t>
            </w:r>
            <w:r w:rsidRPr="00394091">
              <w:rPr>
                <w:rFonts w:ascii="Times New Roman" w:eastAsia="Calibri" w:hAnsi="Times New Roman" w:cs="Arial"/>
                <w:b/>
                <w:szCs w:val="20"/>
                <w:lang w:eastAsia="ar-SA"/>
              </w:rPr>
              <w:t xml:space="preserve">(istotne dokumenty </w:t>
            </w: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>źródłowe</w:t>
            </w:r>
            <w:r w:rsidRPr="00394091">
              <w:rPr>
                <w:rFonts w:ascii="Times New Roman" w:eastAsia="Calibri" w:hAnsi="Times New Roman" w:cs="Arial"/>
                <w:b/>
                <w:szCs w:val="20"/>
                <w:lang w:eastAsia="ar-SA"/>
              </w:rPr>
              <w:t>, badania, analizy itp.</w:t>
            </w:r>
            <w:r w:rsidRPr="00394091">
              <w:rPr>
                <w:rFonts w:ascii="Times New Roman" w:eastAsia="Calibri" w:hAnsi="Times New Roman" w:cs="Arial"/>
                <w:b/>
                <w:color w:val="000000"/>
                <w:szCs w:val="20"/>
                <w:lang w:eastAsia="ar-SA"/>
              </w:rPr>
              <w:t xml:space="preserve">) </w:t>
            </w:r>
          </w:p>
        </w:tc>
      </w:tr>
      <w:tr w:rsidR="00394091" w:rsidRPr="00394091" w14:paraId="384E0A4B" w14:textId="77777777" w:rsidTr="006C58E0">
        <w:trPr>
          <w:trHeight w:val="142"/>
        </w:trPr>
        <w:tc>
          <w:tcPr>
            <w:tcW w:w="96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50B45" w14:textId="290A4B1E" w:rsidR="00394091" w:rsidRPr="00394091" w:rsidRDefault="00394091" w:rsidP="00394091">
            <w:pPr>
              <w:autoSpaceDE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091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Brak</w:t>
            </w:r>
            <w:r w:rsidR="004F1D3F">
              <w:rPr>
                <w:rFonts w:ascii="Times New Roman" w:eastAsia="Calibri" w:hAnsi="Times New Roman" w:cs="Arial"/>
                <w:color w:val="000000"/>
                <w:szCs w:val="20"/>
                <w:lang w:eastAsia="ar-SA"/>
              </w:rPr>
              <w:t>.</w:t>
            </w:r>
          </w:p>
        </w:tc>
      </w:tr>
    </w:tbl>
    <w:p w14:paraId="24EDA9E0" w14:textId="77777777" w:rsidR="00394091" w:rsidRPr="00394091" w:rsidRDefault="00394091" w:rsidP="00394091">
      <w:pPr>
        <w:autoSpaceDE w:val="0"/>
        <w:spacing w:before="107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FB0303" w14:textId="77777777" w:rsidR="00A40550" w:rsidRDefault="005F6558"/>
    <w:sectPr w:rsidR="00A40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930D350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000000"/>
        <w:sz w:val="22"/>
        <w:szCs w:val="20"/>
        <w:lang w:eastAsia="ar-SA" w:bidi="ar-S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21C1C8B"/>
    <w:multiLevelType w:val="hybridMultilevel"/>
    <w:tmpl w:val="8E0E51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960E91"/>
    <w:multiLevelType w:val="hybridMultilevel"/>
    <w:tmpl w:val="55CE56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EC1085"/>
    <w:multiLevelType w:val="hybridMultilevel"/>
    <w:tmpl w:val="F75C4AEC"/>
    <w:lvl w:ilvl="0" w:tplc="04150011">
      <w:start w:val="1"/>
      <w:numFmt w:val="decimal"/>
      <w:lvlText w:val="%1)"/>
      <w:lvlJc w:val="left"/>
      <w:pPr>
        <w:ind w:left="530" w:hanging="360"/>
      </w:p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76C12040"/>
    <w:multiLevelType w:val="hybridMultilevel"/>
    <w:tmpl w:val="D1C03A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051751"/>
    <w:multiLevelType w:val="hybridMultilevel"/>
    <w:tmpl w:val="72DA9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733313">
    <w:abstractNumId w:val="2"/>
  </w:num>
  <w:num w:numId="2" w16cid:durableId="2091005529">
    <w:abstractNumId w:val="0"/>
  </w:num>
  <w:num w:numId="3" w16cid:durableId="1691682364">
    <w:abstractNumId w:val="4"/>
  </w:num>
  <w:num w:numId="4" w16cid:durableId="1132137111">
    <w:abstractNumId w:val="3"/>
  </w:num>
  <w:num w:numId="5" w16cid:durableId="619147247">
    <w:abstractNumId w:val="5"/>
  </w:num>
  <w:num w:numId="6" w16cid:durableId="795754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91"/>
    <w:rsid w:val="0001090C"/>
    <w:rsid w:val="00010FAF"/>
    <w:rsid w:val="00026ADD"/>
    <w:rsid w:val="000562C1"/>
    <w:rsid w:val="0009336E"/>
    <w:rsid w:val="000A3EED"/>
    <w:rsid w:val="000A671C"/>
    <w:rsid w:val="000F7B63"/>
    <w:rsid w:val="0010604D"/>
    <w:rsid w:val="00153945"/>
    <w:rsid w:val="0017122D"/>
    <w:rsid w:val="001E6CD7"/>
    <w:rsid w:val="001E7002"/>
    <w:rsid w:val="00237C1B"/>
    <w:rsid w:val="00271493"/>
    <w:rsid w:val="00281B25"/>
    <w:rsid w:val="002C6C9A"/>
    <w:rsid w:val="002E394E"/>
    <w:rsid w:val="002F47F1"/>
    <w:rsid w:val="00301605"/>
    <w:rsid w:val="003310CA"/>
    <w:rsid w:val="00364957"/>
    <w:rsid w:val="00394091"/>
    <w:rsid w:val="003C7429"/>
    <w:rsid w:val="003D425F"/>
    <w:rsid w:val="003F1F29"/>
    <w:rsid w:val="003F2FEE"/>
    <w:rsid w:val="00490F4D"/>
    <w:rsid w:val="004C21F1"/>
    <w:rsid w:val="004D4DE0"/>
    <w:rsid w:val="004F1D3F"/>
    <w:rsid w:val="005112B4"/>
    <w:rsid w:val="0052728C"/>
    <w:rsid w:val="00553296"/>
    <w:rsid w:val="00563DBB"/>
    <w:rsid w:val="00592A3A"/>
    <w:rsid w:val="005B732E"/>
    <w:rsid w:val="005F432E"/>
    <w:rsid w:val="005F6558"/>
    <w:rsid w:val="0060658D"/>
    <w:rsid w:val="006147A3"/>
    <w:rsid w:val="00664123"/>
    <w:rsid w:val="00670FF5"/>
    <w:rsid w:val="006A0457"/>
    <w:rsid w:val="006B3FD0"/>
    <w:rsid w:val="007037CD"/>
    <w:rsid w:val="007203DE"/>
    <w:rsid w:val="00725F88"/>
    <w:rsid w:val="00740E03"/>
    <w:rsid w:val="00764200"/>
    <w:rsid w:val="007A7F05"/>
    <w:rsid w:val="007E68A1"/>
    <w:rsid w:val="00817A8B"/>
    <w:rsid w:val="008262E7"/>
    <w:rsid w:val="008569AB"/>
    <w:rsid w:val="00890D76"/>
    <w:rsid w:val="00894ACE"/>
    <w:rsid w:val="008A103C"/>
    <w:rsid w:val="0090291A"/>
    <w:rsid w:val="009419B7"/>
    <w:rsid w:val="00941E96"/>
    <w:rsid w:val="00960BDE"/>
    <w:rsid w:val="009D3E68"/>
    <w:rsid w:val="009F618F"/>
    <w:rsid w:val="00A037D1"/>
    <w:rsid w:val="00A07AD3"/>
    <w:rsid w:val="00A8682F"/>
    <w:rsid w:val="00AB25D8"/>
    <w:rsid w:val="00AF1B3E"/>
    <w:rsid w:val="00B11B78"/>
    <w:rsid w:val="00B27B99"/>
    <w:rsid w:val="00B32A4D"/>
    <w:rsid w:val="00B4759B"/>
    <w:rsid w:val="00B50DA3"/>
    <w:rsid w:val="00B537F4"/>
    <w:rsid w:val="00B835C0"/>
    <w:rsid w:val="00B979C0"/>
    <w:rsid w:val="00BC7806"/>
    <w:rsid w:val="00BF2091"/>
    <w:rsid w:val="00CA5736"/>
    <w:rsid w:val="00D035BA"/>
    <w:rsid w:val="00D05AB7"/>
    <w:rsid w:val="00D430FD"/>
    <w:rsid w:val="00D80EAE"/>
    <w:rsid w:val="00DA1129"/>
    <w:rsid w:val="00DC348C"/>
    <w:rsid w:val="00DD0B68"/>
    <w:rsid w:val="00DF10F7"/>
    <w:rsid w:val="00E07B1E"/>
    <w:rsid w:val="00E134D3"/>
    <w:rsid w:val="00E20F83"/>
    <w:rsid w:val="00E5494B"/>
    <w:rsid w:val="00E76425"/>
    <w:rsid w:val="00E93423"/>
    <w:rsid w:val="00EA48BD"/>
    <w:rsid w:val="00EC4265"/>
    <w:rsid w:val="00ED4D11"/>
    <w:rsid w:val="00F13A9C"/>
    <w:rsid w:val="00F3067A"/>
    <w:rsid w:val="00F33F26"/>
    <w:rsid w:val="00F41513"/>
    <w:rsid w:val="00FA190D"/>
    <w:rsid w:val="00FB290B"/>
    <w:rsid w:val="00FD2E17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13B65"/>
  <w15:chartTrackingRefBased/>
  <w15:docId w15:val="{DC4539AF-393A-484E-BACD-7A8916BB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3940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409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394091"/>
    <w:rPr>
      <w:sz w:val="16"/>
      <w:szCs w:val="16"/>
    </w:rPr>
  </w:style>
  <w:style w:type="paragraph" w:styleId="Poprawka">
    <w:name w:val="Revision"/>
    <w:hidden/>
    <w:uiPriority w:val="99"/>
    <w:semiHidden/>
    <w:rsid w:val="00D05AB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05AB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AB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0FF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1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1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p-zp@m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2351</Words>
  <Characters>14112</Characters>
  <Application>Microsoft Office Word</Application>
  <DocSecurity>4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Skweres Wojciech</dc:creator>
  <cp:keywords/>
  <dc:description/>
  <cp:lastModifiedBy>Skweres Wojciech</cp:lastModifiedBy>
  <cp:revision>2</cp:revision>
  <dcterms:created xsi:type="dcterms:W3CDTF">2023-05-17T06:38:00Z</dcterms:created>
  <dcterms:modified xsi:type="dcterms:W3CDTF">2023-05-17T06:38:00Z</dcterms:modified>
</cp:coreProperties>
</file>