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0"/>
        <w:gridCol w:w="656"/>
        <w:gridCol w:w="356"/>
        <w:gridCol w:w="454"/>
        <w:gridCol w:w="378"/>
        <w:gridCol w:w="130"/>
        <w:gridCol w:w="193"/>
        <w:gridCol w:w="343"/>
        <w:gridCol w:w="542"/>
        <w:gridCol w:w="14"/>
        <w:gridCol w:w="112"/>
        <w:gridCol w:w="144"/>
        <w:gridCol w:w="282"/>
        <w:gridCol w:w="334"/>
        <w:gridCol w:w="205"/>
        <w:gridCol w:w="539"/>
        <w:gridCol w:w="78"/>
        <w:gridCol w:w="64"/>
        <w:gridCol w:w="397"/>
        <w:gridCol w:w="109"/>
        <w:gridCol w:w="287"/>
        <w:gridCol w:w="92"/>
        <w:gridCol w:w="50"/>
        <w:gridCol w:w="539"/>
        <w:gridCol w:w="297"/>
        <w:gridCol w:w="242"/>
        <w:gridCol w:w="539"/>
        <w:gridCol w:w="105"/>
        <w:gridCol w:w="1135"/>
      </w:tblGrid>
      <w:tr w:rsidR="006004E5" w14:paraId="491031B8" w14:textId="77777777" w:rsidTr="006004E5">
        <w:trPr>
          <w:trHeight w:val="1613"/>
        </w:trPr>
        <w:tc>
          <w:tcPr>
            <w:tcW w:w="69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55CE" w14:textId="77777777" w:rsidR="006004E5" w:rsidRPr="003E3962" w:rsidRDefault="006004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b/>
                <w:color w:val="000000"/>
              </w:rPr>
              <w:t>Nazwa projektu</w:t>
            </w:r>
          </w:p>
          <w:p w14:paraId="7D1DA164" w14:textId="0CD731F0" w:rsidR="006004E5" w:rsidRPr="003E3962" w:rsidRDefault="001C36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Projekt r</w:t>
            </w:r>
            <w:r w:rsidR="006004E5" w:rsidRPr="003E3962">
              <w:rPr>
                <w:rFonts w:ascii="Times New Roman" w:hAnsi="Times New Roman" w:cs="Times New Roman"/>
                <w:color w:val="000000"/>
              </w:rPr>
              <w:t>ozporządzeni</w:t>
            </w:r>
            <w:r w:rsidRPr="003E3962">
              <w:rPr>
                <w:rFonts w:ascii="Times New Roman" w:hAnsi="Times New Roman" w:cs="Times New Roman"/>
                <w:color w:val="000000"/>
              </w:rPr>
              <w:t>a</w:t>
            </w:r>
            <w:r w:rsidR="006004E5" w:rsidRPr="003E3962">
              <w:rPr>
                <w:rFonts w:ascii="Times New Roman" w:hAnsi="Times New Roman" w:cs="Times New Roman"/>
                <w:color w:val="000000"/>
              </w:rPr>
              <w:t xml:space="preserve"> Ministra Klimatu i Środowiska w sprawie wysokości stawek opłaty za nadanie indywidualnego kodu identyfikacyjnego, uznanie kodu oraz ich utrzymanie w systemie teleinformatycznym oraz terminu wnoszenia tej opłaty w roku 202</w:t>
            </w:r>
            <w:r w:rsidR="001825A7">
              <w:rPr>
                <w:rFonts w:ascii="Times New Roman" w:hAnsi="Times New Roman" w:cs="Times New Roman"/>
                <w:color w:val="000000"/>
              </w:rPr>
              <w:t>4</w:t>
            </w:r>
          </w:p>
          <w:p w14:paraId="74C56632" w14:textId="77777777" w:rsidR="006004E5" w:rsidRPr="003E3962" w:rsidRDefault="006004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53EE8985" w14:textId="77777777" w:rsidR="006004E5" w:rsidRPr="003E3962" w:rsidRDefault="006004E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E3962">
              <w:rPr>
                <w:rFonts w:ascii="Times New Roman" w:hAnsi="Times New Roman" w:cs="Times New Roman"/>
                <w:b/>
                <w:color w:val="000000"/>
              </w:rPr>
              <w:t>Ministerstwo wiodące i ministerstwa współpracujące</w:t>
            </w:r>
          </w:p>
          <w:p w14:paraId="011E88D0" w14:textId="77777777" w:rsidR="006004E5" w:rsidRPr="003E3962" w:rsidRDefault="006004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Ministerstwo Klimatu i Środowiska</w:t>
            </w:r>
          </w:p>
          <w:p w14:paraId="0B7350B5" w14:textId="77777777" w:rsidR="006004E5" w:rsidRPr="003E3962" w:rsidRDefault="006004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61EBEB9F" w14:textId="77777777" w:rsidR="006004E5" w:rsidRPr="003E3962" w:rsidRDefault="006004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3962">
              <w:rPr>
                <w:rFonts w:ascii="Times New Roman" w:hAnsi="Times New Roman" w:cs="Times New Roman"/>
                <w:b/>
              </w:rPr>
              <w:t>Osoba odpowiedzialna za projekt w randze Ministra, Sekretarza Stanu lub Podsekretarza Stanu:</w:t>
            </w:r>
          </w:p>
          <w:p w14:paraId="32BB1D20" w14:textId="77777777" w:rsidR="006004E5" w:rsidRPr="003E3962" w:rsidRDefault="006004E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E3962">
              <w:rPr>
                <w:rFonts w:ascii="Times New Roman" w:hAnsi="Times New Roman" w:cs="Times New Roman"/>
                <w:bCs/>
              </w:rPr>
              <w:t>Sekretarz Stanu - Pan Ireneusz Zyska</w:t>
            </w:r>
          </w:p>
          <w:p w14:paraId="4F591510" w14:textId="77777777" w:rsidR="006004E5" w:rsidRPr="003E3962" w:rsidRDefault="006004E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2789E8BF" w14:textId="77777777" w:rsidR="006004E5" w:rsidRPr="003E3962" w:rsidRDefault="006004E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E3962">
              <w:rPr>
                <w:rFonts w:ascii="Times New Roman" w:hAnsi="Times New Roman" w:cs="Times New Roman"/>
                <w:b/>
                <w:color w:val="000000"/>
              </w:rPr>
              <w:t>Kontakt do opiekuna merytorycznego projektu:</w:t>
            </w:r>
          </w:p>
          <w:p w14:paraId="70B2AA5F" w14:textId="77777777" w:rsidR="006004E5" w:rsidRPr="003E3962" w:rsidRDefault="006004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FF"/>
                <w:u w:val="single"/>
              </w:rPr>
            </w:pPr>
            <w:r w:rsidRPr="003E3962">
              <w:rPr>
                <w:rFonts w:ascii="Times New Roman" w:hAnsi="Times New Roman" w:cs="Times New Roman"/>
                <w:bCs/>
                <w:color w:val="000000"/>
              </w:rPr>
              <w:t xml:space="preserve">Pan Szymon </w:t>
            </w:r>
            <w:proofErr w:type="spellStart"/>
            <w:r w:rsidRPr="003E3962">
              <w:rPr>
                <w:rFonts w:ascii="Times New Roman" w:hAnsi="Times New Roman" w:cs="Times New Roman"/>
                <w:bCs/>
                <w:color w:val="000000"/>
              </w:rPr>
              <w:t>Byliński</w:t>
            </w:r>
            <w:proofErr w:type="spellEnd"/>
            <w:r w:rsidRPr="003E3962">
              <w:rPr>
                <w:rFonts w:ascii="Times New Roman" w:hAnsi="Times New Roman" w:cs="Times New Roman"/>
                <w:bCs/>
                <w:color w:val="000000"/>
              </w:rPr>
              <w:t xml:space="preserve"> – Dyrektor Departamentu </w:t>
            </w:r>
            <w:proofErr w:type="spellStart"/>
            <w:r w:rsidRPr="003E3962">
              <w:rPr>
                <w:rFonts w:ascii="Times New Roman" w:hAnsi="Times New Roman" w:cs="Times New Roman"/>
                <w:bCs/>
                <w:color w:val="000000"/>
              </w:rPr>
              <w:t>Elektromobilności</w:t>
            </w:r>
            <w:proofErr w:type="spellEnd"/>
            <w:r w:rsidRPr="003E3962">
              <w:rPr>
                <w:rFonts w:ascii="Times New Roman" w:hAnsi="Times New Roman" w:cs="Times New Roman"/>
                <w:bCs/>
                <w:color w:val="000000"/>
              </w:rPr>
              <w:t xml:space="preserve"> i Gospodarki Wodorowej, tel. 22 369 10 44</w:t>
            </w:r>
          </w:p>
          <w:p w14:paraId="113EE731" w14:textId="11598034" w:rsidR="006004E5" w:rsidRPr="007B6042" w:rsidRDefault="006004E5">
            <w:pPr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3E3962">
              <w:rPr>
                <w:rFonts w:ascii="Times New Roman" w:hAnsi="Times New Roman" w:cs="Times New Roman"/>
                <w:bCs/>
                <w:color w:val="000000"/>
                <w:lang w:val="en-GB"/>
              </w:rPr>
              <w:t xml:space="preserve">e-mail: </w:t>
            </w:r>
            <w:hyperlink r:id="rId7" w:history="1">
              <w:r w:rsidR="001D63EE" w:rsidRPr="007B6042">
                <w:rPr>
                  <w:rStyle w:val="Hipercze"/>
                  <w:lang w:val="en-GB"/>
                </w:rPr>
                <w:t>szymon.bylinski@klimat.gov.pl</w:t>
              </w:r>
            </w:hyperlink>
            <w:r w:rsidR="001D63EE">
              <w:rPr>
                <w:lang w:val="en-GB"/>
              </w:rPr>
              <w:t xml:space="preserve"> </w:t>
            </w:r>
          </w:p>
        </w:tc>
        <w:tc>
          <w:tcPr>
            <w:tcW w:w="38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7ECD6" w14:textId="2C84BB4C" w:rsidR="006004E5" w:rsidRDefault="006004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Data sporządzenia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="00443FA2">
              <w:rPr>
                <w:rFonts w:ascii="Times New Roman" w:hAnsi="Times New Roman" w:cs="Times New Roman"/>
                <w:color w:val="000000"/>
              </w:rPr>
              <w:t>29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="001825A7">
              <w:rPr>
                <w:rFonts w:ascii="Times New Roman" w:hAnsi="Times New Roman" w:cs="Times New Roman"/>
                <w:color w:val="000000"/>
              </w:rPr>
              <w:t>0</w:t>
            </w:r>
            <w:r w:rsidR="00FC4A7E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.202</w:t>
            </w:r>
            <w:r w:rsidR="001825A7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 xml:space="preserve"> r.</w:t>
            </w:r>
          </w:p>
          <w:p w14:paraId="3D85A3C3" w14:textId="77777777" w:rsidR="006004E5" w:rsidRDefault="006004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4AE83765" w14:textId="11549774" w:rsidR="006004E5" w:rsidRDefault="006004E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b/>
              </w:rPr>
              <w:t>Źródło:</w:t>
            </w:r>
            <w:bookmarkStart w:id="0" w:name="Lista1"/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art. 41b ust. 5 ustawy z dnia 11 stycznia 2018</w:t>
            </w:r>
            <w:r w:rsidR="001C367F">
              <w:rPr>
                <w:rFonts w:ascii="Times New Roman" w:eastAsiaTheme="minorEastAsia" w:hAnsi="Times New Roman" w:cs="Times New Roman"/>
                <w:lang w:eastAsia="pl-PL"/>
              </w:rPr>
              <w:t xml:space="preserve"> r.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o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pl-PL"/>
              </w:rPr>
              <w:t>elektromobilności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i paliwach alternatywnych (Dz. U. z 202</w:t>
            </w:r>
            <w:r w:rsidR="00FC4A7E">
              <w:rPr>
                <w:rFonts w:ascii="Times New Roman" w:eastAsiaTheme="minorEastAsia" w:hAnsi="Times New Roman" w:cs="Times New Roman"/>
                <w:lang w:eastAsia="pl-PL"/>
              </w:rPr>
              <w:t>3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r. poz. </w:t>
            </w:r>
            <w:r w:rsidR="001C367F">
              <w:rPr>
                <w:rFonts w:ascii="Times New Roman" w:eastAsiaTheme="minorEastAsia" w:hAnsi="Times New Roman" w:cs="Times New Roman"/>
                <w:lang w:eastAsia="pl-PL"/>
              </w:rPr>
              <w:t>8</w:t>
            </w:r>
            <w:r w:rsidR="00FC4A7E">
              <w:rPr>
                <w:rFonts w:ascii="Times New Roman" w:eastAsiaTheme="minorEastAsia" w:hAnsi="Times New Roman" w:cs="Times New Roman"/>
                <w:lang w:eastAsia="pl-PL"/>
              </w:rPr>
              <w:t>75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) </w:t>
            </w:r>
          </w:p>
          <w:bookmarkEnd w:id="0"/>
          <w:p w14:paraId="49A20970" w14:textId="77777777" w:rsidR="006004E5" w:rsidRDefault="006004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3F42A87" w14:textId="24354DA6" w:rsidR="00FC4A7E" w:rsidRPr="001A5450" w:rsidRDefault="006004E5" w:rsidP="001825A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Nr w wykazie prac: </w:t>
            </w:r>
            <w:r w:rsidR="00FC4A7E">
              <w:rPr>
                <w:rFonts w:ascii="Times New Roman" w:hAnsi="Times New Roman" w:cs="Times New Roman"/>
                <w:b/>
                <w:color w:val="000000"/>
              </w:rPr>
              <w:t>1087</w:t>
            </w:r>
          </w:p>
        </w:tc>
      </w:tr>
      <w:tr w:rsidR="006004E5" w14:paraId="57FE748D" w14:textId="77777777" w:rsidTr="006004E5">
        <w:trPr>
          <w:trHeight w:val="142"/>
        </w:trPr>
        <w:tc>
          <w:tcPr>
            <w:tcW w:w="1079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0D502DEC" w14:textId="77777777" w:rsidR="006004E5" w:rsidRDefault="006004E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>
              <w:rPr>
                <w:rFonts w:ascii="Times New Roman" w:hAnsi="Times New Roman" w:cs="Times New Roman"/>
                <w:b/>
                <w:color w:val="FFFFFF"/>
              </w:rPr>
              <w:t>OCENA SKUTKÓW REGULACJI</w:t>
            </w:r>
          </w:p>
        </w:tc>
      </w:tr>
      <w:tr w:rsidR="006004E5" w14:paraId="7F3EE42E" w14:textId="77777777" w:rsidTr="006004E5">
        <w:trPr>
          <w:trHeight w:val="333"/>
        </w:trPr>
        <w:tc>
          <w:tcPr>
            <w:tcW w:w="1079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57CA1971" w14:textId="77777777" w:rsidR="006004E5" w:rsidRDefault="006004E5" w:rsidP="001C367F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Jaki problem jest rozwiązywany?</w:t>
            </w:r>
            <w:bookmarkStart w:id="1" w:name="Wybór1"/>
            <w:bookmarkEnd w:id="1"/>
          </w:p>
        </w:tc>
      </w:tr>
      <w:tr w:rsidR="006004E5" w14:paraId="17BDC1D4" w14:textId="77777777" w:rsidTr="006004E5">
        <w:trPr>
          <w:trHeight w:val="142"/>
        </w:trPr>
        <w:tc>
          <w:tcPr>
            <w:tcW w:w="1079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21FDB8" w14:textId="7B1218BD" w:rsidR="00BB532D" w:rsidRDefault="006004E5" w:rsidP="007B6042">
            <w:pPr>
              <w:pStyle w:val="NIEARTTEKSTtekstnieartykuowanynppodstprawnarozplubpreambua"/>
              <w:spacing w:before="0" w:after="12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E39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Ustawa o </w:t>
            </w:r>
            <w:proofErr w:type="spellStart"/>
            <w:r w:rsidRPr="003E39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elektromobilności</w:t>
            </w:r>
            <w:proofErr w:type="spellEnd"/>
            <w:r w:rsidRPr="003E39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i paliwach alternatywnych (Dz. U. z 202</w:t>
            </w:r>
            <w:r w:rsidR="00FC4A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Pr="003E39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r. poz. </w:t>
            </w:r>
            <w:r w:rsidR="001C367F" w:rsidRPr="003E39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  <w:r w:rsidR="00FC4A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75</w:t>
            </w:r>
            <w:r w:rsidRPr="003E39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), zwana dalej „ustaw</w:t>
            </w:r>
            <w:r w:rsidR="001C367F" w:rsidRPr="003E39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ą</w:t>
            </w:r>
            <w:r w:rsidRPr="003E39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o </w:t>
            </w:r>
            <w:proofErr w:type="spellStart"/>
            <w:r w:rsidRPr="003E39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elektromobilności</w:t>
            </w:r>
            <w:proofErr w:type="spellEnd"/>
            <w:r w:rsidRPr="003E39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”, nałożyła obowiązek stworzenia Ewidencji Infrastruktury Paliw Alternatywnych, </w:t>
            </w:r>
            <w:r w:rsidRPr="003E39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zwan</w:t>
            </w:r>
            <w:r w:rsidR="00F42A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ej</w:t>
            </w:r>
            <w:r w:rsidRPr="003E39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dalej „rejestrem”. Rejestr jest prowadzony przez Urząd Dozoru Technicznego, zwany dalej „UDT”, który zbiera i publicznie udostępnia informacje o </w:t>
            </w:r>
            <w:r w:rsidR="00BB53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ogólnodostępnych </w:t>
            </w:r>
            <w:r w:rsidRPr="003E39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stacjach ładowania samochodów elektrycznych, stacjach gazu ziemnego oraz </w:t>
            </w:r>
            <w:r w:rsidR="00A2442B" w:rsidRPr="003E39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stacjach </w:t>
            </w:r>
            <w:r w:rsidRPr="003E39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wodoru</w:t>
            </w:r>
            <w:r w:rsidR="00A2442B" w:rsidRPr="003E39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na których świadczona jest usługa tankowania wodoru </w:t>
            </w:r>
            <w:r w:rsidRPr="003E39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na terenie kraju. Informacje są aktualizowane w</w:t>
            </w:r>
            <w:r w:rsidR="00BB53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  <w:r w:rsidRPr="003E39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czasie rzeczywistym i informują użytkowników takich pojazdów o dostępności stacji oraz aktualnych cenach ładowania </w:t>
            </w:r>
            <w:r w:rsidR="00A2442B" w:rsidRPr="003E39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i paliw. Obowiązek stworzenia i </w:t>
            </w:r>
            <w:r w:rsidRPr="003E39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prowadzenia takiego systemu wynika z przystąpienia Polski do programu PSA IDACS realizowanego przez Komisję Europejską.</w:t>
            </w:r>
          </w:p>
          <w:p w14:paraId="5838D7DB" w14:textId="792C4F85" w:rsidR="00AA4525" w:rsidRPr="007B6042" w:rsidRDefault="006004E5" w:rsidP="007B6042">
            <w:pPr>
              <w:pStyle w:val="NIEARTTEKSTtekstnieartykuowanynppodstprawnarozplubpreambua"/>
              <w:spacing w:before="0" w:after="12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B53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Mając na uwadze przewidywany wzrost liczby </w:t>
            </w:r>
            <w:r w:rsidR="00FC4A7E" w:rsidRPr="00BB53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ogólnodostępnych </w:t>
            </w:r>
            <w:r w:rsidRPr="00BB53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stacji ładowania,</w:t>
            </w:r>
            <w:r w:rsidR="001A5450" w:rsidRPr="00BB53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jak również stacji gazu ziemnego oraz </w:t>
            </w:r>
            <w:r w:rsidR="001D63EE" w:rsidRPr="00BB53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stacji </w:t>
            </w:r>
            <w:r w:rsidR="001A5450" w:rsidRPr="00BB53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wodoru,</w:t>
            </w:r>
            <w:r w:rsidR="00085DD9" w:rsidRPr="00BB53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na których świadczona jest usługa tankowania wodoru,</w:t>
            </w:r>
            <w:r w:rsidRPr="00BB53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w celu dalszego, profesjonalnego prowadzenia rejestru, konieczne </w:t>
            </w:r>
            <w:r w:rsidR="00F60B4D" w:rsidRPr="00BB53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jest utrzymanie</w:t>
            </w:r>
            <w:r w:rsidRPr="00BB53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opłaty,</w:t>
            </w:r>
            <w:r w:rsidR="00F60B4D" w:rsidRPr="00BB53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przewidywanej w art. 41</w:t>
            </w:r>
            <w:r w:rsidR="00BB53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b</w:t>
            </w:r>
            <w:r w:rsidR="00F60B4D" w:rsidRPr="00BB53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ust. 3 ustawy o </w:t>
            </w:r>
            <w:proofErr w:type="spellStart"/>
            <w:r w:rsidR="00F60B4D" w:rsidRPr="00BB53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elektromobilności</w:t>
            </w:r>
            <w:proofErr w:type="spellEnd"/>
            <w:r w:rsidR="00F60B4D" w:rsidRPr="00BB53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 w:rsidRPr="00BB53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DD246D" w:rsidRPr="00BB53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w </w:t>
            </w:r>
            <w:r w:rsidR="0065715A" w:rsidRPr="00BB53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wysokości jak w 202</w:t>
            </w:r>
            <w:r w:rsidR="001825A7" w:rsidRPr="00BB53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3 </w:t>
            </w:r>
            <w:r w:rsidR="0065715A" w:rsidRPr="00BB53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r., </w:t>
            </w:r>
            <w:r w:rsidRPr="00BB53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która </w:t>
            </w:r>
            <w:r w:rsidR="00FC4A7E" w:rsidRPr="00BB53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będzie </w:t>
            </w:r>
            <w:r w:rsidRPr="00BB53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pokrywać koszty prowadzenia</w:t>
            </w:r>
            <w:r w:rsidR="00A22C64" w:rsidRPr="00BB53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B53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rejestru, jego dostępności przez stronę internetową oraz dalszy rozwój.</w:t>
            </w:r>
            <w:r w:rsidR="00A22C64" w:rsidRPr="00BB53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7B6042" w:rsidRPr="00BB53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Należy wskazać, że w</w:t>
            </w:r>
            <w:r w:rsidR="00A22C64" w:rsidRPr="00BB53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7B6042" w:rsidRPr="00BB53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tej </w:t>
            </w:r>
            <w:r w:rsidR="00A22C64" w:rsidRPr="00BB53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kwocie uwzględniono </w:t>
            </w:r>
            <w:r w:rsidR="007B6042" w:rsidRPr="00BB53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także </w:t>
            </w:r>
            <w:r w:rsidR="00A22C64" w:rsidRPr="00BB53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koszty hostingu, w tym koszt serwera, licencje oraz koszty pracownicze.</w:t>
            </w:r>
          </w:p>
        </w:tc>
      </w:tr>
      <w:tr w:rsidR="006004E5" w14:paraId="52A165A1" w14:textId="77777777" w:rsidTr="006004E5">
        <w:trPr>
          <w:trHeight w:val="142"/>
        </w:trPr>
        <w:tc>
          <w:tcPr>
            <w:tcW w:w="1079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65C1B09D" w14:textId="77777777" w:rsidR="006004E5" w:rsidRDefault="006004E5" w:rsidP="001C367F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6004E5" w14:paraId="02FEB978" w14:textId="77777777" w:rsidTr="006004E5">
        <w:trPr>
          <w:trHeight w:val="142"/>
        </w:trPr>
        <w:tc>
          <w:tcPr>
            <w:tcW w:w="1079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6D86" w14:textId="63232CD2" w:rsidR="00DB4070" w:rsidRPr="00BB532D" w:rsidRDefault="00AA4525" w:rsidP="007B6042">
            <w:pPr>
              <w:pStyle w:val="NIEARTTEKSTtekstnieartykuowanynppodstprawnarozplubpreambua"/>
              <w:spacing w:before="0" w:after="12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Rosnąca</w:t>
            </w:r>
            <w:r w:rsidR="006004E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liczba stacji ładowania oraz tankowania paliw alternatywnych w Polsce powoduje</w:t>
            </w:r>
            <w:r w:rsidR="00DB2C9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konieczność </w:t>
            </w:r>
            <w:r w:rsidR="00431F6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zapewnienia UDT pokrycia kosztów </w:t>
            </w:r>
            <w:r w:rsidR="006004E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prowadzenia </w:t>
            </w:r>
            <w:r w:rsidR="00431F6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rejestru. W celu zapewnienia odpowiedniej funkcjonalności rejestru </w:t>
            </w:r>
            <w:r w:rsidR="006004E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UDT musi mieć możliwość pobierania relatywnie niskich opłat, które w roku 202</w:t>
            </w:r>
            <w:r w:rsidR="001825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="006004E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będą wynosić miesięcznie: 10 zł od </w:t>
            </w:r>
            <w:r w:rsidR="006004E5" w:rsidRPr="00BB53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operatora ogólnodostępnej stacji ładowania, stacji gazu ziemnego lub stacji wodoru, na której świadczona jest usługa tankowania wodoru </w:t>
            </w:r>
            <w:r w:rsidR="006004E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oraz 50 zł od dostawcy usługi ładowania. Opłaty pozwolą UDT prowadzić profesjonalny i łatwo dostępny publiczny rejestr.</w:t>
            </w:r>
          </w:p>
          <w:p w14:paraId="76F7DACD" w14:textId="17EFBC9A" w:rsidR="00DB4070" w:rsidRPr="002E113E" w:rsidRDefault="006004E5" w:rsidP="007B6042">
            <w:pPr>
              <w:pStyle w:val="NIEARTTEKSTtekstnieartykuowanynppodstprawnarozplubpreambua"/>
              <w:spacing w:before="0" w:after="12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11C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Jako kryterium ustalania wysokości opłaty dla operatora ogólnodostępnej stacji ładowania, operatora stacji gazu ziemnego oraz operatora stacji wodoru </w:t>
            </w:r>
            <w:r w:rsidR="0065715A" w:rsidRPr="00711C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świadczącego usługę tankowania wodoru </w:t>
            </w:r>
            <w:r w:rsidRPr="00711C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za nadanie</w:t>
            </w:r>
            <w:r w:rsidR="0065715A" w:rsidRPr="00711C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numeru EIPA, uznanie kodu oraz </w:t>
            </w:r>
            <w:r w:rsidRPr="00711C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utrzymanie </w:t>
            </w:r>
            <w:r w:rsidR="0065715A" w:rsidRPr="00711C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go w systemie teleinformatycznym </w:t>
            </w:r>
            <w:r w:rsidRPr="00711C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w ustawie</w:t>
            </w:r>
            <w:r w:rsidR="0065715A" w:rsidRPr="00711C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o </w:t>
            </w:r>
            <w:proofErr w:type="spellStart"/>
            <w:r w:rsidR="0065715A" w:rsidRPr="00711C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elektromobilności</w:t>
            </w:r>
            <w:proofErr w:type="spellEnd"/>
            <w:r w:rsidR="0065715A" w:rsidRPr="00711C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11C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wskazano liczbę stacji przedstawionych na interaktywnej mapie. Natomiast, informacje dotyczące liczby stacji, na których działa dostawca usługi ładowania nie będą gromadzone w systemie. W związku z tym dostawcy usługi ładowania będą ponosili stałą opłatę za nadanie i utrzymanie numeru EIPA</w:t>
            </w:r>
            <w:r w:rsidR="00705A3F" w:rsidRPr="00711C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(50 zł)</w:t>
            </w:r>
            <w:r w:rsidRPr="00711C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niezależnie od liczby stacji, na których będą prowadzili działalność. </w:t>
            </w:r>
            <w:r w:rsidR="0070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Mając na uwadze powyższe, </w:t>
            </w:r>
            <w:r w:rsidR="00705A3F" w:rsidRPr="00711C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dokonano </w:t>
            </w:r>
            <w:r w:rsidRPr="00711C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zróżnicowani</w:t>
            </w:r>
            <w:r w:rsidR="00705A3F" w:rsidRPr="00711C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a </w:t>
            </w:r>
            <w:r w:rsidRPr="00711C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w zakresie </w:t>
            </w:r>
            <w:r w:rsidR="00705A3F" w:rsidRPr="00711C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miesięcznej </w:t>
            </w:r>
            <w:r w:rsidRPr="00711C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wysokości opłaty. </w:t>
            </w:r>
          </w:p>
          <w:p w14:paraId="0D0488DB" w14:textId="004C0B77" w:rsidR="002E113E" w:rsidRPr="00BB532D" w:rsidRDefault="006004E5" w:rsidP="00BB532D">
            <w:pPr>
              <w:pStyle w:val="NIEARTTEKSTtekstnieartykuowanynppodstprawnarozplubpreambua"/>
              <w:spacing w:before="0" w:after="12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2" w:name="_Hlk95468906"/>
            <w:r w:rsidRPr="00BB53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Szacunkowy roczny koszt prowadzenia rejestru</w:t>
            </w:r>
            <w:r w:rsidR="00DB2C9F" w:rsidRPr="00BB53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B53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wynosi, zgodnie z informacjami przekazanymi przez UDT</w:t>
            </w:r>
            <w:r w:rsidR="003026E0" w:rsidRPr="00BB53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 w:rsidR="00EC4FDE" w:rsidRPr="00BB53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EC4FDE" w:rsidRPr="00BB53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ok</w:t>
            </w:r>
            <w:r w:rsidR="00F42A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oło</w:t>
            </w:r>
            <w:r w:rsidRPr="00BB53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3</w:t>
            </w:r>
            <w:r w:rsidR="00DB2C9F" w:rsidRPr="00BB53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  <w:r w:rsidRPr="00BB53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 tys. zł. W celu właściwego określenia wysokości stawki za nadanie indywidualnego kodu identyfikacyjnego, uznanie kodu oraz ich utrzymanie w systemie teleinformatycznym oszacowano liczbę stacji ładowania pojazdów elektrycznych</w:t>
            </w:r>
            <w:r w:rsidR="008F43D7" w:rsidRPr="00BB53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r w:rsidRPr="00BB53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stacji gazu </w:t>
            </w:r>
            <w:r w:rsidR="00A2442B" w:rsidRPr="00BB53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ziemnego </w:t>
            </w:r>
            <w:r w:rsidRPr="00BB53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oraz </w:t>
            </w:r>
            <w:r w:rsidR="00A2442B" w:rsidRPr="00BB53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stacji wodoru, na której świadczona jest usługa tankowania wodoru</w:t>
            </w:r>
            <w:r w:rsidRPr="00BB53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Na tej podstawie obliczono, że zaproponowana wysokość stawki pokrywa koszty prowadzenia rejestru.</w:t>
            </w:r>
            <w:bookmarkEnd w:id="2"/>
            <w:r w:rsidRPr="00BB53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Kompleksowe obliczenia zostały </w:t>
            </w:r>
            <w:r w:rsidRPr="00BB53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przedstawione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53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w załączniku do Oceny Skutków Regulacji ustawy z dnia 2 grudnia 2021 r. o zmianie ustawy o</w:t>
            </w:r>
            <w:r w:rsidR="00635CF0" w:rsidRPr="00BB53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  <w:proofErr w:type="spellStart"/>
            <w:r w:rsidRPr="00BB53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elektromobilności</w:t>
            </w:r>
            <w:proofErr w:type="spellEnd"/>
            <w:r w:rsidRPr="00BB53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i</w:t>
            </w:r>
            <w:r w:rsidR="008F43D7" w:rsidRPr="00BB53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  <w:r w:rsidRPr="00BB53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paliwach alternatywnych oraz niektórych innych ustaw (Dz. U. poz. 2269) wraz ze szczegółową metodologią obliczeń w zakresie zmian przepisów dotyczących jednostek dozoru technicznego.</w:t>
            </w:r>
          </w:p>
          <w:p w14:paraId="359A7EC9" w14:textId="6EBD000D" w:rsidR="00705A3F" w:rsidRDefault="00711C78" w:rsidP="00BB532D">
            <w:pPr>
              <w:pStyle w:val="NIEARTTEKSTtekstnieartykuowanynppodstprawnarozplubpreambua"/>
              <w:spacing w:before="0" w:after="120" w:line="240" w:lineRule="auto"/>
              <w:ind w:firstLine="0"/>
              <w:rPr>
                <w:rFonts w:ascii="Times New Roman" w:hAnsi="Times New Roman" w:cs="Times New Roman"/>
              </w:rPr>
            </w:pPr>
            <w:r w:rsidRPr="00BB53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Należy jednocześnie wskazać, że nie istnieją obecnie inne niż legislacyjne środki, które umożliwiałyby osiągnięcie zakładanych w projekcie celów. Obowiązek wydania niniejszego rozporządzenia wynika bowiem wprost z art. 41b ust. 5 ustawy o </w:t>
            </w:r>
            <w:proofErr w:type="spellStart"/>
            <w:r w:rsidRPr="00BB53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elektromobilności</w:t>
            </w:r>
            <w:proofErr w:type="spellEnd"/>
            <w:r w:rsidRPr="00BB53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</w:tr>
      <w:tr w:rsidR="006004E5" w14:paraId="71170B7B" w14:textId="77777777" w:rsidTr="006004E5">
        <w:trPr>
          <w:trHeight w:val="307"/>
        </w:trPr>
        <w:tc>
          <w:tcPr>
            <w:tcW w:w="1079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011DD8E9" w14:textId="77777777" w:rsidR="006004E5" w:rsidRDefault="006004E5" w:rsidP="001C367F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lastRenderedPageBreak/>
              <w:t>Jak problem został rozwiązany w innych krajach, w szczególności krajach członkowskich OECD/UE</w:t>
            </w:r>
            <w:r>
              <w:rPr>
                <w:rFonts w:ascii="Times New Roman" w:hAnsi="Times New Roman" w:cs="Times New Roman"/>
                <w:b/>
                <w:color w:val="000000"/>
              </w:rPr>
              <w:t>?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</w:p>
        </w:tc>
      </w:tr>
      <w:tr w:rsidR="006004E5" w14:paraId="25F5A50B" w14:textId="77777777" w:rsidTr="006004E5">
        <w:trPr>
          <w:trHeight w:val="142"/>
        </w:trPr>
        <w:tc>
          <w:tcPr>
            <w:tcW w:w="1079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CD0A9" w14:textId="00609100" w:rsidR="00DB4070" w:rsidRPr="00BB532D" w:rsidRDefault="006004E5" w:rsidP="00BB532D">
            <w:pPr>
              <w:pStyle w:val="NIEARTTEKSTtekstnieartykuowanynppodstprawnarozplubpreambua"/>
              <w:spacing w:before="0" w:after="12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B53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Należy wskazać, </w:t>
            </w:r>
            <w:r w:rsidR="00F42A88" w:rsidRPr="00BB53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że</w:t>
            </w:r>
            <w:r w:rsidRPr="00BB53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państwa członkowskie Unii Europejskiej zobowiązały się do tworzenia rejestrów w ramach programu PSA IDACS, dlatego też ustawa o </w:t>
            </w:r>
            <w:proofErr w:type="spellStart"/>
            <w:r w:rsidRPr="00BB53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elektromobilności</w:t>
            </w:r>
            <w:proofErr w:type="spellEnd"/>
            <w:r w:rsidRPr="00BB53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przewiduje możliwość uznania przez UDT kodu nadanego w innym państwie członkowskim. System ten w Unii Europejskiej jest w trakcie powstawania.</w:t>
            </w:r>
            <w:r w:rsidR="001825A7" w:rsidRPr="00BB53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Państwa UE prowadzą swoje strony, odpowiedniki EIPA – np. </w:t>
            </w:r>
            <w:hyperlink r:id="rId8" w:history="1">
              <w:r w:rsidR="001825A7" w:rsidRPr="00BB532D">
                <w:rPr>
                  <w:rFonts w:ascii="Times New Roman" w:hAnsi="Times New Roman" w:cs="Times New Roman"/>
                  <w:sz w:val="22"/>
                  <w:szCs w:val="22"/>
                  <w:lang w:eastAsia="en-US"/>
                </w:rPr>
                <w:t>https://www.mobie.pt/pt/redemobie/encontrar-posto</w:t>
              </w:r>
            </w:hyperlink>
            <w:r w:rsidR="001825A7" w:rsidRPr="00BB53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(Portugalia). Działają także rejestry komercyjne, które obejmują tereny Unii, jak amerykański </w:t>
            </w:r>
            <w:proofErr w:type="spellStart"/>
            <w:r w:rsidR="001825A7" w:rsidRPr="00BB53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Chargemap</w:t>
            </w:r>
            <w:proofErr w:type="spellEnd"/>
            <w:r w:rsidR="001825A7" w:rsidRPr="00BB53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hyperlink r:id="rId9" w:history="1">
              <w:r w:rsidR="001825A7" w:rsidRPr="00BB532D">
                <w:rPr>
                  <w:rFonts w:ascii="Times New Roman" w:hAnsi="Times New Roman" w:cs="Times New Roman"/>
                  <w:sz w:val="22"/>
                  <w:szCs w:val="22"/>
                  <w:lang w:eastAsia="en-US"/>
                </w:rPr>
                <w:t>https://chargemap.com/map</w:t>
              </w:r>
            </w:hyperlink>
            <w:r w:rsidR="001825A7" w:rsidRPr="00BB53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  <w:p w14:paraId="20CE5092" w14:textId="54DBF931" w:rsidR="00D83B73" w:rsidRPr="003E3962" w:rsidRDefault="001825A7" w:rsidP="00BB532D">
            <w:pPr>
              <w:pStyle w:val="NIEARTTEKSTtekstnieartykuowanynppodstprawnarozplubpreambua"/>
              <w:spacing w:before="0" w:after="120" w:line="240" w:lineRule="auto"/>
              <w:ind w:firstLine="0"/>
              <w:rPr>
                <w:rFonts w:ascii="Times New Roman" w:hAnsi="Times New Roman" w:cs="Times New Roman"/>
                <w:bCs w:val="0"/>
              </w:rPr>
            </w:pPr>
            <w:r w:rsidRPr="00BB53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Przykładem</w:t>
            </w:r>
            <w:r w:rsidR="006004E5" w:rsidRPr="00BB53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publicznego i dostępnego rejestru jest</w:t>
            </w:r>
            <w:r w:rsidRPr="00BB53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także</w:t>
            </w:r>
            <w:r w:rsidR="006004E5" w:rsidRPr="00BB53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program Departamentu Energii Stanów Zjednoczonych – </w:t>
            </w:r>
            <w:proofErr w:type="spellStart"/>
            <w:r w:rsidR="006004E5" w:rsidRPr="00BB53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Alternative</w:t>
            </w:r>
            <w:proofErr w:type="spellEnd"/>
            <w:r w:rsidR="006004E5" w:rsidRPr="00BB53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6004E5" w:rsidRPr="00BB53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Fuels</w:t>
            </w:r>
            <w:proofErr w:type="spellEnd"/>
            <w:r w:rsidR="006004E5" w:rsidRPr="00BB53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Data Center, który na stronie: </w:t>
            </w:r>
            <w:hyperlink r:id="rId10" w:anchor="/find/nearest?fuel=ELEC" w:history="1">
              <w:r w:rsidR="00D83B73" w:rsidRPr="00BB532D">
                <w:rPr>
                  <w:rFonts w:ascii="Times New Roman" w:hAnsi="Times New Roman" w:cs="Times New Roman"/>
                  <w:sz w:val="22"/>
                  <w:szCs w:val="22"/>
                  <w:lang w:eastAsia="en-US"/>
                </w:rPr>
                <w:t>https://afdc.energy.gov/fuels/electricity_locations.html#/find/nearest?fuel=ELEC</w:t>
              </w:r>
            </w:hyperlink>
            <w:r w:rsidR="006004E5" w:rsidRPr="00BB53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umieszcza publicznie i bez opłat dla kierowców dostępne stacje na terenie USA oraz Kanady.</w:t>
            </w:r>
          </w:p>
        </w:tc>
      </w:tr>
      <w:tr w:rsidR="006004E5" w14:paraId="549111C0" w14:textId="77777777" w:rsidTr="006004E5">
        <w:trPr>
          <w:trHeight w:val="359"/>
        </w:trPr>
        <w:tc>
          <w:tcPr>
            <w:tcW w:w="1079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5BC94CB8" w14:textId="77777777" w:rsidR="006004E5" w:rsidRDefault="006004E5" w:rsidP="001C367F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Podmioty, na które oddziałuje projekt</w:t>
            </w:r>
          </w:p>
        </w:tc>
      </w:tr>
      <w:tr w:rsidR="006004E5" w14:paraId="384922B2" w14:textId="77777777" w:rsidTr="006004E5">
        <w:trPr>
          <w:trHeight w:val="142"/>
        </w:trPr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2C399" w14:textId="77777777" w:rsidR="006004E5" w:rsidRDefault="00600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Grupa</w:t>
            </w:r>
          </w:p>
        </w:tc>
        <w:tc>
          <w:tcPr>
            <w:tcW w:w="2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69E0C" w14:textId="77777777" w:rsidR="006004E5" w:rsidRDefault="00600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Wielkość</w:t>
            </w:r>
          </w:p>
        </w:tc>
        <w:tc>
          <w:tcPr>
            <w:tcW w:w="24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A078E" w14:textId="77777777" w:rsidR="006004E5" w:rsidRDefault="00600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Źródło danych </w:t>
            </w:r>
          </w:p>
        </w:tc>
        <w:tc>
          <w:tcPr>
            <w:tcW w:w="29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09A37" w14:textId="77777777" w:rsidR="006004E5" w:rsidRDefault="00600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Oddziaływanie</w:t>
            </w:r>
          </w:p>
        </w:tc>
      </w:tr>
      <w:tr w:rsidR="006004E5" w14:paraId="062BE0BB" w14:textId="77777777" w:rsidTr="006004E5">
        <w:trPr>
          <w:trHeight w:val="142"/>
        </w:trPr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4E419" w14:textId="77777777" w:rsidR="006004E5" w:rsidRDefault="006004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Operatorzy stacji ładowania i tankowania</w:t>
            </w:r>
          </w:p>
        </w:tc>
        <w:tc>
          <w:tcPr>
            <w:tcW w:w="2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F8053" w14:textId="13A76C65" w:rsidR="006004E5" w:rsidRDefault="006004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Ok</w:t>
            </w:r>
            <w:r w:rsidR="00F42A88">
              <w:rPr>
                <w:rFonts w:ascii="Times New Roman" w:hAnsi="Times New Roman" w:cs="Times New Roman"/>
                <w:color w:val="000000"/>
                <w:spacing w:val="-2"/>
              </w:rPr>
              <w:t>oło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 35</w:t>
            </w:r>
            <w:r w:rsidR="00B560EC">
              <w:rPr>
                <w:rFonts w:ascii="Times New Roman" w:hAnsi="Times New Roman" w:cs="Times New Roman"/>
                <w:color w:val="000000"/>
                <w:spacing w:val="-2"/>
              </w:rPr>
              <w:t>0</w:t>
            </w:r>
          </w:p>
        </w:tc>
        <w:tc>
          <w:tcPr>
            <w:tcW w:w="24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AE9EA" w14:textId="75526E71" w:rsidR="006004E5" w:rsidRDefault="006004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Dane </w:t>
            </w:r>
            <w:r w:rsidR="00B560EC">
              <w:rPr>
                <w:rFonts w:ascii="Times New Roman" w:hAnsi="Times New Roman" w:cs="Times New Roman"/>
                <w:color w:val="000000"/>
                <w:spacing w:val="-2"/>
              </w:rPr>
              <w:t>UDT</w:t>
            </w:r>
          </w:p>
        </w:tc>
        <w:tc>
          <w:tcPr>
            <w:tcW w:w="29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C6FDA" w14:textId="77777777" w:rsidR="006004E5" w:rsidRDefault="006004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Obowiązek uiszczenia miesięcznej opłaty od każdej stacji ładowania lub tankowania gazu ziemnego/wodoru.</w:t>
            </w:r>
          </w:p>
        </w:tc>
      </w:tr>
      <w:tr w:rsidR="006004E5" w14:paraId="13B6830B" w14:textId="77777777" w:rsidTr="006004E5">
        <w:trPr>
          <w:trHeight w:val="142"/>
        </w:trPr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913F0" w14:textId="77777777" w:rsidR="006004E5" w:rsidRDefault="006004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Dostawcy usług ładowania</w:t>
            </w:r>
          </w:p>
        </w:tc>
        <w:tc>
          <w:tcPr>
            <w:tcW w:w="2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CC41" w14:textId="7E626F30" w:rsidR="006004E5" w:rsidRDefault="00B560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6</w:t>
            </w:r>
          </w:p>
          <w:p w14:paraId="2FCED34C" w14:textId="77777777" w:rsidR="006004E5" w:rsidRDefault="006004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24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CE3DA" w14:textId="3E4B96C0" w:rsidR="006004E5" w:rsidRDefault="006004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Dane </w:t>
            </w:r>
            <w:r w:rsidR="00B560EC">
              <w:rPr>
                <w:rFonts w:ascii="Times New Roman" w:hAnsi="Times New Roman" w:cs="Times New Roman"/>
                <w:color w:val="000000"/>
                <w:spacing w:val="-2"/>
              </w:rPr>
              <w:t>UDT</w:t>
            </w:r>
          </w:p>
        </w:tc>
        <w:tc>
          <w:tcPr>
            <w:tcW w:w="29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DE27C" w14:textId="77777777" w:rsidR="006004E5" w:rsidRDefault="006004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Obowiązek uiszczenia miesięcznej opłaty.</w:t>
            </w:r>
          </w:p>
        </w:tc>
      </w:tr>
      <w:tr w:rsidR="00B560EC" w14:paraId="3A103C93" w14:textId="77777777" w:rsidTr="006004E5">
        <w:trPr>
          <w:trHeight w:val="142"/>
        </w:trPr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9637" w14:textId="18F613CE" w:rsidR="00B560EC" w:rsidRDefault="00B560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Podmioty będące zarówno operatorami stacji ładowania jak i 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dostawc</w:t>
            </w:r>
            <w:r w:rsidR="00F42A88">
              <w:rPr>
                <w:rFonts w:ascii="Times New Roman" w:hAnsi="Times New Roman" w:cs="Times New Roman"/>
                <w:color w:val="000000"/>
                <w:spacing w:val="-2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mi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 usług</w:t>
            </w:r>
          </w:p>
        </w:tc>
        <w:tc>
          <w:tcPr>
            <w:tcW w:w="2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AEFE" w14:textId="1400B686" w:rsidR="00B560EC" w:rsidRDefault="00B560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35</w:t>
            </w:r>
          </w:p>
        </w:tc>
        <w:tc>
          <w:tcPr>
            <w:tcW w:w="24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3F81" w14:textId="57602260" w:rsidR="00B560EC" w:rsidRDefault="00B560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Dane UDT</w:t>
            </w:r>
          </w:p>
        </w:tc>
        <w:tc>
          <w:tcPr>
            <w:tcW w:w="29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342B" w14:textId="02ACABDF" w:rsidR="00B560EC" w:rsidRDefault="00B560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Obowiązek uiszczenia miesięcznej opłaty oraz opłat od każdej stacji ładowania.</w:t>
            </w:r>
          </w:p>
        </w:tc>
      </w:tr>
      <w:tr w:rsidR="006004E5" w14:paraId="48010074" w14:textId="77777777" w:rsidTr="006004E5">
        <w:trPr>
          <w:trHeight w:val="142"/>
        </w:trPr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E0839" w14:textId="77777777" w:rsidR="006004E5" w:rsidRDefault="006004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Urząd Dozoru Technicznego (UDT)</w:t>
            </w:r>
          </w:p>
        </w:tc>
        <w:tc>
          <w:tcPr>
            <w:tcW w:w="2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E5AA3" w14:textId="77777777" w:rsidR="006004E5" w:rsidRDefault="006004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1</w:t>
            </w:r>
          </w:p>
        </w:tc>
        <w:tc>
          <w:tcPr>
            <w:tcW w:w="24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7D038" w14:textId="77777777" w:rsidR="006004E5" w:rsidRDefault="006004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29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BC63D" w14:textId="77777777" w:rsidR="006004E5" w:rsidRDefault="006004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Otrzymanie środków na prowadzenie i ulepszanie rejestru.</w:t>
            </w:r>
          </w:p>
        </w:tc>
      </w:tr>
      <w:tr w:rsidR="006004E5" w14:paraId="39E0C507" w14:textId="77777777" w:rsidTr="006004E5">
        <w:trPr>
          <w:trHeight w:val="302"/>
        </w:trPr>
        <w:tc>
          <w:tcPr>
            <w:tcW w:w="1079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697B4A5D" w14:textId="77777777" w:rsidR="006004E5" w:rsidRDefault="006004E5" w:rsidP="001C367F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6004E5" w14:paraId="714CAF5C" w14:textId="77777777" w:rsidTr="006004E5">
        <w:trPr>
          <w:trHeight w:val="590"/>
        </w:trPr>
        <w:tc>
          <w:tcPr>
            <w:tcW w:w="1079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F35EF4" w14:textId="77777777" w:rsidR="006004E5" w:rsidRPr="00BB532D" w:rsidRDefault="006004E5" w:rsidP="00BB532D">
            <w:pPr>
              <w:pStyle w:val="NIEARTTEKSTtekstnieartykuowanynppodstprawnarozplubpreambua"/>
              <w:spacing w:before="0" w:after="12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B53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Projekt nie był przedmiotem </w:t>
            </w:r>
            <w:proofErr w:type="spellStart"/>
            <w:r w:rsidRPr="00BB53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pre</w:t>
            </w:r>
            <w:proofErr w:type="spellEnd"/>
            <w:r w:rsidRPr="00BB53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-konsultacji. </w:t>
            </w:r>
          </w:p>
          <w:p w14:paraId="028CA845" w14:textId="6BA7CCFC" w:rsidR="00431F6C" w:rsidRPr="00BB532D" w:rsidRDefault="006004E5" w:rsidP="00BB532D">
            <w:pPr>
              <w:pStyle w:val="NIEARTTEKSTtekstnieartykuowanynppodstprawnarozplubpreambua"/>
              <w:spacing w:before="0" w:after="12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B53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Projekt, zgodnie z art. 5 ustawy z dnia 7 lipca 2005 r. o działalności lobbingowej w procesie stanowienia prawa i § 52 uchwały nr 190 Rady Ministrów z dnia 29 października 2013 r. – Regulamin pracy Rady Ministrów, </w:t>
            </w:r>
            <w:r w:rsidR="00753DD2" w:rsidRPr="00BB53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zostanie</w:t>
            </w:r>
            <w:r w:rsidRPr="00BB53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udostępniony w Biuletynie Informacji Publicznej, na stronie podmiotowej Rządowego Centrum Legislacji, w serwisie Rządowy Proces Legislacyjny.</w:t>
            </w:r>
          </w:p>
          <w:p w14:paraId="5093CA76" w14:textId="06DF973C" w:rsidR="006004E5" w:rsidRPr="003E3962" w:rsidRDefault="00600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962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Projekt zosta</w:t>
            </w:r>
            <w:r w:rsidR="00753DD2" w:rsidRPr="003E3962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nie</w:t>
            </w:r>
            <w:r w:rsidRPr="003E3962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 xml:space="preserve"> przekazany do konsultacji (na 1</w:t>
            </w:r>
            <w:r w:rsidR="00490DD4" w:rsidRPr="003E3962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0</w:t>
            </w:r>
            <w:r w:rsidRPr="003E3962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 xml:space="preserve"> dni) do następujących podmiotów:</w:t>
            </w:r>
          </w:p>
          <w:p w14:paraId="50CAFE69" w14:textId="154830C1" w:rsidR="006004E5" w:rsidRPr="003E3962" w:rsidRDefault="006004E5" w:rsidP="001C367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1" w:hanging="311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962">
              <w:rPr>
                <w:rFonts w:ascii="Times New Roman" w:eastAsia="Times New Roman" w:hAnsi="Times New Roman" w:cs="Times New Roman"/>
                <w:lang w:eastAsia="pl-PL"/>
              </w:rPr>
              <w:t>Polskie Sieci Elektroenergetyczne S.A.</w:t>
            </w:r>
            <w:r w:rsidR="00665C26" w:rsidRPr="003E3962">
              <w:rPr>
                <w:rFonts w:ascii="Times New Roman" w:hAnsi="Times New Roman" w:cs="Times New Roman"/>
              </w:rPr>
              <w:t>;</w:t>
            </w:r>
          </w:p>
          <w:p w14:paraId="168EF16A" w14:textId="7B89AA28" w:rsidR="006004E5" w:rsidRPr="003E3962" w:rsidRDefault="006004E5" w:rsidP="001C367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1" w:hanging="311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962">
              <w:rPr>
                <w:rFonts w:ascii="Times New Roman" w:eastAsia="Times New Roman" w:hAnsi="Times New Roman" w:cs="Times New Roman"/>
                <w:lang w:eastAsia="pl-PL"/>
              </w:rPr>
              <w:t>Towarzystwo Obrotu Energią</w:t>
            </w:r>
            <w:r w:rsidR="00665C26" w:rsidRPr="003E3962">
              <w:rPr>
                <w:rFonts w:ascii="Times New Roman" w:eastAsia="Times New Roman" w:hAnsi="Times New Roman" w:cs="Times New Roman"/>
                <w:lang w:eastAsia="pl-PL"/>
              </w:rPr>
              <w:t xml:space="preserve">; </w:t>
            </w:r>
          </w:p>
          <w:p w14:paraId="04D03F3C" w14:textId="7343833D" w:rsidR="006004E5" w:rsidRPr="003E3962" w:rsidRDefault="006004E5" w:rsidP="001C367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1" w:hanging="311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962">
              <w:rPr>
                <w:rFonts w:ascii="Times New Roman" w:eastAsia="Times New Roman" w:hAnsi="Times New Roman" w:cs="Times New Roman"/>
                <w:lang w:eastAsia="pl-PL"/>
              </w:rPr>
              <w:t xml:space="preserve">Polskie Towarzystwo </w:t>
            </w:r>
            <w:proofErr w:type="spellStart"/>
            <w:r w:rsidRPr="003E3962">
              <w:rPr>
                <w:rFonts w:ascii="Times New Roman" w:eastAsia="Times New Roman" w:hAnsi="Times New Roman" w:cs="Times New Roman"/>
                <w:lang w:eastAsia="pl-PL"/>
              </w:rPr>
              <w:t>Przesyłu</w:t>
            </w:r>
            <w:proofErr w:type="spellEnd"/>
            <w:r w:rsidRPr="003E3962">
              <w:rPr>
                <w:rFonts w:ascii="Times New Roman" w:eastAsia="Times New Roman" w:hAnsi="Times New Roman" w:cs="Times New Roman"/>
                <w:lang w:eastAsia="pl-PL"/>
              </w:rPr>
              <w:t xml:space="preserve"> i Rozdziału Energii Elektrycznej</w:t>
            </w:r>
            <w:r w:rsidR="00665C26" w:rsidRPr="003E3962">
              <w:rPr>
                <w:rFonts w:ascii="Times New Roman" w:eastAsia="Times New Roman" w:hAnsi="Times New Roman" w:cs="Times New Roman"/>
                <w:lang w:eastAsia="pl-PL"/>
              </w:rPr>
              <w:t xml:space="preserve">; </w:t>
            </w:r>
          </w:p>
          <w:p w14:paraId="44169E77" w14:textId="0EE8A98F" w:rsidR="006004E5" w:rsidRPr="003E3962" w:rsidRDefault="006004E5" w:rsidP="001C367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1" w:hanging="311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962">
              <w:rPr>
                <w:rFonts w:ascii="Times New Roman" w:eastAsia="Times New Roman" w:hAnsi="Times New Roman" w:cs="Times New Roman"/>
                <w:lang w:eastAsia="pl-PL"/>
              </w:rPr>
              <w:t>Federacja Konsumentów</w:t>
            </w:r>
            <w:r w:rsidR="00665C26" w:rsidRPr="003E3962">
              <w:rPr>
                <w:rFonts w:ascii="Times New Roman" w:hAnsi="Times New Roman" w:cs="Times New Roman"/>
              </w:rPr>
              <w:t>;</w:t>
            </w:r>
          </w:p>
          <w:p w14:paraId="32CA0184" w14:textId="587E5D6D" w:rsidR="006004E5" w:rsidRPr="003E3962" w:rsidRDefault="006004E5" w:rsidP="001C367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1" w:hanging="311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962">
              <w:rPr>
                <w:rFonts w:ascii="Times New Roman" w:eastAsia="Times New Roman" w:hAnsi="Times New Roman" w:cs="Times New Roman"/>
                <w:lang w:eastAsia="pl-PL"/>
              </w:rPr>
              <w:t>Polski Komitet Energii Elektrycznej</w:t>
            </w:r>
            <w:r w:rsidR="00665C26" w:rsidRPr="003E3962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0AA8E6F8" w14:textId="13925BFF" w:rsidR="006004E5" w:rsidRPr="003E3962" w:rsidRDefault="006004E5" w:rsidP="001C367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1" w:hanging="311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962">
              <w:rPr>
                <w:rFonts w:ascii="Times New Roman" w:eastAsia="Times New Roman" w:hAnsi="Times New Roman" w:cs="Times New Roman"/>
                <w:lang w:eastAsia="pl-PL"/>
              </w:rPr>
              <w:t>Krajowa Izba Gospodarcza Elektroniki i Telekomunikacji</w:t>
            </w:r>
            <w:r w:rsidR="00101043" w:rsidRPr="003E3962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0CB16C8C" w14:textId="72F59ABC" w:rsidR="006004E5" w:rsidRPr="003E3962" w:rsidRDefault="006004E5" w:rsidP="001C367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1" w:hanging="311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962">
              <w:rPr>
                <w:rFonts w:ascii="Times New Roman" w:eastAsia="Times New Roman" w:hAnsi="Times New Roman" w:cs="Times New Roman"/>
                <w:lang w:eastAsia="pl-PL"/>
              </w:rPr>
              <w:t>Polskie Stowarzyszenie Paliw Alternatywnych</w:t>
            </w:r>
            <w:r w:rsidR="00665C26" w:rsidRPr="003E3962">
              <w:rPr>
                <w:rFonts w:ascii="Times New Roman" w:hAnsi="Times New Roman" w:cs="Times New Roman"/>
                <w:lang w:eastAsia="pl-PL"/>
              </w:rPr>
              <w:t>;</w:t>
            </w:r>
          </w:p>
          <w:p w14:paraId="0D9DF008" w14:textId="1CCD2031" w:rsidR="006004E5" w:rsidRPr="003E3962" w:rsidRDefault="006004E5" w:rsidP="001C367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1" w:hanging="311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962">
              <w:rPr>
                <w:rFonts w:ascii="Times New Roman" w:eastAsia="Times New Roman" w:hAnsi="Times New Roman" w:cs="Times New Roman"/>
                <w:lang w:eastAsia="pl-PL"/>
              </w:rPr>
              <w:t>Fundacja Promocji Pojazdów Elektrycznych</w:t>
            </w:r>
            <w:r w:rsidR="00665C26" w:rsidRPr="003E3962">
              <w:rPr>
                <w:rFonts w:ascii="Times New Roman" w:hAnsi="Times New Roman" w:cs="Times New Roman"/>
                <w:lang w:eastAsia="pl-PL"/>
              </w:rPr>
              <w:t>;</w:t>
            </w:r>
          </w:p>
          <w:p w14:paraId="7F0E2D15" w14:textId="355E69B6" w:rsidR="006004E5" w:rsidRPr="003E3962" w:rsidRDefault="006004E5" w:rsidP="001C367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1" w:hanging="311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962">
              <w:rPr>
                <w:rFonts w:ascii="Times New Roman" w:eastAsia="Times New Roman" w:hAnsi="Times New Roman" w:cs="Times New Roman"/>
                <w:lang w:eastAsia="pl-PL"/>
              </w:rPr>
              <w:t xml:space="preserve">Polskie Stowarzyszenie </w:t>
            </w:r>
            <w:proofErr w:type="spellStart"/>
            <w:r w:rsidRPr="003E3962">
              <w:rPr>
                <w:rFonts w:ascii="Times New Roman" w:eastAsia="Times New Roman" w:hAnsi="Times New Roman" w:cs="Times New Roman"/>
                <w:lang w:eastAsia="pl-PL"/>
              </w:rPr>
              <w:t>Elektromobilności</w:t>
            </w:r>
            <w:proofErr w:type="spellEnd"/>
            <w:r w:rsidR="00665C26" w:rsidRPr="003E3962">
              <w:rPr>
                <w:rFonts w:ascii="Times New Roman" w:hAnsi="Times New Roman" w:cs="Times New Roman"/>
                <w:lang w:eastAsia="pl-PL"/>
              </w:rPr>
              <w:t>;</w:t>
            </w:r>
          </w:p>
          <w:p w14:paraId="6A11B744" w14:textId="2D985200" w:rsidR="00EC4FDE" w:rsidRPr="003E3962" w:rsidRDefault="00EC4FDE" w:rsidP="001C367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1" w:hanging="311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962">
              <w:rPr>
                <w:rFonts w:ascii="Times New Roman" w:hAnsi="Times New Roman" w:cs="Times New Roman"/>
                <w:lang w:eastAsia="pl-PL"/>
              </w:rPr>
              <w:t xml:space="preserve">Polska Izba Rozwoju </w:t>
            </w:r>
            <w:proofErr w:type="spellStart"/>
            <w:r w:rsidRPr="003E3962">
              <w:rPr>
                <w:rFonts w:ascii="Times New Roman" w:hAnsi="Times New Roman" w:cs="Times New Roman"/>
                <w:lang w:eastAsia="pl-PL"/>
              </w:rPr>
              <w:t>Elektromobilności</w:t>
            </w:r>
            <w:proofErr w:type="spellEnd"/>
            <w:r w:rsidRPr="003E3962">
              <w:rPr>
                <w:rStyle w:val="Hipercze"/>
                <w:rFonts w:ascii="Times New Roman" w:hAnsi="Times New Roman" w:cs="Times New Roman"/>
                <w:color w:val="000000" w:themeColor="text1"/>
                <w:u w:val="none"/>
              </w:rPr>
              <w:t>;</w:t>
            </w:r>
          </w:p>
          <w:p w14:paraId="5DE47816" w14:textId="71A309E9" w:rsidR="006004E5" w:rsidRPr="003E3962" w:rsidRDefault="006004E5" w:rsidP="001C367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1" w:hanging="311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962">
              <w:rPr>
                <w:rFonts w:ascii="Times New Roman" w:eastAsia="Times New Roman" w:hAnsi="Times New Roman" w:cs="Times New Roman"/>
                <w:lang w:eastAsia="pl-PL"/>
              </w:rPr>
              <w:t>Krajowa Izba Gospodarcza</w:t>
            </w:r>
            <w:bookmarkStart w:id="3" w:name="OLE_LINK2"/>
            <w:bookmarkStart w:id="4" w:name="OLE_LINK1"/>
            <w:bookmarkEnd w:id="3"/>
            <w:bookmarkEnd w:id="4"/>
            <w:r w:rsidR="00665C26" w:rsidRPr="003E3962">
              <w:rPr>
                <w:rFonts w:ascii="Times New Roman" w:hAnsi="Times New Roman" w:cs="Times New Roman"/>
                <w:lang w:eastAsia="pl-PL"/>
              </w:rPr>
              <w:t>;</w:t>
            </w:r>
          </w:p>
          <w:p w14:paraId="20DFCEC4" w14:textId="62C3F95D" w:rsidR="006004E5" w:rsidRPr="003E3962" w:rsidRDefault="006004E5" w:rsidP="001C367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1" w:hanging="311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962">
              <w:rPr>
                <w:rFonts w:ascii="Times New Roman" w:eastAsia="Times New Roman" w:hAnsi="Times New Roman" w:cs="Times New Roman"/>
                <w:lang w:eastAsia="pl-PL"/>
              </w:rPr>
              <w:t>Polska Izba Motoryzacji</w:t>
            </w:r>
            <w:r w:rsidR="00665C26" w:rsidRPr="003E3962">
              <w:rPr>
                <w:rFonts w:ascii="Times New Roman" w:hAnsi="Times New Roman" w:cs="Times New Roman"/>
                <w:lang w:eastAsia="pl-PL"/>
              </w:rPr>
              <w:t>;</w:t>
            </w:r>
          </w:p>
          <w:p w14:paraId="450C08D3" w14:textId="0FF4D662" w:rsidR="006004E5" w:rsidRPr="003E3962" w:rsidRDefault="006004E5" w:rsidP="001C367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1" w:hanging="311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962">
              <w:rPr>
                <w:rFonts w:ascii="Times New Roman" w:eastAsia="Times New Roman" w:hAnsi="Times New Roman" w:cs="Times New Roman"/>
                <w:lang w:eastAsia="pl-PL"/>
              </w:rPr>
              <w:t>Polski Związek Przemysłu Motoryzacyjnego</w:t>
            </w:r>
            <w:r w:rsidR="00665C26" w:rsidRPr="003E3962">
              <w:rPr>
                <w:rFonts w:ascii="Times New Roman" w:hAnsi="Times New Roman" w:cs="Times New Roman"/>
                <w:lang w:eastAsia="pl-PL"/>
              </w:rPr>
              <w:t>;</w:t>
            </w:r>
          </w:p>
          <w:p w14:paraId="79BB5566" w14:textId="50B60956" w:rsidR="006004E5" w:rsidRPr="003E3962" w:rsidRDefault="006004E5" w:rsidP="001C367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1" w:hanging="311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962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Polska Platforma LNG</w:t>
            </w:r>
            <w:r w:rsidR="00665C26" w:rsidRPr="003E3962">
              <w:rPr>
                <w:rFonts w:ascii="Times New Roman" w:hAnsi="Times New Roman" w:cs="Times New Roman"/>
                <w:lang w:eastAsia="pl-PL"/>
              </w:rPr>
              <w:t>;</w:t>
            </w:r>
          </w:p>
          <w:p w14:paraId="22C82696" w14:textId="4819914C" w:rsidR="006004E5" w:rsidRPr="003E3962" w:rsidRDefault="006004E5" w:rsidP="001C367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1" w:hanging="311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3E396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Greenway sp. z </w:t>
            </w:r>
            <w:proofErr w:type="spellStart"/>
            <w:r w:rsidRPr="003E3962">
              <w:rPr>
                <w:rFonts w:ascii="Times New Roman" w:eastAsia="Times New Roman" w:hAnsi="Times New Roman" w:cs="Times New Roman"/>
                <w:lang w:val="en-US" w:eastAsia="pl-PL"/>
              </w:rPr>
              <w:t>o.o.</w:t>
            </w:r>
            <w:proofErr w:type="spellEnd"/>
            <w:r w:rsidR="00665C26" w:rsidRPr="003E3962">
              <w:rPr>
                <w:rFonts w:ascii="Times New Roman" w:hAnsi="Times New Roman" w:cs="Times New Roman"/>
                <w:lang w:val="en-US"/>
              </w:rPr>
              <w:t>;</w:t>
            </w:r>
          </w:p>
          <w:p w14:paraId="737D1E22" w14:textId="56239836" w:rsidR="006004E5" w:rsidRPr="003E3962" w:rsidRDefault="006004E5" w:rsidP="001C367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1" w:hanging="311"/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3E3962">
              <w:rPr>
                <w:rFonts w:ascii="Times New Roman" w:eastAsia="Times New Roman" w:hAnsi="Times New Roman" w:cs="Times New Roman"/>
                <w:lang w:val="en-GB" w:eastAsia="pl-PL"/>
              </w:rPr>
              <w:t xml:space="preserve">PKN </w:t>
            </w:r>
            <w:proofErr w:type="spellStart"/>
            <w:r w:rsidRPr="003E3962">
              <w:rPr>
                <w:rFonts w:ascii="Times New Roman" w:eastAsia="Times New Roman" w:hAnsi="Times New Roman" w:cs="Times New Roman"/>
                <w:lang w:val="en-GB" w:eastAsia="pl-PL"/>
              </w:rPr>
              <w:t>Orlen</w:t>
            </w:r>
            <w:proofErr w:type="spellEnd"/>
            <w:r w:rsidRPr="003E3962">
              <w:rPr>
                <w:rFonts w:ascii="Times New Roman" w:eastAsia="Times New Roman" w:hAnsi="Times New Roman" w:cs="Times New Roman"/>
                <w:lang w:val="en-GB" w:eastAsia="pl-PL"/>
              </w:rPr>
              <w:t xml:space="preserve"> S.A</w:t>
            </w:r>
            <w:r w:rsidR="00101043" w:rsidRPr="003E3962">
              <w:rPr>
                <w:rStyle w:val="object-hover"/>
                <w:rFonts w:ascii="Times New Roman" w:hAnsi="Times New Roman" w:cs="Times New Roman"/>
                <w:color w:val="000000"/>
                <w:lang w:val="en-US"/>
              </w:rPr>
              <w:t>.;</w:t>
            </w:r>
          </w:p>
          <w:p w14:paraId="21F9EFCC" w14:textId="7CF8BBF9" w:rsidR="006004E5" w:rsidRPr="003E3962" w:rsidRDefault="006004E5" w:rsidP="001C367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1" w:hanging="311"/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3E3962">
              <w:rPr>
                <w:rFonts w:ascii="Times New Roman" w:eastAsia="Times New Roman" w:hAnsi="Times New Roman" w:cs="Times New Roman"/>
                <w:lang w:val="en-GB" w:eastAsia="pl-PL"/>
              </w:rPr>
              <w:t>TAURON S.A.</w:t>
            </w:r>
            <w:r w:rsidR="00101043" w:rsidRPr="003E3962">
              <w:rPr>
                <w:rStyle w:val="object-hover"/>
                <w:rFonts w:ascii="Times New Roman" w:hAnsi="Times New Roman" w:cs="Times New Roman"/>
                <w:color w:val="000000"/>
                <w:lang w:val="en-US"/>
              </w:rPr>
              <w:t>;</w:t>
            </w:r>
          </w:p>
          <w:p w14:paraId="0C7118E3" w14:textId="7EF7993C" w:rsidR="006004E5" w:rsidRPr="003E3962" w:rsidRDefault="006004E5" w:rsidP="001C367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1" w:hanging="311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962">
              <w:rPr>
                <w:rFonts w:ascii="Times New Roman" w:eastAsia="Times New Roman" w:hAnsi="Times New Roman" w:cs="Times New Roman"/>
                <w:lang w:eastAsia="pl-PL"/>
              </w:rPr>
              <w:t>ENERGA S.A.</w:t>
            </w:r>
            <w:r w:rsidR="00101043" w:rsidRPr="003E3962">
              <w:rPr>
                <w:rStyle w:val="object"/>
                <w:rFonts w:ascii="Times New Roman" w:hAnsi="Times New Roman" w:cs="Times New Roman"/>
                <w:color w:val="000000"/>
              </w:rPr>
              <w:t>;</w:t>
            </w:r>
          </w:p>
          <w:p w14:paraId="69D483A5" w14:textId="59E4AEAF" w:rsidR="006004E5" w:rsidRPr="003E3962" w:rsidRDefault="006004E5" w:rsidP="001C367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1" w:hanging="311"/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3E3962">
              <w:rPr>
                <w:rFonts w:ascii="Times New Roman" w:eastAsia="Times New Roman" w:hAnsi="Times New Roman" w:cs="Times New Roman"/>
                <w:lang w:val="en-GB" w:eastAsia="pl-PL"/>
              </w:rPr>
              <w:t>LOTOS S.A</w:t>
            </w:r>
            <w:r w:rsidR="00101043" w:rsidRPr="003E3962">
              <w:rPr>
                <w:rStyle w:val="object"/>
                <w:rFonts w:ascii="Times New Roman" w:hAnsi="Times New Roman" w:cs="Times New Roman"/>
                <w:color w:val="000000"/>
                <w:lang w:val="en-US"/>
              </w:rPr>
              <w:t>.;</w:t>
            </w:r>
          </w:p>
          <w:p w14:paraId="18CB4036" w14:textId="4E6F56BB" w:rsidR="006004E5" w:rsidRPr="003E3962" w:rsidRDefault="006004E5" w:rsidP="001C367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1" w:hanging="311"/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3E3962">
              <w:rPr>
                <w:rFonts w:ascii="Times New Roman" w:eastAsia="Times New Roman" w:hAnsi="Times New Roman" w:cs="Times New Roman"/>
                <w:lang w:val="en-GB" w:eastAsia="pl-PL"/>
              </w:rPr>
              <w:t>ENEA S.A.</w:t>
            </w:r>
            <w:r w:rsidR="00101043" w:rsidRPr="003E3962">
              <w:rPr>
                <w:rStyle w:val="object"/>
                <w:rFonts w:ascii="Times New Roman" w:hAnsi="Times New Roman" w:cs="Times New Roman"/>
                <w:color w:val="000000"/>
                <w:lang w:val="en-US"/>
              </w:rPr>
              <w:t>;</w:t>
            </w:r>
          </w:p>
          <w:p w14:paraId="486B2757" w14:textId="73066CF9" w:rsidR="006004E5" w:rsidRPr="003E3962" w:rsidRDefault="006004E5" w:rsidP="001C367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1" w:hanging="311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3E3962">
              <w:rPr>
                <w:rFonts w:ascii="Times New Roman" w:eastAsia="Times New Roman" w:hAnsi="Times New Roman" w:cs="Times New Roman"/>
                <w:lang w:val="en-US" w:eastAsia="pl-PL"/>
              </w:rPr>
              <w:t>PGE S.A.</w:t>
            </w:r>
            <w:r w:rsidR="00101043" w:rsidRPr="003E3962">
              <w:rPr>
                <w:rStyle w:val="object-hover"/>
                <w:rFonts w:ascii="Times New Roman" w:hAnsi="Times New Roman" w:cs="Times New Roman"/>
                <w:color w:val="000000"/>
                <w:lang w:val="en-US"/>
              </w:rPr>
              <w:t>;</w:t>
            </w:r>
          </w:p>
          <w:p w14:paraId="51D118A2" w14:textId="2237849D" w:rsidR="006004E5" w:rsidRPr="003E3962" w:rsidRDefault="006004E5" w:rsidP="001C367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1" w:hanging="311"/>
              <w:rPr>
                <w:rFonts w:ascii="Times New Roman" w:hAnsi="Times New Roman" w:cs="Times New Roman"/>
              </w:rPr>
            </w:pPr>
            <w:r w:rsidRPr="003E3962">
              <w:rPr>
                <w:rFonts w:ascii="Times New Roman" w:hAnsi="Times New Roman" w:cs="Times New Roman"/>
              </w:rPr>
              <w:t>PGNiG Obrót Detaliczny sp. z o.</w:t>
            </w:r>
            <w:r w:rsidRPr="003E3962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="00101043" w:rsidRPr="003E3962">
              <w:rPr>
                <w:rFonts w:ascii="Times New Roman" w:eastAsia="Times New Roman" w:hAnsi="Times New Roman" w:cs="Times New Roman"/>
                <w:lang w:eastAsia="pl-PL"/>
              </w:rPr>
              <w:t>.;</w:t>
            </w:r>
          </w:p>
          <w:p w14:paraId="6AC701CD" w14:textId="5FCB6663" w:rsidR="00DB4070" w:rsidRPr="002E113E" w:rsidRDefault="006004E5" w:rsidP="007B6042">
            <w:pPr>
              <w:pStyle w:val="Akapitzlist"/>
              <w:numPr>
                <w:ilvl w:val="0"/>
                <w:numId w:val="2"/>
              </w:numPr>
              <w:spacing w:after="120" w:line="240" w:lineRule="auto"/>
              <w:ind w:left="312" w:hanging="312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962">
              <w:rPr>
                <w:rFonts w:ascii="Times New Roman" w:hAnsi="Times New Roman" w:cs="Times New Roman"/>
              </w:rPr>
              <w:t>Shell Polska sp. z o.o.</w:t>
            </w:r>
          </w:p>
          <w:p w14:paraId="01194F84" w14:textId="782A07B8" w:rsidR="006004E5" w:rsidRPr="003E3962" w:rsidRDefault="006004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962">
              <w:rPr>
                <w:rFonts w:ascii="Times New Roman" w:eastAsia="Times New Roman" w:hAnsi="Times New Roman" w:cs="Times New Roman"/>
                <w:lang w:eastAsia="pl-PL"/>
              </w:rPr>
              <w:t>Projekt zosta</w:t>
            </w:r>
            <w:r w:rsidR="00753DD2" w:rsidRPr="003E3962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  <w:r w:rsidRPr="003E3962">
              <w:rPr>
                <w:rFonts w:ascii="Times New Roman" w:eastAsia="Times New Roman" w:hAnsi="Times New Roman" w:cs="Times New Roman"/>
                <w:lang w:eastAsia="pl-PL"/>
              </w:rPr>
              <w:t xml:space="preserve"> przekazany do zaopiniowania (na 1</w:t>
            </w:r>
            <w:r w:rsidR="00490DD4" w:rsidRPr="003E3962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Pr="003E3962">
              <w:rPr>
                <w:rFonts w:ascii="Times New Roman" w:eastAsia="Times New Roman" w:hAnsi="Times New Roman" w:cs="Times New Roman"/>
                <w:lang w:eastAsia="pl-PL"/>
              </w:rPr>
              <w:t xml:space="preserve"> dni) następującym podmiotom:</w:t>
            </w:r>
          </w:p>
          <w:p w14:paraId="430C2F67" w14:textId="74392883" w:rsidR="006004E5" w:rsidRPr="003E3962" w:rsidRDefault="006004E5" w:rsidP="001C367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1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962">
              <w:rPr>
                <w:rFonts w:ascii="Times New Roman" w:eastAsia="Times New Roman" w:hAnsi="Times New Roman" w:cs="Times New Roman"/>
                <w:lang w:eastAsia="pl-PL"/>
              </w:rPr>
              <w:t>Prezes Urzędu Regulacji Energetyki</w:t>
            </w:r>
            <w:r w:rsidR="00101043" w:rsidRPr="003E3962">
              <w:rPr>
                <w:rFonts w:ascii="Times New Roman" w:hAnsi="Times New Roman" w:cs="Times New Roman"/>
              </w:rPr>
              <w:t>;</w:t>
            </w:r>
          </w:p>
          <w:p w14:paraId="458361F4" w14:textId="05516F9A" w:rsidR="006004E5" w:rsidRPr="003E3962" w:rsidRDefault="006004E5" w:rsidP="001C367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1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962">
              <w:rPr>
                <w:rFonts w:ascii="Times New Roman" w:eastAsia="Times New Roman" w:hAnsi="Times New Roman" w:cs="Times New Roman"/>
                <w:lang w:eastAsia="pl-PL"/>
              </w:rPr>
              <w:t>Prezes Urzędu Dozoru Technicznego</w:t>
            </w:r>
            <w:r w:rsidR="00101043" w:rsidRPr="003E3962">
              <w:rPr>
                <w:rFonts w:ascii="Times New Roman" w:hAnsi="Times New Roman" w:cs="Times New Roman"/>
                <w:lang w:eastAsia="pl-PL"/>
              </w:rPr>
              <w:t>;</w:t>
            </w:r>
          </w:p>
          <w:p w14:paraId="5C51A348" w14:textId="6A78DA6E" w:rsidR="006004E5" w:rsidRPr="003E3962" w:rsidRDefault="006004E5" w:rsidP="001C367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1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962">
              <w:rPr>
                <w:rFonts w:ascii="Times New Roman" w:eastAsia="Times New Roman" w:hAnsi="Times New Roman" w:cs="Times New Roman"/>
                <w:lang w:eastAsia="pl-PL"/>
              </w:rPr>
              <w:t>Prezes Urzędu Ochrony Konkurencji i Konsument</w:t>
            </w:r>
            <w:r w:rsidR="00101043" w:rsidRPr="003E3962">
              <w:rPr>
                <w:rFonts w:ascii="Times New Roman" w:eastAsia="Times New Roman" w:hAnsi="Times New Roman" w:cs="Times New Roman"/>
                <w:lang w:eastAsia="pl-PL"/>
              </w:rPr>
              <w:t>ów;</w:t>
            </w:r>
          </w:p>
          <w:p w14:paraId="42F1F299" w14:textId="4881F38C" w:rsidR="006004E5" w:rsidRPr="003E3962" w:rsidRDefault="006004E5" w:rsidP="001C367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1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962">
              <w:rPr>
                <w:rFonts w:ascii="Times New Roman" w:eastAsia="Times New Roman" w:hAnsi="Times New Roman" w:cs="Times New Roman"/>
                <w:lang w:eastAsia="pl-PL"/>
              </w:rPr>
              <w:t>Prezes Prokuratorii Generalnej Rzeczypospolitej Polskiej</w:t>
            </w:r>
            <w:r w:rsidR="00101043" w:rsidRPr="003E3962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56F4B192" w14:textId="47ECF4E2" w:rsidR="006004E5" w:rsidRPr="003E3962" w:rsidRDefault="006004E5" w:rsidP="001C367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1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962">
              <w:rPr>
                <w:rFonts w:ascii="Times New Roman" w:eastAsia="Times New Roman" w:hAnsi="Times New Roman" w:cs="Times New Roman"/>
                <w:lang w:eastAsia="pl-PL"/>
              </w:rPr>
              <w:t>Rzecznik Małych i Średnich Przedsiębior</w:t>
            </w:r>
            <w:r w:rsidR="00101043" w:rsidRPr="003E3962">
              <w:rPr>
                <w:rFonts w:ascii="Times New Roman" w:eastAsia="Times New Roman" w:hAnsi="Times New Roman" w:cs="Times New Roman"/>
                <w:lang w:eastAsia="pl-PL"/>
              </w:rPr>
              <w:t>ców;</w:t>
            </w:r>
          </w:p>
          <w:p w14:paraId="1B116A74" w14:textId="718D9FE8" w:rsidR="006004E5" w:rsidRDefault="006004E5" w:rsidP="007B6042">
            <w:pPr>
              <w:pStyle w:val="Akapitzlist"/>
              <w:numPr>
                <w:ilvl w:val="0"/>
                <w:numId w:val="3"/>
              </w:numPr>
              <w:spacing w:after="120" w:line="240" w:lineRule="auto"/>
              <w:ind w:left="311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962">
              <w:rPr>
                <w:rFonts w:ascii="Times New Roman" w:eastAsia="Times New Roman" w:hAnsi="Times New Roman" w:cs="Times New Roman"/>
                <w:lang w:eastAsia="pl-PL"/>
              </w:rPr>
              <w:t>Dyrektor Transportowego Dozoru Technicznego</w:t>
            </w:r>
            <w:r w:rsidR="004C7458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2EC94D23" w14:textId="6BA2EDD2" w:rsidR="00DB4070" w:rsidRPr="002E113E" w:rsidRDefault="004C7458" w:rsidP="002E113E">
            <w:pPr>
              <w:pStyle w:val="Akapitzlist"/>
              <w:numPr>
                <w:ilvl w:val="0"/>
                <w:numId w:val="3"/>
              </w:numPr>
              <w:spacing w:after="120" w:line="240" w:lineRule="auto"/>
              <w:ind w:left="311" w:hanging="283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Generalna Dyrekcja Dróg Krajowych i Autostrad.</w:t>
            </w:r>
          </w:p>
          <w:p w14:paraId="062DB31E" w14:textId="019F11B2" w:rsidR="006004E5" w:rsidRPr="00BB532D" w:rsidRDefault="006004E5" w:rsidP="00BB532D">
            <w:pPr>
              <w:pStyle w:val="NIEARTTEKSTtekstnieartykuowanynppodstprawnarozplubpreambua"/>
              <w:spacing w:before="0" w:after="12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B53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Z uwagi na zakres przedmiotowy projektu, który nie dotyc</w:t>
            </w:r>
            <w:r w:rsidR="00EB4F4C" w:rsidRPr="00BB53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z</w:t>
            </w:r>
            <w:r w:rsidRPr="00BB53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y zadań związków zawodowych, projekt nie podlega opiniowaniu przez reprezentatywne związki zawodowe.  </w:t>
            </w:r>
          </w:p>
          <w:p w14:paraId="57F5B172" w14:textId="0A38045B" w:rsidR="002E113E" w:rsidRPr="00BB532D" w:rsidRDefault="006004E5" w:rsidP="00BB532D">
            <w:pPr>
              <w:pStyle w:val="NIEARTTEKSTtekstnieartykuowanynppodstprawnarozplubpreambua"/>
              <w:spacing w:before="0" w:after="12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B53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Z uwagi na zakres projektu, który nie dotyczy praw i interesów związków pracodawców, projekt nie podlega opiniowaniu przez reprezentatywne organizacje pracodawców. </w:t>
            </w:r>
          </w:p>
          <w:p w14:paraId="24640BCE" w14:textId="613C6DDB" w:rsidR="006004E5" w:rsidRPr="00BB532D" w:rsidRDefault="006004E5" w:rsidP="00BB532D">
            <w:pPr>
              <w:pStyle w:val="NIEARTTEKSTtekstnieartykuowanynppodstprawnarozplubpreambua"/>
              <w:spacing w:before="0" w:after="12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B53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Projekt nie podlega opiniowaniu przez Komisję Wspólną Rządu i Samorządu Terytorialnego, gdyż nie dotyczy spraw związanych z samorządem terytorialnym, o których mowa w ustawie z dnia 6 maja 2005 r. o Komisji Wspólnej Rządu i Samorządu Terytorialnego oraz o przedstawicielach Rzeczypospolitej Polskiej w Komitecie Regionów Unii Europejskiej. </w:t>
            </w:r>
          </w:p>
          <w:p w14:paraId="2D259C1A" w14:textId="7AEA8362" w:rsidR="006004E5" w:rsidRPr="00BB532D" w:rsidRDefault="006004E5" w:rsidP="00BB532D">
            <w:pPr>
              <w:pStyle w:val="NIEARTTEKSTtekstnieartykuowanynppodstprawnarozplubpreambua"/>
              <w:spacing w:before="0" w:after="12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B53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Projekt nie dotyczy spraw, o których mowa w art. 1 ustawy z dnia 24 lipca 2015 r. o Radzie Dialogu Społecznego i innych instytucjach dialogu społecznego, wobec czego nie wymaga zaopiniowania przez R</w:t>
            </w:r>
            <w:r w:rsidR="00067EC1" w:rsidRPr="00BB53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DS</w:t>
            </w:r>
            <w:r w:rsidRPr="00BB53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  <w:p w14:paraId="7080DBF3" w14:textId="07A5495F" w:rsidR="00DB4070" w:rsidRPr="00BB532D" w:rsidRDefault="006004E5" w:rsidP="00BB532D">
            <w:pPr>
              <w:pStyle w:val="NIEARTTEKSTtekstnieartykuowanynppodstprawnarozplubpreambua"/>
              <w:spacing w:before="0" w:after="12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B53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Projekt rozporządzenia nie wymaga przedstawienia właściwym instytucjom i organom Unii Europejskiej, w tym Europejskiemu Bankowi Centralnemu, celem uzyskania opinii, dokonania powiadomienia, konsultacji albo uzgodnienia projektu.</w:t>
            </w:r>
          </w:p>
          <w:p w14:paraId="06E744F2" w14:textId="3A206548" w:rsidR="00D83B73" w:rsidRPr="003E3962" w:rsidRDefault="006004E5" w:rsidP="00BB532D">
            <w:pPr>
              <w:pStyle w:val="NIEARTTEKSTtekstnieartykuowanynppodstprawnarozplubpreambua"/>
              <w:spacing w:before="0" w:after="120" w:line="240" w:lineRule="auto"/>
              <w:ind w:firstLine="0"/>
              <w:rPr>
                <w:rFonts w:ascii="Times New Roman" w:hAnsi="Times New Roman" w:cs="Times New Roman"/>
                <w:spacing w:val="-2"/>
              </w:rPr>
            </w:pPr>
            <w:r w:rsidRPr="00BB53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Wyniki opiniowania i konsultacji publicznych zosta</w:t>
            </w:r>
            <w:r w:rsidR="00753DD2" w:rsidRPr="00BB53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ną</w:t>
            </w:r>
            <w:r w:rsidRPr="00BB53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omówione w raporcie </w:t>
            </w:r>
            <w:r w:rsidR="00067EC1" w:rsidRPr="00BB53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z konsultacji, zawierającym zestawienie przedstawionych stanowisk lub opinii i odniesienie się do nich przez organ wnioskujący</w:t>
            </w:r>
            <w:r w:rsidR="00255A64" w:rsidRPr="00BB53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 w:rsidR="00067EC1" w:rsidRPr="00BB532D" w:rsidDel="00067EC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B53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udostępnionym na stronie Rządowego Centrum Legislacji, w zakładce Rządowy Proces Legislacyjny</w:t>
            </w:r>
            <w:r w:rsidR="00255A64" w:rsidRPr="00BB53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najpóźniej z dniem przekazania projektu na kolejny etap prac legislacyjnych.</w:t>
            </w:r>
          </w:p>
        </w:tc>
      </w:tr>
      <w:tr w:rsidR="006004E5" w14:paraId="0DBFDEAC" w14:textId="77777777" w:rsidTr="006004E5">
        <w:trPr>
          <w:trHeight w:val="363"/>
        </w:trPr>
        <w:tc>
          <w:tcPr>
            <w:tcW w:w="1079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25F04626" w14:textId="77777777" w:rsidR="006004E5" w:rsidRDefault="006004E5" w:rsidP="001C367F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6004E5" w14:paraId="71A43AD3" w14:textId="77777777" w:rsidTr="006004E5">
        <w:trPr>
          <w:trHeight w:val="142"/>
        </w:trPr>
        <w:tc>
          <w:tcPr>
            <w:tcW w:w="36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CE2F2C" w14:textId="77777777" w:rsidR="006004E5" w:rsidRPr="003E3962" w:rsidRDefault="006004E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(ceny stałe z …… r.)</w:t>
            </w:r>
          </w:p>
        </w:tc>
        <w:tc>
          <w:tcPr>
            <w:tcW w:w="71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F477C9" w14:textId="77777777" w:rsidR="006004E5" w:rsidRPr="003E3962" w:rsidRDefault="006004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pacing w:val="-2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Skutki w okresie 10 lat od wejścia w życie zmian [mln zł]</w:t>
            </w:r>
          </w:p>
        </w:tc>
      </w:tr>
      <w:tr w:rsidR="006004E5" w14:paraId="3F5E3EFB" w14:textId="77777777" w:rsidTr="006004E5">
        <w:trPr>
          <w:trHeight w:val="142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1A491" w14:textId="77777777" w:rsidR="006004E5" w:rsidRPr="003E3962" w:rsidRDefault="006004E5">
            <w:pPr>
              <w:spacing w:after="0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C32884" w14:textId="77777777" w:rsidR="006004E5" w:rsidRPr="003E3962" w:rsidRDefault="00600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F621A1" w14:textId="77777777" w:rsidR="006004E5" w:rsidRPr="003E3962" w:rsidRDefault="00600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74D083" w14:textId="77777777" w:rsidR="006004E5" w:rsidRPr="003E3962" w:rsidRDefault="00600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70262E" w14:textId="77777777" w:rsidR="006004E5" w:rsidRPr="003E3962" w:rsidRDefault="00600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757E77" w14:textId="77777777" w:rsidR="006004E5" w:rsidRPr="003E3962" w:rsidRDefault="00600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816736" w14:textId="77777777" w:rsidR="006004E5" w:rsidRPr="003E3962" w:rsidRDefault="00600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613D22" w14:textId="77777777" w:rsidR="006004E5" w:rsidRPr="003E3962" w:rsidRDefault="00600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733C3D" w14:textId="77777777" w:rsidR="006004E5" w:rsidRPr="003E3962" w:rsidRDefault="00600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DA9F71" w14:textId="77777777" w:rsidR="006004E5" w:rsidRPr="003E3962" w:rsidRDefault="00600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237D20" w14:textId="77777777" w:rsidR="006004E5" w:rsidRPr="003E3962" w:rsidRDefault="00600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8434FB" w14:textId="77777777" w:rsidR="006004E5" w:rsidRPr="003E3962" w:rsidRDefault="00600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F13A82" w14:textId="77777777" w:rsidR="006004E5" w:rsidRPr="003E3962" w:rsidRDefault="006004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pacing w:val="-2"/>
              </w:rPr>
            </w:pPr>
            <w:r w:rsidRPr="003E3962">
              <w:rPr>
                <w:rFonts w:ascii="Times New Roman" w:hAnsi="Times New Roman" w:cs="Times New Roman"/>
                <w:i/>
                <w:color w:val="000000"/>
                <w:spacing w:val="-2"/>
              </w:rPr>
              <w:t>Łącznie (0-10)</w:t>
            </w:r>
          </w:p>
        </w:tc>
      </w:tr>
      <w:tr w:rsidR="006004E5" w14:paraId="06322D94" w14:textId="77777777" w:rsidTr="006004E5">
        <w:trPr>
          <w:trHeight w:val="321"/>
        </w:trPr>
        <w:tc>
          <w:tcPr>
            <w:tcW w:w="3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A2EE0A" w14:textId="77777777" w:rsidR="006004E5" w:rsidRPr="003E3962" w:rsidRDefault="006004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b/>
                <w:color w:val="000000"/>
              </w:rPr>
              <w:t>Dochody ogółem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92BAB8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3962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11EA74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3962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5C342B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3962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4A08CB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3962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405645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3962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3A8D54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3962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4C9785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3962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5DB882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3962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7C4258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3962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0A1232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3962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68D50A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3962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C1C868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</w:pPr>
          </w:p>
        </w:tc>
      </w:tr>
      <w:tr w:rsidR="006004E5" w14:paraId="2074F2D6" w14:textId="77777777" w:rsidTr="006004E5">
        <w:trPr>
          <w:trHeight w:val="321"/>
        </w:trPr>
        <w:tc>
          <w:tcPr>
            <w:tcW w:w="3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0B3A8A" w14:textId="77777777" w:rsidR="006004E5" w:rsidRPr="003E3962" w:rsidRDefault="006004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budżet państwa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D1ADAE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00B51E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310FA0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312ACB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437407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C718EC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13CA2E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404C9C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C7D278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E1F840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FD5AA2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AE4B6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</w:tr>
      <w:tr w:rsidR="006004E5" w14:paraId="58281CB8" w14:textId="77777777" w:rsidTr="006004E5">
        <w:trPr>
          <w:trHeight w:val="344"/>
        </w:trPr>
        <w:tc>
          <w:tcPr>
            <w:tcW w:w="3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94B19E" w14:textId="77777777" w:rsidR="006004E5" w:rsidRPr="003E3962" w:rsidRDefault="006004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JST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6EC4E2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83B458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AA6E2F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51DABB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40E50B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9F97D0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8FBE9D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903B6B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443C0E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C0CA2A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18885E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4798E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004E5" w14:paraId="54A769F5" w14:textId="77777777" w:rsidTr="006004E5">
        <w:trPr>
          <w:trHeight w:val="344"/>
        </w:trPr>
        <w:tc>
          <w:tcPr>
            <w:tcW w:w="3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E29A69" w14:textId="77777777" w:rsidR="006004E5" w:rsidRPr="003E3962" w:rsidRDefault="006004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UDT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4A6046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5C24C4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FB23AF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94B80F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65D5DD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CA64E3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8D3DFE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9017D5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EF2910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0706C2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9AFFF2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9949F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004E5" w14:paraId="656A8A0B" w14:textId="77777777" w:rsidTr="006004E5">
        <w:trPr>
          <w:trHeight w:val="330"/>
        </w:trPr>
        <w:tc>
          <w:tcPr>
            <w:tcW w:w="3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98BFCF" w14:textId="77777777" w:rsidR="006004E5" w:rsidRPr="003E3962" w:rsidRDefault="006004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b/>
                <w:color w:val="000000"/>
              </w:rPr>
              <w:t>Wydatki ogółem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033FF1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3962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B8CEED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3962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E733C9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3962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BA901F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3962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37B088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3962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7C1EE3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3962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B996E5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3962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DEC462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3962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209A5F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3962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CF2640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3962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FB22EA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3962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757A8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6004E5" w14:paraId="3D13695F" w14:textId="77777777" w:rsidTr="006004E5">
        <w:trPr>
          <w:trHeight w:val="330"/>
        </w:trPr>
        <w:tc>
          <w:tcPr>
            <w:tcW w:w="3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3EA2CF" w14:textId="77777777" w:rsidR="006004E5" w:rsidRPr="003E3962" w:rsidRDefault="006004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budżet państwa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F8BEBB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B9FC79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17A76B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7E7835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D655E8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AA7826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D045F6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18C774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A8AC39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E3BC94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C66A9B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4B6BD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004E5" w14:paraId="407027EA" w14:textId="77777777" w:rsidTr="006004E5">
        <w:trPr>
          <w:trHeight w:val="351"/>
        </w:trPr>
        <w:tc>
          <w:tcPr>
            <w:tcW w:w="3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BE2CF7" w14:textId="77777777" w:rsidR="006004E5" w:rsidRPr="003E3962" w:rsidRDefault="006004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JST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CFD633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592D88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348D6C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227254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88D15D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D4B640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608A71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ABFF0B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643BB6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53927A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273899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B31D1A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004E5" w14:paraId="5A267DC0" w14:textId="77777777" w:rsidTr="006004E5">
        <w:trPr>
          <w:trHeight w:val="351"/>
        </w:trPr>
        <w:tc>
          <w:tcPr>
            <w:tcW w:w="3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B82210" w14:textId="77777777" w:rsidR="006004E5" w:rsidRPr="003E3962" w:rsidRDefault="006004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UDT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FF826D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3B556E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4941E4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719500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6E24A6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80D3AF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45E98C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1D54D5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4C5954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0BBF36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B35056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DC54A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004E5" w14:paraId="3AAD6CC9" w14:textId="77777777" w:rsidTr="006004E5">
        <w:trPr>
          <w:trHeight w:val="360"/>
        </w:trPr>
        <w:tc>
          <w:tcPr>
            <w:tcW w:w="3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B30EBC" w14:textId="77777777" w:rsidR="006004E5" w:rsidRPr="003E3962" w:rsidRDefault="006004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b/>
                <w:color w:val="000000"/>
              </w:rPr>
              <w:lastRenderedPageBreak/>
              <w:t>Saldo ogółem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490FED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F4B178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490F2D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D80F3C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CD3B21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621BA9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CBDE7D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232ED0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C7AD65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53A847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6B6232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A2C6B1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004E5" w14:paraId="0C7B526D" w14:textId="77777777" w:rsidTr="006004E5">
        <w:trPr>
          <w:trHeight w:val="360"/>
        </w:trPr>
        <w:tc>
          <w:tcPr>
            <w:tcW w:w="3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3337DB" w14:textId="77777777" w:rsidR="006004E5" w:rsidRPr="003E3962" w:rsidRDefault="006004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budżet państwa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F2A86D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3962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34053C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3962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B9AC03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3962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08A111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3962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17E8F0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3962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4FF7E8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3962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E66C62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3962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D88AB1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3962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4DB71E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3962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76CC66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3962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8C1802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3962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81CBFC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004E5" w14:paraId="52432B4B" w14:textId="77777777" w:rsidTr="006004E5">
        <w:trPr>
          <w:trHeight w:val="357"/>
        </w:trPr>
        <w:tc>
          <w:tcPr>
            <w:tcW w:w="3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15C4D6" w14:textId="77777777" w:rsidR="006004E5" w:rsidRPr="003E3962" w:rsidRDefault="006004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JST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2D2A25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B6B692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86AC73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926E19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96A960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EC77C0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BB0393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84FDF0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0EAA5E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AAAB3F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785439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3DB5B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004E5" w14:paraId="54FCD3EC" w14:textId="77777777" w:rsidTr="006004E5">
        <w:trPr>
          <w:trHeight w:val="357"/>
        </w:trPr>
        <w:tc>
          <w:tcPr>
            <w:tcW w:w="3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E0B230" w14:textId="77777777" w:rsidR="006004E5" w:rsidRPr="003E3962" w:rsidRDefault="006004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UDT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20C264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CE3FFC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796F3B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ACE541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E3B8A5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2F5719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2D4D06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F0AB3C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E5DE49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8D66EA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B21B63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D192E2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004E5" w14:paraId="2215E7DE" w14:textId="77777777" w:rsidTr="006004E5">
        <w:trPr>
          <w:trHeight w:val="348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5AED43" w14:textId="77777777" w:rsidR="006004E5" w:rsidRPr="003E3962" w:rsidRDefault="006004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 xml:space="preserve">Źródła finansowania </w:t>
            </w:r>
          </w:p>
        </w:tc>
        <w:tc>
          <w:tcPr>
            <w:tcW w:w="796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00516F" w14:textId="77777777" w:rsidR="006004E5" w:rsidRPr="00BB532D" w:rsidRDefault="006004E5" w:rsidP="00BB532D">
            <w:pPr>
              <w:pStyle w:val="NIEARTTEKSTtekstnieartykuowanynppodstprawnarozplubpreambua"/>
              <w:spacing w:before="0" w:after="12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B53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Źródłem finansowania będą środki operatorów stacji oraz dostawców usług ładowania.</w:t>
            </w:r>
          </w:p>
          <w:p w14:paraId="754CE5B9" w14:textId="57AFABFC" w:rsidR="00425A47" w:rsidRPr="003E3962" w:rsidRDefault="00425A47" w:rsidP="00BB532D">
            <w:pPr>
              <w:pStyle w:val="NIEARTTEKSTtekstnieartykuowanynppodstprawnarozplubpreambua"/>
              <w:spacing w:before="0" w:after="120" w:line="240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B53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Rozporządzenie nie powoduje skutków finansowych dla jednostek sektora finansów publicznych, w tym budżetu państwa i budżetów jednostek samorządu terytorialnego, polegających na zwiększeniu wydatków lub zmniejszeniu dochodów tych jednostek w</w:t>
            </w:r>
            <w:r w:rsidR="00635CF0" w:rsidRPr="00BB53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  <w:r w:rsidRPr="00BB53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stosunku do wielkości wynikających z obowiązujących przepisów.</w:t>
            </w:r>
          </w:p>
        </w:tc>
      </w:tr>
      <w:tr w:rsidR="006004E5" w14:paraId="0E962D32" w14:textId="77777777" w:rsidTr="006004E5">
        <w:trPr>
          <w:trHeight w:val="801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6CEB38" w14:textId="77777777" w:rsidR="006004E5" w:rsidRPr="003E3962" w:rsidRDefault="006004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 xml:space="preserve">Dodatkowe informacje, w tym wskazanie źródeł danych i przyjętych do obliczeń </w:t>
            </w:r>
          </w:p>
        </w:tc>
        <w:tc>
          <w:tcPr>
            <w:tcW w:w="796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888655" w14:textId="17D93893" w:rsidR="00635CF0" w:rsidRPr="003E3962" w:rsidRDefault="006004E5" w:rsidP="00BB532D">
            <w:pPr>
              <w:pStyle w:val="NIEARTTEKSTtekstnieartykuowanynppodstprawnarozplubpreambua"/>
              <w:spacing w:before="0" w:after="120" w:line="240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B53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Skutki zostały opisane w OSR do ustawy z dnia 2 grudnia 2021 r. o zmianie ustawy o </w:t>
            </w:r>
            <w:proofErr w:type="spellStart"/>
            <w:r w:rsidRPr="00BB53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elektromobilności</w:t>
            </w:r>
            <w:proofErr w:type="spellEnd"/>
            <w:r w:rsidRPr="00BB53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i paliwach alternatywnych oraz niektórych innych ustaw </w:t>
            </w:r>
            <w:r w:rsidR="00F60C6B" w:rsidRPr="00BB53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(Dz. U. poz. 2269) </w:t>
            </w:r>
            <w:r w:rsidRPr="00BB53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wraz ze szczegółową metodologią obliczeń.</w:t>
            </w:r>
          </w:p>
        </w:tc>
      </w:tr>
      <w:tr w:rsidR="006004E5" w14:paraId="557677AC" w14:textId="77777777" w:rsidTr="006004E5">
        <w:trPr>
          <w:trHeight w:val="345"/>
        </w:trPr>
        <w:tc>
          <w:tcPr>
            <w:tcW w:w="1079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32508120" w14:textId="77777777" w:rsidR="006004E5" w:rsidRDefault="006004E5" w:rsidP="001C367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</w:rPr>
              <w:t xml:space="preserve">Wpływ na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6004E5" w14:paraId="1060470E" w14:textId="77777777" w:rsidTr="006004E5">
        <w:trPr>
          <w:trHeight w:val="142"/>
        </w:trPr>
        <w:tc>
          <w:tcPr>
            <w:tcW w:w="1079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D9F387" w14:textId="77777777" w:rsidR="006004E5" w:rsidRDefault="00600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Skutki</w:t>
            </w:r>
          </w:p>
        </w:tc>
      </w:tr>
      <w:tr w:rsidR="006004E5" w14:paraId="22F72214" w14:textId="77777777" w:rsidTr="006004E5">
        <w:trPr>
          <w:trHeight w:val="142"/>
        </w:trPr>
        <w:tc>
          <w:tcPr>
            <w:tcW w:w="43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92A2BA" w14:textId="77777777" w:rsidR="006004E5" w:rsidRDefault="006004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Czas w latach od wejścia w życie zmian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798DB8" w14:textId="77777777" w:rsidR="006004E5" w:rsidRDefault="00600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3E7EA6" w14:textId="77777777" w:rsidR="006004E5" w:rsidRDefault="00600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8D5FA0" w14:textId="77777777" w:rsidR="006004E5" w:rsidRDefault="00600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9A553F" w14:textId="77777777" w:rsidR="006004E5" w:rsidRDefault="00600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C4F661" w14:textId="77777777" w:rsidR="006004E5" w:rsidRDefault="00600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2CAC54" w14:textId="77777777" w:rsidR="006004E5" w:rsidRDefault="00600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DBBD39" w14:textId="77777777" w:rsidR="006004E5" w:rsidRDefault="006004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2"/>
              </w:rPr>
              <w:t>Łącznie (0-10)</w:t>
            </w:r>
          </w:p>
        </w:tc>
      </w:tr>
      <w:tr w:rsidR="006004E5" w14:paraId="711478B5" w14:textId="77777777" w:rsidTr="006004E5">
        <w:trPr>
          <w:trHeight w:val="142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E32218" w14:textId="77777777" w:rsidR="006004E5" w:rsidRDefault="006004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 ujęciu pieniężnym</w:t>
            </w:r>
          </w:p>
          <w:p w14:paraId="0D9FE1D7" w14:textId="77777777" w:rsidR="006004E5" w:rsidRDefault="006004E5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(w mln zł, </w:t>
            </w:r>
          </w:p>
          <w:p w14:paraId="49A7B6F8" w14:textId="77777777" w:rsidR="006004E5" w:rsidRDefault="006004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-2"/>
              </w:rPr>
              <w:t>ceny stałe z …… r.)</w:t>
            </w:r>
          </w:p>
        </w:tc>
        <w:tc>
          <w:tcPr>
            <w:tcW w:w="2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2314F8" w14:textId="77777777" w:rsidR="006004E5" w:rsidRDefault="006004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duże przedsiębiorstwa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E855DE" w14:textId="77777777" w:rsidR="006004E5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331571" w14:textId="77777777" w:rsidR="006004E5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CA6A32" w14:textId="77777777" w:rsidR="006004E5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58A0FB" w14:textId="77777777" w:rsidR="006004E5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24AC74" w14:textId="77777777" w:rsidR="006004E5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F8ADDE" w14:textId="77777777" w:rsidR="006004E5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32DB51" w14:textId="77777777" w:rsidR="006004E5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004E5" w14:paraId="5898FD29" w14:textId="77777777" w:rsidTr="006004E5">
        <w:trPr>
          <w:trHeight w:val="14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7A021" w14:textId="77777777" w:rsidR="006004E5" w:rsidRDefault="006004E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76ECE0" w14:textId="77777777" w:rsidR="006004E5" w:rsidRDefault="006004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sektor mikro-, małych i średnich przedsiębiorstw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6A33E1" w14:textId="77777777" w:rsidR="006004E5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5504CB" w14:textId="77777777" w:rsidR="006004E5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A5D994" w14:textId="77777777" w:rsidR="006004E5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98EA19" w14:textId="77777777" w:rsidR="006004E5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5960C7" w14:textId="77777777" w:rsidR="006004E5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E285C3" w14:textId="77777777" w:rsidR="006004E5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328805" w14:textId="77777777" w:rsidR="006004E5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004E5" w14:paraId="00394E10" w14:textId="77777777" w:rsidTr="006004E5">
        <w:trPr>
          <w:trHeight w:val="14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4E378" w14:textId="77777777" w:rsidR="006004E5" w:rsidRDefault="006004E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071058" w14:textId="77777777" w:rsidR="006004E5" w:rsidRDefault="006004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rodzina, obywatele oraz gospodarstwa domowe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0AB7B8" w14:textId="77777777" w:rsidR="006004E5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36D517" w14:textId="77777777" w:rsidR="006004E5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99BA59" w14:textId="77777777" w:rsidR="006004E5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8EA22E" w14:textId="77777777" w:rsidR="006004E5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F07AE1" w14:textId="77777777" w:rsidR="006004E5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A6DE1C" w14:textId="77777777" w:rsidR="006004E5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A39FE0" w14:textId="77777777" w:rsidR="006004E5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</w:tr>
      <w:tr w:rsidR="006004E5" w14:paraId="5C9DE93D" w14:textId="77777777" w:rsidTr="006004E5">
        <w:trPr>
          <w:trHeight w:val="14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46EB1" w14:textId="77777777" w:rsidR="006004E5" w:rsidRDefault="006004E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C73C97" w14:textId="77777777" w:rsidR="006004E5" w:rsidRDefault="006004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osoby niepełnosprawne oraz osoby starsze 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6C4F3D" w14:textId="77777777" w:rsidR="006004E5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289D97" w14:textId="77777777" w:rsidR="006004E5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32A02B" w14:textId="77777777" w:rsidR="006004E5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376431" w14:textId="77777777" w:rsidR="006004E5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0B8C16" w14:textId="77777777" w:rsidR="006004E5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09EB21" w14:textId="77777777" w:rsidR="006004E5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8E213C" w14:textId="77777777" w:rsidR="006004E5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</w:tr>
      <w:tr w:rsidR="006004E5" w14:paraId="10FC77A8" w14:textId="77777777" w:rsidTr="006004E5">
        <w:trPr>
          <w:trHeight w:val="142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09BF79" w14:textId="77777777" w:rsidR="006004E5" w:rsidRDefault="006004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 ujęciu niepieniężnym</w:t>
            </w:r>
          </w:p>
        </w:tc>
        <w:tc>
          <w:tcPr>
            <w:tcW w:w="2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035787" w14:textId="77777777" w:rsidR="006004E5" w:rsidRDefault="006004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duże przedsiębiorstwa</w:t>
            </w:r>
          </w:p>
        </w:tc>
        <w:tc>
          <w:tcPr>
            <w:tcW w:w="64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41B653" w14:textId="77777777" w:rsidR="006004E5" w:rsidRPr="00BB532D" w:rsidRDefault="006004E5" w:rsidP="00BB532D">
            <w:pPr>
              <w:pStyle w:val="NIEARTTEKSTtekstnieartykuowanynppodstprawnarozplubpreambua"/>
              <w:spacing w:before="0" w:after="12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B53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Obowiązek ponoszenia drobnych opłat za nadanie numeru EIPA/uznanie kodu i ich utrzymanie w systemie teleinformatycznym (dotyczy tylko przedsiębiorców, którzy prowadzą działalność operatora stacji ładowania/tankowania gazu ziemnego lub wodoru lub dostawcy usług ładowania).</w:t>
            </w:r>
          </w:p>
        </w:tc>
      </w:tr>
      <w:tr w:rsidR="006004E5" w14:paraId="444C3B2F" w14:textId="77777777" w:rsidTr="006004E5">
        <w:trPr>
          <w:trHeight w:val="14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711EB" w14:textId="77777777" w:rsidR="006004E5" w:rsidRDefault="006004E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C72C74" w14:textId="77777777" w:rsidR="006004E5" w:rsidRDefault="006004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sektor mikro-, małych i średnich przedsiębiorstw</w:t>
            </w:r>
          </w:p>
        </w:tc>
        <w:tc>
          <w:tcPr>
            <w:tcW w:w="64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012DF1" w14:textId="77777777" w:rsidR="006004E5" w:rsidRPr="00BB532D" w:rsidRDefault="006004E5" w:rsidP="00BB532D">
            <w:pPr>
              <w:pStyle w:val="NIEARTTEKSTtekstnieartykuowanynppodstprawnarozplubpreambua"/>
              <w:spacing w:before="0" w:after="12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B53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Obowiązek ponoszenia drobnych opłat za nadanie numeru EIPA/uznanie kodu i ich utrzymanie w systemie teleinformatycznym (dotyczy tylko przedsiębiorców, którzy prowadzą działalność operatora stacji ładowania/tankowania gazu ziemnego lub wodoru lub dostawcy usług ładowania).</w:t>
            </w:r>
          </w:p>
        </w:tc>
      </w:tr>
      <w:tr w:rsidR="006004E5" w14:paraId="61AC16E9" w14:textId="77777777" w:rsidTr="006004E5">
        <w:trPr>
          <w:trHeight w:val="59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7629A" w14:textId="77777777" w:rsidR="006004E5" w:rsidRDefault="006004E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DE7055" w14:textId="77777777" w:rsidR="006004E5" w:rsidRDefault="006004E5">
            <w:pPr>
              <w:tabs>
                <w:tab w:val="right" w:pos="193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rodzina, obywatele oraz gospodarstwa domowe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4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88442C" w14:textId="77777777" w:rsidR="006004E5" w:rsidRPr="00BB532D" w:rsidRDefault="006004E5" w:rsidP="00BB532D">
            <w:pPr>
              <w:pStyle w:val="NIEARTTEKSTtekstnieartykuowanynppodstprawnarozplubpreambua"/>
              <w:spacing w:before="0" w:after="12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B53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Promowanie korzystania z paliw alternatywnych, do czego przyczyni się sprawnie działający rejestr stacji, w przyszłości wpłynie na poprawę jakości powietrza, z czego skorzystają wszyscy mieszkańcy Polski.</w:t>
            </w:r>
          </w:p>
        </w:tc>
      </w:tr>
      <w:tr w:rsidR="006004E5" w14:paraId="65EFAA87" w14:textId="77777777" w:rsidTr="006004E5">
        <w:trPr>
          <w:trHeight w:val="59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7DB10" w14:textId="77777777" w:rsidR="006004E5" w:rsidRDefault="006004E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9BB64D" w14:textId="77777777" w:rsidR="006004E5" w:rsidRDefault="006004E5">
            <w:pPr>
              <w:tabs>
                <w:tab w:val="right" w:pos="19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osoby niepełnosprawne oraz osoby starsze</w:t>
            </w:r>
          </w:p>
        </w:tc>
        <w:tc>
          <w:tcPr>
            <w:tcW w:w="64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AD785F" w14:textId="77777777" w:rsidR="006004E5" w:rsidRPr="00BB532D" w:rsidRDefault="006004E5" w:rsidP="00BB532D">
            <w:pPr>
              <w:pStyle w:val="NIEARTTEKSTtekstnieartykuowanynppodstprawnarozplubpreambua"/>
              <w:spacing w:before="0" w:after="12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B53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Promowanie korzystania z paliw alternatywnych, do czego przyczyni się sprawnie działający rejestr stacji, w przyszłości wpłynie na poprawę jakości powietrza, z czego skorzystają wszyscy mieszkańcy Polski.</w:t>
            </w:r>
          </w:p>
        </w:tc>
      </w:tr>
      <w:tr w:rsidR="006004E5" w14:paraId="5E5CF45B" w14:textId="77777777" w:rsidTr="006004E5">
        <w:trPr>
          <w:trHeight w:val="142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6DEAF7" w14:textId="77777777" w:rsidR="006004E5" w:rsidRDefault="006004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Niemierzalne</w:t>
            </w:r>
          </w:p>
        </w:tc>
        <w:tc>
          <w:tcPr>
            <w:tcW w:w="2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DBCB1E" w14:textId="77777777" w:rsidR="006004E5" w:rsidRDefault="006004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</w:rPr>
              <w:t>(dodaj/usuń)</w:t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64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0BF904" w14:textId="77777777" w:rsidR="006004E5" w:rsidRDefault="006004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</w:tr>
      <w:tr w:rsidR="006004E5" w14:paraId="5047CDB6" w14:textId="77777777" w:rsidTr="006004E5">
        <w:trPr>
          <w:trHeight w:val="102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172219" w14:textId="77777777" w:rsidR="006004E5" w:rsidRDefault="006004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Dodatkowe informacje, w tym wskazanie źródeł danych i przyjętych do obliczeń założeń </w:t>
            </w:r>
          </w:p>
        </w:tc>
        <w:tc>
          <w:tcPr>
            <w:tcW w:w="796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83E729" w14:textId="3F9A1DD2" w:rsidR="006004E5" w:rsidRDefault="006004E5" w:rsidP="00BB532D">
            <w:pPr>
              <w:pStyle w:val="NIEARTTEKSTtekstnieartykuowanynppodstprawnarozplubpreambua"/>
              <w:spacing w:before="0" w:after="120" w:line="240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B53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Wpływ w ujęciu pieniężnym został zaprezentowany w OSR</w:t>
            </w:r>
            <w:r w:rsidR="00F60C6B" w:rsidRPr="00BB53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do</w:t>
            </w:r>
            <w:r w:rsidRPr="00BB53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ustawy z dnia 2 grudnia 2021 r. o zmianie ustawy o </w:t>
            </w:r>
            <w:proofErr w:type="spellStart"/>
            <w:r w:rsidRPr="00BB53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elektromobilności</w:t>
            </w:r>
            <w:proofErr w:type="spellEnd"/>
            <w:r w:rsidRPr="00BB53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i paliwach alternatywnych oraz niektórych innych ustaw wraz ze szczegółową metodologią obliczeń.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6004E5" w14:paraId="6A402A5F" w14:textId="77777777" w:rsidTr="006004E5">
        <w:trPr>
          <w:trHeight w:val="342"/>
        </w:trPr>
        <w:tc>
          <w:tcPr>
            <w:tcW w:w="1079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6DAB9356" w14:textId="77777777" w:rsidR="006004E5" w:rsidRDefault="006004E5" w:rsidP="001C367F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6004E5" w14:paraId="209D010D" w14:textId="77777777" w:rsidTr="006004E5">
        <w:trPr>
          <w:trHeight w:val="151"/>
        </w:trPr>
        <w:tc>
          <w:tcPr>
            <w:tcW w:w="1079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A68083" w14:textId="77777777" w:rsidR="006004E5" w:rsidRDefault="006004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443FA2">
              <w:rPr>
                <w:rFonts w:ascii="Times New Roman" w:hAnsi="Times New Roman" w:cs="Times New Roman"/>
                <w:color w:val="000000"/>
              </w:rPr>
            </w:r>
            <w:r w:rsidR="00443FA2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nie dotyczy</w:t>
            </w:r>
          </w:p>
        </w:tc>
      </w:tr>
      <w:tr w:rsidR="006004E5" w14:paraId="600F1BF9" w14:textId="77777777" w:rsidTr="006004E5">
        <w:trPr>
          <w:trHeight w:val="794"/>
        </w:trPr>
        <w:tc>
          <w:tcPr>
            <w:tcW w:w="5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3E12EF" w14:textId="77777777" w:rsidR="006004E5" w:rsidRDefault="006004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Wprowadzane są obciążenia poza bezwzględnie wymaganymi przez UE </w:t>
            </w:r>
          </w:p>
        </w:tc>
        <w:tc>
          <w:tcPr>
            <w:tcW w:w="52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69320A" w14:textId="77777777" w:rsidR="006004E5" w:rsidRDefault="006004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443FA2">
              <w:rPr>
                <w:rFonts w:ascii="Times New Roman" w:hAnsi="Times New Roman" w:cs="Times New Roman"/>
                <w:color w:val="000000"/>
              </w:rPr>
            </w:r>
            <w:r w:rsidR="00443FA2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</w:rPr>
              <w:t xml:space="preserve"> tak</w:t>
            </w:r>
          </w:p>
          <w:p w14:paraId="78B193F4" w14:textId="77777777" w:rsidR="006004E5" w:rsidRDefault="006004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443FA2">
              <w:rPr>
                <w:rFonts w:ascii="Times New Roman" w:hAnsi="Times New Roman" w:cs="Times New Roman"/>
                <w:color w:val="000000"/>
              </w:rPr>
            </w:r>
            <w:r w:rsidR="00443FA2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</w:rPr>
              <w:t xml:space="preserve"> nie</w:t>
            </w:r>
          </w:p>
          <w:p w14:paraId="4F85EE2D" w14:textId="77777777" w:rsidR="006004E5" w:rsidRDefault="006004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443FA2">
              <w:rPr>
                <w:rFonts w:ascii="Times New Roman" w:hAnsi="Times New Roman" w:cs="Times New Roman"/>
                <w:color w:val="000000"/>
              </w:rPr>
            </w:r>
            <w:r w:rsidR="00443FA2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</w:rPr>
              <w:t xml:space="preserve"> nie dotyczy</w:t>
            </w:r>
          </w:p>
        </w:tc>
      </w:tr>
      <w:tr w:rsidR="006004E5" w14:paraId="3BEFB997" w14:textId="77777777" w:rsidTr="006004E5">
        <w:trPr>
          <w:trHeight w:val="975"/>
        </w:trPr>
        <w:tc>
          <w:tcPr>
            <w:tcW w:w="5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B10150" w14:textId="77777777" w:rsidR="006004E5" w:rsidRDefault="006004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443FA2">
              <w:rPr>
                <w:rFonts w:ascii="Times New Roman" w:hAnsi="Times New Roman" w:cs="Times New Roman"/>
                <w:color w:val="000000"/>
              </w:rPr>
            </w:r>
            <w:r w:rsidR="00443FA2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zmniejszenie liczby dokumentów </w:t>
            </w:r>
          </w:p>
          <w:p w14:paraId="278C3C72" w14:textId="77777777" w:rsidR="006004E5" w:rsidRDefault="006004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443FA2">
              <w:rPr>
                <w:rFonts w:ascii="Times New Roman" w:hAnsi="Times New Roman" w:cs="Times New Roman"/>
                <w:color w:val="000000"/>
              </w:rPr>
            </w:r>
            <w:r w:rsidR="00443FA2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zmniejszenie liczby procedur</w:t>
            </w:r>
          </w:p>
          <w:p w14:paraId="49F7A7D9" w14:textId="77777777" w:rsidR="006004E5" w:rsidRDefault="006004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443FA2">
              <w:rPr>
                <w:rFonts w:ascii="Times New Roman" w:hAnsi="Times New Roman" w:cs="Times New Roman"/>
                <w:color w:val="000000"/>
              </w:rPr>
            </w:r>
            <w:r w:rsidR="00443FA2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skrócenie czasu na załatwienie sprawy</w:t>
            </w:r>
          </w:p>
          <w:p w14:paraId="3CEEFFC8" w14:textId="77777777" w:rsidR="006004E5" w:rsidRDefault="006004E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443FA2">
              <w:rPr>
                <w:rFonts w:ascii="Times New Roman" w:hAnsi="Times New Roman" w:cs="Times New Roman"/>
                <w:color w:val="000000"/>
              </w:rPr>
            </w:r>
            <w:r w:rsidR="00443FA2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inne: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52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D76E3A" w14:textId="50A4AB6F" w:rsidR="006004E5" w:rsidRDefault="00B560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443FA2">
              <w:rPr>
                <w:rFonts w:ascii="Times New Roman" w:hAnsi="Times New Roman" w:cs="Times New Roman"/>
                <w:color w:val="000000"/>
              </w:rPr>
            </w:r>
            <w:r w:rsidR="00443FA2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="006004E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004E5">
              <w:rPr>
                <w:rFonts w:ascii="Times New Roman" w:hAnsi="Times New Roman" w:cs="Times New Roman"/>
                <w:color w:val="000000"/>
                <w:spacing w:val="-2"/>
              </w:rPr>
              <w:t>zwiększenie liczby dokumentów</w:t>
            </w:r>
          </w:p>
          <w:p w14:paraId="5EAC875A" w14:textId="25CEBC76" w:rsidR="006004E5" w:rsidRDefault="00B560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443FA2">
              <w:rPr>
                <w:rFonts w:ascii="Times New Roman" w:hAnsi="Times New Roman" w:cs="Times New Roman"/>
                <w:color w:val="000000"/>
              </w:rPr>
            </w:r>
            <w:r w:rsidR="00443FA2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="006004E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004E5">
              <w:rPr>
                <w:rFonts w:ascii="Times New Roman" w:hAnsi="Times New Roman" w:cs="Times New Roman"/>
                <w:color w:val="000000"/>
                <w:spacing w:val="-2"/>
              </w:rPr>
              <w:t>zwiększenie liczby procedur</w:t>
            </w:r>
          </w:p>
          <w:p w14:paraId="1BD17132" w14:textId="66AA55B2" w:rsidR="006004E5" w:rsidRDefault="00B560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443FA2">
              <w:rPr>
                <w:rFonts w:ascii="Times New Roman" w:hAnsi="Times New Roman" w:cs="Times New Roman"/>
                <w:color w:val="000000"/>
              </w:rPr>
            </w:r>
            <w:r w:rsidR="00443FA2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="006004E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004E5">
              <w:rPr>
                <w:rFonts w:ascii="Times New Roman" w:hAnsi="Times New Roman" w:cs="Times New Roman"/>
                <w:color w:val="000000"/>
                <w:spacing w:val="-2"/>
              </w:rPr>
              <w:t>wydłużenie czasu na załatwienie sprawy</w:t>
            </w:r>
          </w:p>
          <w:p w14:paraId="4CF05B69" w14:textId="78E59A44" w:rsidR="006004E5" w:rsidRDefault="003026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443FA2">
              <w:rPr>
                <w:rFonts w:ascii="Times New Roman" w:hAnsi="Times New Roman" w:cs="Times New Roman"/>
                <w:color w:val="000000"/>
              </w:rPr>
            </w:r>
            <w:r w:rsidR="00443FA2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="006004E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004E5">
              <w:rPr>
                <w:rFonts w:ascii="Times New Roman" w:hAnsi="Times New Roman" w:cs="Times New Roman"/>
                <w:color w:val="000000"/>
                <w:spacing w:val="-2"/>
              </w:rPr>
              <w:t>inne:</w:t>
            </w:r>
            <w:r w:rsidR="006004E5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liczba dokumentów i procedur pozostanie na niezmienionym poziomie wobec stanu dotychczasowego</w:t>
            </w:r>
          </w:p>
        </w:tc>
      </w:tr>
      <w:tr w:rsidR="006004E5" w14:paraId="3C82A193" w14:textId="77777777" w:rsidTr="006004E5">
        <w:trPr>
          <w:trHeight w:val="755"/>
        </w:trPr>
        <w:tc>
          <w:tcPr>
            <w:tcW w:w="5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AFA5A7" w14:textId="77777777" w:rsidR="006004E5" w:rsidRDefault="006004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2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72E2AA" w14:textId="77777777" w:rsidR="006004E5" w:rsidRDefault="006004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443FA2">
              <w:rPr>
                <w:rFonts w:ascii="Times New Roman" w:hAnsi="Times New Roman" w:cs="Times New Roman"/>
                <w:color w:val="000000"/>
              </w:rPr>
            </w:r>
            <w:r w:rsidR="00443FA2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</w:rPr>
              <w:t xml:space="preserve"> tak</w:t>
            </w:r>
          </w:p>
          <w:p w14:paraId="116E7C49" w14:textId="77777777" w:rsidR="006004E5" w:rsidRDefault="006004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443FA2">
              <w:rPr>
                <w:rFonts w:ascii="Times New Roman" w:hAnsi="Times New Roman" w:cs="Times New Roman"/>
                <w:color w:val="000000"/>
              </w:rPr>
            </w:r>
            <w:r w:rsidR="00443FA2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</w:rPr>
              <w:t xml:space="preserve"> nie</w:t>
            </w:r>
          </w:p>
          <w:p w14:paraId="56A2BEE8" w14:textId="77777777" w:rsidR="006004E5" w:rsidRDefault="006004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443FA2">
              <w:rPr>
                <w:rFonts w:ascii="Times New Roman" w:hAnsi="Times New Roman" w:cs="Times New Roman"/>
                <w:color w:val="000000"/>
              </w:rPr>
            </w:r>
            <w:r w:rsidR="00443FA2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</w:rPr>
              <w:t xml:space="preserve"> nie dotyczy</w:t>
            </w:r>
          </w:p>
        </w:tc>
      </w:tr>
      <w:tr w:rsidR="006004E5" w14:paraId="34593BEF" w14:textId="77777777" w:rsidTr="006004E5">
        <w:trPr>
          <w:trHeight w:val="630"/>
        </w:trPr>
        <w:tc>
          <w:tcPr>
            <w:tcW w:w="1079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7D4F54" w14:textId="52E43A06" w:rsidR="006004E5" w:rsidRDefault="006004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Komentarz: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BB532D">
              <w:rPr>
                <w:rFonts w:ascii="Times New Roman" w:eastAsia="Times New Roman" w:hAnsi="Times New Roman" w:cs="Times New Roman"/>
                <w:bCs/>
              </w:rPr>
              <w:t xml:space="preserve">Projektowane rozporządzenie </w:t>
            </w:r>
            <w:r w:rsidR="003026E0" w:rsidRPr="00BB532D">
              <w:rPr>
                <w:rFonts w:ascii="Times New Roman" w:eastAsia="Times New Roman" w:hAnsi="Times New Roman" w:cs="Times New Roman"/>
                <w:bCs/>
              </w:rPr>
              <w:t>kontynuuje obowiązywanie</w:t>
            </w:r>
            <w:r w:rsidRPr="00BB532D">
              <w:rPr>
                <w:rFonts w:ascii="Times New Roman" w:eastAsia="Times New Roman" w:hAnsi="Times New Roman" w:cs="Times New Roman"/>
                <w:bCs/>
              </w:rPr>
              <w:t xml:space="preserve"> wskazan</w:t>
            </w:r>
            <w:r w:rsidR="003026E0" w:rsidRPr="00BB532D">
              <w:rPr>
                <w:rFonts w:ascii="Times New Roman" w:eastAsia="Times New Roman" w:hAnsi="Times New Roman" w:cs="Times New Roman"/>
                <w:bCs/>
              </w:rPr>
              <w:t>ych</w:t>
            </w:r>
            <w:r w:rsidRPr="00BB532D">
              <w:rPr>
                <w:rFonts w:ascii="Times New Roman" w:eastAsia="Times New Roman" w:hAnsi="Times New Roman" w:cs="Times New Roman"/>
                <w:bCs/>
              </w:rPr>
              <w:t xml:space="preserve"> powyżej obciąże</w:t>
            </w:r>
            <w:r w:rsidR="003026E0" w:rsidRPr="00BB532D">
              <w:rPr>
                <w:rFonts w:ascii="Times New Roman" w:eastAsia="Times New Roman" w:hAnsi="Times New Roman" w:cs="Times New Roman"/>
                <w:bCs/>
              </w:rPr>
              <w:t>ń</w:t>
            </w:r>
            <w:r w:rsidRPr="00BB532D">
              <w:rPr>
                <w:rFonts w:ascii="Times New Roman" w:eastAsia="Times New Roman" w:hAnsi="Times New Roman" w:cs="Times New Roman"/>
                <w:bCs/>
              </w:rPr>
              <w:t xml:space="preserve"> regulacyjn</w:t>
            </w:r>
            <w:r w:rsidR="003026E0" w:rsidRPr="00BB532D">
              <w:rPr>
                <w:rFonts w:ascii="Times New Roman" w:eastAsia="Times New Roman" w:hAnsi="Times New Roman" w:cs="Times New Roman"/>
                <w:bCs/>
              </w:rPr>
              <w:t>ych</w:t>
            </w:r>
            <w:r w:rsidRPr="00BB532D">
              <w:rPr>
                <w:rFonts w:ascii="Times New Roman" w:eastAsia="Times New Roman" w:hAnsi="Times New Roman" w:cs="Times New Roman"/>
                <w:bCs/>
              </w:rPr>
              <w:t>. Są one jednak niezbędne, aby rejestr mógł dalej poprawnie funkcjonować.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6004E5" w14:paraId="310B0A55" w14:textId="77777777" w:rsidTr="006004E5">
        <w:trPr>
          <w:trHeight w:val="142"/>
        </w:trPr>
        <w:tc>
          <w:tcPr>
            <w:tcW w:w="1079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5E5D0163" w14:textId="77777777" w:rsidR="006004E5" w:rsidRDefault="006004E5" w:rsidP="001C367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Wpływ na rynek pracy </w:t>
            </w:r>
          </w:p>
        </w:tc>
      </w:tr>
      <w:tr w:rsidR="006004E5" w14:paraId="5C940A39" w14:textId="77777777" w:rsidTr="006004E5">
        <w:trPr>
          <w:trHeight w:val="142"/>
        </w:trPr>
        <w:tc>
          <w:tcPr>
            <w:tcW w:w="1079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830C7" w14:textId="77777777" w:rsidR="006004E5" w:rsidRDefault="006004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Brak</w:t>
            </w:r>
          </w:p>
        </w:tc>
      </w:tr>
      <w:tr w:rsidR="006004E5" w14:paraId="1284E1B4" w14:textId="77777777" w:rsidTr="006004E5">
        <w:trPr>
          <w:trHeight w:val="142"/>
        </w:trPr>
        <w:tc>
          <w:tcPr>
            <w:tcW w:w="1079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365914EF" w14:textId="77777777" w:rsidR="006004E5" w:rsidRDefault="006004E5" w:rsidP="001C367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Wpływ na pozostałe obszary</w:t>
            </w:r>
          </w:p>
        </w:tc>
      </w:tr>
      <w:tr w:rsidR="006004E5" w14:paraId="7E9C8E75" w14:textId="77777777" w:rsidTr="006004E5">
        <w:trPr>
          <w:trHeight w:val="1032"/>
        </w:trPr>
        <w:tc>
          <w:tcPr>
            <w:tcW w:w="4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D377CE" w14:textId="77777777" w:rsidR="006004E5" w:rsidRDefault="006004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443FA2">
              <w:rPr>
                <w:rFonts w:ascii="Times New Roman" w:hAnsi="Times New Roman" w:cs="Times New Roman"/>
                <w:color w:val="000000"/>
              </w:rPr>
            </w:r>
            <w:r w:rsidR="00443FA2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</w:rPr>
              <w:t xml:space="preserve">  środowisko naturalne</w:t>
            </w:r>
          </w:p>
          <w:p w14:paraId="61A7E344" w14:textId="77777777" w:rsidR="006004E5" w:rsidRDefault="006004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443FA2">
              <w:rPr>
                <w:rFonts w:ascii="Times New Roman" w:hAnsi="Times New Roman" w:cs="Times New Roman"/>
                <w:color w:val="000000"/>
              </w:rPr>
            </w:r>
            <w:r w:rsidR="00443FA2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</w:rPr>
              <w:t xml:space="preserve">  sytuacja i rozwój regionalny</w:t>
            </w:r>
          </w:p>
          <w:p w14:paraId="00C681D9" w14:textId="77777777" w:rsidR="006004E5" w:rsidRDefault="006004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443FA2">
              <w:rPr>
                <w:rFonts w:ascii="Times New Roman" w:hAnsi="Times New Roman" w:cs="Times New Roman"/>
                <w:color w:val="000000"/>
              </w:rPr>
            </w:r>
            <w:r w:rsidR="00443FA2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sądy powszechne, administracyjne lub wojskowe</w:t>
            </w:r>
          </w:p>
        </w:tc>
        <w:tc>
          <w:tcPr>
            <w:tcW w:w="34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7002A6" w14:textId="77777777" w:rsidR="006004E5" w:rsidRDefault="006004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443FA2">
              <w:rPr>
                <w:rFonts w:ascii="Times New Roman" w:hAnsi="Times New Roman" w:cs="Times New Roman"/>
                <w:color w:val="000000"/>
              </w:rPr>
            </w:r>
            <w:r w:rsidR="00443FA2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demografia</w:t>
            </w:r>
          </w:p>
          <w:p w14:paraId="16228994" w14:textId="77777777" w:rsidR="006004E5" w:rsidRDefault="006004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443FA2">
              <w:rPr>
                <w:rFonts w:ascii="Times New Roman" w:hAnsi="Times New Roman" w:cs="Times New Roman"/>
                <w:color w:val="000000"/>
              </w:rPr>
            </w:r>
            <w:r w:rsidR="00443FA2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</w:rPr>
              <w:t xml:space="preserve"> mienie państwowe</w:t>
            </w:r>
          </w:p>
          <w:p w14:paraId="4604A797" w14:textId="77777777" w:rsidR="006004E5" w:rsidRDefault="006004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443FA2">
              <w:rPr>
                <w:rFonts w:ascii="Times New Roman" w:hAnsi="Times New Roman" w:cs="Times New Roman"/>
                <w:color w:val="000000"/>
              </w:rPr>
            </w:r>
            <w:r w:rsidR="00443FA2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inne: </w:t>
            </w:r>
            <w:r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32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9E27DE" w14:textId="77777777" w:rsidR="006004E5" w:rsidRDefault="006004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443FA2">
              <w:rPr>
                <w:rFonts w:ascii="Times New Roman" w:hAnsi="Times New Roman" w:cs="Times New Roman"/>
                <w:color w:val="000000"/>
              </w:rPr>
            </w:r>
            <w:r w:rsidR="00443FA2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informatyzacja</w:t>
            </w:r>
          </w:p>
          <w:p w14:paraId="3D6C4B96" w14:textId="77777777" w:rsidR="006004E5" w:rsidRDefault="006004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443FA2">
              <w:rPr>
                <w:rFonts w:ascii="Times New Roman" w:hAnsi="Times New Roman" w:cs="Times New Roman"/>
                <w:color w:val="000000"/>
              </w:rPr>
            </w:r>
            <w:r w:rsidR="00443FA2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zdrowie</w:t>
            </w:r>
          </w:p>
        </w:tc>
      </w:tr>
      <w:tr w:rsidR="006004E5" w14:paraId="370806F4" w14:textId="77777777" w:rsidTr="006004E5">
        <w:trPr>
          <w:trHeight w:val="712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121DF5" w14:textId="77777777" w:rsidR="006004E5" w:rsidRDefault="006004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Omówienie wpływu</w:t>
            </w:r>
          </w:p>
        </w:tc>
        <w:tc>
          <w:tcPr>
            <w:tcW w:w="796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1418CB" w14:textId="77777777" w:rsidR="006004E5" w:rsidRDefault="006004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532D">
              <w:rPr>
                <w:rFonts w:ascii="Times New Roman" w:eastAsia="Times New Roman" w:hAnsi="Times New Roman" w:cs="Times New Roman"/>
                <w:bCs/>
              </w:rPr>
              <w:t>Ułatwienie dostępu do rzetelnych informacji na temat dostępności stacji ładowania/tankowania oraz cen paliw alternatywnych w przyszłości doprowadzi do zwiększenia się popularności pojazdów o napędach na paliwa alternatywne, co przełoży się na zmniejszenie zanieczyszczenia na polskich drogach.</w:t>
            </w:r>
          </w:p>
        </w:tc>
      </w:tr>
      <w:tr w:rsidR="006004E5" w14:paraId="6A9E19FA" w14:textId="77777777" w:rsidTr="006004E5">
        <w:trPr>
          <w:trHeight w:val="142"/>
        </w:trPr>
        <w:tc>
          <w:tcPr>
            <w:tcW w:w="1079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49FF84FF" w14:textId="77777777" w:rsidR="006004E5" w:rsidRDefault="006004E5" w:rsidP="001C367F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Planowane wykonanie przepisów aktu prawnego</w:t>
            </w:r>
          </w:p>
        </w:tc>
      </w:tr>
      <w:tr w:rsidR="006004E5" w14:paraId="0F2AD949" w14:textId="77777777" w:rsidTr="006004E5">
        <w:trPr>
          <w:trHeight w:val="142"/>
        </w:trPr>
        <w:tc>
          <w:tcPr>
            <w:tcW w:w="1079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5788E0" w14:textId="4DD593F0" w:rsidR="006004E5" w:rsidRPr="00BB532D" w:rsidRDefault="006004E5" w:rsidP="003B4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B532D">
              <w:rPr>
                <w:rFonts w:ascii="Times New Roman" w:eastAsia="Times New Roman" w:hAnsi="Times New Roman" w:cs="Times New Roman"/>
                <w:bCs/>
              </w:rPr>
              <w:t xml:space="preserve">Planuje się, że rozporządzenie wejdzie w życie po upływie </w:t>
            </w:r>
            <w:r w:rsidR="003026E0" w:rsidRPr="00BB532D">
              <w:rPr>
                <w:rFonts w:ascii="Times New Roman" w:eastAsia="Times New Roman" w:hAnsi="Times New Roman" w:cs="Times New Roman"/>
                <w:bCs/>
              </w:rPr>
              <w:t>14</w:t>
            </w:r>
            <w:r w:rsidRPr="00BB532D">
              <w:rPr>
                <w:rFonts w:ascii="Times New Roman" w:eastAsia="Times New Roman" w:hAnsi="Times New Roman" w:cs="Times New Roman"/>
                <w:bCs/>
              </w:rPr>
              <w:t xml:space="preserve"> dni od dnia ogłoszenia rozporządzenia.</w:t>
            </w:r>
          </w:p>
        </w:tc>
      </w:tr>
      <w:tr w:rsidR="006004E5" w14:paraId="69B47F33" w14:textId="77777777" w:rsidTr="006004E5">
        <w:trPr>
          <w:trHeight w:val="142"/>
        </w:trPr>
        <w:tc>
          <w:tcPr>
            <w:tcW w:w="1079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79DE8C2C" w14:textId="77777777" w:rsidR="006004E5" w:rsidRDefault="006004E5" w:rsidP="001C367F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"/>
              </w:rPr>
              <w:t>W jaki sposób i kiedy nastąpi ewaluacja efektów projektu oraz jakie mierniki zostaną zastosowane?</w:t>
            </w:r>
          </w:p>
        </w:tc>
      </w:tr>
      <w:tr w:rsidR="006004E5" w14:paraId="008FC43C" w14:textId="77777777" w:rsidTr="006004E5">
        <w:trPr>
          <w:trHeight w:val="142"/>
        </w:trPr>
        <w:tc>
          <w:tcPr>
            <w:tcW w:w="1079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80B43F" w14:textId="5311612E" w:rsidR="006004E5" w:rsidRDefault="006004E5" w:rsidP="008F51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B532D">
              <w:rPr>
                <w:rFonts w:ascii="Times New Roman" w:eastAsia="Times New Roman" w:hAnsi="Times New Roman" w:cs="Times New Roman"/>
                <w:bCs/>
              </w:rPr>
              <w:t>Ewaluacja efektów proponowanych opłat</w:t>
            </w:r>
            <w:r w:rsidR="008F5132" w:rsidRPr="00BB532D">
              <w:rPr>
                <w:rFonts w:ascii="Times New Roman" w:eastAsia="Times New Roman" w:hAnsi="Times New Roman" w:cs="Times New Roman"/>
                <w:bCs/>
              </w:rPr>
              <w:t xml:space="preserve"> zostanie </w:t>
            </w:r>
            <w:r w:rsidRPr="00BB532D">
              <w:rPr>
                <w:rFonts w:ascii="Times New Roman" w:eastAsia="Times New Roman" w:hAnsi="Times New Roman" w:cs="Times New Roman"/>
                <w:bCs/>
              </w:rPr>
              <w:t>dokonana przed wydaniem rozporządzenia określającego wysokość opłaty na 202</w:t>
            </w:r>
            <w:r w:rsidR="003026E0" w:rsidRPr="00BB532D">
              <w:rPr>
                <w:rFonts w:ascii="Times New Roman" w:eastAsia="Times New Roman" w:hAnsi="Times New Roman" w:cs="Times New Roman"/>
                <w:bCs/>
              </w:rPr>
              <w:t>5</w:t>
            </w:r>
            <w:r w:rsidRPr="00BB532D">
              <w:rPr>
                <w:rFonts w:ascii="Times New Roman" w:eastAsia="Times New Roman" w:hAnsi="Times New Roman" w:cs="Times New Roman"/>
                <w:bCs/>
              </w:rPr>
              <w:t xml:space="preserve"> r.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</w:p>
        </w:tc>
      </w:tr>
      <w:tr w:rsidR="006004E5" w14:paraId="7A5AC588" w14:textId="77777777" w:rsidTr="006004E5">
        <w:trPr>
          <w:trHeight w:val="142"/>
        </w:trPr>
        <w:tc>
          <w:tcPr>
            <w:tcW w:w="1079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2667E221" w14:textId="77777777" w:rsidR="006004E5" w:rsidRDefault="006004E5" w:rsidP="001C367F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</w:rPr>
              <w:t xml:space="preserve">Załączniki </w:t>
            </w:r>
            <w:r>
              <w:rPr>
                <w:rFonts w:ascii="Times New Roman" w:hAnsi="Times New Roman" w:cs="Times New Roman"/>
                <w:b/>
                <w:spacing w:val="-2"/>
              </w:rPr>
              <w:t>(istotne dokumenty źródłowe, badania, analizy itp.</w:t>
            </w:r>
            <w:r>
              <w:rPr>
                <w:rFonts w:ascii="Times New Roman" w:hAnsi="Times New Roman" w:cs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6004E5" w14:paraId="793979B5" w14:textId="77777777" w:rsidTr="006004E5">
        <w:trPr>
          <w:trHeight w:val="142"/>
        </w:trPr>
        <w:tc>
          <w:tcPr>
            <w:tcW w:w="1079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58EAEF" w14:textId="77777777" w:rsidR="006004E5" w:rsidRDefault="006004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B532D">
              <w:rPr>
                <w:rFonts w:ascii="Times New Roman" w:eastAsia="Times New Roman" w:hAnsi="Times New Roman" w:cs="Times New Roman"/>
                <w:bCs/>
              </w:rPr>
              <w:t>Nie dotyczy.</w:t>
            </w:r>
          </w:p>
        </w:tc>
      </w:tr>
    </w:tbl>
    <w:p w14:paraId="2CFF1F5F" w14:textId="77777777" w:rsidR="006004E5" w:rsidRDefault="006004E5" w:rsidP="006004E5">
      <w:pPr>
        <w:pStyle w:val="Nagwek1"/>
        <w:spacing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2635AD9" w14:textId="77777777" w:rsidR="006004E5" w:rsidRDefault="006004E5" w:rsidP="006004E5">
      <w:pPr>
        <w:spacing w:after="0" w:line="240" w:lineRule="auto"/>
        <w:rPr>
          <w:rFonts w:ascii="Times New Roman" w:eastAsiaTheme="minorEastAsia" w:hAnsi="Times New Roman" w:cs="Times New Roman"/>
          <w:lang w:eastAsia="pl-PL"/>
        </w:rPr>
      </w:pPr>
    </w:p>
    <w:p w14:paraId="48A120C8" w14:textId="70C56C16" w:rsidR="00B72A81" w:rsidRDefault="00B72A81"/>
    <w:sectPr w:rsidR="00B72A8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9C967" w14:textId="77777777" w:rsidR="00443FA2" w:rsidRDefault="00443FA2" w:rsidP="00711C78">
      <w:pPr>
        <w:spacing w:after="0" w:line="240" w:lineRule="auto"/>
      </w:pPr>
      <w:r>
        <w:separator/>
      </w:r>
    </w:p>
  </w:endnote>
  <w:endnote w:type="continuationSeparator" w:id="0">
    <w:p w14:paraId="2D14CD84" w14:textId="77777777" w:rsidR="00443FA2" w:rsidRDefault="00443FA2" w:rsidP="00711C78">
      <w:pPr>
        <w:spacing w:after="0" w:line="240" w:lineRule="auto"/>
      </w:pPr>
      <w:r>
        <w:continuationSeparator/>
      </w:r>
    </w:p>
  </w:endnote>
  <w:endnote w:type="continuationNotice" w:id="1">
    <w:p w14:paraId="01603202" w14:textId="77777777" w:rsidR="00443FA2" w:rsidRDefault="00443F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87B85" w14:textId="77777777" w:rsidR="007B6042" w:rsidRDefault="007B60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091B0" w14:textId="77777777" w:rsidR="00443FA2" w:rsidRDefault="00443FA2" w:rsidP="00711C78">
      <w:pPr>
        <w:spacing w:after="0" w:line="240" w:lineRule="auto"/>
      </w:pPr>
      <w:r>
        <w:separator/>
      </w:r>
    </w:p>
  </w:footnote>
  <w:footnote w:type="continuationSeparator" w:id="0">
    <w:p w14:paraId="562F25BD" w14:textId="77777777" w:rsidR="00443FA2" w:rsidRDefault="00443FA2" w:rsidP="00711C78">
      <w:pPr>
        <w:spacing w:after="0" w:line="240" w:lineRule="auto"/>
      </w:pPr>
      <w:r>
        <w:continuationSeparator/>
      </w:r>
    </w:p>
  </w:footnote>
  <w:footnote w:type="continuationNotice" w:id="1">
    <w:p w14:paraId="28BE7703" w14:textId="77777777" w:rsidR="00443FA2" w:rsidRDefault="00443F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10ECD" w14:textId="77777777" w:rsidR="007B6042" w:rsidRDefault="007B60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F03246"/>
    <w:multiLevelType w:val="hybridMultilevel"/>
    <w:tmpl w:val="78E66C26"/>
    <w:lvl w:ilvl="0" w:tplc="7B6C40FC">
      <w:start w:val="1"/>
      <w:numFmt w:val="decimal"/>
      <w:lvlText w:val="%1)"/>
      <w:lvlJc w:val="left"/>
      <w:pPr>
        <w:ind w:left="825" w:hanging="46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FA6780"/>
    <w:multiLevelType w:val="hybridMultilevel"/>
    <w:tmpl w:val="7F3E0796"/>
    <w:lvl w:ilvl="0" w:tplc="7B6C40FC">
      <w:start w:val="1"/>
      <w:numFmt w:val="decimal"/>
      <w:lvlText w:val="%1)"/>
      <w:lvlJc w:val="left"/>
      <w:pPr>
        <w:ind w:left="825" w:hanging="46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049000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724376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45119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4E5"/>
    <w:rsid w:val="00015495"/>
    <w:rsid w:val="00015B52"/>
    <w:rsid w:val="00067EC1"/>
    <w:rsid w:val="00085DD9"/>
    <w:rsid w:val="000B67DE"/>
    <w:rsid w:val="00101043"/>
    <w:rsid w:val="00155D93"/>
    <w:rsid w:val="00161C5D"/>
    <w:rsid w:val="001825A7"/>
    <w:rsid w:val="001A4A4C"/>
    <w:rsid w:val="001A5450"/>
    <w:rsid w:val="001C367F"/>
    <w:rsid w:val="001D63EE"/>
    <w:rsid w:val="00255A64"/>
    <w:rsid w:val="002C248B"/>
    <w:rsid w:val="002E113E"/>
    <w:rsid w:val="00300591"/>
    <w:rsid w:val="003026E0"/>
    <w:rsid w:val="0035001F"/>
    <w:rsid w:val="00397199"/>
    <w:rsid w:val="003B4994"/>
    <w:rsid w:val="003C4737"/>
    <w:rsid w:val="003C7959"/>
    <w:rsid w:val="003E3962"/>
    <w:rsid w:val="003F7086"/>
    <w:rsid w:val="00425A47"/>
    <w:rsid w:val="00431F6C"/>
    <w:rsid w:val="00443FA2"/>
    <w:rsid w:val="00490DD4"/>
    <w:rsid w:val="00490ED4"/>
    <w:rsid w:val="004C7458"/>
    <w:rsid w:val="005B5645"/>
    <w:rsid w:val="005E553C"/>
    <w:rsid w:val="006004E5"/>
    <w:rsid w:val="00635CF0"/>
    <w:rsid w:val="0065715A"/>
    <w:rsid w:val="00665C26"/>
    <w:rsid w:val="006B4677"/>
    <w:rsid w:val="00705A3F"/>
    <w:rsid w:val="00711C78"/>
    <w:rsid w:val="00713C89"/>
    <w:rsid w:val="00753DD2"/>
    <w:rsid w:val="007B6042"/>
    <w:rsid w:val="007D32CA"/>
    <w:rsid w:val="00846107"/>
    <w:rsid w:val="008F43D7"/>
    <w:rsid w:val="008F5132"/>
    <w:rsid w:val="00A046BC"/>
    <w:rsid w:val="00A22C64"/>
    <w:rsid w:val="00A2442B"/>
    <w:rsid w:val="00A5668B"/>
    <w:rsid w:val="00A75C49"/>
    <w:rsid w:val="00AA4525"/>
    <w:rsid w:val="00B232FC"/>
    <w:rsid w:val="00B250DB"/>
    <w:rsid w:val="00B560EC"/>
    <w:rsid w:val="00B71668"/>
    <w:rsid w:val="00B72A81"/>
    <w:rsid w:val="00B961B9"/>
    <w:rsid w:val="00BB532D"/>
    <w:rsid w:val="00BD583A"/>
    <w:rsid w:val="00BF065E"/>
    <w:rsid w:val="00C37B8D"/>
    <w:rsid w:val="00CD4407"/>
    <w:rsid w:val="00CD6821"/>
    <w:rsid w:val="00D54079"/>
    <w:rsid w:val="00D83B73"/>
    <w:rsid w:val="00DB2C9F"/>
    <w:rsid w:val="00DB4070"/>
    <w:rsid w:val="00DD246D"/>
    <w:rsid w:val="00DE26E7"/>
    <w:rsid w:val="00E664DB"/>
    <w:rsid w:val="00EA4CEF"/>
    <w:rsid w:val="00EB4F4C"/>
    <w:rsid w:val="00EC4FDE"/>
    <w:rsid w:val="00F42A88"/>
    <w:rsid w:val="00F55D3E"/>
    <w:rsid w:val="00F60B4D"/>
    <w:rsid w:val="00F60C6B"/>
    <w:rsid w:val="00FC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08E6A"/>
  <w15:chartTrackingRefBased/>
  <w15:docId w15:val="{AFF6B36D-8B87-41D8-927D-66CEE3F5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4E5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6004E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04E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uiPriority w:val="99"/>
    <w:unhideWhenUsed/>
    <w:rsid w:val="006004E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04E5"/>
    <w:pPr>
      <w:spacing w:line="254" w:lineRule="auto"/>
      <w:ind w:left="720"/>
      <w:contextualSpacing/>
    </w:p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6004E5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object">
    <w:name w:val="object"/>
    <w:basedOn w:val="Domylnaczcionkaakapitu"/>
    <w:rsid w:val="006004E5"/>
  </w:style>
  <w:style w:type="character" w:customStyle="1" w:styleId="object-hover">
    <w:name w:val="object-hover"/>
    <w:basedOn w:val="Domylnaczcionkaakapitu"/>
    <w:rsid w:val="006004E5"/>
  </w:style>
  <w:style w:type="character" w:styleId="Pogrubienie">
    <w:name w:val="Strong"/>
    <w:basedOn w:val="Domylnaczcionkaakapitu"/>
    <w:uiPriority w:val="22"/>
    <w:qFormat/>
    <w:rsid w:val="006004E5"/>
    <w:rPr>
      <w:b/>
      <w:bCs/>
    </w:rPr>
  </w:style>
  <w:style w:type="character" w:styleId="Odwoaniedokomentarza">
    <w:name w:val="annotation reference"/>
    <w:basedOn w:val="Domylnaczcionkaakapitu"/>
    <w:unhideWhenUsed/>
    <w:rsid w:val="00EC4FD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C4F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C4F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4FDE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3B7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A3F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015B52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CD4407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1C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1C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1C78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25A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B6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6042"/>
  </w:style>
  <w:style w:type="paragraph" w:styleId="Stopka">
    <w:name w:val="footer"/>
    <w:basedOn w:val="Normalny"/>
    <w:link w:val="StopkaZnak"/>
    <w:uiPriority w:val="99"/>
    <w:unhideWhenUsed/>
    <w:rsid w:val="007B6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6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8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bie.pt/pt/redemobie/encontrar-post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zymon.bylinski@klimat.gov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fdc.energy.gov/fuels/electricity_location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argemap.com/ma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2188</Words>
  <Characters>13130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Mroczek Kacper</dc:creator>
  <cp:keywords/>
  <dc:description/>
  <cp:lastModifiedBy>Mroczek Kacper</cp:lastModifiedBy>
  <cp:revision>1</cp:revision>
  <dcterms:created xsi:type="dcterms:W3CDTF">2023-05-17T07:49:00Z</dcterms:created>
  <dcterms:modified xsi:type="dcterms:W3CDTF">2023-05-29T11:34:00Z</dcterms:modified>
</cp:coreProperties>
</file>