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34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501"/>
        <w:gridCol w:w="451"/>
        <w:gridCol w:w="119"/>
        <w:gridCol w:w="151"/>
        <w:gridCol w:w="129"/>
        <w:gridCol w:w="524"/>
        <w:gridCol w:w="185"/>
        <w:gridCol w:w="567"/>
        <w:gridCol w:w="186"/>
        <w:gridCol w:w="97"/>
        <w:gridCol w:w="284"/>
        <w:gridCol w:w="151"/>
        <w:gridCol w:w="405"/>
        <w:gridCol w:w="11"/>
        <w:gridCol w:w="142"/>
        <w:gridCol w:w="425"/>
        <w:gridCol w:w="360"/>
        <w:gridCol w:w="207"/>
        <w:gridCol w:w="567"/>
        <w:gridCol w:w="142"/>
        <w:gridCol w:w="425"/>
        <w:gridCol w:w="1139"/>
      </w:tblGrid>
      <w:tr w:rsidR="007D0C05" w:rsidRPr="00141B61" w14:paraId="56C60AC3" w14:textId="77777777" w:rsidTr="00A75CE5">
        <w:trPr>
          <w:trHeight w:val="4810"/>
        </w:trPr>
        <w:tc>
          <w:tcPr>
            <w:tcW w:w="6799" w:type="dxa"/>
            <w:gridSpan w:val="17"/>
          </w:tcPr>
          <w:p w14:paraId="6DFA44CD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bookmarkStart w:id="0" w:name="t1"/>
            <w:r w:rsidRPr="00141B61">
              <w:rPr>
                <w:b/>
                <w:bCs/>
                <w:color w:val="000000"/>
                <w:sz w:val="23"/>
                <w:szCs w:val="23"/>
              </w:rPr>
              <w:t>Nazwa projektu</w:t>
            </w:r>
          </w:p>
          <w:p w14:paraId="352E4FD4" w14:textId="456D89C6" w:rsidR="007D0C05" w:rsidRPr="00141B61" w:rsidRDefault="00880199" w:rsidP="003A6A73">
            <w:pPr>
              <w:spacing w:line="240" w:lineRule="auto"/>
              <w:ind w:hanging="3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fldChar w:fldCharType="begin">
                <w:ffData>
                  <w:name w:val="t2"/>
                  <w:enabled/>
                  <w:calcOnExit w:val="0"/>
                  <w:helpText w:type="text" w:val="Wpisz sktót oznaczenia departamentu"/>
                  <w:statusText w:type="text" w:val="Wpisz sktót oznaczenia departamentu"/>
                  <w:textInput>
                    <w:default w:val="Rozporządzenie Ministra Klimatu i Środowiska w sprawie stawek opłaty za produkty jednorazowego użytku z tworzyw sztucznych będące opakowaniami"/>
                    <w:maxLength w:val="260"/>
                  </w:textInput>
                </w:ffData>
              </w:fldChar>
            </w:r>
            <w:r>
              <w:rPr>
                <w:color w:val="000000"/>
                <w:sz w:val="23"/>
                <w:szCs w:val="23"/>
              </w:rPr>
              <w:instrText xml:space="preserve"> </w:instrText>
            </w:r>
            <w:bookmarkStart w:id="1" w:name="t2"/>
            <w:r>
              <w:rPr>
                <w:color w:val="000000"/>
                <w:sz w:val="23"/>
                <w:szCs w:val="23"/>
              </w:rPr>
              <w:instrText xml:space="preserve">FORMTEXT </w:instrText>
            </w: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  <w:fldChar w:fldCharType="separate"/>
            </w:r>
            <w:r>
              <w:rPr>
                <w:noProof/>
                <w:color w:val="000000"/>
                <w:sz w:val="23"/>
                <w:szCs w:val="23"/>
              </w:rPr>
              <w:t>Rozporządzenie Ministra Klimatu i Środowiska w sprawie stawek opłaty za produkty jednorazowego użytku z tworzyw sztucznych będące opakowaniami</w:t>
            </w:r>
            <w:r>
              <w:rPr>
                <w:color w:val="000000"/>
                <w:sz w:val="23"/>
                <w:szCs w:val="23"/>
              </w:rPr>
              <w:fldChar w:fldCharType="end"/>
            </w:r>
            <w:bookmarkEnd w:id="1"/>
            <w:r w:rsidR="003F306E">
              <w:rPr>
                <w:color w:val="000000"/>
                <w:sz w:val="23"/>
                <w:szCs w:val="23"/>
              </w:rPr>
              <w:t xml:space="preserve"> </w:t>
            </w:r>
          </w:p>
          <w:p w14:paraId="4CB957D9" w14:textId="77777777" w:rsidR="007D0C05" w:rsidRPr="00141B61" w:rsidRDefault="007D0C05" w:rsidP="003A6A73">
            <w:pPr>
              <w:spacing w:line="240" w:lineRule="auto"/>
              <w:ind w:hanging="34"/>
              <w:rPr>
                <w:color w:val="000000"/>
                <w:sz w:val="23"/>
                <w:szCs w:val="23"/>
              </w:rPr>
            </w:pPr>
          </w:p>
          <w:p w14:paraId="7D6C05E2" w14:textId="77777777" w:rsidR="007D0C05" w:rsidRPr="00141B61" w:rsidRDefault="007D0C05" w:rsidP="003A6A73">
            <w:pPr>
              <w:spacing w:line="240" w:lineRule="auto"/>
              <w:ind w:hanging="45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z w:val="23"/>
                <w:szCs w:val="23"/>
              </w:rPr>
              <w:t>Ministerstwo wiodące i ministerstwa współpracujące</w:t>
            </w:r>
          </w:p>
          <w:bookmarkEnd w:id="0"/>
          <w:p w14:paraId="342A9814" w14:textId="1D9A86B1" w:rsidR="007D0C05" w:rsidRPr="00141B61" w:rsidRDefault="00CA6676" w:rsidP="003A6A73">
            <w:pPr>
              <w:spacing w:line="240" w:lineRule="auto"/>
              <w:ind w:hanging="3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Wpisz Pełny tytuł ustawy zgodnie z wpisem do programu prac legislacyjnych"/>
                  <w:statusText w:type="text" w:val="Wpisz Pełny tytuł ustawy zgodnie z wpisem do programu prac legislacyjnych"/>
                  <w:textInput>
                    <w:default w:val="Ministerstwo Klimatu i Środowiska, w porozumieniu z Ministerstwem Finansów i Ministerstwem Rozwoju i Technologii"/>
                  </w:textInput>
                </w:ffData>
              </w:fldChar>
            </w:r>
            <w:r>
              <w:rPr>
                <w:color w:val="000000"/>
                <w:sz w:val="23"/>
                <w:szCs w:val="23"/>
              </w:rPr>
              <w:instrText xml:space="preserve"> FORMTEXT </w:instrText>
            </w: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  <w:fldChar w:fldCharType="separate"/>
            </w:r>
            <w:r>
              <w:rPr>
                <w:noProof/>
                <w:color w:val="000000"/>
                <w:sz w:val="23"/>
                <w:szCs w:val="23"/>
              </w:rPr>
              <w:t>Ministerstwo Klimatu i Środowiska, w porozumieniu z Ministerstwem Finansów i Ministerstwem Rozwoju i Technologii</w:t>
            </w:r>
            <w:r>
              <w:rPr>
                <w:color w:val="000000"/>
                <w:sz w:val="23"/>
                <w:szCs w:val="23"/>
              </w:rPr>
              <w:fldChar w:fldCharType="end"/>
            </w:r>
          </w:p>
          <w:p w14:paraId="6118FD2C" w14:textId="77777777" w:rsidR="007D0C05" w:rsidRPr="00141B61" w:rsidRDefault="007D0C05" w:rsidP="003A6A73">
            <w:pPr>
              <w:spacing w:line="240" w:lineRule="auto"/>
              <w:ind w:hanging="34"/>
              <w:rPr>
                <w:color w:val="000000"/>
                <w:sz w:val="23"/>
                <w:szCs w:val="23"/>
              </w:rPr>
            </w:pPr>
          </w:p>
          <w:p w14:paraId="16B56CE2" w14:textId="77777777" w:rsidR="007D0C05" w:rsidRPr="00141B61" w:rsidRDefault="007D0C05" w:rsidP="003A6A73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 w:rsidRPr="00141B61">
              <w:rPr>
                <w:b/>
                <w:bCs/>
                <w:sz w:val="23"/>
                <w:szCs w:val="23"/>
              </w:rPr>
              <w:t xml:space="preserve">Osoba odpowiedzialna za projekt w randze Ministra, Sekretarza Stanu lub Podsekretarza Stanu </w:t>
            </w:r>
          </w:p>
          <w:p w14:paraId="491EE328" w14:textId="77777777" w:rsidR="007D0C05" w:rsidRPr="00141B61" w:rsidRDefault="007D0C05" w:rsidP="003A6A73">
            <w:pPr>
              <w:spacing w:line="240" w:lineRule="auto"/>
              <w:rPr>
                <w:sz w:val="23"/>
                <w:szCs w:val="23"/>
              </w:rPr>
            </w:pPr>
            <w:r w:rsidRPr="00141B61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Wpisz Pełny tytuł ustawy zgodnie z wpisem do programu prac legislacyjnych"/>
                  <w:statusText w:type="text" w:val="Wpisz Pełny tytuł ustawy zgodnie z wpisem do programu prac legislacyjnych"/>
                  <w:textInput>
                    <w:default w:val="Sekretarz Stanu Pan Jacek Ozdoba"/>
                  </w:textInput>
                </w:ffData>
              </w:fldChar>
            </w:r>
            <w:r w:rsidRPr="00141B61">
              <w:rPr>
                <w:sz w:val="23"/>
                <w:szCs w:val="23"/>
              </w:rPr>
              <w:instrText xml:space="preserve"> FORMTEXT </w:instrText>
            </w:r>
            <w:r w:rsidRPr="00141B61">
              <w:rPr>
                <w:sz w:val="23"/>
                <w:szCs w:val="23"/>
              </w:rPr>
            </w:r>
            <w:r w:rsidRPr="00141B61">
              <w:rPr>
                <w:sz w:val="23"/>
                <w:szCs w:val="23"/>
              </w:rPr>
              <w:fldChar w:fldCharType="separate"/>
            </w:r>
            <w:r w:rsidRPr="00141B61">
              <w:rPr>
                <w:noProof/>
                <w:sz w:val="23"/>
                <w:szCs w:val="23"/>
              </w:rPr>
              <w:t>Sekretarz Stanu Pan Jacek Ozdoba</w:t>
            </w:r>
            <w:r w:rsidRPr="00141B61">
              <w:rPr>
                <w:sz w:val="23"/>
                <w:szCs w:val="23"/>
              </w:rPr>
              <w:fldChar w:fldCharType="end"/>
            </w:r>
          </w:p>
          <w:p w14:paraId="40FD5331" w14:textId="77777777" w:rsidR="007D0C05" w:rsidRPr="00141B61" w:rsidRDefault="007D0C05" w:rsidP="003A6A73">
            <w:pPr>
              <w:spacing w:line="240" w:lineRule="auto"/>
              <w:rPr>
                <w:sz w:val="23"/>
                <w:szCs w:val="23"/>
              </w:rPr>
            </w:pPr>
          </w:p>
          <w:p w14:paraId="516D5A96" w14:textId="77777777" w:rsidR="007D0C05" w:rsidRPr="00141B61" w:rsidRDefault="007D0C05" w:rsidP="003A6A73">
            <w:pPr>
              <w:spacing w:line="240" w:lineRule="auto"/>
              <w:ind w:hanging="45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z w:val="23"/>
                <w:szCs w:val="23"/>
              </w:rPr>
              <w:t>Kontakt do opiekuna merytorycznego projektu</w:t>
            </w:r>
          </w:p>
          <w:p w14:paraId="1F434108" w14:textId="518EDFD2" w:rsidR="00842390" w:rsidRDefault="007D0C05" w:rsidP="003A6A73">
            <w:pPr>
              <w:spacing w:line="240" w:lineRule="auto"/>
              <w:ind w:hanging="3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Tomasz Zaliwski</w:t>
            </w:r>
            <w:r w:rsidRPr="00141B61">
              <w:rPr>
                <w:color w:val="000000"/>
                <w:sz w:val="23"/>
                <w:szCs w:val="23"/>
              </w:rPr>
              <w:t xml:space="preserve"> tel. 22 36 92 </w:t>
            </w:r>
            <w:r>
              <w:rPr>
                <w:color w:val="000000"/>
                <w:sz w:val="23"/>
                <w:szCs w:val="23"/>
              </w:rPr>
              <w:t>840</w:t>
            </w:r>
            <w:r w:rsidRPr="00141B61">
              <w:rPr>
                <w:color w:val="000000"/>
                <w:sz w:val="23"/>
                <w:szCs w:val="23"/>
              </w:rPr>
              <w:t xml:space="preserve">, e-mail: </w:t>
            </w:r>
          </w:p>
          <w:p w14:paraId="007535BE" w14:textId="4FCD7EBA" w:rsidR="007D0C05" w:rsidRPr="00880199" w:rsidRDefault="00000000" w:rsidP="003A6A73">
            <w:pPr>
              <w:spacing w:line="240" w:lineRule="auto"/>
              <w:ind w:hanging="34"/>
              <w:rPr>
                <w:rStyle w:val="Hipercze"/>
                <w:sz w:val="23"/>
                <w:szCs w:val="23"/>
                <w:lang w:val="en-GB"/>
              </w:rPr>
            </w:pPr>
            <w:hyperlink r:id="rId9" w:history="1">
              <w:r w:rsidR="00842390" w:rsidRPr="009D4FBB">
                <w:rPr>
                  <w:rStyle w:val="Hipercze"/>
                  <w:sz w:val="23"/>
                  <w:szCs w:val="23"/>
                  <w:lang w:val="en-GB"/>
                </w:rPr>
                <w:t>tomasz.zaliwski@klimat.gov.pl</w:t>
              </w:r>
            </w:hyperlink>
          </w:p>
          <w:p w14:paraId="0937E1C3" w14:textId="4CE13229" w:rsidR="00EA56FB" w:rsidRDefault="00842390" w:rsidP="003A6A73">
            <w:pPr>
              <w:spacing w:line="240" w:lineRule="auto"/>
              <w:ind w:hanging="34"/>
              <w:rPr>
                <w:color w:val="000000"/>
                <w:sz w:val="23"/>
                <w:szCs w:val="23"/>
                <w:lang w:val="en-GB"/>
              </w:rPr>
            </w:pPr>
            <w:r w:rsidRPr="00842390">
              <w:rPr>
                <w:color w:val="000000"/>
                <w:sz w:val="23"/>
                <w:szCs w:val="23"/>
                <w:lang w:val="en-GB"/>
              </w:rPr>
              <w:t xml:space="preserve">Joanna Muniak tel. 22 36 92 </w:t>
            </w:r>
            <w:r w:rsidR="00EA56FB" w:rsidRPr="00842390">
              <w:rPr>
                <w:lang w:val="en-GB"/>
              </w:rPr>
              <w:t>759</w:t>
            </w:r>
            <w:r w:rsidR="00EA56FB" w:rsidRPr="00842390">
              <w:rPr>
                <w:color w:val="000000"/>
                <w:sz w:val="23"/>
                <w:szCs w:val="23"/>
                <w:lang w:val="en-GB"/>
              </w:rPr>
              <w:t xml:space="preserve">, e-mail: </w:t>
            </w:r>
          </w:p>
          <w:p w14:paraId="08A2FACD" w14:textId="0366166F" w:rsidR="00EA56FB" w:rsidRPr="00842390" w:rsidRDefault="00000000" w:rsidP="003A6A73">
            <w:pPr>
              <w:spacing w:line="240" w:lineRule="auto"/>
              <w:ind w:hanging="34"/>
              <w:rPr>
                <w:color w:val="000000"/>
                <w:sz w:val="23"/>
                <w:szCs w:val="23"/>
                <w:lang w:val="en-GB"/>
              </w:rPr>
            </w:pPr>
            <w:hyperlink r:id="rId10" w:history="1">
              <w:r w:rsidR="00842390" w:rsidRPr="00842390">
                <w:rPr>
                  <w:rStyle w:val="Hipercze"/>
                  <w:lang w:val="en-GB"/>
                </w:rPr>
                <w:t>joanna.muniak@mos.gov.pl</w:t>
              </w:r>
            </w:hyperlink>
            <w:r w:rsidR="00EA56FB" w:rsidRPr="00842390">
              <w:rPr>
                <w:rStyle w:val="Hipercze"/>
                <w:lang w:val="en-GB"/>
              </w:rPr>
              <w:t xml:space="preserve"> </w:t>
            </w:r>
          </w:p>
        </w:tc>
        <w:tc>
          <w:tcPr>
            <w:tcW w:w="4258" w:type="dxa"/>
            <w:gridSpan w:val="12"/>
            <w:shd w:val="clear" w:color="auto" w:fill="FFFFFF"/>
          </w:tcPr>
          <w:p w14:paraId="6F7C3C26" w14:textId="77777777" w:rsidR="007D0C05" w:rsidRPr="00141B61" w:rsidRDefault="007D0C05" w:rsidP="003A6A73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 w:rsidRPr="00141B61">
              <w:rPr>
                <w:b/>
                <w:bCs/>
                <w:sz w:val="23"/>
                <w:szCs w:val="23"/>
              </w:rPr>
              <w:t>Data sporządzenia</w:t>
            </w:r>
          </w:p>
          <w:p w14:paraId="0C1C680E" w14:textId="0C7555A8" w:rsidR="007D0C05" w:rsidRPr="00141B61" w:rsidRDefault="00091E2F" w:rsidP="003A6A73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28 kwietnia 2023 r.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</w:instrText>
            </w:r>
            <w:bookmarkStart w:id="2" w:name="t5"/>
            <w:r>
              <w:rPr>
                <w:sz w:val="23"/>
                <w:szCs w:val="23"/>
              </w:rPr>
              <w:instrText xml:space="preserve">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28 kwietnia 2023 r.</w:t>
            </w:r>
            <w:r>
              <w:rPr>
                <w:sz w:val="23"/>
                <w:szCs w:val="23"/>
              </w:rPr>
              <w:fldChar w:fldCharType="end"/>
            </w:r>
            <w:bookmarkEnd w:id="2"/>
            <w:r w:rsidR="00842390" w:rsidDel="00842390">
              <w:rPr>
                <w:sz w:val="23"/>
                <w:szCs w:val="23"/>
              </w:rPr>
              <w:t xml:space="preserve"> </w:t>
            </w:r>
          </w:p>
          <w:p w14:paraId="38D0AA71" w14:textId="77777777" w:rsidR="007D0C05" w:rsidRPr="00141B61" w:rsidRDefault="007D0C05" w:rsidP="003A6A73">
            <w:pPr>
              <w:spacing w:line="240" w:lineRule="auto"/>
              <w:rPr>
                <w:b/>
                <w:bCs/>
                <w:sz w:val="23"/>
                <w:szCs w:val="23"/>
              </w:rPr>
            </w:pPr>
          </w:p>
          <w:p w14:paraId="38278439" w14:textId="77777777" w:rsidR="007D0C05" w:rsidRPr="00141B61" w:rsidRDefault="007D0C05" w:rsidP="003A6A73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 w:rsidRPr="00141B61">
              <w:rPr>
                <w:b/>
                <w:bCs/>
                <w:sz w:val="23"/>
                <w:szCs w:val="23"/>
              </w:rPr>
              <w:t xml:space="preserve">Źródło: </w:t>
            </w:r>
            <w:bookmarkStart w:id="3" w:name="Lista1"/>
          </w:p>
          <w:bookmarkEnd w:id="3"/>
          <w:p w14:paraId="5F084A02" w14:textId="77777777" w:rsidR="007D0C05" w:rsidRPr="00141B61" w:rsidRDefault="007D0C05" w:rsidP="003A6A73">
            <w:pPr>
              <w:spacing w:line="240" w:lineRule="auto"/>
              <w:rPr>
                <w:sz w:val="23"/>
                <w:szCs w:val="23"/>
              </w:rPr>
            </w:pPr>
            <w:r w:rsidRPr="00141B61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poważnienie ustawowe"/>
                    <w:listEntry w:val="Expose Premiera"/>
                    <w:listEntry w:val="decyzja PRM/RM"/>
                    <w:listEntry w:val="Prawo UE"/>
                    <w:listEntry w:val="Orzeczenie TK"/>
                    <w:listEntry w:val="Stategia"/>
                    <w:listEntry w:val="inne"/>
                  </w:ddList>
                </w:ffData>
              </w:fldChar>
            </w:r>
            <w:r w:rsidRPr="00141B61">
              <w:rPr>
                <w:sz w:val="23"/>
                <w:szCs w:val="23"/>
              </w:rPr>
              <w:instrText xml:space="preserve"> FORMDROPDOWN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141B61">
              <w:rPr>
                <w:sz w:val="23"/>
                <w:szCs w:val="23"/>
              </w:rPr>
              <w:fldChar w:fldCharType="end"/>
            </w:r>
          </w:p>
          <w:p w14:paraId="5C0C1D9E" w14:textId="07BA7903" w:rsidR="007D0C05" w:rsidRPr="00141B61" w:rsidRDefault="007D0C05" w:rsidP="003A6A73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sz w:val="23"/>
                <w:szCs w:val="23"/>
              </w:rPr>
              <w:t>Art. 3c ust. 2 ustawy z dnia 11 maja 2001 r. o obowiązkach przedsiębiorców w zakresie gospodarowania niektórymi odpadami oraz o opłacie produktowej (</w:t>
            </w:r>
            <w:r w:rsidR="001518D4" w:rsidRPr="00D12BDD">
              <w:rPr>
                <w:sz w:val="23"/>
                <w:szCs w:val="23"/>
              </w:rPr>
              <w:t xml:space="preserve">Dz. U. z </w:t>
            </w:r>
            <w:r w:rsidR="001518D4">
              <w:rPr>
                <w:sz w:val="23"/>
                <w:szCs w:val="23"/>
              </w:rPr>
              <w:t>2020</w:t>
            </w:r>
            <w:r w:rsidR="001518D4" w:rsidRPr="00D12BDD">
              <w:rPr>
                <w:sz w:val="23"/>
                <w:szCs w:val="23"/>
              </w:rPr>
              <w:t xml:space="preserve"> </w:t>
            </w:r>
            <w:r w:rsidR="008C1595">
              <w:rPr>
                <w:sz w:val="23"/>
                <w:szCs w:val="23"/>
              </w:rPr>
              <w:t xml:space="preserve">r. </w:t>
            </w:r>
            <w:r w:rsidR="001518D4" w:rsidRPr="00D12BDD">
              <w:rPr>
                <w:sz w:val="23"/>
                <w:szCs w:val="23"/>
              </w:rPr>
              <w:t xml:space="preserve">poz. </w:t>
            </w:r>
            <w:r w:rsidR="001518D4">
              <w:rPr>
                <w:sz w:val="23"/>
                <w:szCs w:val="23"/>
              </w:rPr>
              <w:t>1903 oraz z 2023</w:t>
            </w:r>
            <w:r w:rsidR="008C1595">
              <w:rPr>
                <w:sz w:val="23"/>
                <w:szCs w:val="23"/>
              </w:rPr>
              <w:t xml:space="preserve"> r.</w:t>
            </w:r>
            <w:r w:rsidR="001518D4">
              <w:rPr>
                <w:sz w:val="23"/>
                <w:szCs w:val="23"/>
              </w:rPr>
              <w:t xml:space="preserve"> poz. …</w:t>
            </w:r>
            <w:r w:rsidRPr="00141B61">
              <w:rPr>
                <w:sz w:val="23"/>
                <w:szCs w:val="23"/>
              </w:rPr>
              <w:t>)</w:t>
            </w:r>
          </w:p>
          <w:p w14:paraId="57D93002" w14:textId="77777777" w:rsidR="007D0C05" w:rsidRPr="00141B61" w:rsidRDefault="007D0C05" w:rsidP="003A6A73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  <w:p w14:paraId="42138EFF" w14:textId="77777777" w:rsidR="007D0C05" w:rsidRPr="00141B61" w:rsidRDefault="007D0C05" w:rsidP="003A6A73">
            <w:pPr>
              <w:spacing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z w:val="23"/>
                <w:szCs w:val="23"/>
              </w:rPr>
              <w:t>Nr w wykazie prac</w:t>
            </w:r>
          </w:p>
          <w:p w14:paraId="0361B76A" w14:textId="77784084" w:rsidR="007D0C05" w:rsidRPr="00141B61" w:rsidRDefault="00ED1B8C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952</w:t>
            </w:r>
          </w:p>
        </w:tc>
      </w:tr>
      <w:tr w:rsidR="007D0C05" w:rsidRPr="00141B61" w14:paraId="091199D0" w14:textId="77777777" w:rsidTr="00A75CE5">
        <w:trPr>
          <w:trHeight w:val="563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0697CFF5" w14:textId="77777777" w:rsidR="007D0C05" w:rsidRPr="00141B61" w:rsidRDefault="007D0C05" w:rsidP="003A6A73">
            <w:pPr>
              <w:spacing w:line="240" w:lineRule="auto"/>
              <w:ind w:left="57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 w:rsidRPr="00141B61">
              <w:rPr>
                <w:b/>
                <w:bCs/>
                <w:color w:val="FFFFFF"/>
                <w:sz w:val="23"/>
                <w:szCs w:val="23"/>
              </w:rPr>
              <w:t>OCENA SKUTKÓW REGULACJI</w:t>
            </w:r>
          </w:p>
        </w:tc>
      </w:tr>
      <w:tr w:rsidR="007D0C05" w:rsidRPr="00141B61" w14:paraId="4037BCCE" w14:textId="77777777" w:rsidTr="00A75CE5">
        <w:trPr>
          <w:trHeight w:val="557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03466FB2" w14:textId="77777777" w:rsidR="007D0C05" w:rsidRPr="00141B61" w:rsidRDefault="007D0C05" w:rsidP="003A6A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sz w:val="23"/>
                <w:szCs w:val="23"/>
              </w:rPr>
              <w:t>Jaki problem jest rozwiązywany?</w:t>
            </w:r>
            <w:bookmarkStart w:id="4" w:name="Wybór1"/>
            <w:bookmarkEnd w:id="4"/>
          </w:p>
        </w:tc>
      </w:tr>
      <w:tr w:rsidR="007D0C05" w:rsidRPr="00141B61" w14:paraId="42C895FA" w14:textId="77777777" w:rsidTr="00A75CE5">
        <w:trPr>
          <w:trHeight w:val="142"/>
        </w:trPr>
        <w:tc>
          <w:tcPr>
            <w:tcW w:w="11057" w:type="dxa"/>
            <w:gridSpan w:val="29"/>
            <w:shd w:val="clear" w:color="auto" w:fill="FFFFFF"/>
          </w:tcPr>
          <w:p w14:paraId="35530D12" w14:textId="3BED51B3" w:rsidR="007D0C05" w:rsidRDefault="007D0C05" w:rsidP="003A6A73">
            <w:pPr>
              <w:pStyle w:val="ARTartustawynprozporzdzenia"/>
              <w:spacing w:before="0" w:line="240" w:lineRule="auto"/>
              <w:ind w:firstLine="314"/>
              <w:rPr>
                <w:rFonts w:ascii="Times New Roman" w:hAnsi="Times New Roman" w:cs="Times New Roman"/>
                <w:sz w:val="23"/>
                <w:szCs w:val="23"/>
              </w:rPr>
            </w:pPr>
            <w:r w:rsidRPr="00141B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Potrzeba określenia stawki opłaty jest związana z transpozycją do przepisów krajowych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postanowień dyrektywy Parlamentu Europejskiego i Rady (UE) 2019/904 </w:t>
            </w:r>
            <w:r w:rsidRPr="00141B6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z dnia 5 czerwca 2019 r. w sprawie</w:t>
            </w:r>
            <w:r w:rsidRPr="00141B6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rFonts w:ascii="Times New Roman" w:hAnsi="Times New Roman" w:cs="Times New Roman"/>
                <w:bCs/>
                <w:i/>
                <w:color w:val="000000"/>
                <w:sz w:val="23"/>
                <w:szCs w:val="23"/>
              </w:rPr>
              <w:t>zmniejszenia wpływu niektórych produktów z tworzyw sztucznych na środowisko</w:t>
            </w:r>
            <w:r w:rsidR="0084239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42390" w:rsidRPr="00141B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Wprowadzenie opłaty stanowi transpozycję art. 4 dyrektywy 2019/904 </w:t>
            </w:r>
            <w:r w:rsidR="00842390" w:rsidRPr="00EE018E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w zakresie zmniejszenia ilościowego stosowania produktów jednorazowego użytku z tworzyw sztucznych</w:t>
            </w:r>
            <w:r w:rsidR="00842390" w:rsidRPr="00EA56FB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,</w:t>
            </w:r>
            <w:r w:rsidR="00842390" w:rsidRPr="00141B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 których mowa w załączniku A do dyrektywy.</w:t>
            </w:r>
          </w:p>
          <w:p w14:paraId="1ECABDC2" w14:textId="643376CB" w:rsidR="007D0C05" w:rsidRPr="0071311C" w:rsidRDefault="007D0C05" w:rsidP="003A6A73">
            <w:pPr>
              <w:pStyle w:val="ARTartustawynprozporzdzenia"/>
              <w:spacing w:before="0" w:line="240" w:lineRule="auto"/>
              <w:ind w:firstLine="31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>Polska przyjęła rozwiązanie</w:t>
            </w:r>
            <w:r w:rsidR="009D4FBB" w:rsidRPr="00BA1F07">
              <w:rPr>
                <w:rFonts w:ascii="Times New Roman" w:hAnsi="Times New Roman"/>
                <w:color w:val="000000"/>
              </w:rPr>
              <w:t xml:space="preserve"> polegające na objęciu wybranych produktów opłatą</w:t>
            </w:r>
            <w:r w:rsidR="009B40CE">
              <w:rPr>
                <w:rFonts w:ascii="Times New Roman" w:hAnsi="Times New Roman"/>
                <w:color w:val="000000"/>
              </w:rPr>
              <w:t xml:space="preserve"> w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celu zmniejszenie stosowania </w:t>
            </w:r>
            <w:r w:rsidR="007E2B0A">
              <w:rPr>
                <w:rFonts w:ascii="Times New Roman" w:hAnsi="Times New Roman" w:cs="Times New Roman"/>
                <w:sz w:val="23"/>
                <w:szCs w:val="23"/>
              </w:rPr>
              <w:t>produktów</w:t>
            </w:r>
            <w:r w:rsidR="007E2B0A"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>jednorazowego użytku</w:t>
            </w:r>
            <w:r w:rsidR="009D4F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z tworzyw </w:t>
            </w:r>
            <w:r w:rsidR="003F306E" w:rsidRPr="00141B61">
              <w:rPr>
                <w:rFonts w:ascii="Times New Roman" w:hAnsi="Times New Roman" w:cs="Times New Roman"/>
                <w:sz w:val="23"/>
                <w:szCs w:val="23"/>
              </w:rPr>
              <w:t>sztuczn</w:t>
            </w:r>
            <w:r w:rsidR="003F306E">
              <w:rPr>
                <w:rFonts w:ascii="Times New Roman" w:hAnsi="Times New Roman" w:cs="Times New Roman"/>
                <w:sz w:val="23"/>
                <w:szCs w:val="23"/>
              </w:rPr>
              <w:t>ych</w:t>
            </w:r>
            <w:r w:rsidR="003F306E"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52EE">
              <w:rPr>
                <w:rFonts w:ascii="Times New Roman" w:hAnsi="Times New Roman" w:cs="Times New Roman"/>
                <w:sz w:val="23"/>
                <w:szCs w:val="23"/>
              </w:rPr>
              <w:t xml:space="preserve">będących opakowaniami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dostępnych </w:t>
            </w:r>
            <w:r w:rsidR="009D4FB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>w jednostkach handlowych lub jednostkach gastronomicznych</w:t>
            </w:r>
            <w:r w:rsidR="00EE6972">
              <w:rPr>
                <w:rFonts w:ascii="Times New Roman" w:hAnsi="Times New Roman" w:cs="Times New Roman"/>
                <w:sz w:val="23"/>
                <w:szCs w:val="23"/>
              </w:rPr>
              <w:t>, a także w urządzeniach vendingowych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141B61">
              <w:rPr>
                <w:sz w:val="23"/>
                <w:szCs w:val="23"/>
              </w:rPr>
              <w:t xml:space="preserve">Pobieranie opłaty przez przedsiębiorców prowadzących jednostki handlowe lub jednostki gastronomiczne </w:t>
            </w:r>
            <w:r w:rsidR="00986029">
              <w:rPr>
                <w:sz w:val="23"/>
                <w:szCs w:val="23"/>
              </w:rPr>
              <w:t xml:space="preserve">oraz przez urządzenia vendingowe </w:t>
            </w:r>
            <w:r w:rsidRPr="00141B61">
              <w:rPr>
                <w:sz w:val="23"/>
                <w:szCs w:val="23"/>
              </w:rPr>
              <w:t xml:space="preserve">ma na celu </w:t>
            </w:r>
            <w:r w:rsidRPr="00141B61">
              <w:rPr>
                <w:color w:val="000000"/>
                <w:sz w:val="23"/>
                <w:szCs w:val="23"/>
              </w:rPr>
              <w:t>zniechęcenie konsumentów do nabywania opakowań jednorazowego użytku</w:t>
            </w:r>
            <w:r w:rsidR="0071311C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z w:val="23"/>
                <w:szCs w:val="23"/>
              </w:rPr>
              <w:t xml:space="preserve">z tworzyw </w:t>
            </w:r>
            <w:r w:rsidR="003F306E" w:rsidRPr="00141B61">
              <w:rPr>
                <w:color w:val="000000"/>
                <w:sz w:val="23"/>
                <w:szCs w:val="23"/>
              </w:rPr>
              <w:t>sztuczn</w:t>
            </w:r>
            <w:r w:rsidR="003F306E">
              <w:rPr>
                <w:color w:val="000000"/>
                <w:sz w:val="23"/>
                <w:szCs w:val="23"/>
              </w:rPr>
              <w:t>ych</w:t>
            </w:r>
            <w:r w:rsidR="003F306E"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z w:val="23"/>
                <w:szCs w:val="23"/>
              </w:rPr>
              <w:t xml:space="preserve">na rzecz opakowań i produktów z alternatywnych tworzyw lub opakowań i produktów wielokrotnego użytku. </w:t>
            </w:r>
          </w:p>
          <w:p w14:paraId="13BE9861" w14:textId="17C129CE" w:rsidR="0071311C" w:rsidRDefault="007D0C05" w:rsidP="003A6A73">
            <w:pPr>
              <w:pStyle w:val="ARTartustawynprozporzdzenia"/>
              <w:spacing w:before="0" w:line="240" w:lineRule="auto"/>
              <w:ind w:firstLine="314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 xml:space="preserve">W art. 3c </w:t>
            </w:r>
            <w:r w:rsidR="002D2AC8">
              <w:rPr>
                <w:color w:val="000000"/>
                <w:sz w:val="23"/>
                <w:szCs w:val="23"/>
              </w:rPr>
              <w:t xml:space="preserve">ust. 1 </w:t>
            </w:r>
            <w:r w:rsidRPr="00141B61">
              <w:rPr>
                <w:color w:val="000000"/>
                <w:sz w:val="23"/>
                <w:szCs w:val="23"/>
              </w:rPr>
              <w:t>ustawy</w:t>
            </w:r>
            <w:r w:rsidR="00037F2E">
              <w:rPr>
                <w:color w:val="000000"/>
                <w:sz w:val="23"/>
                <w:szCs w:val="23"/>
              </w:rPr>
              <w:t xml:space="preserve"> </w:t>
            </w:r>
            <w:r w:rsidR="00037F2E" w:rsidRPr="00141B61">
              <w:rPr>
                <w:sz w:val="23"/>
                <w:szCs w:val="23"/>
              </w:rPr>
              <w:t xml:space="preserve">z dnia 11 maja 2001 r. o obowiązkach przedsiębiorców w zakresie gospodarowania niektórymi odpadami oraz o opłacie produktowej </w:t>
            </w:r>
            <w:r w:rsidRPr="00141B61">
              <w:rPr>
                <w:color w:val="000000"/>
                <w:sz w:val="23"/>
                <w:szCs w:val="23"/>
              </w:rPr>
              <w:t xml:space="preserve">ustalono, że maksymalna stawka </w:t>
            </w:r>
            <w:r w:rsidR="00A952EE">
              <w:rPr>
                <w:color w:val="000000"/>
                <w:sz w:val="23"/>
                <w:szCs w:val="23"/>
              </w:rPr>
              <w:t xml:space="preserve">przedmiotowej </w:t>
            </w:r>
            <w:r w:rsidRPr="00141B61">
              <w:rPr>
                <w:color w:val="000000"/>
                <w:sz w:val="23"/>
                <w:szCs w:val="23"/>
              </w:rPr>
              <w:t xml:space="preserve">opłaty może wynieść 1 zł za jedną sztukę </w:t>
            </w:r>
            <w:r w:rsidR="00A952EE">
              <w:rPr>
                <w:color w:val="000000"/>
                <w:sz w:val="23"/>
                <w:szCs w:val="23"/>
              </w:rPr>
              <w:t>produktu</w:t>
            </w:r>
            <w:r w:rsidR="00A952EE"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z w:val="23"/>
                <w:szCs w:val="23"/>
              </w:rPr>
              <w:t xml:space="preserve">jednorazowego użytku z tworzyw </w:t>
            </w:r>
            <w:r w:rsidR="00472865" w:rsidRPr="00141B61">
              <w:rPr>
                <w:color w:val="000000"/>
                <w:sz w:val="23"/>
                <w:szCs w:val="23"/>
              </w:rPr>
              <w:t>sztuczn</w:t>
            </w:r>
            <w:r w:rsidR="00472865">
              <w:rPr>
                <w:color w:val="000000"/>
                <w:sz w:val="23"/>
                <w:szCs w:val="23"/>
              </w:rPr>
              <w:t>ych</w:t>
            </w:r>
            <w:r w:rsidR="00A952EE">
              <w:rPr>
                <w:color w:val="000000"/>
                <w:sz w:val="23"/>
                <w:szCs w:val="23"/>
              </w:rPr>
              <w:t xml:space="preserve"> będącego opakowaniem</w:t>
            </w:r>
            <w:r w:rsidR="00037F2E">
              <w:rPr>
                <w:color w:val="000000"/>
                <w:sz w:val="23"/>
                <w:szCs w:val="23"/>
              </w:rPr>
              <w:t>.</w:t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="00037F2E">
              <w:rPr>
                <w:color w:val="000000"/>
                <w:sz w:val="23"/>
                <w:szCs w:val="23"/>
              </w:rPr>
              <w:t>N</w:t>
            </w:r>
            <w:r w:rsidRPr="00141B61">
              <w:rPr>
                <w:color w:val="000000"/>
                <w:sz w:val="23"/>
                <w:szCs w:val="23"/>
              </w:rPr>
              <w:t>atomiast rzeczywista stawka opłaty, która przeznaczona jest</w:t>
            </w:r>
            <w:r w:rsidR="0071311C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z w:val="23"/>
                <w:szCs w:val="23"/>
              </w:rPr>
              <w:t>na pokrycie kosztów zagospodarowania odpadów powstałych z tych produktów, zostanie określona w rozporządzeniu</w:t>
            </w:r>
            <w:r w:rsidR="0071311C">
              <w:rPr>
                <w:color w:val="000000"/>
                <w:sz w:val="23"/>
                <w:szCs w:val="23"/>
              </w:rPr>
              <w:t>.</w:t>
            </w:r>
          </w:p>
          <w:p w14:paraId="62DE8E1F" w14:textId="027AF783" w:rsidR="007D0C05" w:rsidRDefault="007D0C05" w:rsidP="003A6A73">
            <w:pPr>
              <w:pStyle w:val="ARTartustawynprozporzdzenia"/>
              <w:spacing w:before="0" w:line="240" w:lineRule="auto"/>
              <w:ind w:firstLine="314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 xml:space="preserve"> Opłata będzie mogła stanowić całkowity koszt opakowania dla nabywcy albo zostanie doliczona do ceny ustalonej przez jednostkę handlową</w:t>
            </w:r>
            <w:r w:rsidR="00472865">
              <w:rPr>
                <w:color w:val="000000"/>
                <w:sz w:val="23"/>
                <w:szCs w:val="23"/>
              </w:rPr>
              <w:t>,</w:t>
            </w:r>
            <w:r w:rsidRPr="00141B61">
              <w:rPr>
                <w:color w:val="000000"/>
                <w:sz w:val="23"/>
                <w:szCs w:val="23"/>
              </w:rPr>
              <w:t xml:space="preserve"> gastronomiczną</w:t>
            </w:r>
            <w:r w:rsidR="00472865">
              <w:rPr>
                <w:color w:val="000000"/>
                <w:sz w:val="23"/>
                <w:szCs w:val="23"/>
              </w:rPr>
              <w:t xml:space="preserve"> lub </w:t>
            </w:r>
            <w:r w:rsidR="00037F2E">
              <w:rPr>
                <w:color w:val="000000"/>
                <w:sz w:val="23"/>
                <w:szCs w:val="23"/>
              </w:rPr>
              <w:t xml:space="preserve">sprzedawcę </w:t>
            </w:r>
            <w:r w:rsidR="009D4FBB">
              <w:rPr>
                <w:color w:val="000000"/>
                <w:sz w:val="23"/>
                <w:szCs w:val="23"/>
              </w:rPr>
              <w:t xml:space="preserve">oferującego produkty </w:t>
            </w:r>
            <w:r w:rsidR="00037F2E">
              <w:rPr>
                <w:color w:val="000000"/>
                <w:sz w:val="23"/>
                <w:szCs w:val="23"/>
              </w:rPr>
              <w:t xml:space="preserve">za pomocą </w:t>
            </w:r>
            <w:r w:rsidR="00472865">
              <w:rPr>
                <w:color w:val="000000"/>
                <w:sz w:val="23"/>
                <w:szCs w:val="23"/>
              </w:rPr>
              <w:t>urządzeni</w:t>
            </w:r>
            <w:r w:rsidR="00037F2E">
              <w:rPr>
                <w:color w:val="000000"/>
                <w:sz w:val="23"/>
                <w:szCs w:val="23"/>
              </w:rPr>
              <w:t>a</w:t>
            </w:r>
            <w:r w:rsidR="00472865">
              <w:rPr>
                <w:color w:val="000000"/>
                <w:sz w:val="23"/>
                <w:szCs w:val="23"/>
              </w:rPr>
              <w:t xml:space="preserve"> vendingowe</w:t>
            </w:r>
            <w:r w:rsidR="00037F2E">
              <w:rPr>
                <w:color w:val="000000"/>
                <w:sz w:val="23"/>
                <w:szCs w:val="23"/>
              </w:rPr>
              <w:t>go</w:t>
            </w:r>
            <w:r w:rsidRPr="00141B61">
              <w:rPr>
                <w:color w:val="000000"/>
                <w:sz w:val="23"/>
                <w:szCs w:val="23"/>
              </w:rPr>
              <w:t xml:space="preserve">. Wówczas cena składać się będzie z właściwej ceny opakowania jednorazowego użytku z tworzyw </w:t>
            </w:r>
            <w:r w:rsidR="00472865" w:rsidRPr="00141B61">
              <w:rPr>
                <w:color w:val="000000"/>
                <w:sz w:val="23"/>
                <w:szCs w:val="23"/>
              </w:rPr>
              <w:t>sztuczn</w:t>
            </w:r>
            <w:r w:rsidR="00472865">
              <w:rPr>
                <w:color w:val="000000"/>
                <w:sz w:val="23"/>
                <w:szCs w:val="23"/>
              </w:rPr>
              <w:t>ych</w:t>
            </w:r>
            <w:r w:rsidR="00472865"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z w:val="23"/>
                <w:szCs w:val="23"/>
              </w:rPr>
              <w:t xml:space="preserve">oraz doliczonej do niego opłaty. </w:t>
            </w:r>
          </w:p>
          <w:p w14:paraId="546F0967" w14:textId="3574C072" w:rsidR="007D0C05" w:rsidRPr="00141B61" w:rsidRDefault="007D0C05" w:rsidP="003A6A73">
            <w:pPr>
              <w:pStyle w:val="ARTartustawynprozporzdzenia"/>
              <w:spacing w:before="0" w:line="240" w:lineRule="auto"/>
              <w:ind w:firstLine="314"/>
              <w:rPr>
                <w:rFonts w:ascii="Times New Roman" w:hAnsi="Times New Roman" w:cs="Times New Roman"/>
                <w:sz w:val="23"/>
                <w:szCs w:val="23"/>
              </w:rPr>
            </w:pP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Projektowane rozporządzenie stanowi wykonanie upoważnienia do wydania aktu wykonawczego określonego w art. 3c ust. 2 ustawy z dnia 11 maja 2001 r. o obowiązkach przedsiębiorców w zakresie gospodarowania niektórymi odpadami oraz o opłacie produktowej. </w:t>
            </w:r>
          </w:p>
        </w:tc>
      </w:tr>
      <w:tr w:rsidR="007D0C05" w:rsidRPr="00141B61" w14:paraId="21E5936F" w14:textId="77777777" w:rsidTr="00A75CE5">
        <w:trPr>
          <w:trHeight w:val="558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242E5E54" w14:textId="77777777" w:rsidR="007D0C05" w:rsidRPr="00141B61" w:rsidRDefault="007D0C05" w:rsidP="003A6A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pacing w:val="-2"/>
                <w:sz w:val="23"/>
                <w:szCs w:val="23"/>
              </w:rPr>
              <w:t>Rekomendowane rozwiązanie, w tym planowane narzędzia interwencji, i oczekiwany efekt</w:t>
            </w:r>
          </w:p>
        </w:tc>
      </w:tr>
      <w:tr w:rsidR="007D0C05" w:rsidRPr="00141B61" w14:paraId="7B259DAD" w14:textId="77777777" w:rsidTr="00A75CE5">
        <w:trPr>
          <w:trHeight w:val="142"/>
        </w:trPr>
        <w:tc>
          <w:tcPr>
            <w:tcW w:w="11057" w:type="dxa"/>
            <w:gridSpan w:val="29"/>
          </w:tcPr>
          <w:p w14:paraId="2DBA74A7" w14:textId="6B64DD82" w:rsidR="00B25973" w:rsidRDefault="00893A0D" w:rsidP="003A6A73">
            <w:pPr>
              <w:pStyle w:val="ARTartustawynprozporzdzenia"/>
              <w:spacing w:before="0" w:line="240" w:lineRule="auto"/>
              <w:ind w:firstLine="31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Rekomenduje się</w:t>
            </w:r>
            <w:r w:rsidR="00B25973">
              <w:rPr>
                <w:rFonts w:ascii="Times New Roman" w:hAnsi="Times New Roman" w:cs="Times New Roman"/>
                <w:sz w:val="23"/>
                <w:szCs w:val="23"/>
              </w:rPr>
              <w:t xml:space="preserve"> określenie</w:t>
            </w:r>
            <w:r w:rsidR="00B25973"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staw</w:t>
            </w:r>
            <w:r w:rsidR="00B25973">
              <w:rPr>
                <w:rFonts w:ascii="Times New Roman" w:hAnsi="Times New Roman" w:cs="Times New Roman"/>
                <w:sz w:val="23"/>
                <w:szCs w:val="23"/>
              </w:rPr>
              <w:t>ek</w:t>
            </w:r>
            <w:r w:rsidR="00B25973"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opłaty za </w:t>
            </w:r>
            <w:r w:rsidR="00B25973">
              <w:rPr>
                <w:rFonts w:ascii="Times New Roman" w:hAnsi="Times New Roman" w:cs="Times New Roman"/>
                <w:sz w:val="23"/>
                <w:szCs w:val="23"/>
              </w:rPr>
              <w:t>sztukę produktu jednorazowego użytku z tworzyw sztucznych będącego opakowaniem, wymienionego w załączniku nr 6 do ustawy</w:t>
            </w:r>
            <w:r w:rsidR="00B25973"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na poziomie, który pozwoli zmienić dotychczasowe przyzwyczajenia konsumentów w zakresie zakupu </w:t>
            </w:r>
            <w:r w:rsidR="00B25973">
              <w:rPr>
                <w:rFonts w:ascii="Times New Roman" w:hAnsi="Times New Roman" w:cs="Times New Roman"/>
                <w:sz w:val="23"/>
                <w:szCs w:val="23"/>
              </w:rPr>
              <w:t>opakowań</w:t>
            </w:r>
            <w:r w:rsidR="00B25973"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z tworzyw sztuczn</w:t>
            </w:r>
            <w:r w:rsidR="00B25973">
              <w:rPr>
                <w:rFonts w:ascii="Times New Roman" w:hAnsi="Times New Roman" w:cs="Times New Roman"/>
                <w:sz w:val="23"/>
                <w:szCs w:val="23"/>
              </w:rPr>
              <w:t>ych</w:t>
            </w:r>
            <w:r w:rsidR="00B25973"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na rzecz </w:t>
            </w:r>
            <w:r w:rsidR="00B25973" w:rsidRPr="00141B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rozwiązań bardziej przyjaznych środowisku, np.</w:t>
            </w:r>
            <w:r w:rsidR="00B25973">
              <w:rPr>
                <w:rFonts w:ascii="Times New Roman" w:hAnsi="Times New Roman" w:cs="Times New Roman"/>
                <w:sz w:val="23"/>
                <w:szCs w:val="23"/>
              </w:rPr>
              <w:t xml:space="preserve"> opakowań z alternatywnych materiałów (papier, skrobia, otręby) lub opakowań</w:t>
            </w:r>
            <w:r w:rsidR="00B25973"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wielokrotnego użytku</w:t>
            </w:r>
            <w:r w:rsidR="00B2597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B43A797" w14:textId="26F67B51" w:rsidR="007D0C05" w:rsidRDefault="007D0C05" w:rsidP="003A6A73">
            <w:pPr>
              <w:pStyle w:val="ARTartustawynprozporzdzenia"/>
              <w:spacing w:before="0" w:line="240" w:lineRule="auto"/>
              <w:ind w:firstLine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>Zaproponowan</w:t>
            </w:r>
            <w:r w:rsidR="00731E27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kwot</w:t>
            </w:r>
            <w:r w:rsidR="00731E27"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31E27">
              <w:rPr>
                <w:rFonts w:ascii="Times New Roman" w:hAnsi="Times New Roman" w:cs="Times New Roman"/>
                <w:sz w:val="23"/>
                <w:szCs w:val="23"/>
              </w:rPr>
              <w:t>są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31E27">
              <w:rPr>
                <w:rFonts w:ascii="Times New Roman" w:hAnsi="Times New Roman" w:cs="Times New Roman"/>
                <w:sz w:val="23"/>
                <w:szCs w:val="23"/>
              </w:rPr>
              <w:t xml:space="preserve">kilkukrotnie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>niższ</w:t>
            </w:r>
            <w:r w:rsidR="00731E27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od maksyma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lnej stawki opłaty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>określonej w ustaw</w:t>
            </w:r>
            <w:r w:rsidR="00893A0D">
              <w:rPr>
                <w:rFonts w:ascii="Times New Roman" w:hAnsi="Times New Roman" w:cs="Times New Roman"/>
                <w:sz w:val="23"/>
                <w:szCs w:val="23"/>
              </w:rPr>
              <w:t>ie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62CB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93A0D">
              <w:rPr>
                <w:rFonts w:ascii="Times New Roman" w:hAnsi="Times New Roman" w:cs="Times New Roman"/>
                <w:sz w:val="23"/>
                <w:szCs w:val="23"/>
              </w:rPr>
              <w:t xml:space="preserve">z dnia 11 maja 2001 r.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obowiązkach przedsiębiorców w zakresie gospodarowania niektórymi odpadami oraz o opłacie produktowej. </w:t>
            </w:r>
            <w:r w:rsidR="00C11EC9">
              <w:rPr>
                <w:rFonts w:ascii="Times New Roman" w:hAnsi="Times New Roman" w:cs="Times New Roman"/>
                <w:sz w:val="23"/>
                <w:szCs w:val="23"/>
              </w:rPr>
              <w:t>Niemniej jednak, z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akłada się, że </w:t>
            </w:r>
            <w:r w:rsidR="00893A0D">
              <w:rPr>
                <w:rFonts w:ascii="Times New Roman" w:hAnsi="Times New Roman" w:cs="Times New Roman"/>
                <w:sz w:val="23"/>
                <w:szCs w:val="23"/>
              </w:rPr>
              <w:t>zaproponowane stawki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62CBA">
              <w:rPr>
                <w:rFonts w:ascii="Times New Roman" w:hAnsi="Times New Roman" w:cs="Times New Roman"/>
                <w:sz w:val="23"/>
                <w:szCs w:val="23"/>
              </w:rPr>
              <w:t>spowoduj</w:t>
            </w:r>
            <w:r w:rsidR="00893A0D">
              <w:rPr>
                <w:rFonts w:ascii="Times New Roman" w:hAnsi="Times New Roman" w:cs="Times New Roman"/>
                <w:sz w:val="23"/>
                <w:szCs w:val="23"/>
              </w:rPr>
              <w:t>ą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ograniczenie zużycia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opakowań jednorazowego użytku</w:t>
            </w:r>
            <w:r w:rsidR="00562C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>z tworzyw sztuczn</w:t>
            </w:r>
            <w:r w:rsidR="00562CBA">
              <w:rPr>
                <w:rFonts w:ascii="Times New Roman" w:hAnsi="Times New Roman" w:cs="Times New Roman"/>
                <w:sz w:val="23"/>
                <w:szCs w:val="23"/>
              </w:rPr>
              <w:t>ych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, co </w:t>
            </w:r>
            <w:r w:rsidR="00562CBA">
              <w:rPr>
                <w:rFonts w:ascii="Times New Roman" w:hAnsi="Times New Roman" w:cs="Times New Roman"/>
                <w:sz w:val="23"/>
                <w:szCs w:val="23"/>
              </w:rPr>
              <w:t>pozwoli na osiągnięcie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celu określonego </w:t>
            </w:r>
            <w:r w:rsidR="00E42FA3">
              <w:rPr>
                <w:rFonts w:ascii="Times New Roman" w:hAnsi="Times New Roman" w:cs="Times New Roman"/>
                <w:sz w:val="23"/>
                <w:szCs w:val="23"/>
              </w:rPr>
              <w:t xml:space="preserve">w art. 4 </w:t>
            </w:r>
            <w:r w:rsidR="00E42FA3" w:rsidRPr="00141B61">
              <w:rPr>
                <w:rFonts w:ascii="Times New Roman" w:hAnsi="Times New Roman" w:cs="Times New Roman"/>
                <w:sz w:val="23"/>
                <w:szCs w:val="23"/>
              </w:rPr>
              <w:t>dyrektyw</w:t>
            </w:r>
            <w:r w:rsidR="00E42FA3"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 w:rsidR="00893A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2019/904</w:t>
            </w:r>
            <w:r w:rsidR="00C8409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58E5878C" w14:textId="348B2B73" w:rsidR="00880199" w:rsidRPr="00141B61" w:rsidRDefault="00880199" w:rsidP="003A6A73">
            <w:pPr>
              <w:pStyle w:val="ARTartustawynprozporzdzenia"/>
              <w:spacing w:before="0" w:line="240" w:lineRule="auto"/>
              <w:ind w:firstLine="31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Ponadto n</w:t>
            </w:r>
            <w:r w:rsidRPr="0026136D">
              <w:rPr>
                <w:color w:val="000000"/>
                <w:sz w:val="23"/>
                <w:szCs w:val="23"/>
              </w:rPr>
              <w:t xml:space="preserve">ależy </w:t>
            </w:r>
            <w:r>
              <w:rPr>
                <w:color w:val="000000"/>
                <w:sz w:val="23"/>
                <w:szCs w:val="23"/>
              </w:rPr>
              <w:t>zauważyć</w:t>
            </w:r>
            <w:r w:rsidRPr="0026136D">
              <w:rPr>
                <w:color w:val="000000"/>
                <w:sz w:val="23"/>
                <w:szCs w:val="23"/>
              </w:rPr>
              <w:t>, że np. popularne 200 ml kubeczki w zależności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26136D">
              <w:rPr>
                <w:color w:val="000000"/>
                <w:sz w:val="23"/>
                <w:szCs w:val="23"/>
              </w:rPr>
              <w:t>od materiału, z jakiego zostały wykonane różnią się znacznie ceną. Wykonane z tworzyw sztuczn</w:t>
            </w:r>
            <w:r>
              <w:rPr>
                <w:color w:val="000000"/>
                <w:sz w:val="23"/>
                <w:szCs w:val="23"/>
              </w:rPr>
              <w:t>ych</w:t>
            </w:r>
            <w:r w:rsidRPr="0026136D">
              <w:rPr>
                <w:color w:val="000000"/>
                <w:sz w:val="23"/>
                <w:szCs w:val="23"/>
              </w:rPr>
              <w:t xml:space="preserve"> kosztują około </w:t>
            </w:r>
            <w:r>
              <w:rPr>
                <w:color w:val="000000"/>
                <w:sz w:val="23"/>
                <w:szCs w:val="23"/>
              </w:rPr>
              <w:t>5</w:t>
            </w:r>
            <w:r w:rsidRPr="0026136D">
              <w:rPr>
                <w:color w:val="000000"/>
                <w:sz w:val="23"/>
                <w:szCs w:val="23"/>
              </w:rPr>
              <w:t xml:space="preserve"> gr., z papieru około </w:t>
            </w:r>
            <w:r>
              <w:rPr>
                <w:color w:val="000000"/>
                <w:sz w:val="23"/>
                <w:szCs w:val="23"/>
              </w:rPr>
              <w:t>14</w:t>
            </w:r>
            <w:r w:rsidRPr="0026136D">
              <w:rPr>
                <w:color w:val="000000"/>
                <w:sz w:val="23"/>
                <w:szCs w:val="23"/>
              </w:rPr>
              <w:t xml:space="preserve"> gr., natomiast </w:t>
            </w:r>
            <w:r>
              <w:rPr>
                <w:color w:val="000000"/>
                <w:sz w:val="23"/>
                <w:szCs w:val="23"/>
              </w:rPr>
              <w:br/>
            </w:r>
            <w:r w:rsidRPr="0026136D">
              <w:rPr>
                <w:color w:val="000000"/>
                <w:sz w:val="23"/>
                <w:szCs w:val="23"/>
              </w:rPr>
              <w:t xml:space="preserve">z biopolimeru PLA około </w:t>
            </w:r>
            <w:r>
              <w:rPr>
                <w:color w:val="000000"/>
                <w:sz w:val="23"/>
                <w:szCs w:val="23"/>
              </w:rPr>
              <w:t>2</w:t>
            </w:r>
            <w:r w:rsidRPr="0026136D">
              <w:rPr>
                <w:color w:val="000000"/>
                <w:sz w:val="23"/>
                <w:szCs w:val="23"/>
              </w:rPr>
              <w:t xml:space="preserve">0 gr. Ustalenie opłaty jednostkowej na poziomie, który zbliży ostateczną cenę produktów </w:t>
            </w:r>
            <w:r>
              <w:rPr>
                <w:color w:val="000000"/>
                <w:sz w:val="23"/>
                <w:szCs w:val="23"/>
              </w:rPr>
              <w:br/>
            </w:r>
            <w:r w:rsidRPr="0026136D">
              <w:rPr>
                <w:color w:val="000000"/>
                <w:sz w:val="23"/>
                <w:szCs w:val="23"/>
              </w:rPr>
              <w:t>z tworzyw sztuczn</w:t>
            </w:r>
            <w:r>
              <w:rPr>
                <w:color w:val="000000"/>
                <w:sz w:val="23"/>
                <w:szCs w:val="23"/>
              </w:rPr>
              <w:t>ych</w:t>
            </w:r>
            <w:r w:rsidRPr="0026136D">
              <w:rPr>
                <w:color w:val="000000"/>
                <w:sz w:val="23"/>
                <w:szCs w:val="23"/>
              </w:rPr>
              <w:t xml:space="preserve"> do ceny ich równoważników może spowodować pozytywny efekt ekologiczny, polegający na eliminacji tego typu produktów z obiegu</w:t>
            </w:r>
            <w:r w:rsidR="0064069D">
              <w:rPr>
                <w:color w:val="000000"/>
                <w:sz w:val="23"/>
                <w:szCs w:val="23"/>
              </w:rPr>
              <w:t>.</w:t>
            </w:r>
            <w:r w:rsidRPr="00E97671">
              <w:rPr>
                <w:color w:val="000000"/>
              </w:rPr>
              <w:t xml:space="preserve"> </w:t>
            </w:r>
          </w:p>
          <w:p w14:paraId="32D87C17" w14:textId="77777777" w:rsidR="007D0C05" w:rsidRDefault="007D0C05" w:rsidP="003A6A73">
            <w:pPr>
              <w:pStyle w:val="ARTartustawynprozporzdzenia"/>
              <w:spacing w:before="0" w:line="240" w:lineRule="auto"/>
              <w:ind w:firstLine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Oczekiwanym efektem regulacji jest </w:t>
            </w:r>
            <w:r w:rsidR="00C8409D">
              <w:rPr>
                <w:rFonts w:ascii="Times New Roman" w:hAnsi="Times New Roman" w:cs="Times New Roman"/>
                <w:sz w:val="23"/>
                <w:szCs w:val="23"/>
              </w:rPr>
              <w:t>zmniejszenie</w:t>
            </w:r>
            <w:r w:rsidR="00C8409D"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zużycia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opakowań jednorazowego użytku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>z tworzyw sztuczn</w:t>
            </w:r>
            <w:r w:rsidR="00B63B9B">
              <w:rPr>
                <w:rFonts w:ascii="Times New Roman" w:hAnsi="Times New Roman" w:cs="Times New Roman"/>
                <w:sz w:val="23"/>
                <w:szCs w:val="23"/>
              </w:rPr>
              <w:t>ych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(pojemników na posiłki oraz kubków na napoje)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, a tym samym ograniczenie zanieczyszczenia </w:t>
            </w:r>
            <w:r w:rsidR="00C11EC9">
              <w:rPr>
                <w:rFonts w:ascii="Times New Roman" w:hAnsi="Times New Roman" w:cs="Times New Roman"/>
                <w:sz w:val="23"/>
                <w:szCs w:val="23"/>
              </w:rPr>
              <w:t xml:space="preserve">nimi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>środowiska.</w:t>
            </w:r>
          </w:p>
          <w:p w14:paraId="2AA79C58" w14:textId="068518D7" w:rsidR="00EF2FA0" w:rsidRPr="00141B61" w:rsidRDefault="00EF2FA0" w:rsidP="003A6A73">
            <w:pPr>
              <w:pStyle w:val="ARTartustawynprozporzdzenia"/>
              <w:spacing w:before="0" w:line="240" w:lineRule="auto"/>
              <w:ind w:firstLine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EF2FA0">
              <w:rPr>
                <w:rFonts w:ascii="Times New Roman" w:hAnsi="Times New Roman" w:cs="Times New Roman"/>
                <w:sz w:val="23"/>
                <w:szCs w:val="23"/>
              </w:rPr>
              <w:t>Osiągnięcie celu proponowanej regulacji nie jest możliwe za pomocą innych środków niż wydanie rozporządzenia.</w:t>
            </w:r>
          </w:p>
        </w:tc>
      </w:tr>
      <w:tr w:rsidR="007D0C05" w:rsidRPr="00141B61" w14:paraId="5989EE9B" w14:textId="77777777" w:rsidTr="00A75CE5">
        <w:trPr>
          <w:trHeight w:val="463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6D1F0183" w14:textId="77777777" w:rsidR="007D0C05" w:rsidRPr="00141B61" w:rsidRDefault="007D0C05" w:rsidP="003A6A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spacing w:val="-2"/>
                <w:sz w:val="23"/>
                <w:szCs w:val="23"/>
              </w:rPr>
              <w:lastRenderedPageBreak/>
              <w:t>Jak problem został rozwiązany w innych krajach, w szczególności krajach członkowskich OECD/UE</w:t>
            </w:r>
            <w:r w:rsidRPr="00141B61">
              <w:rPr>
                <w:b/>
                <w:bCs/>
                <w:color w:val="000000"/>
                <w:sz w:val="23"/>
                <w:szCs w:val="23"/>
              </w:rPr>
              <w:t>?</w:t>
            </w:r>
            <w:r w:rsidRPr="00141B61"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7D0C05" w:rsidRPr="00141B61" w14:paraId="095800C0" w14:textId="77777777" w:rsidTr="00A75CE5">
        <w:trPr>
          <w:trHeight w:val="142"/>
        </w:trPr>
        <w:tc>
          <w:tcPr>
            <w:tcW w:w="11057" w:type="dxa"/>
            <w:gridSpan w:val="29"/>
          </w:tcPr>
          <w:p w14:paraId="1FF4C1C2" w14:textId="60406DDB" w:rsidR="00D813B2" w:rsidRDefault="00D813B2" w:rsidP="003A6A73">
            <w:pPr>
              <w:spacing w:line="240" w:lineRule="auto"/>
              <w:ind w:firstLine="314"/>
              <w:jc w:val="both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 xml:space="preserve">W </w:t>
            </w:r>
            <w:r w:rsidRPr="00D813B2"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Szwecji </w:t>
            </w:r>
            <w:r w:rsidR="00F6200A">
              <w:rPr>
                <w:color w:val="000000"/>
                <w:spacing w:val="-2"/>
                <w:sz w:val="23"/>
                <w:szCs w:val="23"/>
              </w:rPr>
              <w:t xml:space="preserve">podmioty dostarczające lub używające w swojej działalności zawodowej kubki </w:t>
            </w:r>
            <w:r w:rsidR="007A2BF4">
              <w:rPr>
                <w:color w:val="000000"/>
                <w:spacing w:val="-2"/>
                <w:sz w:val="23"/>
                <w:szCs w:val="23"/>
              </w:rPr>
              <w:t>lub</w:t>
            </w:r>
            <w:r w:rsidR="00F6200A">
              <w:rPr>
                <w:color w:val="000000"/>
                <w:spacing w:val="-2"/>
                <w:sz w:val="23"/>
                <w:szCs w:val="23"/>
              </w:rPr>
              <w:t xml:space="preserve"> pojemniki jednorazowego użytku z tworzyw sztucznych zostały zobowiązane </w:t>
            </w:r>
            <w:r w:rsidR="0064069D" w:rsidRPr="0064069D">
              <w:rPr>
                <w:color w:val="000000"/>
                <w:spacing w:val="-2"/>
                <w:sz w:val="23"/>
                <w:szCs w:val="23"/>
              </w:rPr>
              <w:t xml:space="preserve">od </w:t>
            </w:r>
            <w:r w:rsidR="0064069D">
              <w:rPr>
                <w:color w:val="000000"/>
                <w:spacing w:val="-2"/>
                <w:sz w:val="23"/>
                <w:szCs w:val="23"/>
              </w:rPr>
              <w:t xml:space="preserve">dnia </w:t>
            </w:r>
            <w:r w:rsidR="0064069D" w:rsidRPr="0064069D">
              <w:rPr>
                <w:color w:val="000000"/>
                <w:spacing w:val="-2"/>
                <w:sz w:val="23"/>
                <w:szCs w:val="23"/>
              </w:rPr>
              <w:t>1 stycznia 2024 r.</w:t>
            </w:r>
            <w:r w:rsidR="0064069D"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 w:rsidR="00F6200A">
              <w:rPr>
                <w:color w:val="000000"/>
                <w:spacing w:val="-2"/>
                <w:sz w:val="23"/>
                <w:szCs w:val="23"/>
              </w:rPr>
              <w:t xml:space="preserve">do skutecznego przyczyniania się do osiągnięcia celu jakim jest ograniczenie ich używania od roku 2026 r. o 50% w stosunku do roku 2022. </w:t>
            </w:r>
          </w:p>
          <w:p w14:paraId="0F0F1B61" w14:textId="38ED0ED5" w:rsidR="007A2BF4" w:rsidRPr="0001340A" w:rsidRDefault="0001340A" w:rsidP="003A6A73">
            <w:pPr>
              <w:spacing w:line="240" w:lineRule="auto"/>
              <w:ind w:firstLine="314"/>
              <w:jc w:val="both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 xml:space="preserve">W 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Hiszpanii </w:t>
            </w:r>
            <w:r w:rsidRPr="0001340A">
              <w:rPr>
                <w:color w:val="000000"/>
                <w:spacing w:val="-2"/>
                <w:sz w:val="23"/>
                <w:szCs w:val="23"/>
              </w:rPr>
              <w:t>ustalono harmonogram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2"/>
                <w:sz w:val="23"/>
                <w:szCs w:val="23"/>
              </w:rPr>
              <w:t>ograniczenia we wprowadzaniu do obrotu kubków oraz pojemników jednorazowego użytku z tworzyw sztucznych, zgodnie z którym należy osiągnąć zmniejszenie masy w stosunku do roku 2022 odpowiednio o 50% w 2026 roku oraz 70 % w 2030 roku. Aby osiągnąć ten cel promowane będzie stosowanie alternatywnych opakowań oraz</w:t>
            </w:r>
            <w:r w:rsidR="00726D25">
              <w:rPr>
                <w:color w:val="000000"/>
                <w:spacing w:val="-2"/>
                <w:sz w:val="23"/>
                <w:szCs w:val="23"/>
              </w:rPr>
              <w:t xml:space="preserve"> opakowań wielokrotnego użytku, natomiast od 1 stycznia 2023 r. za te produkty naliczana będzie opłata, która będzie wyszczególniona na dowodzie sprzedaży. 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 </w:t>
            </w:r>
          </w:p>
          <w:p w14:paraId="1B939F6E" w14:textId="4B0FF75D" w:rsidR="00EF2FA0" w:rsidRPr="00CC048D" w:rsidRDefault="00690C38" w:rsidP="003A6A73">
            <w:pPr>
              <w:spacing w:line="240" w:lineRule="auto"/>
              <w:ind w:firstLine="314"/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CC048D">
              <w:rPr>
                <w:color w:val="000000"/>
                <w:spacing w:val="-2"/>
                <w:sz w:val="23"/>
                <w:szCs w:val="23"/>
              </w:rPr>
              <w:t xml:space="preserve">W </w:t>
            </w:r>
            <w:r w:rsidRPr="00CC048D">
              <w:rPr>
                <w:b/>
                <w:color w:val="000000"/>
                <w:spacing w:val="-2"/>
                <w:sz w:val="23"/>
                <w:szCs w:val="23"/>
              </w:rPr>
              <w:t xml:space="preserve">Japonii </w:t>
            </w:r>
            <w:r w:rsidRPr="00CC048D">
              <w:rPr>
                <w:color w:val="000000"/>
                <w:spacing w:val="-2"/>
                <w:sz w:val="23"/>
                <w:szCs w:val="23"/>
              </w:rPr>
              <w:t>przyjęto „Strategię recyklingu i odzysku surowców tworzyw sztucznych”, która zakłada m.in.:  wprowadzenie opłat za wszelkiego rodzaju pojemniki oraz opakowania z tworzyw sztucznych jednorazowego użytku. Takie rozwiązanie ma na celu: zmianę stylu życia konsumentów i zachęcenie ich do korzystania z produktów wielokrotnego użycia, osiągnięcie do 2030 roku poziomu 60% ponownie użytych lub poddanych recyklingowi pojemników i opakowań z tworzyw sztucznych, zastąpienie w tych przypadkach, gdy to możliwe, tworzyw sztucznych materiałami papierowymi, tworzywami biokompostowalnymi bądź innymi tworzywami przyjaznymi środowisku, wprowadzenie do obiegu lżejszych niż dotychczas produktów z tworzyw sztucznych jednorazowego użytku lub też zastąpienie jednorazowych produktów produktami wielorazowego użytku. W Japonii prowadzone są badania opinii publicznej mające zobrazować podejście konsumentów do rozważanych obecnie rozwiązań ukierunkowanych na ograniczenie wykorzystania produktów jednorazowego użytku z tworzyw sztucznych. Ich wyniki jasno wskazują, że</w:t>
            </w:r>
            <w:r w:rsidR="00220F66">
              <w:rPr>
                <w:color w:val="000000"/>
                <w:spacing w:val="-2"/>
                <w:sz w:val="23"/>
                <w:szCs w:val="23"/>
              </w:rPr>
              <w:t> </w:t>
            </w:r>
            <w:r w:rsidRPr="00CC048D">
              <w:rPr>
                <w:color w:val="000000"/>
                <w:spacing w:val="-2"/>
                <w:sz w:val="23"/>
                <w:szCs w:val="23"/>
              </w:rPr>
              <w:t xml:space="preserve">japońskie społeczeństwo zdaje sobie sprawę ze zbyt dużego ich wykorzystania i jest gotowe do współpracy w zakresie wprowadzania regulacji mających na celu ich ograniczenie. </w:t>
            </w:r>
          </w:p>
        </w:tc>
      </w:tr>
      <w:tr w:rsidR="007D0C05" w:rsidRPr="00141B61" w14:paraId="71F797ED" w14:textId="77777777" w:rsidTr="00A75CE5">
        <w:trPr>
          <w:trHeight w:val="380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10218BA9" w14:textId="77777777" w:rsidR="007D0C05" w:rsidRPr="00141B61" w:rsidRDefault="007D0C05" w:rsidP="003A6A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z w:val="23"/>
                <w:szCs w:val="23"/>
              </w:rPr>
              <w:t>Podmioty, na które oddziałuje projekt</w:t>
            </w:r>
          </w:p>
        </w:tc>
      </w:tr>
      <w:tr w:rsidR="007D0C05" w:rsidRPr="00141B61" w14:paraId="6DF5F51B" w14:textId="77777777" w:rsidTr="00A75CE5">
        <w:trPr>
          <w:trHeight w:val="681"/>
        </w:trPr>
        <w:tc>
          <w:tcPr>
            <w:tcW w:w="2668" w:type="dxa"/>
            <w:gridSpan w:val="3"/>
            <w:shd w:val="clear" w:color="auto" w:fill="F2F2F2" w:themeFill="background1" w:themeFillShade="F2"/>
            <w:vAlign w:val="center"/>
          </w:tcPr>
          <w:p w14:paraId="428C4E8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F2F2F2" w:themeFill="background1" w:themeFillShade="F2"/>
            <w:vAlign w:val="center"/>
          </w:tcPr>
          <w:p w14:paraId="1BACFBB1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Wielkość</w:t>
            </w:r>
          </w:p>
        </w:tc>
        <w:tc>
          <w:tcPr>
            <w:tcW w:w="2832" w:type="dxa"/>
            <w:gridSpan w:val="12"/>
            <w:shd w:val="clear" w:color="auto" w:fill="F2F2F2" w:themeFill="background1" w:themeFillShade="F2"/>
            <w:vAlign w:val="center"/>
          </w:tcPr>
          <w:p w14:paraId="564071B1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Źródło danych</w:t>
            </w:r>
            <w:r w:rsidRPr="00141B61" w:rsidDel="00260F33">
              <w:rPr>
                <w:color w:val="000000"/>
                <w:spacing w:val="-2"/>
                <w:sz w:val="23"/>
                <w:szCs w:val="23"/>
              </w:rPr>
              <w:t xml:space="preserve"> </w:t>
            </w:r>
          </w:p>
        </w:tc>
        <w:tc>
          <w:tcPr>
            <w:tcW w:w="3265" w:type="dxa"/>
            <w:gridSpan w:val="7"/>
            <w:shd w:val="clear" w:color="auto" w:fill="F2F2F2" w:themeFill="background1" w:themeFillShade="F2"/>
            <w:vAlign w:val="center"/>
          </w:tcPr>
          <w:p w14:paraId="01567C9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Oddziaływanie</w:t>
            </w:r>
          </w:p>
        </w:tc>
      </w:tr>
      <w:tr w:rsidR="007D0C05" w:rsidRPr="00141B61" w14:paraId="738C2015" w14:textId="77777777" w:rsidTr="00A75CE5">
        <w:trPr>
          <w:trHeight w:val="1700"/>
        </w:trPr>
        <w:tc>
          <w:tcPr>
            <w:tcW w:w="2668" w:type="dxa"/>
            <w:gridSpan w:val="3"/>
          </w:tcPr>
          <w:p w14:paraId="0FC9079F" w14:textId="383F0078" w:rsidR="007D0C05" w:rsidRPr="00141B61" w:rsidRDefault="007D0C05" w:rsidP="003A6A73">
            <w:pPr>
              <w:spacing w:line="240" w:lineRule="auto"/>
              <w:rPr>
                <w:sz w:val="23"/>
                <w:szCs w:val="23"/>
              </w:rPr>
            </w:pPr>
            <w:r w:rsidRPr="00141B61">
              <w:rPr>
                <w:sz w:val="23"/>
                <w:szCs w:val="23"/>
              </w:rPr>
              <w:t xml:space="preserve">Producenci, importerzy oraz dokonujący wewnątrzwspólnotowego nabycia </w:t>
            </w:r>
            <w:r w:rsidR="00690C38">
              <w:rPr>
                <w:sz w:val="23"/>
                <w:szCs w:val="23"/>
              </w:rPr>
              <w:t xml:space="preserve">produktów </w:t>
            </w:r>
            <w:r>
              <w:rPr>
                <w:sz w:val="23"/>
                <w:szCs w:val="23"/>
              </w:rPr>
              <w:t xml:space="preserve">jednonawowego użytku z tworzyw </w:t>
            </w:r>
            <w:r w:rsidR="00B63B9B">
              <w:rPr>
                <w:sz w:val="23"/>
                <w:szCs w:val="23"/>
              </w:rPr>
              <w:t>sztucznych</w:t>
            </w:r>
            <w:r w:rsidR="00690C38">
              <w:rPr>
                <w:sz w:val="23"/>
                <w:szCs w:val="23"/>
              </w:rPr>
              <w:t xml:space="preserve"> będących opakowaniami</w:t>
            </w:r>
          </w:p>
        </w:tc>
        <w:tc>
          <w:tcPr>
            <w:tcW w:w="2292" w:type="dxa"/>
            <w:gridSpan w:val="7"/>
            <w:vAlign w:val="center"/>
          </w:tcPr>
          <w:p w14:paraId="2E3612B0" w14:textId="77777777" w:rsidR="007D0C05" w:rsidRPr="00141B61" w:rsidRDefault="007D0C05" w:rsidP="003A6A73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141B61">
              <w:rPr>
                <w:spacing w:val="-2"/>
                <w:sz w:val="23"/>
                <w:szCs w:val="23"/>
              </w:rPr>
              <w:t>brak danych</w:t>
            </w:r>
          </w:p>
        </w:tc>
        <w:tc>
          <w:tcPr>
            <w:tcW w:w="2832" w:type="dxa"/>
            <w:gridSpan w:val="12"/>
            <w:vAlign w:val="center"/>
          </w:tcPr>
          <w:p w14:paraId="6B77BF0E" w14:textId="77777777" w:rsidR="007D0C05" w:rsidRPr="00141B61" w:rsidRDefault="007D0C05" w:rsidP="003A6A73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3265" w:type="dxa"/>
            <w:gridSpan w:val="7"/>
          </w:tcPr>
          <w:p w14:paraId="6BE9631C" w14:textId="1FA505E9" w:rsidR="007D0C05" w:rsidRPr="00141B61" w:rsidRDefault="007D0C05" w:rsidP="003A6A73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141B61">
              <w:rPr>
                <w:spacing w:val="-2"/>
                <w:sz w:val="23"/>
                <w:szCs w:val="23"/>
              </w:rPr>
              <w:t>W zależności od wysokości stawki opłaty może nastąpić mniejsz</w:t>
            </w:r>
            <w:r w:rsidR="0064069D">
              <w:rPr>
                <w:spacing w:val="-2"/>
                <w:sz w:val="23"/>
                <w:szCs w:val="23"/>
              </w:rPr>
              <w:t>y</w:t>
            </w:r>
            <w:r w:rsidRPr="00141B61">
              <w:rPr>
                <w:spacing w:val="-2"/>
                <w:sz w:val="23"/>
                <w:szCs w:val="23"/>
              </w:rPr>
              <w:t xml:space="preserve"> lub większ</w:t>
            </w:r>
            <w:r w:rsidR="0064069D">
              <w:rPr>
                <w:spacing w:val="-2"/>
                <w:sz w:val="23"/>
                <w:szCs w:val="23"/>
              </w:rPr>
              <w:t>y</w:t>
            </w:r>
            <w:r w:rsidRPr="00141B61">
              <w:rPr>
                <w:spacing w:val="-2"/>
                <w:sz w:val="23"/>
                <w:szCs w:val="23"/>
              </w:rPr>
              <w:t xml:space="preserve"> </w:t>
            </w:r>
            <w:r w:rsidR="0064069D">
              <w:rPr>
                <w:spacing w:val="-2"/>
                <w:sz w:val="23"/>
                <w:szCs w:val="23"/>
              </w:rPr>
              <w:t>spadek</w:t>
            </w:r>
            <w:r w:rsidRPr="00141B61">
              <w:rPr>
                <w:spacing w:val="-2"/>
                <w:sz w:val="23"/>
                <w:szCs w:val="23"/>
              </w:rPr>
              <w:t xml:space="preserve"> liczby produkowanych lub przywożonych do kraju </w:t>
            </w:r>
            <w:r w:rsidR="00690C38">
              <w:rPr>
                <w:spacing w:val="-2"/>
                <w:sz w:val="23"/>
                <w:szCs w:val="23"/>
              </w:rPr>
              <w:t>produktów jednorazowego użytku z tworzyw sztucznych będących opakowaniami</w:t>
            </w:r>
            <w:r w:rsidR="009F2D79">
              <w:rPr>
                <w:spacing w:val="-2"/>
                <w:sz w:val="23"/>
                <w:szCs w:val="23"/>
              </w:rPr>
              <w:t>.</w:t>
            </w:r>
          </w:p>
        </w:tc>
      </w:tr>
      <w:tr w:rsidR="007D0C05" w:rsidRPr="00141B61" w14:paraId="3C25820E" w14:textId="77777777" w:rsidTr="00A75CE5">
        <w:trPr>
          <w:trHeight w:val="1700"/>
        </w:trPr>
        <w:tc>
          <w:tcPr>
            <w:tcW w:w="2668" w:type="dxa"/>
            <w:gridSpan w:val="3"/>
          </w:tcPr>
          <w:p w14:paraId="61B7A9A8" w14:textId="593E1FC2" w:rsidR="007D0C05" w:rsidRPr="00141B61" w:rsidRDefault="007D0C05" w:rsidP="003A6A73">
            <w:pPr>
              <w:spacing w:line="240" w:lineRule="auto"/>
              <w:rPr>
                <w:sz w:val="23"/>
                <w:szCs w:val="23"/>
              </w:rPr>
            </w:pPr>
            <w:r w:rsidRPr="00141B61">
              <w:rPr>
                <w:sz w:val="23"/>
                <w:szCs w:val="23"/>
              </w:rPr>
              <w:lastRenderedPageBreak/>
              <w:t>Producenci, importerzy oraz dokonujący wewnątrzwspólnotowego nabycia opakowań alternatywnych</w:t>
            </w:r>
            <w:r w:rsidR="00B63B9B">
              <w:rPr>
                <w:sz w:val="23"/>
                <w:szCs w:val="23"/>
              </w:rPr>
              <w:t xml:space="preserve"> do</w:t>
            </w:r>
            <w:r w:rsidRPr="00141B6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opakowań z tworzyw </w:t>
            </w:r>
            <w:r w:rsidR="00CE0B86">
              <w:rPr>
                <w:sz w:val="23"/>
                <w:szCs w:val="23"/>
              </w:rPr>
              <w:t>sztucznych</w:t>
            </w:r>
            <w:r w:rsidR="00CE0B86" w:rsidRPr="00141B61" w:rsidDel="008128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92" w:type="dxa"/>
            <w:gridSpan w:val="7"/>
            <w:vAlign w:val="center"/>
          </w:tcPr>
          <w:p w14:paraId="5DF47EC0" w14:textId="77777777" w:rsidR="007D0C05" w:rsidRPr="00141B61" w:rsidRDefault="007D0C05" w:rsidP="003A6A73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141B61">
              <w:rPr>
                <w:spacing w:val="-2"/>
                <w:sz w:val="23"/>
                <w:szCs w:val="23"/>
              </w:rPr>
              <w:t>brak danych</w:t>
            </w:r>
          </w:p>
        </w:tc>
        <w:tc>
          <w:tcPr>
            <w:tcW w:w="2832" w:type="dxa"/>
            <w:gridSpan w:val="12"/>
            <w:vAlign w:val="center"/>
          </w:tcPr>
          <w:p w14:paraId="07AF7B19" w14:textId="77777777" w:rsidR="007D0C05" w:rsidRPr="00141B61" w:rsidRDefault="007D0C05" w:rsidP="003A6A73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3265" w:type="dxa"/>
            <w:gridSpan w:val="7"/>
          </w:tcPr>
          <w:p w14:paraId="72121E68" w14:textId="21A3F678" w:rsidR="007D0C05" w:rsidRPr="00141B61" w:rsidRDefault="007D0C05" w:rsidP="003A6A73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141B61">
              <w:rPr>
                <w:spacing w:val="-2"/>
                <w:sz w:val="23"/>
                <w:szCs w:val="23"/>
              </w:rPr>
              <w:t>W zależności od wysokości stawki opłaty może nastąpić mniejsz</w:t>
            </w:r>
            <w:r w:rsidR="009F2D79">
              <w:rPr>
                <w:spacing w:val="-2"/>
                <w:sz w:val="23"/>
                <w:szCs w:val="23"/>
              </w:rPr>
              <w:t>y</w:t>
            </w:r>
            <w:r w:rsidRPr="00141B61">
              <w:rPr>
                <w:spacing w:val="-2"/>
                <w:sz w:val="23"/>
                <w:szCs w:val="23"/>
              </w:rPr>
              <w:t xml:space="preserve"> lub większ</w:t>
            </w:r>
            <w:r w:rsidR="009F2D79">
              <w:rPr>
                <w:spacing w:val="-2"/>
                <w:sz w:val="23"/>
                <w:szCs w:val="23"/>
              </w:rPr>
              <w:t>y</w:t>
            </w:r>
            <w:r w:rsidRPr="00141B61">
              <w:rPr>
                <w:spacing w:val="-2"/>
                <w:sz w:val="23"/>
                <w:szCs w:val="23"/>
              </w:rPr>
              <w:t xml:space="preserve"> </w:t>
            </w:r>
            <w:r w:rsidR="009F2D79">
              <w:rPr>
                <w:spacing w:val="-2"/>
                <w:sz w:val="23"/>
                <w:szCs w:val="23"/>
              </w:rPr>
              <w:t xml:space="preserve">wzrost </w:t>
            </w:r>
            <w:r w:rsidRPr="00141B61">
              <w:rPr>
                <w:spacing w:val="-2"/>
                <w:sz w:val="23"/>
                <w:szCs w:val="23"/>
              </w:rPr>
              <w:t xml:space="preserve">liczby produkowanych lub przywożonych do kraju opakowań alternatywnych do </w:t>
            </w:r>
            <w:r>
              <w:rPr>
                <w:spacing w:val="-2"/>
                <w:sz w:val="23"/>
                <w:szCs w:val="23"/>
              </w:rPr>
              <w:t xml:space="preserve">opakowań jednorazowego użytku z tworzyw </w:t>
            </w:r>
            <w:r w:rsidR="00C94015">
              <w:rPr>
                <w:spacing w:val="-2"/>
                <w:sz w:val="23"/>
                <w:szCs w:val="23"/>
              </w:rPr>
              <w:t>sztucznych</w:t>
            </w:r>
            <w:r w:rsidRPr="00141B61">
              <w:rPr>
                <w:spacing w:val="-2"/>
                <w:sz w:val="23"/>
                <w:szCs w:val="23"/>
              </w:rPr>
              <w:t>.</w:t>
            </w:r>
          </w:p>
        </w:tc>
      </w:tr>
      <w:tr w:rsidR="007D0C05" w:rsidRPr="00141B61" w14:paraId="3CBFF8B9" w14:textId="77777777" w:rsidTr="00A75CE5">
        <w:trPr>
          <w:trHeight w:val="1700"/>
        </w:trPr>
        <w:tc>
          <w:tcPr>
            <w:tcW w:w="2668" w:type="dxa"/>
            <w:gridSpan w:val="3"/>
            <w:vAlign w:val="center"/>
          </w:tcPr>
          <w:p w14:paraId="05FB19BF" w14:textId="46A0169A" w:rsidR="007D0C05" w:rsidRPr="00141B61" w:rsidRDefault="007D0C05" w:rsidP="003A6A73">
            <w:pPr>
              <w:spacing w:line="240" w:lineRule="auto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Jednostki handlu detalicznego, jednostki handlu hurtowego</w:t>
            </w:r>
            <w:r w:rsidR="00690C3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jednostki gastronomiczne</w:t>
            </w:r>
            <w:r w:rsidR="00C94015">
              <w:rPr>
                <w:sz w:val="23"/>
                <w:szCs w:val="23"/>
              </w:rPr>
              <w:t xml:space="preserve">, </w:t>
            </w:r>
            <w:r w:rsidR="009F2D79">
              <w:rPr>
                <w:sz w:val="23"/>
                <w:szCs w:val="23"/>
              </w:rPr>
              <w:t xml:space="preserve">właściciele </w:t>
            </w:r>
            <w:r w:rsidR="00C94015">
              <w:rPr>
                <w:sz w:val="23"/>
                <w:szCs w:val="23"/>
              </w:rPr>
              <w:t>urządze</w:t>
            </w:r>
            <w:r w:rsidR="009F2D79">
              <w:rPr>
                <w:sz w:val="23"/>
                <w:szCs w:val="23"/>
              </w:rPr>
              <w:t>ń</w:t>
            </w:r>
            <w:r w:rsidR="00C94015">
              <w:rPr>
                <w:sz w:val="23"/>
                <w:szCs w:val="23"/>
              </w:rPr>
              <w:t xml:space="preserve"> vendingow</w:t>
            </w:r>
            <w:r w:rsidR="009F2D79">
              <w:rPr>
                <w:sz w:val="23"/>
                <w:szCs w:val="23"/>
              </w:rPr>
              <w:t>ych</w:t>
            </w:r>
          </w:p>
        </w:tc>
        <w:tc>
          <w:tcPr>
            <w:tcW w:w="2292" w:type="dxa"/>
            <w:gridSpan w:val="7"/>
            <w:vAlign w:val="center"/>
          </w:tcPr>
          <w:p w14:paraId="65E8C675" w14:textId="42A52727" w:rsidR="007D0C05" w:rsidRDefault="007D0C05" w:rsidP="003A6A73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141B61">
              <w:rPr>
                <w:spacing w:val="-2"/>
                <w:sz w:val="23"/>
                <w:szCs w:val="23"/>
              </w:rPr>
              <w:t xml:space="preserve">około </w:t>
            </w:r>
            <w:r w:rsidR="00965060">
              <w:rPr>
                <w:spacing w:val="-2"/>
                <w:sz w:val="23"/>
                <w:szCs w:val="23"/>
              </w:rPr>
              <w:t>98,5 tys. jednostek handlowych</w:t>
            </w:r>
          </w:p>
          <w:p w14:paraId="0D1772E1" w14:textId="0570D946" w:rsidR="00965060" w:rsidRPr="00141B61" w:rsidRDefault="00965060" w:rsidP="003A6A73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około 40 tys. urządzeń vendingowych</w:t>
            </w:r>
          </w:p>
        </w:tc>
        <w:tc>
          <w:tcPr>
            <w:tcW w:w="2832" w:type="dxa"/>
            <w:gridSpan w:val="12"/>
            <w:vAlign w:val="center"/>
          </w:tcPr>
          <w:p w14:paraId="5A3D47E0" w14:textId="60DB76AD" w:rsidR="007D0C05" w:rsidRDefault="007D0C05" w:rsidP="003A6A73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141B61">
              <w:rPr>
                <w:spacing w:val="-2"/>
                <w:sz w:val="23"/>
                <w:szCs w:val="23"/>
              </w:rPr>
              <w:t>GUS</w:t>
            </w:r>
            <w:r w:rsidR="009F2D79">
              <w:rPr>
                <w:spacing w:val="-2"/>
                <w:sz w:val="23"/>
                <w:szCs w:val="23"/>
              </w:rPr>
              <w:t>,</w:t>
            </w:r>
          </w:p>
          <w:p w14:paraId="579EE7F2" w14:textId="0BDF2EB7" w:rsidR="00965060" w:rsidRPr="00141B61" w:rsidRDefault="00965060" w:rsidP="003A6A73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Polskie Stowarzyszenie Vendingu</w:t>
            </w:r>
          </w:p>
        </w:tc>
        <w:tc>
          <w:tcPr>
            <w:tcW w:w="3265" w:type="dxa"/>
            <w:gridSpan w:val="7"/>
            <w:vAlign w:val="center"/>
          </w:tcPr>
          <w:p w14:paraId="06351053" w14:textId="124D00CE" w:rsidR="007D0C05" w:rsidRPr="00141B61" w:rsidRDefault="007D0C05" w:rsidP="003A6A73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141B61">
              <w:rPr>
                <w:spacing w:val="-2"/>
                <w:sz w:val="23"/>
                <w:szCs w:val="23"/>
              </w:rPr>
              <w:t xml:space="preserve">Wysokość stawki opłaty może mieć wpływ na liczbę wydawanych </w:t>
            </w:r>
            <w:r>
              <w:rPr>
                <w:spacing w:val="-2"/>
                <w:sz w:val="23"/>
                <w:szCs w:val="23"/>
              </w:rPr>
              <w:t xml:space="preserve">przez przedsiębiorców opakowań jednorazowego użytku </w:t>
            </w:r>
            <w:r w:rsidRPr="00141B61">
              <w:rPr>
                <w:spacing w:val="-2"/>
                <w:sz w:val="23"/>
                <w:szCs w:val="23"/>
              </w:rPr>
              <w:br/>
              <w:t xml:space="preserve">z tworzyw </w:t>
            </w:r>
            <w:r w:rsidR="00CE0B86" w:rsidRPr="00141B61">
              <w:rPr>
                <w:spacing w:val="-2"/>
                <w:sz w:val="23"/>
                <w:szCs w:val="23"/>
              </w:rPr>
              <w:t>sztuczn</w:t>
            </w:r>
            <w:r w:rsidR="00CE0B86">
              <w:rPr>
                <w:spacing w:val="-2"/>
                <w:sz w:val="23"/>
                <w:szCs w:val="23"/>
              </w:rPr>
              <w:t>ych</w:t>
            </w:r>
            <w:r w:rsidR="00C94015">
              <w:rPr>
                <w:spacing w:val="-2"/>
                <w:sz w:val="23"/>
                <w:szCs w:val="23"/>
              </w:rPr>
              <w:t>, a także na ilość tych opakowań wydawanych przez urządzenia vendingowe</w:t>
            </w:r>
            <w:r w:rsidRPr="00141B61">
              <w:rPr>
                <w:spacing w:val="-2"/>
                <w:sz w:val="23"/>
                <w:szCs w:val="23"/>
              </w:rPr>
              <w:t>.</w:t>
            </w:r>
          </w:p>
        </w:tc>
      </w:tr>
      <w:tr w:rsidR="007D0C05" w:rsidRPr="00141B61" w14:paraId="459282B2" w14:textId="77777777" w:rsidTr="00220F66">
        <w:trPr>
          <w:trHeight w:val="290"/>
        </w:trPr>
        <w:tc>
          <w:tcPr>
            <w:tcW w:w="2668" w:type="dxa"/>
            <w:gridSpan w:val="3"/>
            <w:vAlign w:val="center"/>
          </w:tcPr>
          <w:p w14:paraId="2BB5B05E" w14:textId="77777777" w:rsidR="007D0C05" w:rsidRPr="00141B61" w:rsidRDefault="007D0C05" w:rsidP="003A6A73">
            <w:pPr>
              <w:tabs>
                <w:tab w:val="left" w:pos="1560"/>
              </w:tabs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sz w:val="23"/>
                <w:szCs w:val="23"/>
              </w:rPr>
              <w:t>Konsumenci</w:t>
            </w:r>
          </w:p>
        </w:tc>
        <w:tc>
          <w:tcPr>
            <w:tcW w:w="2292" w:type="dxa"/>
            <w:gridSpan w:val="7"/>
            <w:vAlign w:val="center"/>
          </w:tcPr>
          <w:p w14:paraId="743BD3D9" w14:textId="15641E82" w:rsidR="007D0C05" w:rsidRPr="00141B61" w:rsidRDefault="007D0C05" w:rsidP="003A6A73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141B61">
              <w:rPr>
                <w:spacing w:val="-2"/>
                <w:sz w:val="23"/>
                <w:szCs w:val="23"/>
              </w:rPr>
              <w:t xml:space="preserve">około </w:t>
            </w:r>
            <w:r w:rsidR="009F2D79">
              <w:rPr>
                <w:spacing w:val="-2"/>
                <w:sz w:val="23"/>
                <w:szCs w:val="23"/>
              </w:rPr>
              <w:t>37,9</w:t>
            </w:r>
            <w:r w:rsidRPr="00141B61">
              <w:rPr>
                <w:spacing w:val="-2"/>
                <w:sz w:val="23"/>
                <w:szCs w:val="23"/>
              </w:rPr>
              <w:t xml:space="preserve"> mln </w:t>
            </w:r>
          </w:p>
        </w:tc>
        <w:tc>
          <w:tcPr>
            <w:tcW w:w="2832" w:type="dxa"/>
            <w:gridSpan w:val="12"/>
            <w:vAlign w:val="center"/>
          </w:tcPr>
          <w:p w14:paraId="363B1389" w14:textId="77777777" w:rsidR="007D0C05" w:rsidRPr="00141B61" w:rsidRDefault="007D0C05" w:rsidP="003A6A73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141B61">
              <w:rPr>
                <w:spacing w:val="-2"/>
                <w:sz w:val="23"/>
                <w:szCs w:val="23"/>
              </w:rPr>
              <w:t>GUS</w:t>
            </w:r>
          </w:p>
        </w:tc>
        <w:tc>
          <w:tcPr>
            <w:tcW w:w="3265" w:type="dxa"/>
            <w:gridSpan w:val="7"/>
            <w:vAlign w:val="center"/>
          </w:tcPr>
          <w:p w14:paraId="1369313C" w14:textId="118E2C6D" w:rsidR="007D0C05" w:rsidRPr="00141B61" w:rsidRDefault="007D0C05" w:rsidP="003A6A73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141B61">
              <w:rPr>
                <w:spacing w:val="-2"/>
                <w:sz w:val="23"/>
                <w:szCs w:val="23"/>
              </w:rPr>
              <w:t xml:space="preserve">Wysokość stawki opłaty będzie miała wpływ na ostateczną cenę </w:t>
            </w:r>
            <w:r>
              <w:rPr>
                <w:spacing w:val="-2"/>
                <w:sz w:val="23"/>
                <w:szCs w:val="23"/>
              </w:rPr>
              <w:t>opakowania dla nabywcy</w:t>
            </w:r>
            <w:r w:rsidR="00C94015">
              <w:rPr>
                <w:spacing w:val="-2"/>
                <w:sz w:val="23"/>
                <w:szCs w:val="23"/>
              </w:rPr>
              <w:t>.</w:t>
            </w:r>
          </w:p>
        </w:tc>
      </w:tr>
      <w:tr w:rsidR="007D0C05" w:rsidRPr="00141B61" w14:paraId="1B87C763" w14:textId="77777777" w:rsidTr="00A75CE5">
        <w:trPr>
          <w:trHeight w:val="302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20ACAD79" w14:textId="77777777" w:rsidR="007D0C05" w:rsidRPr="00141B61" w:rsidRDefault="007D0C05" w:rsidP="003A6A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z w:val="23"/>
                <w:szCs w:val="23"/>
              </w:rPr>
              <w:t>Informacje na temat zakresu, czasu trwania i podsumowanie wyników konsultacji</w:t>
            </w:r>
          </w:p>
        </w:tc>
      </w:tr>
      <w:tr w:rsidR="007D0C05" w:rsidRPr="00141B61" w14:paraId="32DEB77C" w14:textId="77777777" w:rsidTr="00A75CE5">
        <w:trPr>
          <w:trHeight w:val="342"/>
        </w:trPr>
        <w:tc>
          <w:tcPr>
            <w:tcW w:w="11057" w:type="dxa"/>
            <w:gridSpan w:val="29"/>
            <w:shd w:val="clear" w:color="auto" w:fill="FFFFFF"/>
          </w:tcPr>
          <w:p w14:paraId="0D545BB2" w14:textId="2561260F" w:rsidR="00AF0D12" w:rsidRDefault="007D0C05" w:rsidP="002D4C9B">
            <w:pPr>
              <w:spacing w:line="240" w:lineRule="auto"/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CC048D">
              <w:rPr>
                <w:color w:val="000000"/>
                <w:spacing w:val="-2"/>
                <w:sz w:val="23"/>
                <w:szCs w:val="23"/>
              </w:rPr>
              <w:t xml:space="preserve">Projekt rozporządzenia nie był przedmiotem pre-konsultacji. </w:t>
            </w:r>
            <w:r w:rsidR="00AF0D12" w:rsidRPr="00AF0D12">
              <w:rPr>
                <w:color w:val="000000"/>
                <w:spacing w:val="-2"/>
                <w:sz w:val="23"/>
                <w:szCs w:val="23"/>
              </w:rPr>
              <w:t xml:space="preserve">Projekt, zgodnie z art. 5 ustawy z dnia 7 lipca 2005 r. </w:t>
            </w:r>
            <w:r w:rsidR="001518D4">
              <w:rPr>
                <w:color w:val="000000"/>
                <w:spacing w:val="-2"/>
                <w:sz w:val="23"/>
                <w:szCs w:val="23"/>
              </w:rPr>
              <w:br/>
            </w:r>
            <w:r w:rsidR="00AF0D12" w:rsidRPr="00AF0D12">
              <w:rPr>
                <w:color w:val="000000"/>
                <w:spacing w:val="-2"/>
                <w:sz w:val="23"/>
                <w:szCs w:val="23"/>
              </w:rPr>
              <w:t>o działalności lobbingowej w procesie stanowienia prawa i § 52 uchwały nr 190 Rady Ministrów z dnia 29 października 2013 r. – Regulamin pracy Rady Ministrów, zostanie udostępniony w Biuletynie Informacji Publicznej, na stronie podmiotowej Rządowego Centrum Legislacji, w serwisie Rządowy Proces Legislacyjny.</w:t>
            </w:r>
          </w:p>
          <w:p w14:paraId="1E52362E" w14:textId="77777777" w:rsidR="001518D4" w:rsidRDefault="001518D4" w:rsidP="003A6A73">
            <w:pPr>
              <w:spacing w:line="240" w:lineRule="auto"/>
              <w:rPr>
                <w:color w:val="000000"/>
                <w:spacing w:val="-2"/>
                <w:sz w:val="23"/>
                <w:szCs w:val="23"/>
              </w:rPr>
            </w:pPr>
          </w:p>
          <w:p w14:paraId="48CE7145" w14:textId="4C95AE99" w:rsidR="009D4FBB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CC048D">
              <w:rPr>
                <w:color w:val="000000"/>
                <w:spacing w:val="-2"/>
                <w:sz w:val="23"/>
                <w:szCs w:val="23"/>
              </w:rPr>
              <w:t>W ramach konsultacji publicznych projekt</w:t>
            </w:r>
            <w:r w:rsidR="00AA1A99">
              <w:rPr>
                <w:color w:val="000000"/>
                <w:spacing w:val="-2"/>
                <w:sz w:val="23"/>
                <w:szCs w:val="23"/>
              </w:rPr>
              <w:t>,</w:t>
            </w:r>
            <w:r w:rsidR="001518D4" w:rsidRPr="00D12BDD">
              <w:rPr>
                <w:spacing w:val="-2"/>
                <w:sz w:val="23"/>
                <w:szCs w:val="23"/>
              </w:rPr>
              <w:t xml:space="preserve"> na 1</w:t>
            </w:r>
            <w:r w:rsidR="001518D4">
              <w:rPr>
                <w:spacing w:val="-2"/>
                <w:sz w:val="23"/>
                <w:szCs w:val="23"/>
              </w:rPr>
              <w:t>0</w:t>
            </w:r>
            <w:r w:rsidR="001518D4" w:rsidRPr="00D12BDD">
              <w:rPr>
                <w:spacing w:val="-2"/>
                <w:sz w:val="23"/>
                <w:szCs w:val="23"/>
              </w:rPr>
              <w:t xml:space="preserve"> dni,</w:t>
            </w:r>
            <w:r w:rsidR="001518D4">
              <w:rPr>
                <w:spacing w:val="-2"/>
                <w:sz w:val="23"/>
                <w:szCs w:val="23"/>
              </w:rPr>
              <w:t xml:space="preserve"> otrzymają</w:t>
            </w:r>
            <w:r w:rsidR="001518D4" w:rsidRPr="00D12BDD">
              <w:rPr>
                <w:spacing w:val="-2"/>
                <w:sz w:val="23"/>
                <w:szCs w:val="23"/>
              </w:rPr>
              <w:t xml:space="preserve"> następując</w:t>
            </w:r>
            <w:r w:rsidR="001518D4">
              <w:rPr>
                <w:spacing w:val="-2"/>
                <w:sz w:val="23"/>
                <w:szCs w:val="23"/>
              </w:rPr>
              <w:t>e</w:t>
            </w:r>
            <w:r w:rsidR="001518D4" w:rsidRPr="00D12BDD">
              <w:rPr>
                <w:spacing w:val="-2"/>
                <w:sz w:val="23"/>
                <w:szCs w:val="23"/>
              </w:rPr>
              <w:t xml:space="preserve"> podmiot</w:t>
            </w:r>
            <w:r w:rsidR="001518D4">
              <w:rPr>
                <w:spacing w:val="-2"/>
                <w:sz w:val="23"/>
                <w:szCs w:val="23"/>
              </w:rPr>
              <w:t>y</w:t>
            </w:r>
            <w:r w:rsidR="001518D4" w:rsidRPr="00D12BDD">
              <w:rPr>
                <w:spacing w:val="-2"/>
                <w:sz w:val="23"/>
                <w:szCs w:val="23"/>
              </w:rPr>
              <w:t>:</w:t>
            </w:r>
            <w:r w:rsidR="001518D4" w:rsidRPr="00CC3BCE">
              <w:rPr>
                <w:spacing w:val="-2"/>
                <w:sz w:val="23"/>
                <w:szCs w:val="23"/>
              </w:rPr>
              <w:t xml:space="preserve"> </w:t>
            </w:r>
          </w:p>
          <w:p w14:paraId="2A84316C" w14:textId="77777777" w:rsidR="001518D4" w:rsidRPr="00CC048D" w:rsidRDefault="001518D4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  <w:p w14:paraId="608D329E" w14:textId="61CC3B0D" w:rsidR="007D0C05" w:rsidRPr="00CC048D" w:rsidRDefault="00E13B7F" w:rsidP="003A6A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</w:t>
            </w:r>
            <w:r w:rsidR="007D0C05" w:rsidRPr="00CC04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roducenci tworzyw sztucznych i produktów z tworzyw sztucznych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:</w:t>
            </w:r>
            <w:r w:rsidR="007D0C05" w:rsidRPr="00CC04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14:paraId="6988FD9C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Stowarzyszenie Producentów Tworzyw Sztucznych Plastics Europe Polska </w:t>
            </w:r>
            <w:hyperlink r:id="rId11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info.pl@plasticseurope.org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47763485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ALPLA Opakowania z Tworzyw Sztucznych Sp. z o.o. </w:t>
            </w:r>
            <w:hyperlink r:id="rId12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office-zywiec@alpla.com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7FFB0AE8" w14:textId="40EF9029" w:rsidR="007D0C05" w:rsidRPr="00CC048D" w:rsidRDefault="00EF2FA0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2F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USEO Polska </w:t>
            </w:r>
            <w:r w:rsidR="007D0C05"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Sp. z o.o. </w:t>
            </w:r>
            <w:hyperlink r:id="rId13" w:history="1">
              <w:r w:rsidR="007D0C05"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biuro@ippl.pl</w:t>
              </w:r>
            </w:hyperlink>
            <w:r w:rsidR="007D0C05"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63D93D49" w14:textId="77777777" w:rsidR="007D0C05" w:rsidRPr="00CC048D" w:rsidRDefault="007D0C05" w:rsidP="003A6A73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CC048D">
              <w:rPr>
                <w:rFonts w:cs="Times New Roman"/>
                <w:color w:val="000000"/>
                <w:sz w:val="23"/>
                <w:szCs w:val="23"/>
              </w:rPr>
              <w:t xml:space="preserve">Fundacja ProKarton </w:t>
            </w:r>
            <w:hyperlink r:id="rId14" w:history="1">
              <w:r w:rsidRPr="00CC048D">
                <w:rPr>
                  <w:rStyle w:val="Hipercze"/>
                  <w:color w:val="000000"/>
                  <w:sz w:val="23"/>
                  <w:szCs w:val="23"/>
                </w:rPr>
                <w:t>biuro@prokarton.org</w:t>
              </w:r>
            </w:hyperlink>
            <w:r w:rsidRPr="00CC048D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  <w:p w14:paraId="2011068B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ZELAN Sp. z o.o. </w:t>
            </w:r>
            <w:hyperlink r:id="rId15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tomasz.zwoniarski@zelan.pl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4834C0FC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Polski Związek Przetwórców Tworzyw Sztucznych </w:t>
            </w:r>
            <w:hyperlink r:id="rId16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office@tworzywa.org.pl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3F3CE2B5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Krajowa Izba Gospodarcza </w:t>
            </w:r>
            <w:hyperlink r:id="rId17" w:history="1">
              <w:r w:rsidRPr="00CC048D">
                <w:rPr>
                  <w:rStyle w:val="Hipercze"/>
                  <w:rFonts w:ascii="Times New Roman" w:hAnsi="Times New Roman"/>
                  <w:color w:val="000000"/>
                  <w:spacing w:val="-2"/>
                  <w:sz w:val="23"/>
                  <w:szCs w:val="23"/>
                </w:rPr>
                <w:t>kig@kig.pl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</w:p>
          <w:p w14:paraId="13C0FD4A" w14:textId="77777777" w:rsidR="007D0C05" w:rsidRPr="00CC048D" w:rsidRDefault="007D0C05" w:rsidP="00220F66">
            <w:pPr>
              <w:pStyle w:val="Akapitzlist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DC1BED2" w14:textId="20D17080" w:rsidR="007D0C05" w:rsidRPr="00CC048D" w:rsidRDefault="00E13B7F" w:rsidP="003A6A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</w:t>
            </w:r>
            <w:r w:rsidR="007D0C05" w:rsidRPr="00CC04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roducenci produktów alternatywnych do tworzyw sztucznych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:</w:t>
            </w:r>
          </w:p>
          <w:p w14:paraId="3CC26E4F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GreenTree </w:t>
            </w:r>
            <w:hyperlink r:id="rId18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  <w:lang w:val="en-GB"/>
                </w:rPr>
                <w:t>biuro@greentree.com.pl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</w:t>
            </w:r>
          </w:p>
          <w:p w14:paraId="6C886B4A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Tetrapak sp. zoo. </w:t>
            </w:r>
            <w:hyperlink r:id="rId19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tetrapak.polska@tetrapak.com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4658DE24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Basf Polska Sp. z o.o. </w:t>
            </w:r>
            <w:hyperlink r:id="rId20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recepcja.basfpolska@basf.com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5A4EDB1A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Silbo Sp. z o.o. </w:t>
            </w:r>
            <w:hyperlink r:id="rId21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info@silbo.pl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1E384DFD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Stowarzyszenie Papierników Polskich </w:t>
            </w:r>
            <w:hyperlink r:id="rId22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info@spp.pl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711498B5" w14:textId="77777777" w:rsidR="007D0C05" w:rsidRPr="00CC048D" w:rsidRDefault="007D0C05" w:rsidP="00220F6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E3341A1" w14:textId="0565BDD9" w:rsidR="007D0C05" w:rsidRPr="00CC048D" w:rsidRDefault="00E13B7F" w:rsidP="003A6A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w</w:t>
            </w:r>
            <w:r w:rsidR="007D0C05" w:rsidRPr="00CC04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prowadzający produkty w opakowaniach z tworzyw sztucznych i opakowania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:</w:t>
            </w:r>
            <w:r w:rsidR="007D0C05" w:rsidRPr="00CC04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14:paraId="4F698A4A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Polska Federacja Producentów Żywności Związek Pracodawców </w:t>
            </w:r>
            <w:hyperlink r:id="rId23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biuro@pfpz.pl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6053A571" w14:textId="49FD792C" w:rsidR="00F52A20" w:rsidRPr="00F52A20" w:rsidRDefault="00F52A20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52A2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Grupa INTERZERO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52A20">
              <w:rPr>
                <w:rFonts w:ascii="Times New Roman" w:hAnsi="Times New Roman" w:cs="Times New Roman"/>
                <w:sz w:val="23"/>
                <w:szCs w:val="23"/>
              </w:rPr>
              <w:t>biuro@interzero.pl</w:t>
            </w:r>
          </w:p>
          <w:p w14:paraId="64994412" w14:textId="68D28D62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REKOPOL ORGANIZACJ</w:t>
            </w:r>
            <w:r w:rsidR="009F2D79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A</w:t>
            </w:r>
            <w:r w:rsidRPr="00CC048D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 xml:space="preserve"> ODZYSKU OPAKOWAŃ S.A.</w:t>
            </w:r>
            <w:r w:rsidRPr="00CC048D">
              <w:rPr>
                <w:rStyle w:val="Pogrubienie"/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hyperlink r:id="rId24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rekopol@rekopol.pl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0CA4FAAE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5" w:name="_Hlk134097972"/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Związek Pracodawców Przemysłu Opakowań i Produktów w Opakowaniach EKO-PAK </w:t>
            </w:r>
            <w:hyperlink r:id="rId25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biuro@eko-pak.biz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2E37190F" w14:textId="77777777" w:rsidR="00EF2FA0" w:rsidRPr="00EF2FA0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Style w:val="Hipercze"/>
                <w:rFonts w:ascii="Times New Roman" w:hAnsi="Times New Roman"/>
                <w:color w:val="000000"/>
                <w:sz w:val="23"/>
                <w:szCs w:val="23"/>
                <w:u w:val="none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Związek Pracodawców Branży Elektroodpadów oraz Opakowań ElektroOdzysk </w:t>
            </w:r>
            <w:bookmarkEnd w:id="5"/>
            <w:r>
              <w:fldChar w:fldCharType="begin"/>
            </w:r>
            <w:r>
              <w:instrText>HYPERLINK "mailto:biuro@elektro-odzysk.org.pl"</w:instrText>
            </w:r>
            <w:r>
              <w:fldChar w:fldCharType="separate"/>
            </w:r>
            <w:r w:rsidRPr="00CC048D">
              <w:rPr>
                <w:rStyle w:val="Hipercze"/>
                <w:rFonts w:ascii="Times New Roman" w:hAnsi="Times New Roman"/>
                <w:color w:val="000000"/>
                <w:sz w:val="23"/>
                <w:szCs w:val="23"/>
              </w:rPr>
              <w:t>biuro@elektro-odzysk.org.pl</w:t>
            </w:r>
            <w:r>
              <w:rPr>
                <w:rStyle w:val="Hipercze"/>
                <w:rFonts w:ascii="Times New Roman" w:hAnsi="Times New Roman"/>
                <w:color w:val="000000"/>
                <w:sz w:val="23"/>
                <w:szCs w:val="23"/>
              </w:rPr>
              <w:fldChar w:fldCharType="end"/>
            </w:r>
          </w:p>
          <w:p w14:paraId="544F57D2" w14:textId="30E72304" w:rsidR="007D0C05" w:rsidRPr="00CC048D" w:rsidRDefault="007D0C05" w:rsidP="003A6A73">
            <w:pPr>
              <w:pStyle w:val="Akapitzlist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2EFFB86F" w14:textId="2B2EE100" w:rsidR="007D0C05" w:rsidRPr="00CC048D" w:rsidRDefault="00E13B7F" w:rsidP="003A6A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i</w:t>
            </w:r>
            <w:r w:rsidR="007D0C05" w:rsidRPr="00CC048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nne podmioty (organizacje konsumenckie, organizacje handlu)</w:t>
            </w:r>
            <w:r w:rsidR="002D4C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:</w:t>
            </w:r>
          </w:p>
          <w:p w14:paraId="23535102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Rada Krajowa Federacji Konsumentów </w:t>
            </w:r>
            <w:hyperlink r:id="rId26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sekretariat@federacja-konsumentow.org.pl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4E577362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Stowarzyszenie Konsumentów Polskich </w:t>
            </w:r>
            <w:hyperlink r:id="rId27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sekretariat@skp.pl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6B95CEB7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Deloitte </w:t>
            </w:r>
            <w:hyperlink r:id="rId28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  <w:lang w:val="en-GB"/>
                </w:rPr>
                <w:t>jpatorska@deloittece.com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</w:t>
            </w:r>
          </w:p>
          <w:p w14:paraId="6D284647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Green Management Group Sp. z o.o. </w:t>
            </w:r>
            <w:hyperlink r:id="rId29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  <w:lang w:val="en-GB"/>
                </w:rPr>
                <w:t>info@gmgroup.biz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</w:t>
            </w:r>
          </w:p>
          <w:p w14:paraId="22E49484" w14:textId="77777777" w:rsidR="007D0C05" w:rsidRPr="00CC048D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GOZ WORLD </w:t>
            </w:r>
            <w:hyperlink r:id="rId30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  <w:lang w:val="en-GB"/>
                </w:rPr>
                <w:t>lukasz@goz.world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  <w:lang w:val="en-GB"/>
              </w:rPr>
              <w:t xml:space="preserve"> </w:t>
            </w:r>
          </w:p>
          <w:p w14:paraId="79A3523E" w14:textId="3ADFDAB8" w:rsidR="007D0C05" w:rsidRDefault="007D0C05" w:rsidP="003A6A73">
            <w:pPr>
              <w:pStyle w:val="Akapitzlist"/>
              <w:numPr>
                <w:ilvl w:val="1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KIG Przemysłu Spożywczego i Opakowań </w:t>
            </w:r>
            <w:hyperlink r:id="rId31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kig-ps@kig-ps.pl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38D68F19" w14:textId="77777777" w:rsidR="001518D4" w:rsidRPr="001518D4" w:rsidRDefault="001518D4" w:rsidP="001518D4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  <w:p w14:paraId="65677EA9" w14:textId="677BD9B5" w:rsidR="001518D4" w:rsidRPr="00F65B15" w:rsidRDefault="00F65B15" w:rsidP="003A0B90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</w:pPr>
            <w:r w:rsidRPr="00F65B15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N</w:t>
            </w:r>
            <w:r w:rsidR="001518D4" w:rsidRPr="00F65B15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 xml:space="preserve">a podstawie </w:t>
            </w:r>
            <w:r w:rsidR="002D4C9B" w:rsidRPr="00F65B15">
              <w:t xml:space="preserve"> </w:t>
            </w:r>
            <w:r w:rsidR="002D4C9B" w:rsidRPr="00F65B15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art. 16 ust. 2 ustawy z dnia 23 maja 1991 r. o organizacjach pracodawców</w:t>
            </w:r>
            <w:r w:rsidR="002D4C9B" w:rsidRPr="00F65B15" w:rsidDel="002D4C9B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 xml:space="preserve"> </w:t>
            </w:r>
            <w:r w:rsidR="001518D4" w:rsidRPr="00F65B15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 xml:space="preserve">(Dz. U. z 2022 r. poz. </w:t>
            </w:r>
            <w:r w:rsidR="0026344E" w:rsidRPr="00F65B15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97</w:t>
            </w:r>
            <w:r w:rsidR="001518D4" w:rsidRPr="00F65B15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 xml:space="preserve">) projekt rozporządzenia zostanie przekazany do zaopiniowania w terminie 30 dni następującym reprezentatywnym </w:t>
            </w:r>
            <w:r w:rsidR="0026344E" w:rsidRPr="00F65B15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organizacjom pracodawców</w:t>
            </w:r>
            <w:r w:rsidR="001518D4" w:rsidRPr="00F65B15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:</w:t>
            </w:r>
          </w:p>
          <w:p w14:paraId="4E731314" w14:textId="77777777" w:rsidR="001518D4" w:rsidRPr="00B704D1" w:rsidRDefault="001518D4" w:rsidP="001518D4">
            <w:pPr>
              <w:spacing w:line="240" w:lineRule="auto"/>
              <w:jc w:val="both"/>
              <w:rPr>
                <w:b/>
                <w:bCs/>
                <w:spacing w:val="-2"/>
                <w:sz w:val="23"/>
                <w:szCs w:val="23"/>
              </w:rPr>
            </w:pPr>
          </w:p>
          <w:p w14:paraId="2FAFBF82" w14:textId="77777777" w:rsidR="001518D4" w:rsidRPr="00CC3BCE" w:rsidRDefault="001518D4" w:rsidP="00F65B15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641" w:hanging="357"/>
              <w:contextualSpacing w:val="0"/>
              <w:jc w:val="both"/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</w:pPr>
            <w:r w:rsidRPr="00CC3BCE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Konfederacja LEWIATAN</w:t>
            </w:r>
            <w:r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,</w:t>
            </w:r>
            <w:r w:rsidRPr="00CC3BCE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A12B9A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recepcja@lewiatan.org</w:t>
            </w:r>
          </w:p>
          <w:p w14:paraId="04529E85" w14:textId="77777777" w:rsidR="001518D4" w:rsidRDefault="001518D4" w:rsidP="00F65B15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641" w:hanging="357"/>
              <w:contextualSpacing w:val="0"/>
              <w:jc w:val="both"/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</w:pPr>
            <w:r w:rsidRPr="00BD7271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Pracodawcy Rzeczypospolitej Polskiej</w:t>
            </w:r>
            <w:r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,</w:t>
            </w:r>
            <w:r w:rsidRPr="00BD7271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4E1B57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sekretariat@pracodawcyrp.pl</w:t>
            </w:r>
          </w:p>
          <w:p w14:paraId="709801F2" w14:textId="77777777" w:rsidR="001518D4" w:rsidRDefault="001518D4" w:rsidP="00F65B15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641" w:hanging="357"/>
              <w:contextualSpacing w:val="0"/>
              <w:jc w:val="both"/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val="en-GB" w:eastAsia="pl-PL"/>
              </w:rPr>
            </w:pPr>
            <w:r w:rsidRPr="00BD7271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val="en-GB" w:eastAsia="pl-PL"/>
              </w:rPr>
              <w:t>Business Centre Club</w:t>
            </w:r>
            <w:r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val="en-GB" w:eastAsia="pl-PL"/>
              </w:rPr>
              <w:t>,</w:t>
            </w:r>
            <w:r w:rsidRPr="00BD7271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val="en-GB" w:eastAsia="pl-PL"/>
              </w:rPr>
              <w:t xml:space="preserve"> </w:t>
            </w:r>
            <w:r w:rsidRPr="004E1B57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val="en-GB" w:eastAsia="pl-PL"/>
              </w:rPr>
              <w:t>biuro@bcc.org.pl</w:t>
            </w:r>
          </w:p>
          <w:p w14:paraId="128F9282" w14:textId="77777777" w:rsidR="001518D4" w:rsidRDefault="001518D4" w:rsidP="00F65B15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641" w:hanging="357"/>
              <w:contextualSpacing w:val="0"/>
              <w:jc w:val="both"/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</w:pPr>
            <w:r w:rsidRPr="00BD7271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Związ</w:t>
            </w:r>
            <w:r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ek</w:t>
            </w:r>
            <w:r w:rsidRPr="00BD7271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 xml:space="preserve"> Rzemiosła Polskiego</w:t>
            </w:r>
            <w:r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,</w:t>
            </w:r>
            <w:r w:rsidRPr="00BD7271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4E1B57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zrp@zrp.pl</w:t>
            </w:r>
          </w:p>
          <w:p w14:paraId="28F446CA" w14:textId="77777777" w:rsidR="001518D4" w:rsidRDefault="001518D4" w:rsidP="00F65B15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641" w:hanging="357"/>
              <w:contextualSpacing w:val="0"/>
              <w:jc w:val="both"/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</w:pPr>
            <w:r w:rsidRPr="00BD7271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Związek Przedsiębiorców i Pracodawców,</w:t>
            </w:r>
            <w:r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4E1B57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biuro@zpp.net.pl</w:t>
            </w:r>
          </w:p>
          <w:p w14:paraId="3E4C8AC0" w14:textId="77777777" w:rsidR="001518D4" w:rsidRDefault="001518D4" w:rsidP="00F65B15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641" w:hanging="357"/>
              <w:contextualSpacing w:val="0"/>
              <w:jc w:val="both"/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</w:pPr>
            <w:r w:rsidRPr="00805FB8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 xml:space="preserve">Federacja Przedsiębiorców Polskich, </w:t>
            </w:r>
            <w:r w:rsidRPr="00EB3571">
              <w:rPr>
                <w:rFonts w:ascii="Times New Roman" w:eastAsiaTheme="minorEastAsia" w:hAnsi="Times New Roman" w:cs="Arial"/>
                <w:spacing w:val="-2"/>
                <w:sz w:val="23"/>
                <w:szCs w:val="23"/>
                <w:lang w:eastAsia="pl-PL"/>
              </w:rPr>
              <w:t>biuro@federacjaprzedsiebiorcow.pl</w:t>
            </w:r>
          </w:p>
          <w:p w14:paraId="0C676B5B" w14:textId="77777777" w:rsidR="001518D4" w:rsidRPr="001518D4" w:rsidRDefault="001518D4" w:rsidP="001518D4">
            <w:pPr>
              <w:spacing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  <w:p w14:paraId="29B46298" w14:textId="77777777" w:rsidR="007D0C05" w:rsidRPr="00CC048D" w:rsidRDefault="007D0C05" w:rsidP="00220F66">
            <w:pPr>
              <w:pStyle w:val="Akapitzlist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8371A51" w14:textId="77777777" w:rsidR="007D0C05" w:rsidRPr="00CC048D" w:rsidRDefault="007D0C05" w:rsidP="003A0B90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W ramach opiniowania projekt zostanie skierowany do następujących podmiotów:</w:t>
            </w:r>
          </w:p>
          <w:p w14:paraId="647E6FC6" w14:textId="77777777" w:rsidR="007D0C05" w:rsidRPr="00CC048D" w:rsidRDefault="007D0C05" w:rsidP="003A6A73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6" w:name="_Hlk134101635"/>
            <w:bookmarkStart w:id="7" w:name="_Hlk134100305"/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Instytut Ochrony Środowiska </w:t>
            </w:r>
            <w:hyperlink r:id="rId32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sekretariat@ios.gov.pl</w:t>
              </w:r>
            </w:hyperlink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5E6F773D" w14:textId="77777777" w:rsidR="007D0C05" w:rsidRPr="00CC048D" w:rsidRDefault="007D0C05" w:rsidP="003A6A73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Polska Izba Gospodarki Odpadami biuro@pigo.org.pl, </w:t>
            </w:r>
            <w:hyperlink r:id="rId33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www.pigo.org.pl</w:t>
              </w:r>
            </w:hyperlink>
          </w:p>
          <w:p w14:paraId="753E4B34" w14:textId="77777777" w:rsidR="007D0C05" w:rsidRPr="00CC048D" w:rsidRDefault="007D0C05" w:rsidP="003A6A73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Krajowa Izba Gospodarki Odpadami </w:t>
            </w:r>
            <w:hyperlink r:id="rId34" w:tgtFrame="_top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biuro@kigo.pl</w:t>
              </w:r>
            </w:hyperlink>
          </w:p>
          <w:p w14:paraId="71D8073E" w14:textId="77777777" w:rsidR="007D0C05" w:rsidRPr="00CC048D" w:rsidRDefault="007D0C05" w:rsidP="003A6A73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Inspekcja Handlowa UOKIK uokik@uokik.gov.pl</w:t>
            </w:r>
          </w:p>
          <w:p w14:paraId="079AD162" w14:textId="77777777" w:rsidR="007D0C05" w:rsidRPr="00CC048D" w:rsidRDefault="007D0C05" w:rsidP="003A6A73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CC04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Narodowy Fundusz Ochrony Środowiska i Gospodarki Wodnej </w:t>
            </w:r>
            <w:hyperlink r:id="rId35" w:history="1">
              <w:r w:rsidRPr="00CC048D">
                <w:rPr>
                  <w:rStyle w:val="Hipercze"/>
                  <w:rFonts w:ascii="Times New Roman" w:hAnsi="Times New Roman"/>
                  <w:color w:val="000000"/>
                  <w:sz w:val="23"/>
                  <w:szCs w:val="23"/>
                </w:rPr>
                <w:t>fundusz@nfosigw.gov.pl</w:t>
              </w:r>
            </w:hyperlink>
          </w:p>
          <w:p w14:paraId="595F59D1" w14:textId="77777777" w:rsidR="007D0C05" w:rsidRPr="00CC048D" w:rsidRDefault="007D0C05" w:rsidP="003A6A73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9F2D79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  <w:t>Główny Inspektorat Ochrony Środowiska</w:t>
            </w:r>
            <w:r w:rsidRPr="00CC048D">
              <w:rPr>
                <w:rStyle w:val="Pogrubienie"/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bookmarkEnd w:id="6"/>
            <w:r>
              <w:fldChar w:fldCharType="begin"/>
            </w:r>
            <w:r>
              <w:instrText>HYPERLINK "mailto:sekretariatgios@gios.gov.pl"</w:instrText>
            </w:r>
            <w:r>
              <w:fldChar w:fldCharType="separate"/>
            </w:r>
            <w:r w:rsidRPr="00CC048D">
              <w:rPr>
                <w:rStyle w:val="Hipercze"/>
                <w:rFonts w:ascii="Times New Roman" w:hAnsi="Times New Roman"/>
                <w:color w:val="000000"/>
                <w:sz w:val="23"/>
                <w:szCs w:val="23"/>
              </w:rPr>
              <w:t>sekretariatgios@gios.gov.pl</w:t>
            </w:r>
            <w:r>
              <w:rPr>
                <w:rStyle w:val="Hipercze"/>
                <w:rFonts w:ascii="Times New Roman" w:hAnsi="Times New Roman"/>
                <w:color w:val="000000"/>
                <w:sz w:val="23"/>
                <w:szCs w:val="23"/>
              </w:rPr>
              <w:fldChar w:fldCharType="end"/>
            </w:r>
            <w:r w:rsidRPr="00CC048D">
              <w:rPr>
                <w:rStyle w:val="Pogrubienie"/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bookmarkEnd w:id="7"/>
          <w:p w14:paraId="3A059020" w14:textId="77777777" w:rsidR="007D0C05" w:rsidRPr="00CC048D" w:rsidRDefault="007D0C05" w:rsidP="00220F66">
            <w:pPr>
              <w:pStyle w:val="Akapitzlist"/>
              <w:spacing w:after="0" w:line="240" w:lineRule="auto"/>
              <w:ind w:left="360"/>
              <w:rPr>
                <w:color w:val="000000"/>
                <w:sz w:val="23"/>
                <w:szCs w:val="23"/>
              </w:rPr>
            </w:pPr>
          </w:p>
          <w:p w14:paraId="0276F65E" w14:textId="77777777" w:rsidR="007D0C05" w:rsidRPr="00CC048D" w:rsidRDefault="007D0C05" w:rsidP="003A6A73">
            <w:pPr>
              <w:spacing w:line="240" w:lineRule="auto"/>
              <w:ind w:firstLine="314"/>
              <w:jc w:val="both"/>
              <w:rPr>
                <w:color w:val="000000"/>
                <w:sz w:val="23"/>
                <w:szCs w:val="23"/>
              </w:rPr>
            </w:pPr>
            <w:r w:rsidRPr="00CC048D">
              <w:rPr>
                <w:color w:val="000000"/>
                <w:sz w:val="23"/>
                <w:szCs w:val="23"/>
              </w:rPr>
              <w:t xml:space="preserve">Z uwagi na zakres regulacji projektu, który nie dotyczy problematyki samorządu terytorialnego, projekt nie będzie podlegał opiniowaniu przez Komisję Wspólną Rządu i Samorządu Terytorialnego. </w:t>
            </w:r>
          </w:p>
          <w:p w14:paraId="28D6265A" w14:textId="77777777" w:rsidR="007D0C05" w:rsidRPr="00CC048D" w:rsidRDefault="007D0C05" w:rsidP="003A6A73">
            <w:pPr>
              <w:spacing w:line="240" w:lineRule="auto"/>
              <w:jc w:val="both"/>
              <w:rPr>
                <w:color w:val="000000"/>
                <w:sz w:val="23"/>
                <w:szCs w:val="23"/>
              </w:rPr>
            </w:pPr>
            <w:r w:rsidRPr="00CC048D">
              <w:rPr>
                <w:color w:val="000000"/>
                <w:sz w:val="23"/>
                <w:szCs w:val="23"/>
              </w:rPr>
              <w:t xml:space="preserve">Projekt dotyczy spraw, o których mowa w art. 1 ustawy z dnia 24 lipca 2015 r. </w:t>
            </w:r>
            <w:r w:rsidRPr="00CC048D">
              <w:rPr>
                <w:i/>
                <w:iCs/>
                <w:color w:val="000000"/>
                <w:sz w:val="23"/>
                <w:szCs w:val="23"/>
              </w:rPr>
              <w:t xml:space="preserve">o Radzie Dialogu Społecznego </w:t>
            </w:r>
            <w:r w:rsidRPr="00CC048D">
              <w:rPr>
                <w:i/>
                <w:iCs/>
                <w:color w:val="000000"/>
                <w:sz w:val="23"/>
                <w:szCs w:val="23"/>
              </w:rPr>
              <w:br/>
              <w:t>i innych instytucjach dialogu społecznego</w:t>
            </w:r>
            <w:r w:rsidRPr="00CC048D">
              <w:rPr>
                <w:color w:val="000000"/>
                <w:sz w:val="23"/>
                <w:szCs w:val="23"/>
              </w:rPr>
              <w:t xml:space="preserve"> (Dz. U. z 2018 r. poz. 2232), w związku z czym zostanie przedstawiony Radzie Dialogu Społecznego do zaopiniowania.</w:t>
            </w:r>
          </w:p>
          <w:p w14:paraId="3A8A1900" w14:textId="6C63FCDA" w:rsidR="007D0C05" w:rsidRPr="00CC048D" w:rsidRDefault="001518D4" w:rsidP="003A6A73">
            <w:pPr>
              <w:spacing w:line="240" w:lineRule="auto"/>
              <w:ind w:firstLine="314"/>
              <w:jc w:val="both"/>
              <w:rPr>
                <w:color w:val="000000"/>
                <w:sz w:val="23"/>
                <w:szCs w:val="23"/>
              </w:rPr>
            </w:pPr>
            <w:r w:rsidRPr="001518D4">
              <w:rPr>
                <w:color w:val="000000"/>
                <w:sz w:val="23"/>
                <w:szCs w:val="23"/>
              </w:rPr>
              <w:t xml:space="preserve">Z uwagi na zakres projektu, który nie dotyczy zadań związków zawodowych, projekt nie podlega opiniowaniu przez reprezentatywne związki zawodowe. </w:t>
            </w:r>
          </w:p>
          <w:p w14:paraId="5EEDD85C" w14:textId="35334F12" w:rsidR="007D0C05" w:rsidRPr="00CC048D" w:rsidRDefault="007D0C05" w:rsidP="003A6A73">
            <w:pPr>
              <w:spacing w:line="240" w:lineRule="auto"/>
              <w:ind w:firstLine="314"/>
              <w:jc w:val="both"/>
              <w:rPr>
                <w:color w:val="000000"/>
                <w:sz w:val="23"/>
                <w:szCs w:val="23"/>
              </w:rPr>
            </w:pPr>
            <w:r w:rsidRPr="00CC048D">
              <w:rPr>
                <w:color w:val="000000"/>
                <w:sz w:val="23"/>
                <w:szCs w:val="23"/>
              </w:rPr>
              <w:t xml:space="preserve">Projekt nie podlega opiniowaniu, konsultacjom ani uzgodnieniom z organami i instytucjami Unii Europejskiej, </w:t>
            </w:r>
            <w:r w:rsidR="00CC048D">
              <w:rPr>
                <w:color w:val="000000"/>
                <w:sz w:val="23"/>
                <w:szCs w:val="23"/>
              </w:rPr>
              <w:br/>
            </w:r>
            <w:r w:rsidRPr="00CC048D">
              <w:rPr>
                <w:color w:val="000000"/>
                <w:sz w:val="23"/>
                <w:szCs w:val="23"/>
              </w:rPr>
              <w:t>w tym z Europejskim Bankiem Centralnym.</w:t>
            </w:r>
            <w:r w:rsidRPr="00CC048D" w:rsidDel="00126781">
              <w:rPr>
                <w:color w:val="000000"/>
                <w:sz w:val="23"/>
                <w:szCs w:val="23"/>
              </w:rPr>
              <w:t xml:space="preserve"> </w:t>
            </w:r>
          </w:p>
          <w:p w14:paraId="65922693" w14:textId="1AFDDEE6" w:rsidR="00EC2784" w:rsidRPr="00052281" w:rsidRDefault="00AF0D12" w:rsidP="00220F66">
            <w:pPr>
              <w:spacing w:line="240" w:lineRule="auto"/>
              <w:ind w:firstLine="314"/>
              <w:jc w:val="both"/>
              <w:rPr>
                <w:color w:val="000000"/>
              </w:rPr>
            </w:pPr>
            <w:r w:rsidRPr="00AF0D12">
              <w:rPr>
                <w:color w:val="000000"/>
                <w:sz w:val="23"/>
                <w:szCs w:val="23"/>
              </w:rPr>
              <w:t>Wyniki opiniowania i konsultacji publicznych zostaną omówione w raporcie z konsultacji, zawierającym zestawienie przedstawionych stanowisk lub opinii i odniesienie się do nich przez organ wnioskujący, udostępnionym  na stronie Rządowego Centrum Legislacji, w zakładce Rządowy Proces Legislacyjny,  najpóźniej z dniem przekazania projektu na kolejny etap prac legislacyjnych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</w:tc>
      </w:tr>
      <w:tr w:rsidR="007D0C05" w:rsidRPr="00141B61" w14:paraId="05906A88" w14:textId="77777777" w:rsidTr="00A75CE5">
        <w:trPr>
          <w:trHeight w:val="363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2531E0F9" w14:textId="77777777" w:rsidR="007D0C05" w:rsidRPr="00141B61" w:rsidRDefault="007D0C05" w:rsidP="003A6A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 Wpływ na sektor finansów publicznych</w:t>
            </w:r>
          </w:p>
        </w:tc>
      </w:tr>
      <w:tr w:rsidR="007D0C05" w:rsidRPr="00141B61" w14:paraId="744A791C" w14:textId="77777777" w:rsidTr="00A75CE5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0538E1E" w14:textId="77777777" w:rsidR="007D0C05" w:rsidRPr="00141B61" w:rsidRDefault="007D0C05" w:rsidP="003A6A73">
            <w:pPr>
              <w:spacing w:before="40" w:after="40" w:line="240" w:lineRule="auto"/>
              <w:rPr>
                <w:i/>
                <w:iCs/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(ceny stałe z …… r.)</w:t>
            </w:r>
          </w:p>
        </w:tc>
        <w:tc>
          <w:tcPr>
            <w:tcW w:w="7924" w:type="dxa"/>
            <w:gridSpan w:val="25"/>
            <w:shd w:val="clear" w:color="auto" w:fill="FFFFFF"/>
          </w:tcPr>
          <w:p w14:paraId="707FDCE7" w14:textId="77777777" w:rsidR="007D0C05" w:rsidRPr="00141B61" w:rsidRDefault="007D0C05" w:rsidP="003A6A73">
            <w:pPr>
              <w:spacing w:before="40" w:after="40" w:line="240" w:lineRule="auto"/>
              <w:jc w:val="center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Skutki w okresie 10 lat od wejścia w życie zmian [mln zł]</w:t>
            </w:r>
          </w:p>
        </w:tc>
      </w:tr>
      <w:tr w:rsidR="007D0C05" w:rsidRPr="00141B61" w14:paraId="6CE79234" w14:textId="77777777" w:rsidTr="00A75CE5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815164A" w14:textId="77777777" w:rsidR="007D0C05" w:rsidRPr="00141B61" w:rsidRDefault="007D0C05" w:rsidP="003A6A73">
            <w:pPr>
              <w:spacing w:before="40" w:after="40" w:line="240" w:lineRule="auto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C04FD1D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366EE80D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57C8FC22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47D9425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A9299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4AD005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BF1C61F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54A4A9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E1B2BBD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69B8B1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9DF3FA1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139" w:type="dxa"/>
            <w:shd w:val="clear" w:color="auto" w:fill="FFFFFF"/>
          </w:tcPr>
          <w:p w14:paraId="349901D2" w14:textId="77777777" w:rsidR="007D0C05" w:rsidRPr="00141B61" w:rsidRDefault="007D0C05" w:rsidP="003A6A73">
            <w:pPr>
              <w:spacing w:before="40" w:after="40" w:line="240" w:lineRule="auto"/>
              <w:jc w:val="center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i/>
                <w:iCs/>
                <w:color w:val="000000"/>
                <w:spacing w:val="-2"/>
                <w:sz w:val="23"/>
                <w:szCs w:val="23"/>
              </w:rPr>
              <w:t>Łącznie (0-10)</w:t>
            </w:r>
          </w:p>
        </w:tc>
      </w:tr>
      <w:tr w:rsidR="007D0C05" w:rsidRPr="00141B61" w14:paraId="7E831247" w14:textId="77777777" w:rsidTr="00A75CE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E0C895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z w:val="23"/>
                <w:szCs w:val="23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C7BC0FC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62A780FA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4F0BD35B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3B8306A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260AA2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A729E33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A2BF0F5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2C7A62C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03E9E2E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472D6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EA537A3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735427AD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0A64B1D3" w14:textId="77777777" w:rsidTr="00A75CE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612682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B0EEE5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06D96FE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5EA66F5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20A63ED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A8569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C0E8A03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4D186E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53148D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EC398A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C3010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40B2749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0AEEE8C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08A06C93" w14:textId="77777777" w:rsidTr="00A75CE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06A07A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D47445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52154CD1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1630C2E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7B1A447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F836E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15DE53F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A3092BA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479D88A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1750059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9B247B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AD36DD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6C2954A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11533CCD" w14:textId="77777777" w:rsidTr="00A75CE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71ECFE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bCs/>
                <w:color w:val="000000"/>
                <w:sz w:val="23"/>
                <w:szCs w:val="23"/>
              </w:rPr>
              <w:t>Jednostki sektora finansów publicznych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69D787B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4223E6F7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76607B3A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E6456AE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5E3FBC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CBFBFC7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32CFCC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FEA1CB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35C315B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DE5597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6863A0C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166DE76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6A422A90" w14:textId="77777777" w:rsidTr="00A75CE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504AE8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z w:val="23"/>
                <w:szCs w:val="23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056763B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50028801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0C286EA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299972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F0544E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2DED60F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9C6A6E3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4FD171A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C6C029C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ACDD0E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0A95FBD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5CCAC70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5B349F29" w14:textId="77777777" w:rsidTr="00A75CE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67BA0C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15908C5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3FB2401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34507F21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F29DC4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F32CC2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3090072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B62D37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956F245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798EE8C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045485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E2B15C3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75EE8A1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35524DDB" w14:textId="77777777" w:rsidTr="00A75CE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AC170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96B9B7C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1038CDEC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6E40A375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0CBBFB5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86548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36492DC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462CC07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D39F4AB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36C32F1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EB13D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D64826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73EBBA2D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05F76450" w14:textId="77777777" w:rsidTr="00A75CE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8187A0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bCs/>
                <w:color w:val="000000"/>
                <w:sz w:val="23"/>
                <w:szCs w:val="23"/>
              </w:rPr>
              <w:t>Jednostki sektora finansów publicznych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13CE063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277918F2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6BBED3BA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2CD824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0BB36F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8EF9AC3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B112B57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CB8962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0651F1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65EBB3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B101D0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1436661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235555E6" w14:textId="77777777" w:rsidTr="00A75CE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D01060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z w:val="23"/>
                <w:szCs w:val="23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F111F6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1EED59F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12A0A25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78075AA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2ECBFB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C54322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513DC9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601E34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178AF2D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E5146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84CC96D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74D826CC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400B637F" w14:textId="77777777" w:rsidTr="00A75CE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CD20B7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76CBCE3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119710FB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6B732FB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CFA8B13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B61AA9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F29BF87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FA57AE2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A67E599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EE012F2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43AB2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008C2F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0B2C5D7E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6F11491D" w14:textId="77777777" w:rsidTr="00A75CE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F4C5DF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C57C179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0DA6010C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3482E4C7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C8F81B5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6FC74F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33DF147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A5DE085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E7B433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9CE209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C5470D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243A3C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07EECBE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52C22608" w14:textId="77777777" w:rsidTr="00A75CE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2EC278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bCs/>
                <w:color w:val="000000"/>
                <w:sz w:val="23"/>
                <w:szCs w:val="23"/>
              </w:rPr>
              <w:t>Jednostki sektora finansów publicznych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DE71C7B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563C7EF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69DE988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8E36A1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D2922F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E3EEACA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EC23FCB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D16249D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5877B0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873C85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4297BA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16799E7F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713807A1" w14:textId="77777777" w:rsidTr="00A75CE5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D39EE13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 xml:space="preserve">Źródła finansowania </w:t>
            </w:r>
          </w:p>
        </w:tc>
        <w:tc>
          <w:tcPr>
            <w:tcW w:w="8814" w:type="dxa"/>
            <w:gridSpan w:val="27"/>
            <w:shd w:val="clear" w:color="auto" w:fill="FFFFFF"/>
            <w:vAlign w:val="center"/>
          </w:tcPr>
          <w:p w14:paraId="326F41B2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</w:tr>
      <w:tr w:rsidR="007D0C05" w:rsidRPr="00141B61" w14:paraId="16E08303" w14:textId="77777777" w:rsidTr="00EE6B8E">
        <w:trPr>
          <w:trHeight w:val="274"/>
        </w:trPr>
        <w:tc>
          <w:tcPr>
            <w:tcW w:w="2243" w:type="dxa"/>
            <w:gridSpan w:val="2"/>
            <w:shd w:val="clear" w:color="auto" w:fill="FFFFFF"/>
          </w:tcPr>
          <w:p w14:paraId="0D898DA6" w14:textId="77777777" w:rsidR="007D0C05" w:rsidRPr="00141B61" w:rsidRDefault="007D0C05" w:rsidP="003A6A73">
            <w:pPr>
              <w:spacing w:line="240" w:lineRule="auto"/>
              <w:jc w:val="both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Dodatkowe informacje, w tym wskazanie źródeł danych i przyjętych do obliczeń założeń</w:t>
            </w:r>
          </w:p>
        </w:tc>
        <w:tc>
          <w:tcPr>
            <w:tcW w:w="8814" w:type="dxa"/>
            <w:gridSpan w:val="27"/>
            <w:shd w:val="clear" w:color="auto" w:fill="FFFFFF"/>
          </w:tcPr>
          <w:p w14:paraId="27AE40C7" w14:textId="5D8F86ED" w:rsidR="00AF499F" w:rsidRDefault="007D0C05" w:rsidP="003A6A73">
            <w:pPr>
              <w:spacing w:line="240" w:lineRule="auto"/>
              <w:ind w:firstLine="340"/>
              <w:jc w:val="both"/>
              <w:rPr>
                <w:color w:val="000000"/>
                <w:sz w:val="23"/>
                <w:szCs w:val="23"/>
                <w:lang w:bidi="pl-PL"/>
              </w:rPr>
            </w:pPr>
            <w:r w:rsidRPr="0026136D">
              <w:rPr>
                <w:color w:val="000000"/>
                <w:sz w:val="23"/>
                <w:szCs w:val="23"/>
                <w:lang w:bidi="pl-PL"/>
              </w:rPr>
              <w:t xml:space="preserve">Brak danych dotyczących ilości wprowadzanych do obrotu produktów jednorazowego użytku z tworzyw </w:t>
            </w:r>
            <w:r w:rsidR="00797DC9" w:rsidRPr="0026136D">
              <w:rPr>
                <w:color w:val="000000"/>
                <w:sz w:val="23"/>
                <w:szCs w:val="23"/>
                <w:lang w:bidi="pl-PL"/>
              </w:rPr>
              <w:t>sztuczn</w:t>
            </w:r>
            <w:r w:rsidR="00797DC9">
              <w:rPr>
                <w:color w:val="000000"/>
                <w:sz w:val="23"/>
                <w:szCs w:val="23"/>
                <w:lang w:bidi="pl-PL"/>
              </w:rPr>
              <w:t>ych</w:t>
            </w:r>
            <w:r w:rsidR="00797DC9" w:rsidRPr="0026136D">
              <w:rPr>
                <w:color w:val="000000"/>
                <w:sz w:val="23"/>
                <w:szCs w:val="23"/>
                <w:lang w:bidi="pl-PL"/>
              </w:rPr>
              <w:t xml:space="preserve"> </w:t>
            </w:r>
            <w:r w:rsidRPr="0026136D">
              <w:rPr>
                <w:color w:val="000000"/>
                <w:sz w:val="23"/>
                <w:szCs w:val="23"/>
                <w:lang w:bidi="pl-PL"/>
              </w:rPr>
              <w:t>objętych przepisami projektowane</w:t>
            </w:r>
            <w:r>
              <w:rPr>
                <w:color w:val="000000"/>
                <w:sz w:val="23"/>
                <w:szCs w:val="23"/>
                <w:lang w:bidi="pl-PL"/>
              </w:rPr>
              <w:t>go rozporządzenia</w:t>
            </w:r>
            <w:r w:rsidR="00F91783">
              <w:rPr>
                <w:color w:val="000000"/>
                <w:sz w:val="23"/>
                <w:szCs w:val="23"/>
                <w:lang w:bidi="pl-PL"/>
              </w:rPr>
              <w:t xml:space="preserve"> </w:t>
            </w:r>
            <w:r w:rsidRPr="0026136D">
              <w:rPr>
                <w:color w:val="000000"/>
                <w:sz w:val="23"/>
                <w:szCs w:val="23"/>
                <w:lang w:bidi="pl-PL"/>
              </w:rPr>
              <w:t>uniemożliwia dokonanie łącznej analizy kosztów</w:t>
            </w:r>
            <w:r w:rsidR="00F91783">
              <w:rPr>
                <w:color w:val="000000"/>
                <w:sz w:val="23"/>
                <w:szCs w:val="23"/>
                <w:lang w:bidi="pl-PL"/>
              </w:rPr>
              <w:t xml:space="preserve">. </w:t>
            </w:r>
            <w:r w:rsidR="00AF499F" w:rsidRPr="00AF499F">
              <w:rPr>
                <w:color w:val="000000"/>
                <w:sz w:val="23"/>
                <w:szCs w:val="23"/>
                <w:lang w:bidi="pl-PL"/>
              </w:rPr>
              <w:t>Dane te stanowią tajemnicę handlową i nie są udostępniane przez branże</w:t>
            </w:r>
            <w:r w:rsidR="00EE6B8E">
              <w:rPr>
                <w:color w:val="000000"/>
                <w:sz w:val="23"/>
                <w:szCs w:val="23"/>
                <w:lang w:bidi="pl-PL"/>
              </w:rPr>
              <w:t xml:space="preserve">. </w:t>
            </w:r>
            <w:r w:rsidR="00F91783">
              <w:rPr>
                <w:color w:val="000000"/>
                <w:sz w:val="23"/>
                <w:szCs w:val="23"/>
                <w:lang w:bidi="pl-PL"/>
              </w:rPr>
              <w:t>D</w:t>
            </w:r>
            <w:r w:rsidRPr="0026136D">
              <w:rPr>
                <w:color w:val="000000"/>
                <w:sz w:val="23"/>
                <w:szCs w:val="23"/>
                <w:lang w:bidi="pl-PL"/>
              </w:rPr>
              <w:t xml:space="preserve">ane </w:t>
            </w:r>
            <w:r w:rsidR="00F91783">
              <w:rPr>
                <w:color w:val="000000"/>
                <w:sz w:val="23"/>
                <w:szCs w:val="23"/>
                <w:lang w:bidi="pl-PL"/>
              </w:rPr>
              <w:t xml:space="preserve">do tych wyliczeń </w:t>
            </w:r>
            <w:r w:rsidR="00797DC9">
              <w:rPr>
                <w:color w:val="000000"/>
                <w:sz w:val="23"/>
                <w:szCs w:val="23"/>
                <w:lang w:bidi="pl-PL"/>
              </w:rPr>
              <w:t>zostaną</w:t>
            </w:r>
            <w:r w:rsidRPr="0026136D">
              <w:rPr>
                <w:color w:val="000000"/>
                <w:sz w:val="23"/>
                <w:szCs w:val="23"/>
                <w:lang w:bidi="pl-PL"/>
              </w:rPr>
              <w:t xml:space="preserve"> </w:t>
            </w:r>
            <w:r w:rsidR="00797DC9" w:rsidRPr="0026136D">
              <w:rPr>
                <w:color w:val="000000"/>
                <w:sz w:val="23"/>
                <w:szCs w:val="23"/>
                <w:lang w:bidi="pl-PL"/>
              </w:rPr>
              <w:t>z</w:t>
            </w:r>
            <w:r w:rsidR="00797DC9">
              <w:rPr>
                <w:color w:val="000000"/>
                <w:sz w:val="23"/>
                <w:szCs w:val="23"/>
                <w:lang w:bidi="pl-PL"/>
              </w:rPr>
              <w:t>ebrane</w:t>
            </w:r>
            <w:r w:rsidR="00797DC9" w:rsidRPr="0026136D">
              <w:rPr>
                <w:color w:val="000000"/>
                <w:sz w:val="23"/>
                <w:szCs w:val="23"/>
                <w:lang w:bidi="pl-PL"/>
              </w:rPr>
              <w:t xml:space="preserve"> </w:t>
            </w:r>
            <w:r w:rsidRPr="0026136D">
              <w:rPr>
                <w:color w:val="000000"/>
                <w:sz w:val="23"/>
                <w:szCs w:val="23"/>
                <w:lang w:bidi="pl-PL"/>
              </w:rPr>
              <w:t xml:space="preserve">na podstawie przepisów </w:t>
            </w:r>
            <w:r>
              <w:rPr>
                <w:color w:val="000000"/>
                <w:sz w:val="23"/>
                <w:szCs w:val="23"/>
                <w:lang w:bidi="pl-PL"/>
              </w:rPr>
              <w:t xml:space="preserve">o obowiązkach przedsiębiorców w zakresie gospodarowania niektórymi odpadami oraz </w:t>
            </w:r>
            <w:r w:rsidR="00ED495B">
              <w:rPr>
                <w:color w:val="000000"/>
                <w:sz w:val="23"/>
                <w:szCs w:val="23"/>
                <w:lang w:bidi="pl-PL"/>
              </w:rPr>
              <w:br/>
            </w:r>
            <w:r>
              <w:rPr>
                <w:color w:val="000000"/>
                <w:sz w:val="23"/>
                <w:szCs w:val="23"/>
                <w:lang w:bidi="pl-PL"/>
              </w:rPr>
              <w:t xml:space="preserve">o opłacie produktowej, </w:t>
            </w:r>
            <w:r w:rsidRPr="0026136D">
              <w:rPr>
                <w:color w:val="000000"/>
                <w:sz w:val="23"/>
                <w:szCs w:val="23"/>
                <w:lang w:bidi="pl-PL"/>
              </w:rPr>
              <w:t xml:space="preserve">w ramach nakładanych na przedsiębiorców obowiązków sprawozdawczych. Planowane jest dokonanie pierwszych analiz po drugim okresie sprawozdawczym. </w:t>
            </w:r>
          </w:p>
          <w:p w14:paraId="52E42EB4" w14:textId="5DAD4013" w:rsidR="007D0C05" w:rsidRPr="00220F66" w:rsidRDefault="00EE6B8E" w:rsidP="00220F66">
            <w:pPr>
              <w:spacing w:line="240" w:lineRule="auto"/>
              <w:ind w:firstLine="340"/>
              <w:jc w:val="both"/>
              <w:rPr>
                <w:color w:val="000000"/>
                <w:sz w:val="23"/>
                <w:szCs w:val="23"/>
                <w:lang w:bidi="pl-PL"/>
              </w:rPr>
            </w:pPr>
            <w:r>
              <w:rPr>
                <w:color w:val="000000"/>
                <w:sz w:val="23"/>
                <w:szCs w:val="23"/>
                <w:lang w:bidi="pl-PL"/>
              </w:rPr>
              <w:t xml:space="preserve">Należy jednak mieć na uwadze, że rozwiązania prawne w zakresie opłaty wprowadza ustawa </w:t>
            </w:r>
            <w:r>
              <w:rPr>
                <w:rFonts w:cs="Times New Roman"/>
                <w:sz w:val="23"/>
                <w:szCs w:val="23"/>
              </w:rPr>
              <w:t xml:space="preserve">z dnia 11 maja 2001 r. </w:t>
            </w:r>
            <w:r w:rsidRPr="00141B61">
              <w:rPr>
                <w:rFonts w:cs="Times New Roman"/>
                <w:sz w:val="23"/>
                <w:szCs w:val="23"/>
              </w:rPr>
              <w:t xml:space="preserve">o </w:t>
            </w:r>
            <w:r>
              <w:rPr>
                <w:rFonts w:cs="Times New Roman"/>
                <w:sz w:val="23"/>
                <w:szCs w:val="23"/>
              </w:rPr>
              <w:t>obowiązkach przedsiębiorców w zakresie gospodarowania niektórymi odpadami oraz o opłacie produktowej i to w OSR do projektu tej ustawy (UC73) został przedstawiony wpływ regulacji na sektor finansów publicznych (w tym w zakresie niniejszej opłaty na podstawie dostępnych danych szacunkowych). Projektowane rozporządzenie nie wprowadza nowego rozwiązania, jedynie określa wysokość stawek opłaty.</w:t>
            </w:r>
          </w:p>
        </w:tc>
      </w:tr>
      <w:tr w:rsidR="007D0C05" w:rsidRPr="00141B61" w14:paraId="5AA18646" w14:textId="77777777" w:rsidTr="00A75CE5">
        <w:trPr>
          <w:trHeight w:val="458"/>
        </w:trPr>
        <w:tc>
          <w:tcPr>
            <w:tcW w:w="11057" w:type="dxa"/>
            <w:gridSpan w:val="29"/>
            <w:shd w:val="clear" w:color="auto" w:fill="99CCFF"/>
          </w:tcPr>
          <w:p w14:paraId="3E0ED8D7" w14:textId="77777777" w:rsidR="007D0C05" w:rsidRPr="00141B61" w:rsidRDefault="007D0C05" w:rsidP="003A6A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b/>
                <w:bCs/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Wpływ na </w:t>
            </w:r>
            <w:r w:rsidRPr="00141B61">
              <w:rPr>
                <w:b/>
                <w:bCs/>
                <w:color w:val="000000"/>
                <w:sz w:val="23"/>
                <w:szCs w:val="23"/>
              </w:rPr>
              <w:t xml:space="preserve">konkurencyjność gospodarki i przedsiębiorczość, w tym funkcjonowanie przedsiębiorców oraz na rodzinę, obywateli i gospodarstwa domowe </w:t>
            </w:r>
          </w:p>
        </w:tc>
      </w:tr>
      <w:tr w:rsidR="007D0C05" w:rsidRPr="00141B61" w14:paraId="4B95413D" w14:textId="77777777" w:rsidTr="00A75CE5">
        <w:trPr>
          <w:trHeight w:val="142"/>
        </w:trPr>
        <w:tc>
          <w:tcPr>
            <w:tcW w:w="11057" w:type="dxa"/>
            <w:gridSpan w:val="29"/>
            <w:shd w:val="clear" w:color="auto" w:fill="FFFFFF"/>
          </w:tcPr>
          <w:p w14:paraId="01A900ED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Skutki</w:t>
            </w:r>
          </w:p>
        </w:tc>
      </w:tr>
      <w:tr w:rsidR="007D0C05" w:rsidRPr="00141B61" w14:paraId="57F18BE8" w14:textId="77777777" w:rsidTr="00A75CE5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7F4A365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Czas w latach od wejścia w życie zmian</w:t>
            </w:r>
          </w:p>
        </w:tc>
        <w:tc>
          <w:tcPr>
            <w:tcW w:w="952" w:type="dxa"/>
            <w:gridSpan w:val="2"/>
            <w:shd w:val="clear" w:color="auto" w:fill="FFFFFF"/>
          </w:tcPr>
          <w:p w14:paraId="3F2D1DA7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23" w:type="dxa"/>
            <w:gridSpan w:val="4"/>
            <w:shd w:val="clear" w:color="auto" w:fill="FFFFFF"/>
          </w:tcPr>
          <w:p w14:paraId="40D75FD7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184A295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785E020C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98170FB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16" w:type="dxa"/>
            <w:gridSpan w:val="3"/>
            <w:shd w:val="clear" w:color="auto" w:fill="FFFFFF"/>
          </w:tcPr>
          <w:p w14:paraId="05D8394F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564" w:type="dxa"/>
            <w:gridSpan w:val="2"/>
            <w:shd w:val="clear" w:color="auto" w:fill="FFFFFF"/>
          </w:tcPr>
          <w:p w14:paraId="531B434C" w14:textId="77777777" w:rsidR="007D0C05" w:rsidRPr="00141B61" w:rsidRDefault="007D0C05" w:rsidP="003A6A73">
            <w:pPr>
              <w:spacing w:line="240" w:lineRule="auto"/>
              <w:jc w:val="center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i/>
                <w:iCs/>
                <w:color w:val="000000"/>
                <w:spacing w:val="-2"/>
                <w:sz w:val="23"/>
                <w:szCs w:val="23"/>
              </w:rPr>
              <w:t>Łącznie</w:t>
            </w:r>
            <w:r w:rsidRPr="00141B61" w:rsidDel="0073273A">
              <w:rPr>
                <w:i/>
                <w:iCs/>
                <w:color w:val="000000"/>
                <w:spacing w:val="-2"/>
                <w:sz w:val="23"/>
                <w:szCs w:val="23"/>
              </w:rPr>
              <w:t xml:space="preserve"> </w:t>
            </w:r>
            <w:r w:rsidRPr="00141B61">
              <w:rPr>
                <w:i/>
                <w:iCs/>
                <w:color w:val="000000"/>
                <w:spacing w:val="-2"/>
                <w:sz w:val="23"/>
                <w:szCs w:val="23"/>
              </w:rPr>
              <w:t>(0-10)</w:t>
            </w:r>
          </w:p>
        </w:tc>
      </w:tr>
      <w:tr w:rsidR="007D0C05" w:rsidRPr="00141B61" w14:paraId="56175A93" w14:textId="77777777" w:rsidTr="00A75CE5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912031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W ujęciu pieniężnym</w:t>
            </w:r>
          </w:p>
          <w:p w14:paraId="228CDAA2" w14:textId="77777777" w:rsidR="007D0C05" w:rsidRPr="00141B61" w:rsidRDefault="007D0C05" w:rsidP="003A6A73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141B61">
              <w:rPr>
                <w:spacing w:val="-2"/>
                <w:sz w:val="23"/>
                <w:szCs w:val="23"/>
              </w:rPr>
              <w:t xml:space="preserve">(w mln zł, </w:t>
            </w:r>
          </w:p>
          <w:p w14:paraId="10AC42BC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spacing w:val="-2"/>
                <w:sz w:val="23"/>
                <w:szCs w:val="23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B88DD85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duże przedsiębiorstwa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14:paraId="0CA70C2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23" w:type="dxa"/>
            <w:gridSpan w:val="4"/>
            <w:shd w:val="clear" w:color="auto" w:fill="FFFFFF"/>
            <w:vAlign w:val="center"/>
          </w:tcPr>
          <w:p w14:paraId="7F8965DD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515D69B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41D6D3F2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98DCA5F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16" w:type="dxa"/>
            <w:gridSpan w:val="3"/>
            <w:shd w:val="clear" w:color="auto" w:fill="FFFFFF"/>
            <w:vAlign w:val="center"/>
          </w:tcPr>
          <w:p w14:paraId="7F998815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14:paraId="40068B3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1DE8D3E8" w14:textId="77777777" w:rsidTr="00A75CE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8FAAFF0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43C71AA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sektor mikro-, małych i średnich przedsiębiorstw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14:paraId="3DE15AAE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23" w:type="dxa"/>
            <w:gridSpan w:val="4"/>
            <w:shd w:val="clear" w:color="auto" w:fill="FFFFFF"/>
            <w:vAlign w:val="center"/>
          </w:tcPr>
          <w:p w14:paraId="09608979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786ACA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6499E691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F2F4474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16" w:type="dxa"/>
            <w:gridSpan w:val="3"/>
            <w:shd w:val="clear" w:color="auto" w:fill="FFFFFF"/>
            <w:vAlign w:val="center"/>
          </w:tcPr>
          <w:p w14:paraId="5362190A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14:paraId="75677B0F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6CFA2C17" w14:textId="77777777" w:rsidTr="00A75CE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8161CAA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564DC5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sz w:val="23"/>
                <w:szCs w:val="23"/>
              </w:rPr>
              <w:t>rodzina, obywatele oraz gospodarstwa domowe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14:paraId="30F25842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23" w:type="dxa"/>
            <w:gridSpan w:val="4"/>
            <w:shd w:val="clear" w:color="auto" w:fill="FFFFFF"/>
            <w:vAlign w:val="center"/>
          </w:tcPr>
          <w:p w14:paraId="5C309FB6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06BEAC0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5719953A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B7EA4DF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16" w:type="dxa"/>
            <w:gridSpan w:val="3"/>
            <w:shd w:val="clear" w:color="auto" w:fill="FFFFFF"/>
            <w:vAlign w:val="center"/>
          </w:tcPr>
          <w:p w14:paraId="1487A77A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14:paraId="3330AA18" w14:textId="77777777" w:rsidR="007D0C05" w:rsidRPr="00141B61" w:rsidRDefault="007D0C05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4B0846" w:rsidRPr="00141B61" w14:paraId="78FDC566" w14:textId="77777777" w:rsidTr="0093356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47A523C" w14:textId="77777777" w:rsidR="004B0846" w:rsidRPr="00141B61" w:rsidRDefault="004B0846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1A694" w14:textId="064C3150" w:rsidR="004B0846" w:rsidRPr="00141B61" w:rsidRDefault="00D1062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BA1F07">
              <w:rPr>
                <w:color w:val="000000"/>
                <w:sz w:val="21"/>
                <w:szCs w:val="21"/>
              </w:rPr>
              <w:t>Osoby niepełnosprawne i starsze</w:t>
            </w:r>
            <w:r w:rsidRPr="00141B61" w:rsidDel="004B0846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14:paraId="0150735B" w14:textId="6B3E6D3A" w:rsidR="004B0846" w:rsidRPr="00141B61" w:rsidRDefault="004B0846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23" w:type="dxa"/>
            <w:gridSpan w:val="4"/>
            <w:shd w:val="clear" w:color="auto" w:fill="FFFFFF"/>
            <w:vAlign w:val="center"/>
          </w:tcPr>
          <w:p w14:paraId="066619A4" w14:textId="54F13A3D" w:rsidR="004B0846" w:rsidRPr="00141B61" w:rsidRDefault="004B0846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15F2692C" w14:textId="45540CDA" w:rsidR="004B0846" w:rsidRPr="00141B61" w:rsidRDefault="004B0846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0FB96BA0" w14:textId="447DE71B" w:rsidR="004B0846" w:rsidRPr="00141B61" w:rsidRDefault="004B0846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7629AE4" w14:textId="2D17BD78" w:rsidR="004B0846" w:rsidRPr="00141B61" w:rsidRDefault="004B0846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16" w:type="dxa"/>
            <w:gridSpan w:val="3"/>
            <w:shd w:val="clear" w:color="auto" w:fill="FFFFFF"/>
            <w:vAlign w:val="center"/>
          </w:tcPr>
          <w:p w14:paraId="7CDD10F2" w14:textId="02CC6317" w:rsidR="004B0846" w:rsidRPr="00141B61" w:rsidRDefault="004B0846" w:rsidP="003A6A73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14:paraId="47E00A73" w14:textId="76020932" w:rsidR="004B0846" w:rsidRPr="00141B61" w:rsidRDefault="004B0846" w:rsidP="003A6A73">
            <w:pPr>
              <w:spacing w:line="240" w:lineRule="auto"/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-</w:t>
            </w:r>
          </w:p>
        </w:tc>
      </w:tr>
      <w:tr w:rsidR="007D0C05" w:rsidRPr="00141B61" w14:paraId="2F3F6885" w14:textId="77777777" w:rsidTr="00A75CE5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A8AE246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W 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D1779F5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duże przedsiębiorstwa</w:t>
            </w:r>
          </w:p>
        </w:tc>
        <w:tc>
          <w:tcPr>
            <w:tcW w:w="7168" w:type="dxa"/>
            <w:gridSpan w:val="22"/>
            <w:shd w:val="clear" w:color="auto" w:fill="FFFFFF"/>
            <w:vAlign w:val="center"/>
          </w:tcPr>
          <w:p w14:paraId="08AEA6BD" w14:textId="225F9AAB" w:rsidR="007D0C05" w:rsidRPr="00141B61" w:rsidRDefault="003A6A73" w:rsidP="003A6A73">
            <w:pPr>
              <w:spacing w:line="240" w:lineRule="auto"/>
              <w:ind w:firstLine="249"/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3A6A73">
              <w:rPr>
                <w:color w:val="000000"/>
                <w:spacing w:val="-2"/>
                <w:sz w:val="23"/>
                <w:szCs w:val="23"/>
              </w:rPr>
              <w:t xml:space="preserve">Stawka opłaty nie będzie miała wpływu na sektor 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dużych </w:t>
            </w:r>
            <w:r w:rsidRPr="003A6A73">
              <w:rPr>
                <w:color w:val="000000"/>
                <w:spacing w:val="-2"/>
                <w:sz w:val="23"/>
                <w:szCs w:val="23"/>
              </w:rPr>
              <w:t xml:space="preserve">przedsiębiorców ponad to, co zostało przedstawione w projekcie ustawy o zmianie ustawy </w:t>
            </w:r>
            <w:r>
              <w:rPr>
                <w:color w:val="000000"/>
                <w:spacing w:val="-2"/>
                <w:sz w:val="23"/>
                <w:szCs w:val="23"/>
              </w:rPr>
              <w:br/>
            </w:r>
            <w:r w:rsidRPr="003A6A73">
              <w:rPr>
                <w:color w:val="000000"/>
                <w:spacing w:val="-2"/>
                <w:sz w:val="23"/>
                <w:szCs w:val="23"/>
              </w:rPr>
              <w:t>o obowiązkach przedsiębiorców w zakresie gospodarowania niektórymi odpadami oraz o opłacie produktowej oraz niektórych innych ustaw.</w:t>
            </w:r>
          </w:p>
        </w:tc>
      </w:tr>
      <w:tr w:rsidR="007D0C05" w:rsidRPr="00141B61" w14:paraId="16A6E8A4" w14:textId="77777777" w:rsidTr="00A75CE5">
        <w:trPr>
          <w:trHeight w:val="376"/>
        </w:trPr>
        <w:tc>
          <w:tcPr>
            <w:tcW w:w="1596" w:type="dxa"/>
            <w:vMerge/>
            <w:shd w:val="clear" w:color="auto" w:fill="FFFFFF"/>
          </w:tcPr>
          <w:p w14:paraId="2E997136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98F59D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sektor mikro-, małych i średnich przedsiębiorstw</w:t>
            </w:r>
          </w:p>
        </w:tc>
        <w:tc>
          <w:tcPr>
            <w:tcW w:w="7168" w:type="dxa"/>
            <w:gridSpan w:val="22"/>
            <w:shd w:val="clear" w:color="auto" w:fill="FFFFFF"/>
            <w:vAlign w:val="center"/>
          </w:tcPr>
          <w:p w14:paraId="3A136F70" w14:textId="7C6F1928" w:rsidR="007D0C05" w:rsidRPr="00ED495B" w:rsidRDefault="007D0C05" w:rsidP="003A6A73">
            <w:pPr>
              <w:spacing w:line="240" w:lineRule="auto"/>
              <w:ind w:firstLine="253"/>
              <w:jc w:val="both"/>
              <w:rPr>
                <w:color w:val="000000"/>
                <w:sz w:val="23"/>
                <w:szCs w:val="23"/>
              </w:rPr>
            </w:pPr>
            <w:r w:rsidRPr="00ED495B">
              <w:rPr>
                <w:sz w:val="23"/>
                <w:szCs w:val="23"/>
              </w:rPr>
              <w:t xml:space="preserve">Stawka opłaty nie będzie miała wpływu na sektor mikro, małych </w:t>
            </w:r>
            <w:r w:rsidR="00D813B2" w:rsidRPr="00ED495B">
              <w:rPr>
                <w:sz w:val="23"/>
                <w:szCs w:val="23"/>
              </w:rPr>
              <w:br/>
            </w:r>
            <w:r w:rsidRPr="00ED495B">
              <w:rPr>
                <w:sz w:val="23"/>
                <w:szCs w:val="23"/>
              </w:rPr>
              <w:t>i średnich przedsiębiorców ponad</w:t>
            </w:r>
            <w:r w:rsidR="00581568" w:rsidRPr="00ED495B">
              <w:rPr>
                <w:sz w:val="23"/>
                <w:szCs w:val="23"/>
              </w:rPr>
              <w:t xml:space="preserve"> </w:t>
            </w:r>
            <w:r w:rsidRPr="00ED495B">
              <w:rPr>
                <w:sz w:val="23"/>
                <w:szCs w:val="23"/>
              </w:rPr>
              <w:t>to</w:t>
            </w:r>
            <w:r w:rsidR="00581568" w:rsidRPr="00ED495B">
              <w:rPr>
                <w:sz w:val="23"/>
                <w:szCs w:val="23"/>
              </w:rPr>
              <w:t>,</w:t>
            </w:r>
            <w:r w:rsidRPr="00ED495B">
              <w:rPr>
                <w:sz w:val="23"/>
                <w:szCs w:val="23"/>
              </w:rPr>
              <w:t xml:space="preserve"> co zostało przedstawione w </w:t>
            </w:r>
            <w:r w:rsidR="00FC4EBE" w:rsidRPr="00ED495B">
              <w:rPr>
                <w:color w:val="000000"/>
                <w:sz w:val="23"/>
                <w:szCs w:val="23"/>
              </w:rPr>
              <w:t>projekcie ustawy o zmianie ustawy o obowiązkach przedsiębiorców w zakresie gospodarowania niektórymi odpadami oraz o opłacie produktowej oraz niektórych innych ustaw</w:t>
            </w:r>
            <w:r w:rsidR="003A247E" w:rsidRPr="00ED495B">
              <w:rPr>
                <w:color w:val="000000"/>
                <w:sz w:val="23"/>
                <w:szCs w:val="23"/>
              </w:rPr>
              <w:t>.</w:t>
            </w:r>
          </w:p>
        </w:tc>
      </w:tr>
      <w:tr w:rsidR="007D0C05" w:rsidRPr="00D813B2" w14:paraId="73BB5F71" w14:textId="77777777" w:rsidTr="00A75CE5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1C37A3F6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99D9AE" w14:textId="0859E46E" w:rsidR="007D0C05" w:rsidRPr="00141B61" w:rsidRDefault="007D0C05" w:rsidP="003A6A73">
            <w:pPr>
              <w:tabs>
                <w:tab w:val="right" w:pos="1936"/>
              </w:tabs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sz w:val="23"/>
                <w:szCs w:val="23"/>
              </w:rPr>
              <w:t xml:space="preserve">rodzina, obywatele </w:t>
            </w:r>
            <w:r w:rsidR="00FC4EBE" w:rsidRPr="00BA1F07">
              <w:rPr>
                <w:color w:val="000000"/>
                <w:sz w:val="21"/>
                <w:szCs w:val="21"/>
              </w:rPr>
              <w:t xml:space="preserve">w tym osoby </w:t>
            </w:r>
            <w:r w:rsidR="00FC4EBE" w:rsidRPr="00BA1F07">
              <w:rPr>
                <w:color w:val="000000"/>
                <w:sz w:val="21"/>
                <w:szCs w:val="21"/>
              </w:rPr>
              <w:lastRenderedPageBreak/>
              <w:t>niepełnosprawne i starsze,</w:t>
            </w:r>
            <w:r w:rsidR="00CE3779">
              <w:rPr>
                <w:color w:val="000000"/>
                <w:sz w:val="21"/>
                <w:szCs w:val="21"/>
              </w:rPr>
              <w:t xml:space="preserve"> </w:t>
            </w:r>
            <w:r w:rsidRPr="00141B61">
              <w:rPr>
                <w:sz w:val="23"/>
                <w:szCs w:val="23"/>
              </w:rPr>
              <w:t>oraz gospodarstwa domowe</w:t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168" w:type="dxa"/>
            <w:gridSpan w:val="22"/>
            <w:shd w:val="clear" w:color="auto" w:fill="FFFFFF"/>
            <w:vAlign w:val="center"/>
          </w:tcPr>
          <w:p w14:paraId="32409C5D" w14:textId="3D567B39" w:rsidR="007D0C05" w:rsidRPr="00ED495B" w:rsidRDefault="007D0C05" w:rsidP="003A6A73">
            <w:pPr>
              <w:spacing w:line="240" w:lineRule="auto"/>
              <w:ind w:firstLine="340"/>
              <w:jc w:val="both"/>
              <w:rPr>
                <w:iCs/>
                <w:sz w:val="23"/>
                <w:szCs w:val="23"/>
              </w:rPr>
            </w:pPr>
            <w:r w:rsidRPr="00ED495B">
              <w:rPr>
                <w:sz w:val="23"/>
                <w:szCs w:val="23"/>
              </w:rPr>
              <w:lastRenderedPageBreak/>
              <w:t>Stawka opłaty nie będzie miała wpływu na rodzinę, obywateli oraz gospodarstwa domowe ponad</w:t>
            </w:r>
            <w:r w:rsidR="00581568" w:rsidRPr="00ED495B">
              <w:rPr>
                <w:sz w:val="23"/>
                <w:szCs w:val="23"/>
              </w:rPr>
              <w:t xml:space="preserve"> </w:t>
            </w:r>
            <w:r w:rsidRPr="00ED495B">
              <w:rPr>
                <w:sz w:val="23"/>
                <w:szCs w:val="23"/>
              </w:rPr>
              <w:t>to</w:t>
            </w:r>
            <w:r w:rsidR="00581568" w:rsidRPr="00ED495B">
              <w:rPr>
                <w:sz w:val="23"/>
                <w:szCs w:val="23"/>
              </w:rPr>
              <w:t>,</w:t>
            </w:r>
            <w:r w:rsidRPr="00ED495B">
              <w:rPr>
                <w:sz w:val="23"/>
                <w:szCs w:val="23"/>
              </w:rPr>
              <w:t xml:space="preserve"> co zostało przedstawione </w:t>
            </w:r>
            <w:r w:rsidR="00E6165B" w:rsidRPr="00ED495B">
              <w:rPr>
                <w:sz w:val="23"/>
                <w:szCs w:val="23"/>
              </w:rPr>
              <w:t>w</w:t>
            </w:r>
            <w:r w:rsidR="00FC4EBE" w:rsidRPr="00ED495B">
              <w:rPr>
                <w:color w:val="000000"/>
                <w:sz w:val="23"/>
                <w:szCs w:val="23"/>
              </w:rPr>
              <w:t xml:space="preserve"> projekcie </w:t>
            </w:r>
            <w:r w:rsidR="00FC4EBE" w:rsidRPr="00ED495B">
              <w:rPr>
                <w:color w:val="000000"/>
                <w:sz w:val="23"/>
                <w:szCs w:val="23"/>
              </w:rPr>
              <w:lastRenderedPageBreak/>
              <w:t>ustawy o zmianie ustawy o obowiązkach przedsiębiorców</w:t>
            </w:r>
            <w:r w:rsidR="001404C0" w:rsidRPr="00ED495B">
              <w:rPr>
                <w:color w:val="000000"/>
                <w:sz w:val="23"/>
                <w:szCs w:val="23"/>
              </w:rPr>
              <w:t xml:space="preserve"> </w:t>
            </w:r>
            <w:r w:rsidR="00FC4EBE" w:rsidRPr="00ED495B">
              <w:rPr>
                <w:color w:val="000000"/>
                <w:sz w:val="23"/>
                <w:szCs w:val="23"/>
              </w:rPr>
              <w:t>w zakresie gospodarowania niektórymi odpadami oraz o opłacie produktowej oraz niektórych innych ustaw</w:t>
            </w:r>
            <w:r w:rsidR="003A247E" w:rsidRPr="00ED495B">
              <w:rPr>
                <w:sz w:val="23"/>
                <w:szCs w:val="23"/>
              </w:rPr>
              <w:t>.</w:t>
            </w:r>
            <w:r w:rsidR="00630D36" w:rsidRPr="00ED495B">
              <w:rPr>
                <w:sz w:val="23"/>
                <w:szCs w:val="23"/>
              </w:rPr>
              <w:t xml:space="preserve"> Należy spodziewać się, że wprowadzenie opłaty spowoduje zmiany zachowań konsumentów przez odejście od używania produktów jednorazowych</w:t>
            </w:r>
            <w:r w:rsidR="005942F3" w:rsidRPr="00ED495B">
              <w:rPr>
                <w:sz w:val="23"/>
                <w:szCs w:val="23"/>
              </w:rPr>
              <w:t xml:space="preserve"> </w:t>
            </w:r>
            <w:r w:rsidR="00630D36" w:rsidRPr="00ED495B">
              <w:rPr>
                <w:sz w:val="23"/>
                <w:szCs w:val="23"/>
              </w:rPr>
              <w:t>na rzecz np. produktów wielorazowego użytku lub produktów jednorazowego użytku</w:t>
            </w:r>
            <w:r w:rsidR="001404C0" w:rsidRPr="00ED495B">
              <w:rPr>
                <w:sz w:val="23"/>
                <w:szCs w:val="23"/>
              </w:rPr>
              <w:t xml:space="preserve"> </w:t>
            </w:r>
            <w:r w:rsidR="00630D36" w:rsidRPr="00ED495B">
              <w:rPr>
                <w:sz w:val="23"/>
                <w:szCs w:val="23"/>
              </w:rPr>
              <w:t>z alternatywnych materiałów (papieru, skrobi, otrąb)</w:t>
            </w:r>
            <w:r w:rsidR="003A247E" w:rsidRPr="00ED495B">
              <w:rPr>
                <w:sz w:val="23"/>
                <w:szCs w:val="23"/>
              </w:rPr>
              <w:t>.</w:t>
            </w:r>
          </w:p>
        </w:tc>
      </w:tr>
      <w:tr w:rsidR="007D0C05" w:rsidRPr="00141B61" w14:paraId="3F4964D4" w14:textId="77777777" w:rsidTr="00A75CE5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76497313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D09802" w14:textId="77777777" w:rsidR="007D0C05" w:rsidRPr="00141B61" w:rsidRDefault="007D0C05" w:rsidP="003A6A73">
            <w:pPr>
              <w:tabs>
                <w:tab w:val="right" w:pos="1936"/>
              </w:tabs>
              <w:spacing w:line="240" w:lineRule="auto"/>
              <w:rPr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FORMTEXT </w:instrText>
            </w:r>
            <w:r w:rsidRPr="00141B61">
              <w:rPr>
                <w:color w:val="000000"/>
                <w:sz w:val="23"/>
                <w:szCs w:val="23"/>
              </w:rPr>
            </w:r>
            <w:r w:rsidRPr="00141B61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noProof/>
                <w:color w:val="000000"/>
                <w:sz w:val="23"/>
                <w:szCs w:val="23"/>
              </w:rPr>
              <w:t>(dodaj/usuń)</w:t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7168" w:type="dxa"/>
            <w:gridSpan w:val="22"/>
            <w:shd w:val="clear" w:color="auto" w:fill="FFFFFF"/>
          </w:tcPr>
          <w:p w14:paraId="2F648B86" w14:textId="77777777" w:rsidR="007D0C05" w:rsidRPr="00052281" w:rsidRDefault="007D0C05" w:rsidP="003A6A73">
            <w:pPr>
              <w:tabs>
                <w:tab w:val="left" w:pos="3000"/>
              </w:tabs>
              <w:spacing w:line="240" w:lineRule="auto"/>
              <w:rPr>
                <w:spacing w:val="-2"/>
                <w:sz w:val="23"/>
                <w:szCs w:val="23"/>
              </w:rPr>
            </w:pPr>
          </w:p>
        </w:tc>
      </w:tr>
      <w:tr w:rsidR="007D0C05" w:rsidRPr="00141B61" w14:paraId="40988459" w14:textId="77777777" w:rsidTr="00A75CE5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DADE7FD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3A9BFFC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FORMTEXT </w:instrText>
            </w:r>
            <w:r w:rsidRPr="00141B61">
              <w:rPr>
                <w:color w:val="000000"/>
                <w:sz w:val="23"/>
                <w:szCs w:val="23"/>
              </w:rPr>
            </w:r>
            <w:r w:rsidRPr="00141B61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noProof/>
                <w:color w:val="000000"/>
                <w:sz w:val="23"/>
                <w:szCs w:val="23"/>
              </w:rPr>
              <w:t>(dodaj/usuń)</w:t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7168" w:type="dxa"/>
            <w:gridSpan w:val="22"/>
            <w:shd w:val="clear" w:color="auto" w:fill="FFFFFF"/>
          </w:tcPr>
          <w:p w14:paraId="7236EFC0" w14:textId="77777777" w:rsidR="007D0C05" w:rsidRPr="00052281" w:rsidRDefault="007D0C05" w:rsidP="003A6A73">
            <w:pPr>
              <w:spacing w:line="240" w:lineRule="auto"/>
              <w:rPr>
                <w:spacing w:val="-2"/>
                <w:sz w:val="23"/>
                <w:szCs w:val="23"/>
              </w:rPr>
            </w:pPr>
          </w:p>
        </w:tc>
      </w:tr>
      <w:tr w:rsidR="007D0C05" w:rsidRPr="00141B61" w14:paraId="1C2BFF6E" w14:textId="77777777" w:rsidTr="00A75CE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61A1DE1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2F90886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FORMTEXT </w:instrText>
            </w:r>
            <w:r w:rsidRPr="00141B61">
              <w:rPr>
                <w:color w:val="000000"/>
                <w:sz w:val="23"/>
                <w:szCs w:val="23"/>
              </w:rPr>
            </w:r>
            <w:r w:rsidRPr="00141B61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noProof/>
                <w:color w:val="000000"/>
                <w:sz w:val="23"/>
                <w:szCs w:val="23"/>
              </w:rPr>
              <w:t>(dodaj/usuń)</w:t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7168" w:type="dxa"/>
            <w:gridSpan w:val="22"/>
            <w:shd w:val="clear" w:color="auto" w:fill="FFFFFF"/>
          </w:tcPr>
          <w:p w14:paraId="46C8B09B" w14:textId="77777777" w:rsidR="007D0C05" w:rsidRPr="00052281" w:rsidRDefault="007D0C05" w:rsidP="003A6A73">
            <w:pPr>
              <w:spacing w:line="240" w:lineRule="auto"/>
              <w:rPr>
                <w:spacing w:val="-2"/>
                <w:sz w:val="23"/>
                <w:szCs w:val="23"/>
              </w:rPr>
            </w:pPr>
          </w:p>
        </w:tc>
      </w:tr>
      <w:tr w:rsidR="007D0C05" w:rsidRPr="00141B61" w14:paraId="5C19FB79" w14:textId="77777777" w:rsidTr="00A75CE5">
        <w:tc>
          <w:tcPr>
            <w:tcW w:w="2243" w:type="dxa"/>
            <w:gridSpan w:val="2"/>
            <w:shd w:val="clear" w:color="auto" w:fill="FFFFFF"/>
          </w:tcPr>
          <w:p w14:paraId="5EF2DF9F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 xml:space="preserve">Dodatkowe informacje, w tym wskazanie źródeł danych i przyjętych do obliczeń założeń </w:t>
            </w:r>
          </w:p>
        </w:tc>
        <w:tc>
          <w:tcPr>
            <w:tcW w:w="8814" w:type="dxa"/>
            <w:gridSpan w:val="27"/>
            <w:shd w:val="clear" w:color="auto" w:fill="FFFFFF"/>
            <w:vAlign w:val="center"/>
          </w:tcPr>
          <w:p w14:paraId="29D14392" w14:textId="0AFADA45" w:rsidR="007D0C05" w:rsidRPr="00052281" w:rsidRDefault="007D0C05" w:rsidP="003A6A73">
            <w:pPr>
              <w:spacing w:line="240" w:lineRule="auto"/>
              <w:ind w:firstLine="340"/>
              <w:jc w:val="both"/>
              <w:rPr>
                <w:sz w:val="23"/>
                <w:szCs w:val="23"/>
              </w:rPr>
            </w:pPr>
            <w:r w:rsidRPr="00052281">
              <w:rPr>
                <w:sz w:val="23"/>
                <w:szCs w:val="23"/>
              </w:rPr>
              <w:t>Stawka opłaty nie będzie miała wpływu na konkurencyjność gospodarki i przedsiębiorczość, w tym funkcjonowanie przedsiębiorców oraz na rodzinę, obywateli i gospodarstwa domowe ponad</w:t>
            </w:r>
            <w:r w:rsidR="00581568">
              <w:rPr>
                <w:sz w:val="23"/>
                <w:szCs w:val="23"/>
              </w:rPr>
              <w:t xml:space="preserve"> </w:t>
            </w:r>
            <w:r w:rsidRPr="00052281">
              <w:rPr>
                <w:sz w:val="23"/>
                <w:szCs w:val="23"/>
              </w:rPr>
              <w:t>to</w:t>
            </w:r>
            <w:r w:rsidR="00581568">
              <w:rPr>
                <w:sz w:val="23"/>
                <w:szCs w:val="23"/>
              </w:rPr>
              <w:t>,</w:t>
            </w:r>
            <w:r w:rsidRPr="00052281">
              <w:rPr>
                <w:sz w:val="23"/>
                <w:szCs w:val="23"/>
              </w:rPr>
              <w:t xml:space="preserve"> co zostało przedstawione w </w:t>
            </w:r>
            <w:r w:rsidR="00CE3779" w:rsidRPr="00EE6B8E">
              <w:rPr>
                <w:sz w:val="23"/>
                <w:szCs w:val="23"/>
              </w:rPr>
              <w:t xml:space="preserve">projekcie ustawy o zmianie ustawy o obowiązkach przedsiębiorców w zakresie gospodarowania niektórymi odpadami oraz o opłacie produktowej oraz niektórych innych ustaw. </w:t>
            </w:r>
            <w:r w:rsidRPr="00052281">
              <w:rPr>
                <w:sz w:val="23"/>
                <w:szCs w:val="23"/>
              </w:rPr>
              <w:t xml:space="preserve">Zgodnie z ww. projektem ustawy przewiduje się, że w wyniku planowanych zmian sprzedaż </w:t>
            </w:r>
            <w:r w:rsidR="00630D36" w:rsidRPr="00EE6B8E">
              <w:rPr>
                <w:sz w:val="23"/>
                <w:szCs w:val="23"/>
              </w:rPr>
              <w:t xml:space="preserve">opakowań jednorazowego użytku z tworzyw </w:t>
            </w:r>
            <w:r w:rsidR="0080315D" w:rsidRPr="00EE6B8E">
              <w:rPr>
                <w:sz w:val="23"/>
                <w:szCs w:val="23"/>
              </w:rPr>
              <w:t>sztucznych</w:t>
            </w:r>
            <w:r w:rsidR="0080315D" w:rsidRPr="00052281" w:rsidDel="00630D36">
              <w:rPr>
                <w:sz w:val="23"/>
                <w:szCs w:val="23"/>
              </w:rPr>
              <w:t xml:space="preserve"> </w:t>
            </w:r>
            <w:r w:rsidRPr="00052281">
              <w:rPr>
                <w:sz w:val="23"/>
                <w:szCs w:val="23"/>
              </w:rPr>
              <w:t xml:space="preserve">będzie zmniejszać się co roku, natomiast spodziewany jest wzrost sprzedaży </w:t>
            </w:r>
            <w:r w:rsidR="00630D36" w:rsidRPr="00EE6B8E">
              <w:rPr>
                <w:sz w:val="23"/>
                <w:szCs w:val="23"/>
              </w:rPr>
              <w:t>opakowań jednorazowego użytku</w:t>
            </w:r>
            <w:r w:rsidR="00630D36" w:rsidRPr="00052281" w:rsidDel="00630D36">
              <w:rPr>
                <w:sz w:val="23"/>
                <w:szCs w:val="23"/>
              </w:rPr>
              <w:t xml:space="preserve"> </w:t>
            </w:r>
            <w:r w:rsidR="00630D36">
              <w:rPr>
                <w:sz w:val="23"/>
                <w:szCs w:val="23"/>
              </w:rPr>
              <w:t xml:space="preserve">z </w:t>
            </w:r>
            <w:r w:rsidR="003A247E">
              <w:rPr>
                <w:sz w:val="23"/>
                <w:szCs w:val="23"/>
              </w:rPr>
              <w:t>alternatywnych</w:t>
            </w:r>
            <w:r w:rsidR="00630D36">
              <w:rPr>
                <w:sz w:val="23"/>
                <w:szCs w:val="23"/>
              </w:rPr>
              <w:t xml:space="preserve"> materiałów.</w:t>
            </w:r>
          </w:p>
        </w:tc>
      </w:tr>
      <w:tr w:rsidR="007D0C05" w:rsidRPr="00141B61" w14:paraId="5521063A" w14:textId="77777777" w:rsidTr="00A75CE5">
        <w:trPr>
          <w:trHeight w:val="538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6BD13D14" w14:textId="77777777" w:rsidR="007D0C05" w:rsidRPr="00141B61" w:rsidRDefault="007D0C05" w:rsidP="003A6A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z w:val="23"/>
                <w:szCs w:val="23"/>
              </w:rPr>
              <w:t xml:space="preserve"> Zmiana obciążeń regulacyjnych (w tym obowiązków informacyjnych) wynikających z projektu</w:t>
            </w:r>
          </w:p>
        </w:tc>
      </w:tr>
      <w:tr w:rsidR="007D0C05" w:rsidRPr="00141B61" w14:paraId="5598A2CD" w14:textId="77777777" w:rsidTr="00A75CE5">
        <w:trPr>
          <w:trHeight w:val="319"/>
        </w:trPr>
        <w:tc>
          <w:tcPr>
            <w:tcW w:w="11057" w:type="dxa"/>
            <w:gridSpan w:val="29"/>
            <w:shd w:val="clear" w:color="auto" w:fill="FFFFFF"/>
          </w:tcPr>
          <w:p w14:paraId="6EF8B084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nie dotyczy</w:t>
            </w:r>
          </w:p>
        </w:tc>
      </w:tr>
      <w:tr w:rsidR="007D0C05" w:rsidRPr="00141B61" w14:paraId="09950471" w14:textId="77777777" w:rsidTr="00A75CE5">
        <w:trPr>
          <w:trHeight w:val="827"/>
        </w:trPr>
        <w:tc>
          <w:tcPr>
            <w:tcW w:w="5111" w:type="dxa"/>
            <w:gridSpan w:val="11"/>
            <w:shd w:val="clear" w:color="auto" w:fill="FFFFFF"/>
          </w:tcPr>
          <w:p w14:paraId="5BAA6D36" w14:textId="77777777" w:rsidR="007D0C05" w:rsidRPr="00141B61" w:rsidRDefault="007D0C05" w:rsidP="003A6A73">
            <w:pPr>
              <w:spacing w:line="240" w:lineRule="auto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 xml:space="preserve">Wprowadzane są obciążenia poza bezwzględnie wymaganymi przez UE </w:t>
            </w:r>
            <w:r w:rsidRPr="00141B61">
              <w:rPr>
                <w:color w:val="000000"/>
                <w:sz w:val="23"/>
                <w:szCs w:val="23"/>
              </w:rPr>
              <w:t>(szczegóły w odwróconej tabeli zgodności).</w:t>
            </w:r>
          </w:p>
        </w:tc>
        <w:tc>
          <w:tcPr>
            <w:tcW w:w="5946" w:type="dxa"/>
            <w:gridSpan w:val="18"/>
            <w:shd w:val="clear" w:color="auto" w:fill="FFFFFF"/>
          </w:tcPr>
          <w:p w14:paraId="342C892F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tak</w:t>
            </w:r>
          </w:p>
          <w:p w14:paraId="2B979E60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nie</w:t>
            </w:r>
          </w:p>
          <w:p w14:paraId="72A39B98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nie dotyczy</w:t>
            </w:r>
          </w:p>
        </w:tc>
      </w:tr>
      <w:tr w:rsidR="007D0C05" w:rsidRPr="00141B61" w14:paraId="2F2B9B1C" w14:textId="77777777" w:rsidTr="00A75CE5">
        <w:trPr>
          <w:trHeight w:val="1109"/>
        </w:trPr>
        <w:tc>
          <w:tcPr>
            <w:tcW w:w="5111" w:type="dxa"/>
            <w:gridSpan w:val="11"/>
            <w:shd w:val="clear" w:color="auto" w:fill="FFFFFF"/>
          </w:tcPr>
          <w:p w14:paraId="34D81E05" w14:textId="77777777" w:rsidR="007D0C05" w:rsidRPr="00141B61" w:rsidRDefault="007D0C05" w:rsidP="003A6A73">
            <w:pPr>
              <w:spacing w:line="240" w:lineRule="auto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 xml:space="preserve">zmniejszenie liczby dokumentów </w:t>
            </w:r>
          </w:p>
          <w:p w14:paraId="62047DC8" w14:textId="77777777" w:rsidR="007D0C05" w:rsidRPr="00141B61" w:rsidRDefault="007D0C05" w:rsidP="003A6A73">
            <w:pPr>
              <w:spacing w:line="240" w:lineRule="auto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zmniejszenie liczby procedur</w:t>
            </w:r>
          </w:p>
          <w:p w14:paraId="615A44EF" w14:textId="77777777" w:rsidR="007D0C05" w:rsidRPr="00141B61" w:rsidRDefault="007D0C05" w:rsidP="003A6A73">
            <w:pPr>
              <w:spacing w:line="240" w:lineRule="auto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skrócenie czasu na załatwienie sprawy</w:t>
            </w:r>
          </w:p>
          <w:p w14:paraId="5F137883" w14:textId="77777777" w:rsidR="007D0C05" w:rsidRPr="00141B61" w:rsidRDefault="007D0C05" w:rsidP="003A6A73">
            <w:pPr>
              <w:spacing w:line="240" w:lineRule="auto"/>
              <w:rPr>
                <w:b/>
                <w:bCs/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inne:</w:t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FORMTEXT </w:instrText>
            </w:r>
            <w:r w:rsidRPr="00141B61">
              <w:rPr>
                <w:color w:val="000000"/>
                <w:sz w:val="23"/>
                <w:szCs w:val="23"/>
              </w:rPr>
            </w:r>
            <w:r w:rsidRPr="00141B61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5946" w:type="dxa"/>
            <w:gridSpan w:val="18"/>
            <w:shd w:val="clear" w:color="auto" w:fill="FFFFFF"/>
          </w:tcPr>
          <w:p w14:paraId="090324D1" w14:textId="77777777" w:rsidR="007D0C05" w:rsidRPr="00141B61" w:rsidRDefault="007D0C05" w:rsidP="003A6A73">
            <w:pPr>
              <w:spacing w:line="240" w:lineRule="auto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zwiększenie liczby dokumentów</w:t>
            </w:r>
          </w:p>
          <w:p w14:paraId="58A816A1" w14:textId="77777777" w:rsidR="007D0C05" w:rsidRPr="00141B61" w:rsidRDefault="007D0C05" w:rsidP="003A6A73">
            <w:pPr>
              <w:spacing w:line="240" w:lineRule="auto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zwiększenie liczby procedur</w:t>
            </w:r>
          </w:p>
          <w:p w14:paraId="4378FAE0" w14:textId="77777777" w:rsidR="007D0C05" w:rsidRPr="00141B61" w:rsidRDefault="007D0C05" w:rsidP="003A6A73">
            <w:pPr>
              <w:spacing w:line="240" w:lineRule="auto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wydłużenie czasu na załatwienie sprawy</w:t>
            </w:r>
          </w:p>
          <w:p w14:paraId="133D3BCB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inne:</w:t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FORMTEXT </w:instrText>
            </w:r>
            <w:r w:rsidRPr="00141B61">
              <w:rPr>
                <w:color w:val="000000"/>
                <w:sz w:val="23"/>
                <w:szCs w:val="23"/>
              </w:rPr>
            </w:r>
            <w:r w:rsidRPr="00141B61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</w:p>
        </w:tc>
      </w:tr>
      <w:tr w:rsidR="007D0C05" w:rsidRPr="00141B61" w14:paraId="4D936FAE" w14:textId="77777777" w:rsidTr="00A75CE5">
        <w:trPr>
          <w:trHeight w:val="848"/>
        </w:trPr>
        <w:tc>
          <w:tcPr>
            <w:tcW w:w="5111" w:type="dxa"/>
            <w:gridSpan w:val="11"/>
            <w:shd w:val="clear" w:color="auto" w:fill="FFFFFF"/>
          </w:tcPr>
          <w:p w14:paraId="36EA5C23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 xml:space="preserve">Wprowadzane obciążenia są przystosowane do ich elektronizacji. </w:t>
            </w:r>
          </w:p>
        </w:tc>
        <w:tc>
          <w:tcPr>
            <w:tcW w:w="5946" w:type="dxa"/>
            <w:gridSpan w:val="18"/>
            <w:shd w:val="clear" w:color="auto" w:fill="FFFFFF"/>
          </w:tcPr>
          <w:p w14:paraId="57DD71D2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tak</w:t>
            </w:r>
          </w:p>
          <w:p w14:paraId="65646D96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nie</w:t>
            </w:r>
          </w:p>
          <w:p w14:paraId="58CD0DB3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nie dotyczy</w:t>
            </w:r>
          </w:p>
        </w:tc>
      </w:tr>
      <w:tr w:rsidR="007D0C05" w:rsidRPr="00141B61" w14:paraId="0FAAB380" w14:textId="77777777" w:rsidTr="00220F66">
        <w:trPr>
          <w:trHeight w:val="979"/>
        </w:trPr>
        <w:tc>
          <w:tcPr>
            <w:tcW w:w="11057" w:type="dxa"/>
            <w:gridSpan w:val="29"/>
            <w:shd w:val="clear" w:color="auto" w:fill="FFFFFF"/>
          </w:tcPr>
          <w:p w14:paraId="2C305661" w14:textId="77777777" w:rsidR="007D0C05" w:rsidRPr="00141B61" w:rsidRDefault="007D0C05" w:rsidP="003A6A73">
            <w:pPr>
              <w:spacing w:line="240" w:lineRule="auto"/>
              <w:jc w:val="both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>Komentarz:</w:t>
            </w:r>
          </w:p>
          <w:p w14:paraId="556E9DDB" w14:textId="77777777" w:rsidR="007D0C05" w:rsidRPr="00141B61" w:rsidRDefault="007D0C05" w:rsidP="003A6A73">
            <w:pPr>
              <w:spacing w:line="240" w:lineRule="auto"/>
              <w:ind w:firstLine="306"/>
              <w:jc w:val="both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t xml:space="preserve">Obciążenie regulacyjne związane z opłatą wprowadza </w:t>
            </w:r>
            <w:r>
              <w:rPr>
                <w:color w:val="000000"/>
                <w:sz w:val="23"/>
                <w:szCs w:val="23"/>
              </w:rPr>
              <w:t xml:space="preserve">ustawa o obowiązkach przedsiębiorców w zakresie gospodarowania niektórymi odpadami oraz o opłacie produktowej. </w:t>
            </w:r>
            <w:r w:rsidRPr="00141B61">
              <w:rPr>
                <w:color w:val="000000"/>
                <w:sz w:val="23"/>
                <w:szCs w:val="23"/>
              </w:rPr>
              <w:t>Przedmiotowe rozporządzenie określa jedynie wysokość stawki opłaty i nie wpływa na zmianę obciążeń regulacyjnych.</w:t>
            </w:r>
          </w:p>
        </w:tc>
      </w:tr>
      <w:tr w:rsidR="007D0C05" w:rsidRPr="00141B61" w14:paraId="14D88846" w14:textId="77777777" w:rsidTr="00A75CE5">
        <w:trPr>
          <w:trHeight w:val="536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22B50048" w14:textId="77777777" w:rsidR="007D0C05" w:rsidRPr="00141B61" w:rsidRDefault="007D0C05" w:rsidP="003A6A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z w:val="23"/>
                <w:szCs w:val="23"/>
              </w:rPr>
              <w:t xml:space="preserve">Wpływ na rynek pracy </w:t>
            </w:r>
          </w:p>
        </w:tc>
      </w:tr>
      <w:tr w:rsidR="007D0C05" w:rsidRPr="00141B61" w14:paraId="197C878C" w14:textId="77777777" w:rsidTr="00A75CE5">
        <w:trPr>
          <w:trHeight w:val="1547"/>
        </w:trPr>
        <w:tc>
          <w:tcPr>
            <w:tcW w:w="11057" w:type="dxa"/>
            <w:gridSpan w:val="29"/>
          </w:tcPr>
          <w:p w14:paraId="51F0AF29" w14:textId="0969EEAD" w:rsidR="00CC048D" w:rsidRPr="00CC048D" w:rsidRDefault="007D0C05" w:rsidP="003A6A73">
            <w:pPr>
              <w:pStyle w:val="NIEARTTEKSTtekstnieartykuowanynppreambua"/>
              <w:spacing w:before="0" w:line="240" w:lineRule="auto"/>
              <w:ind w:firstLine="306"/>
            </w:pP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>Stawk</w:t>
            </w:r>
            <w:r w:rsidR="006B16EF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>opłaty będ</w:t>
            </w:r>
            <w:r w:rsidR="006B16EF">
              <w:rPr>
                <w:rFonts w:ascii="Times New Roman" w:hAnsi="Times New Roman" w:cs="Times New Roman"/>
                <w:sz w:val="23"/>
                <w:szCs w:val="23"/>
              </w:rPr>
              <w:t>ą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wpływał</w:t>
            </w:r>
            <w:r w:rsidR="006B16EF"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na świadomy wybór konsumenta, co z kolei może wpływać na wielkość produkcji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opakowań jednorazowego użytku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z tworzyw </w:t>
            </w:r>
            <w:r w:rsidR="0080315D" w:rsidRPr="00141B61">
              <w:rPr>
                <w:rFonts w:ascii="Times New Roman" w:hAnsi="Times New Roman" w:cs="Times New Roman"/>
                <w:sz w:val="23"/>
                <w:szCs w:val="23"/>
              </w:rPr>
              <w:t>sztuczn</w:t>
            </w:r>
            <w:r w:rsidR="0080315D">
              <w:rPr>
                <w:rFonts w:ascii="Times New Roman" w:hAnsi="Times New Roman" w:cs="Times New Roman"/>
                <w:sz w:val="23"/>
                <w:szCs w:val="23"/>
              </w:rPr>
              <w:t>ych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. W związku z powyższym zwiększyć się może produkcja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opakowań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wielokrotnego użytku oraz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opakowań jednorazowego użytku z alternatywnych materiałów takich jak: papier, trzcina, otręby.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 Należy jednak zauważyć, że spodziewany spadek produkcji tego rodzaju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opakowań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związany jest </w:t>
            </w:r>
            <w:r w:rsidR="001404C0">
              <w:rPr>
                <w:rFonts w:ascii="Times New Roman" w:hAnsi="Times New Roman" w:cs="Times New Roman"/>
                <w:sz w:val="23"/>
                <w:szCs w:val="23"/>
              </w:rPr>
              <w:t xml:space="preserve">bezpośrednio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z wprowadzeniem </w:t>
            </w:r>
            <w:r w:rsidR="0093125D">
              <w:rPr>
                <w:rFonts w:ascii="Times New Roman" w:hAnsi="Times New Roman" w:cs="Times New Roman"/>
                <w:sz w:val="23"/>
                <w:szCs w:val="23"/>
              </w:rPr>
              <w:t xml:space="preserve">mechanizmu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opłaty w projekcie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zmiany </w:t>
            </w:r>
            <w:r w:rsidRPr="00141B61">
              <w:rPr>
                <w:rFonts w:ascii="Times New Roman" w:hAnsi="Times New Roman" w:cs="Times New Roman"/>
                <w:sz w:val="23"/>
                <w:szCs w:val="23"/>
              </w:rPr>
              <w:t xml:space="preserve">ustawy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 obowiązkach przedsiębiorców w zakresie gospodarowania niektórymi odpadami oraz o opłacie produktowej oraz innych ustaw</w:t>
            </w:r>
            <w:r w:rsidR="001404C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D0C05" w:rsidRPr="00141B61" w14:paraId="2216845B" w14:textId="77777777" w:rsidTr="00A75CE5">
        <w:trPr>
          <w:trHeight w:val="523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5968BC8E" w14:textId="77777777" w:rsidR="007D0C05" w:rsidRPr="00141B61" w:rsidRDefault="007D0C05" w:rsidP="003A6A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z w:val="23"/>
                <w:szCs w:val="23"/>
              </w:rPr>
              <w:t>Wpływ na pozostałe obszary</w:t>
            </w:r>
          </w:p>
        </w:tc>
      </w:tr>
      <w:tr w:rsidR="007D0C05" w:rsidRPr="00141B61" w14:paraId="2ADBB469" w14:textId="77777777" w:rsidTr="00A75CE5">
        <w:trPr>
          <w:trHeight w:val="945"/>
        </w:trPr>
        <w:tc>
          <w:tcPr>
            <w:tcW w:w="3547" w:type="dxa"/>
            <w:gridSpan w:val="5"/>
            <w:shd w:val="clear" w:color="auto" w:fill="FFFFFF"/>
          </w:tcPr>
          <w:p w14:paraId="54E058B2" w14:textId="77777777" w:rsidR="007D0C05" w:rsidRPr="00141B61" w:rsidRDefault="007D0C05" w:rsidP="003A6A73">
            <w:pPr>
              <w:spacing w:line="240" w:lineRule="auto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środowisko naturalne</w:t>
            </w:r>
          </w:p>
          <w:p w14:paraId="3DB78300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sytuacja i rozwój regionalny</w:t>
            </w:r>
          </w:p>
          <w:p w14:paraId="442964C7" w14:textId="70B798A8" w:rsidR="007D0C05" w:rsidRPr="0093356A" w:rsidRDefault="00B532C5" w:rsidP="003A6A73">
            <w:pPr>
              <w:spacing w:line="240" w:lineRule="auto"/>
              <w:rPr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D93C2B">
              <w:rPr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030BEE9A" w14:textId="77777777" w:rsidR="007D0C05" w:rsidRPr="00141B61" w:rsidRDefault="007D0C05" w:rsidP="003A6A73">
            <w:pPr>
              <w:spacing w:line="240" w:lineRule="auto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demografia</w:t>
            </w:r>
          </w:p>
          <w:p w14:paraId="7A8A3ED3" w14:textId="77777777" w:rsidR="007D0C05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mienie państwowe</w:t>
            </w:r>
          </w:p>
          <w:p w14:paraId="7BCD4848" w14:textId="223E05F5" w:rsidR="00B532C5" w:rsidRPr="00141B61" w:rsidRDefault="00B532C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 xml:space="preserve">inne: </w:t>
            </w: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FORMTEXT </w:instrText>
            </w:r>
            <w:r w:rsidRPr="00141B61">
              <w:rPr>
                <w:color w:val="000000"/>
                <w:sz w:val="23"/>
                <w:szCs w:val="23"/>
              </w:rPr>
            </w:r>
            <w:r w:rsidRPr="00141B61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noProof/>
                <w:color w:val="000000"/>
                <w:sz w:val="23"/>
                <w:szCs w:val="23"/>
              </w:rPr>
              <w:t> </w:t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3823" w:type="dxa"/>
            <w:gridSpan w:val="10"/>
            <w:shd w:val="clear" w:color="auto" w:fill="FFFFFF"/>
          </w:tcPr>
          <w:p w14:paraId="0D5AF729" w14:textId="77777777" w:rsidR="007D0C05" w:rsidRPr="00141B61" w:rsidRDefault="007D0C05" w:rsidP="003A6A73">
            <w:pPr>
              <w:spacing w:line="240" w:lineRule="auto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informatyzacja</w:t>
            </w:r>
          </w:p>
          <w:p w14:paraId="75C893D1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61">
              <w:rPr>
                <w:color w:val="000000"/>
                <w:sz w:val="23"/>
                <w:szCs w:val="23"/>
              </w:rPr>
              <w:instrText xml:space="preserve"> FORMCHECKBOX </w:instrText>
            </w:r>
            <w:r w:rsidR="00000000">
              <w:rPr>
                <w:color w:val="000000"/>
                <w:sz w:val="23"/>
                <w:szCs w:val="23"/>
              </w:rPr>
            </w:r>
            <w:r w:rsidR="00000000">
              <w:rPr>
                <w:color w:val="000000"/>
                <w:sz w:val="23"/>
                <w:szCs w:val="23"/>
              </w:rPr>
              <w:fldChar w:fldCharType="separate"/>
            </w:r>
            <w:r w:rsidRPr="00141B61">
              <w:rPr>
                <w:color w:val="000000"/>
                <w:sz w:val="23"/>
                <w:szCs w:val="23"/>
              </w:rPr>
              <w:fldChar w:fldCharType="end"/>
            </w:r>
            <w:r w:rsidRPr="00141B61">
              <w:rPr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zdrowie</w:t>
            </w:r>
          </w:p>
        </w:tc>
      </w:tr>
      <w:tr w:rsidR="007D0C05" w:rsidRPr="00141B61" w14:paraId="2784E479" w14:textId="77777777" w:rsidTr="00220F66">
        <w:trPr>
          <w:trHeight w:val="10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9A4E0CF" w14:textId="77777777" w:rsidR="007D0C05" w:rsidRPr="00141B61" w:rsidRDefault="007D0C05" w:rsidP="003A6A73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141B61">
              <w:rPr>
                <w:color w:val="000000"/>
                <w:sz w:val="23"/>
                <w:szCs w:val="23"/>
              </w:rPr>
              <w:lastRenderedPageBreak/>
              <w:t>Omówienie wpływu</w:t>
            </w:r>
          </w:p>
        </w:tc>
        <w:tc>
          <w:tcPr>
            <w:tcW w:w="8814" w:type="dxa"/>
            <w:gridSpan w:val="27"/>
            <w:shd w:val="clear" w:color="auto" w:fill="FFFFFF"/>
            <w:vAlign w:val="center"/>
          </w:tcPr>
          <w:p w14:paraId="555135AC" w14:textId="35CA33AF" w:rsidR="007D0C05" w:rsidRPr="00141B61" w:rsidRDefault="007D0C05" w:rsidP="003A6A73">
            <w:pPr>
              <w:spacing w:line="240" w:lineRule="auto"/>
              <w:ind w:firstLine="340"/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 xml:space="preserve">Rozporządzenie, określając wysokość </w:t>
            </w:r>
            <w:r w:rsidR="0080315D" w:rsidRPr="00141B61">
              <w:rPr>
                <w:color w:val="000000"/>
                <w:spacing w:val="-2"/>
                <w:sz w:val="23"/>
                <w:szCs w:val="23"/>
              </w:rPr>
              <w:t>staw</w:t>
            </w:r>
            <w:r w:rsidR="0080315D">
              <w:rPr>
                <w:color w:val="000000"/>
                <w:spacing w:val="-2"/>
                <w:sz w:val="23"/>
                <w:szCs w:val="23"/>
              </w:rPr>
              <w:t>ek</w:t>
            </w:r>
            <w:r w:rsidR="0080315D" w:rsidRPr="00141B61"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 xml:space="preserve">opłaty, wpłynie na zmniejszenie zużycia </w:t>
            </w:r>
            <w:r w:rsidR="001404C0">
              <w:rPr>
                <w:color w:val="000000"/>
                <w:spacing w:val="-2"/>
                <w:sz w:val="23"/>
                <w:szCs w:val="23"/>
              </w:rPr>
              <w:t>produktów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jednorazowego użytku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 xml:space="preserve"> z tworzyw </w:t>
            </w:r>
            <w:r w:rsidR="0080315D" w:rsidRPr="00141B61">
              <w:rPr>
                <w:color w:val="000000"/>
                <w:spacing w:val="-2"/>
                <w:sz w:val="23"/>
                <w:szCs w:val="23"/>
              </w:rPr>
              <w:t>sztuczn</w:t>
            </w:r>
            <w:r w:rsidR="0080315D">
              <w:rPr>
                <w:color w:val="000000"/>
                <w:spacing w:val="-2"/>
                <w:sz w:val="23"/>
                <w:szCs w:val="23"/>
              </w:rPr>
              <w:t>ych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,</w:t>
            </w:r>
            <w:r w:rsidR="001404C0">
              <w:rPr>
                <w:color w:val="000000"/>
                <w:spacing w:val="-2"/>
                <w:sz w:val="23"/>
                <w:szCs w:val="23"/>
              </w:rPr>
              <w:t xml:space="preserve"> będących opakowaniami </w:t>
            </w:r>
            <w:r w:rsidR="001404C0">
              <w:rPr>
                <w:rFonts w:cs="Times New Roman"/>
                <w:sz w:val="23"/>
                <w:szCs w:val="23"/>
              </w:rPr>
              <w:t>(pojemniki na posiłki oraz kubki na napoje)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 xml:space="preserve"> w związku z czym oczekuje się zmniejszenia zanieczyszczenia środowiska, w tym środowiska morskiego, odpadami powstałymi z </w:t>
            </w:r>
            <w:r w:rsidR="001404C0">
              <w:rPr>
                <w:color w:val="000000"/>
                <w:spacing w:val="-2"/>
                <w:sz w:val="23"/>
                <w:szCs w:val="23"/>
              </w:rPr>
              <w:t xml:space="preserve">tego rodzaju 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opakowań. </w:t>
            </w:r>
          </w:p>
        </w:tc>
      </w:tr>
      <w:tr w:rsidR="007D0C05" w:rsidRPr="00141B61" w14:paraId="4AFE1D73" w14:textId="77777777" w:rsidTr="00A75CE5">
        <w:trPr>
          <w:trHeight w:val="479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303DB965" w14:textId="77777777" w:rsidR="007D0C05" w:rsidRPr="00141B61" w:rsidRDefault="007D0C05" w:rsidP="003A6A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bCs/>
                <w:sz w:val="23"/>
                <w:szCs w:val="23"/>
              </w:rPr>
            </w:pPr>
            <w:r w:rsidRPr="00141B61">
              <w:rPr>
                <w:b/>
                <w:bCs/>
                <w:spacing w:val="-2"/>
                <w:sz w:val="23"/>
                <w:szCs w:val="23"/>
              </w:rPr>
              <w:t>Planowane wykonanie przepisów aktu prawnego</w:t>
            </w:r>
          </w:p>
        </w:tc>
      </w:tr>
      <w:tr w:rsidR="007D0C05" w:rsidRPr="00141B61" w14:paraId="0CBBFDF6" w14:textId="77777777" w:rsidTr="00A75CE5">
        <w:trPr>
          <w:trHeight w:val="909"/>
        </w:trPr>
        <w:tc>
          <w:tcPr>
            <w:tcW w:w="11057" w:type="dxa"/>
            <w:gridSpan w:val="29"/>
            <w:shd w:val="clear" w:color="auto" w:fill="FFFFFF"/>
          </w:tcPr>
          <w:p w14:paraId="11BCA2BE" w14:textId="68A042E3" w:rsidR="007D0C05" w:rsidRPr="00141B61" w:rsidRDefault="007D0C05" w:rsidP="003A6A73">
            <w:pPr>
              <w:spacing w:line="240" w:lineRule="auto"/>
              <w:ind w:firstLine="306"/>
              <w:jc w:val="both"/>
              <w:rPr>
                <w:spacing w:val="-2"/>
                <w:sz w:val="23"/>
                <w:szCs w:val="23"/>
              </w:rPr>
            </w:pPr>
            <w:r w:rsidRPr="00141B61">
              <w:rPr>
                <w:spacing w:val="-2"/>
                <w:sz w:val="23"/>
                <w:szCs w:val="23"/>
              </w:rPr>
              <w:t xml:space="preserve">Opłata pobierana za wydanie </w:t>
            </w:r>
            <w:r w:rsidR="001404C0">
              <w:rPr>
                <w:spacing w:val="-2"/>
                <w:sz w:val="23"/>
                <w:szCs w:val="23"/>
              </w:rPr>
              <w:t xml:space="preserve">produktu </w:t>
            </w:r>
            <w:r>
              <w:rPr>
                <w:spacing w:val="-2"/>
                <w:sz w:val="23"/>
                <w:szCs w:val="23"/>
              </w:rPr>
              <w:t xml:space="preserve">jednorazowego użytku z tworzyw </w:t>
            </w:r>
            <w:r w:rsidR="0080315D">
              <w:rPr>
                <w:spacing w:val="-2"/>
                <w:sz w:val="23"/>
                <w:szCs w:val="23"/>
              </w:rPr>
              <w:t>sztucznych</w:t>
            </w:r>
            <w:r>
              <w:rPr>
                <w:spacing w:val="-2"/>
                <w:sz w:val="23"/>
                <w:szCs w:val="23"/>
              </w:rPr>
              <w:t>,</w:t>
            </w:r>
            <w:r w:rsidR="001404C0">
              <w:rPr>
                <w:spacing w:val="-2"/>
                <w:sz w:val="23"/>
                <w:szCs w:val="23"/>
              </w:rPr>
              <w:t xml:space="preserve"> będącego opakowaniem</w:t>
            </w:r>
            <w:r>
              <w:rPr>
                <w:spacing w:val="-2"/>
                <w:sz w:val="23"/>
                <w:szCs w:val="23"/>
              </w:rPr>
              <w:t xml:space="preserve"> wymienionego w załączniku nr 6 do </w:t>
            </w:r>
            <w:r w:rsidRPr="00141B61">
              <w:rPr>
                <w:sz w:val="23"/>
                <w:szCs w:val="23"/>
              </w:rPr>
              <w:t xml:space="preserve">ustawy </w:t>
            </w:r>
            <w:r>
              <w:rPr>
                <w:sz w:val="23"/>
                <w:szCs w:val="23"/>
              </w:rPr>
              <w:t>o obowiązkach przedsiębiorców w zakresie gospodarowania niektórymi odpadami oraz opłacie produktowej</w:t>
            </w:r>
            <w:r>
              <w:rPr>
                <w:spacing w:val="-2"/>
                <w:sz w:val="23"/>
                <w:szCs w:val="23"/>
              </w:rPr>
              <w:t xml:space="preserve">, zostanie wprowadzona </w:t>
            </w:r>
            <w:r w:rsidR="005A4477">
              <w:rPr>
                <w:spacing w:val="-2"/>
                <w:sz w:val="23"/>
                <w:szCs w:val="23"/>
              </w:rPr>
              <w:t>w terminie 14 dni od daty ogłoszenia rozporządzenia.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="005A4477">
              <w:rPr>
                <w:spacing w:val="-2"/>
                <w:sz w:val="23"/>
                <w:szCs w:val="23"/>
              </w:rPr>
              <w:br/>
            </w:r>
            <w:r w:rsidRPr="00141B61">
              <w:rPr>
                <w:spacing w:val="-2"/>
                <w:sz w:val="23"/>
                <w:szCs w:val="23"/>
              </w:rPr>
              <w:t xml:space="preserve">W następstwie tych zmian ma zostać ograniczone zużycie </w:t>
            </w:r>
            <w:r w:rsidR="00B32794">
              <w:rPr>
                <w:spacing w:val="-2"/>
                <w:sz w:val="23"/>
                <w:szCs w:val="23"/>
              </w:rPr>
              <w:t>tego rodzaju opakowań.</w:t>
            </w:r>
          </w:p>
        </w:tc>
      </w:tr>
      <w:tr w:rsidR="007D0C05" w:rsidRPr="00141B61" w14:paraId="6466FFD6" w14:textId="77777777" w:rsidTr="00A75CE5">
        <w:trPr>
          <w:trHeight w:val="558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230A7CEB" w14:textId="77777777" w:rsidR="007D0C05" w:rsidRPr="00141B61" w:rsidRDefault="007D0C05" w:rsidP="003A6A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41B61">
              <w:rPr>
                <w:b/>
                <w:bCs/>
                <w:spacing w:val="-2"/>
                <w:sz w:val="23"/>
                <w:szCs w:val="23"/>
              </w:rPr>
              <w:t>W jaki sposób i kiedy nastąpi ewaluacja efektów projektu oraz jakie mierniki zostaną zastosowane?</w:t>
            </w:r>
          </w:p>
        </w:tc>
      </w:tr>
      <w:tr w:rsidR="007D0C05" w:rsidRPr="00141B61" w14:paraId="48D33522" w14:textId="77777777" w:rsidTr="00A75CE5">
        <w:trPr>
          <w:trHeight w:val="983"/>
        </w:trPr>
        <w:tc>
          <w:tcPr>
            <w:tcW w:w="11057" w:type="dxa"/>
            <w:gridSpan w:val="29"/>
            <w:shd w:val="clear" w:color="auto" w:fill="FFFFFF"/>
          </w:tcPr>
          <w:p w14:paraId="5E71A4FC" w14:textId="3D888DDE" w:rsidR="007D0C05" w:rsidRPr="00141B61" w:rsidRDefault="007D0C05" w:rsidP="003A6A73">
            <w:pPr>
              <w:spacing w:line="240" w:lineRule="auto"/>
              <w:ind w:firstLine="306"/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color w:val="000000"/>
                <w:spacing w:val="-2"/>
                <w:sz w:val="23"/>
                <w:szCs w:val="23"/>
              </w:rPr>
              <w:t>Ewaluacja efektów projektu rozporządzenia nastąpi najwcześniej w 20</w:t>
            </w:r>
            <w:r>
              <w:rPr>
                <w:color w:val="000000"/>
                <w:spacing w:val="-2"/>
                <w:sz w:val="23"/>
                <w:szCs w:val="23"/>
              </w:rPr>
              <w:t>2</w:t>
            </w:r>
            <w:r w:rsidR="00B532C5">
              <w:rPr>
                <w:color w:val="000000"/>
                <w:spacing w:val="-2"/>
                <w:sz w:val="23"/>
                <w:szCs w:val="23"/>
              </w:rPr>
              <w:t>4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 xml:space="preserve"> r., po pełnym roku obowiązywania przepisów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w zakresie opłaty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 xml:space="preserve"> oraz po otrzymaniu informacji o wysokości wpływ</w:t>
            </w:r>
            <w:r>
              <w:rPr>
                <w:color w:val="000000"/>
                <w:spacing w:val="-2"/>
                <w:sz w:val="23"/>
                <w:szCs w:val="23"/>
              </w:rPr>
              <w:t>ów z tytułu opłaty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 xml:space="preserve">. Ewaluacji zostanie poddany poziom 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nabywania przez konsumentów </w:t>
            </w:r>
            <w:r w:rsidR="00B32794">
              <w:rPr>
                <w:color w:val="000000"/>
                <w:spacing w:val="-2"/>
                <w:sz w:val="23"/>
                <w:szCs w:val="23"/>
              </w:rPr>
              <w:t>produktów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jednorazowego użytku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 xml:space="preserve"> z tworzyw </w:t>
            </w:r>
            <w:r w:rsidR="00CE0B86" w:rsidRPr="00141B61">
              <w:rPr>
                <w:color w:val="000000"/>
                <w:spacing w:val="-2"/>
                <w:sz w:val="23"/>
                <w:szCs w:val="23"/>
              </w:rPr>
              <w:t>sztuczn</w:t>
            </w:r>
            <w:r w:rsidR="00CE0B86">
              <w:rPr>
                <w:color w:val="000000"/>
                <w:spacing w:val="-2"/>
                <w:sz w:val="23"/>
                <w:szCs w:val="23"/>
              </w:rPr>
              <w:t>ych</w:t>
            </w:r>
            <w:r w:rsidR="00B32794">
              <w:rPr>
                <w:color w:val="000000"/>
                <w:spacing w:val="-2"/>
                <w:sz w:val="23"/>
                <w:szCs w:val="23"/>
              </w:rPr>
              <w:t>, będących opakowaniami</w:t>
            </w:r>
            <w:r w:rsidRPr="00141B61">
              <w:rPr>
                <w:color w:val="000000"/>
                <w:spacing w:val="-2"/>
                <w:sz w:val="23"/>
                <w:szCs w:val="23"/>
              </w:rPr>
              <w:t>.</w:t>
            </w:r>
          </w:p>
        </w:tc>
      </w:tr>
      <w:tr w:rsidR="007D0C05" w:rsidRPr="00141B61" w14:paraId="40BA1923" w14:textId="77777777" w:rsidTr="00A75CE5">
        <w:trPr>
          <w:trHeight w:val="142"/>
        </w:trPr>
        <w:tc>
          <w:tcPr>
            <w:tcW w:w="11057" w:type="dxa"/>
            <w:gridSpan w:val="29"/>
            <w:shd w:val="clear" w:color="auto" w:fill="99CCFF"/>
          </w:tcPr>
          <w:p w14:paraId="69AA2E2B" w14:textId="77777777" w:rsidR="007D0C05" w:rsidRPr="00141B61" w:rsidRDefault="007D0C05" w:rsidP="003A6A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bCs/>
                <w:color w:val="000000"/>
                <w:spacing w:val="-2"/>
                <w:sz w:val="23"/>
                <w:szCs w:val="23"/>
              </w:rPr>
            </w:pPr>
            <w:r w:rsidRPr="00141B61"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Załączniki </w:t>
            </w:r>
            <w:r w:rsidRPr="00141B61">
              <w:rPr>
                <w:b/>
                <w:bCs/>
                <w:spacing w:val="-2"/>
                <w:sz w:val="23"/>
                <w:szCs w:val="23"/>
              </w:rPr>
              <w:t>(istotne dokumenty źródłowe, badania, analizy itp.</w:t>
            </w:r>
            <w:r w:rsidRPr="00141B61"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) </w:t>
            </w:r>
          </w:p>
        </w:tc>
      </w:tr>
      <w:tr w:rsidR="007D0C05" w:rsidRPr="00141B61" w14:paraId="7EE885F8" w14:textId="77777777" w:rsidTr="00A75CE5">
        <w:trPr>
          <w:trHeight w:val="251"/>
        </w:trPr>
        <w:tc>
          <w:tcPr>
            <w:tcW w:w="11057" w:type="dxa"/>
            <w:gridSpan w:val="29"/>
            <w:tcBorders>
              <w:bottom w:val="single" w:sz="4" w:space="0" w:color="auto"/>
            </w:tcBorders>
            <w:shd w:val="clear" w:color="auto" w:fill="FFFFFF"/>
          </w:tcPr>
          <w:p w14:paraId="3E6334AC" w14:textId="77777777" w:rsidR="007D0C05" w:rsidRPr="00141B61" w:rsidRDefault="007D0C05" w:rsidP="003A6A73">
            <w:pPr>
              <w:spacing w:line="240" w:lineRule="auto"/>
              <w:ind w:firstLine="3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D0C05" w:rsidRPr="00141B61" w14:paraId="770FD2A2" w14:textId="77777777" w:rsidTr="00A75CE5">
        <w:trPr>
          <w:trHeight w:val="1146"/>
        </w:trPr>
        <w:tc>
          <w:tcPr>
            <w:tcW w:w="11057" w:type="dxa"/>
            <w:gridSpan w:val="29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6872FB" w14:textId="77777777" w:rsidR="007D0C05" w:rsidRPr="00141B61" w:rsidRDefault="007D0C05" w:rsidP="003A6A73">
            <w:pPr>
              <w:tabs>
                <w:tab w:val="left" w:pos="9088"/>
              </w:tabs>
              <w:spacing w:line="240" w:lineRule="auto"/>
              <w:rPr>
                <w:sz w:val="23"/>
                <w:szCs w:val="23"/>
              </w:rPr>
            </w:pPr>
          </w:p>
        </w:tc>
      </w:tr>
    </w:tbl>
    <w:p w14:paraId="24B07169" w14:textId="77777777" w:rsidR="00C90623" w:rsidRPr="00737F6A" w:rsidRDefault="00C90623" w:rsidP="003A6A73">
      <w:pPr>
        <w:spacing w:line="240" w:lineRule="auto"/>
      </w:pPr>
    </w:p>
    <w:sectPr w:rsidR="00C90623" w:rsidRPr="00737F6A" w:rsidSect="009B00DC">
      <w:headerReference w:type="default" r:id="rId36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A8DB" w14:textId="77777777" w:rsidR="00093FA4" w:rsidRDefault="00093FA4">
      <w:r>
        <w:separator/>
      </w:r>
    </w:p>
  </w:endnote>
  <w:endnote w:type="continuationSeparator" w:id="0">
    <w:p w14:paraId="1F0F0E72" w14:textId="77777777" w:rsidR="00093FA4" w:rsidRDefault="0009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9468" w14:textId="77777777" w:rsidR="00093FA4" w:rsidRDefault="00093FA4">
      <w:r>
        <w:separator/>
      </w:r>
    </w:p>
  </w:footnote>
  <w:footnote w:type="continuationSeparator" w:id="0">
    <w:p w14:paraId="7C591EEC" w14:textId="77777777" w:rsidR="00093FA4" w:rsidRDefault="0009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075B" w14:textId="7E11372D" w:rsidR="00CC3E3D" w:rsidRPr="00B371CC" w:rsidRDefault="00CC3E3D" w:rsidP="00B371CC">
    <w:pPr>
      <w:pStyle w:val="Nagwek"/>
      <w:jc w:val="center"/>
    </w:pPr>
    <w:r>
      <w:t xml:space="preserve">– </w:t>
    </w:r>
    <w:r w:rsidR="005C01B5">
      <w:fldChar w:fldCharType="begin"/>
    </w:r>
    <w:r>
      <w:instrText xml:space="preserve"> PAGE  \* MERGEFORMAT </w:instrText>
    </w:r>
    <w:r w:rsidR="005C01B5">
      <w:fldChar w:fldCharType="separate"/>
    </w:r>
    <w:r w:rsidR="00AF5117">
      <w:rPr>
        <w:noProof/>
      </w:rPr>
      <w:t>3</w:t>
    </w:r>
    <w:r w:rsidR="005C01B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5462"/>
    <w:multiLevelType w:val="hybridMultilevel"/>
    <w:tmpl w:val="7ADA8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13128"/>
    <w:multiLevelType w:val="multilevel"/>
    <w:tmpl w:val="29C4C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2B656E"/>
    <w:multiLevelType w:val="multilevel"/>
    <w:tmpl w:val="1C729D0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6918689">
    <w:abstractNumId w:val="1"/>
  </w:num>
  <w:num w:numId="2" w16cid:durableId="2064521539">
    <w:abstractNumId w:val="3"/>
  </w:num>
  <w:num w:numId="3" w16cid:durableId="1611934508">
    <w:abstractNumId w:val="2"/>
  </w:num>
  <w:num w:numId="4" w16cid:durableId="60380890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4"/>
    <w:rsid w:val="000012DA"/>
    <w:rsid w:val="00001DF5"/>
    <w:rsid w:val="0000246E"/>
    <w:rsid w:val="00003862"/>
    <w:rsid w:val="00005841"/>
    <w:rsid w:val="0001120B"/>
    <w:rsid w:val="00012A35"/>
    <w:rsid w:val="0001340A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6C9"/>
    <w:rsid w:val="000330FA"/>
    <w:rsid w:val="0003362F"/>
    <w:rsid w:val="00036B63"/>
    <w:rsid w:val="00037E1A"/>
    <w:rsid w:val="00037F2E"/>
    <w:rsid w:val="00043495"/>
    <w:rsid w:val="00044418"/>
    <w:rsid w:val="00046A75"/>
    <w:rsid w:val="00047312"/>
    <w:rsid w:val="000508BD"/>
    <w:rsid w:val="0005115C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6EA4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352"/>
    <w:rsid w:val="00087544"/>
    <w:rsid w:val="000906EE"/>
    <w:rsid w:val="00091BA2"/>
    <w:rsid w:val="00091E2F"/>
    <w:rsid w:val="00092B44"/>
    <w:rsid w:val="000935D3"/>
    <w:rsid w:val="00093FA4"/>
    <w:rsid w:val="000944EF"/>
    <w:rsid w:val="0009732D"/>
    <w:rsid w:val="000973F0"/>
    <w:rsid w:val="000A1296"/>
    <w:rsid w:val="000A1C27"/>
    <w:rsid w:val="000A1DAD"/>
    <w:rsid w:val="000A2649"/>
    <w:rsid w:val="000A323B"/>
    <w:rsid w:val="000A3F4F"/>
    <w:rsid w:val="000A6BB3"/>
    <w:rsid w:val="000B298D"/>
    <w:rsid w:val="000B2AD2"/>
    <w:rsid w:val="000B59EE"/>
    <w:rsid w:val="000B5B2D"/>
    <w:rsid w:val="000B5DCE"/>
    <w:rsid w:val="000C05BA"/>
    <w:rsid w:val="000C0E8F"/>
    <w:rsid w:val="000C1CC0"/>
    <w:rsid w:val="000C4BC4"/>
    <w:rsid w:val="000C570A"/>
    <w:rsid w:val="000D0110"/>
    <w:rsid w:val="000D2468"/>
    <w:rsid w:val="000D318A"/>
    <w:rsid w:val="000D6173"/>
    <w:rsid w:val="000D6F83"/>
    <w:rsid w:val="000E0E93"/>
    <w:rsid w:val="000E1735"/>
    <w:rsid w:val="000E25CC"/>
    <w:rsid w:val="000E35BD"/>
    <w:rsid w:val="000E3694"/>
    <w:rsid w:val="000E490F"/>
    <w:rsid w:val="000E6241"/>
    <w:rsid w:val="000F2BE3"/>
    <w:rsid w:val="000F3D0D"/>
    <w:rsid w:val="000F6ED4"/>
    <w:rsid w:val="000F7A6E"/>
    <w:rsid w:val="00100584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532"/>
    <w:rsid w:val="0014026F"/>
    <w:rsid w:val="001404C0"/>
    <w:rsid w:val="00140892"/>
    <w:rsid w:val="00146E9E"/>
    <w:rsid w:val="00147A47"/>
    <w:rsid w:val="00147AA1"/>
    <w:rsid w:val="001518D4"/>
    <w:rsid w:val="001520CF"/>
    <w:rsid w:val="0015667C"/>
    <w:rsid w:val="00157110"/>
    <w:rsid w:val="0015742A"/>
    <w:rsid w:val="00157DA1"/>
    <w:rsid w:val="001606DA"/>
    <w:rsid w:val="001618AD"/>
    <w:rsid w:val="00163147"/>
    <w:rsid w:val="001646A3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8FA"/>
    <w:rsid w:val="001A2B65"/>
    <w:rsid w:val="001A3CD3"/>
    <w:rsid w:val="001A5BEF"/>
    <w:rsid w:val="001A6E33"/>
    <w:rsid w:val="001A7F15"/>
    <w:rsid w:val="001B342E"/>
    <w:rsid w:val="001B4F1F"/>
    <w:rsid w:val="001B7250"/>
    <w:rsid w:val="001C1832"/>
    <w:rsid w:val="001C188C"/>
    <w:rsid w:val="001D143E"/>
    <w:rsid w:val="001D1783"/>
    <w:rsid w:val="001D2D58"/>
    <w:rsid w:val="001D53CD"/>
    <w:rsid w:val="001D55A3"/>
    <w:rsid w:val="001D5AF5"/>
    <w:rsid w:val="001D78BD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17C26"/>
    <w:rsid w:val="00220F66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5B09"/>
    <w:rsid w:val="00260FA2"/>
    <w:rsid w:val="00261A16"/>
    <w:rsid w:val="0026344E"/>
    <w:rsid w:val="00263522"/>
    <w:rsid w:val="00264EC6"/>
    <w:rsid w:val="00271013"/>
    <w:rsid w:val="00272C4B"/>
    <w:rsid w:val="00273FE4"/>
    <w:rsid w:val="002765B4"/>
    <w:rsid w:val="00276A94"/>
    <w:rsid w:val="0029405D"/>
    <w:rsid w:val="0029468E"/>
    <w:rsid w:val="00294FA6"/>
    <w:rsid w:val="00295A6F"/>
    <w:rsid w:val="00296E60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2B9"/>
    <w:rsid w:val="002D1364"/>
    <w:rsid w:val="002D2AC8"/>
    <w:rsid w:val="002D3832"/>
    <w:rsid w:val="002D3C18"/>
    <w:rsid w:val="002D4C9B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1E95"/>
    <w:rsid w:val="0031004C"/>
    <w:rsid w:val="003105F6"/>
    <w:rsid w:val="00311297"/>
    <w:rsid w:val="003113BE"/>
    <w:rsid w:val="003122CA"/>
    <w:rsid w:val="00312636"/>
    <w:rsid w:val="003148FD"/>
    <w:rsid w:val="0031694C"/>
    <w:rsid w:val="00321080"/>
    <w:rsid w:val="00322D45"/>
    <w:rsid w:val="00323AAE"/>
    <w:rsid w:val="0032569A"/>
    <w:rsid w:val="00325780"/>
    <w:rsid w:val="00325A1F"/>
    <w:rsid w:val="003268F9"/>
    <w:rsid w:val="00330BAF"/>
    <w:rsid w:val="00330D68"/>
    <w:rsid w:val="00332D4E"/>
    <w:rsid w:val="00334E3A"/>
    <w:rsid w:val="003361DD"/>
    <w:rsid w:val="00341A6A"/>
    <w:rsid w:val="00345B9C"/>
    <w:rsid w:val="00350545"/>
    <w:rsid w:val="00352DAE"/>
    <w:rsid w:val="003544B7"/>
    <w:rsid w:val="00354EB9"/>
    <w:rsid w:val="00354FF3"/>
    <w:rsid w:val="00355D02"/>
    <w:rsid w:val="003602AE"/>
    <w:rsid w:val="00360929"/>
    <w:rsid w:val="003647D5"/>
    <w:rsid w:val="003674B0"/>
    <w:rsid w:val="00372AB6"/>
    <w:rsid w:val="00373500"/>
    <w:rsid w:val="0037727C"/>
    <w:rsid w:val="00377E70"/>
    <w:rsid w:val="00380904"/>
    <w:rsid w:val="003823EE"/>
    <w:rsid w:val="00382960"/>
    <w:rsid w:val="00383961"/>
    <w:rsid w:val="003846F7"/>
    <w:rsid w:val="003851ED"/>
    <w:rsid w:val="00385B39"/>
    <w:rsid w:val="00386785"/>
    <w:rsid w:val="00390E89"/>
    <w:rsid w:val="00391B1A"/>
    <w:rsid w:val="00391D1B"/>
    <w:rsid w:val="00391EB0"/>
    <w:rsid w:val="00394423"/>
    <w:rsid w:val="0039474F"/>
    <w:rsid w:val="00396942"/>
    <w:rsid w:val="00396B49"/>
    <w:rsid w:val="00396E3E"/>
    <w:rsid w:val="003A0B90"/>
    <w:rsid w:val="003A247E"/>
    <w:rsid w:val="003A306E"/>
    <w:rsid w:val="003A5926"/>
    <w:rsid w:val="003A60DC"/>
    <w:rsid w:val="003A6A46"/>
    <w:rsid w:val="003A6A73"/>
    <w:rsid w:val="003A7A63"/>
    <w:rsid w:val="003B000C"/>
    <w:rsid w:val="003B0F1D"/>
    <w:rsid w:val="003B2AF4"/>
    <w:rsid w:val="003B2BBA"/>
    <w:rsid w:val="003B4A57"/>
    <w:rsid w:val="003B67A4"/>
    <w:rsid w:val="003C0AD9"/>
    <w:rsid w:val="003C0ED0"/>
    <w:rsid w:val="003C1D49"/>
    <w:rsid w:val="003C35C4"/>
    <w:rsid w:val="003D12C2"/>
    <w:rsid w:val="003D2305"/>
    <w:rsid w:val="003D31B9"/>
    <w:rsid w:val="003D3867"/>
    <w:rsid w:val="003D43C7"/>
    <w:rsid w:val="003E0D1A"/>
    <w:rsid w:val="003E0F9B"/>
    <w:rsid w:val="003E2DA3"/>
    <w:rsid w:val="003E7104"/>
    <w:rsid w:val="003F020D"/>
    <w:rsid w:val="003F03D9"/>
    <w:rsid w:val="003F1017"/>
    <w:rsid w:val="003F2FBE"/>
    <w:rsid w:val="003F306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A3E"/>
    <w:rsid w:val="00413D8E"/>
    <w:rsid w:val="004140F2"/>
    <w:rsid w:val="00417B22"/>
    <w:rsid w:val="004204C7"/>
    <w:rsid w:val="00421085"/>
    <w:rsid w:val="0042465E"/>
    <w:rsid w:val="00424DF7"/>
    <w:rsid w:val="00432B76"/>
    <w:rsid w:val="0043409B"/>
    <w:rsid w:val="00434D01"/>
    <w:rsid w:val="00435734"/>
    <w:rsid w:val="00435D26"/>
    <w:rsid w:val="00440C99"/>
    <w:rsid w:val="0044175C"/>
    <w:rsid w:val="00441CC1"/>
    <w:rsid w:val="00445F4D"/>
    <w:rsid w:val="004504C0"/>
    <w:rsid w:val="00452A33"/>
    <w:rsid w:val="004550FB"/>
    <w:rsid w:val="0046111A"/>
    <w:rsid w:val="004612EF"/>
    <w:rsid w:val="00462946"/>
    <w:rsid w:val="00463F43"/>
    <w:rsid w:val="00464B94"/>
    <w:rsid w:val="004653A8"/>
    <w:rsid w:val="00465A0B"/>
    <w:rsid w:val="0046620D"/>
    <w:rsid w:val="0047077C"/>
    <w:rsid w:val="00470B05"/>
    <w:rsid w:val="0047207C"/>
    <w:rsid w:val="00472865"/>
    <w:rsid w:val="00472CD6"/>
    <w:rsid w:val="00473458"/>
    <w:rsid w:val="00474E3C"/>
    <w:rsid w:val="00480A58"/>
    <w:rsid w:val="00482151"/>
    <w:rsid w:val="00485FAD"/>
    <w:rsid w:val="00487AED"/>
    <w:rsid w:val="004904C8"/>
    <w:rsid w:val="00491EDF"/>
    <w:rsid w:val="00492A3F"/>
    <w:rsid w:val="00494F62"/>
    <w:rsid w:val="004A2001"/>
    <w:rsid w:val="004A3590"/>
    <w:rsid w:val="004B00A7"/>
    <w:rsid w:val="004B0846"/>
    <w:rsid w:val="004B1F58"/>
    <w:rsid w:val="004B25E2"/>
    <w:rsid w:val="004B34D7"/>
    <w:rsid w:val="004B5037"/>
    <w:rsid w:val="004B5B2F"/>
    <w:rsid w:val="004B626A"/>
    <w:rsid w:val="004B660E"/>
    <w:rsid w:val="004C05BD"/>
    <w:rsid w:val="004C39BF"/>
    <w:rsid w:val="004C3B06"/>
    <w:rsid w:val="004C3F97"/>
    <w:rsid w:val="004C7EE7"/>
    <w:rsid w:val="004D2DEE"/>
    <w:rsid w:val="004D2E1F"/>
    <w:rsid w:val="004D50D7"/>
    <w:rsid w:val="004D5426"/>
    <w:rsid w:val="004D7FD9"/>
    <w:rsid w:val="004E1324"/>
    <w:rsid w:val="004E19A5"/>
    <w:rsid w:val="004E37E5"/>
    <w:rsid w:val="004E3FDB"/>
    <w:rsid w:val="004F117F"/>
    <w:rsid w:val="004F1F4A"/>
    <w:rsid w:val="004F296D"/>
    <w:rsid w:val="004F508B"/>
    <w:rsid w:val="004F695F"/>
    <w:rsid w:val="004F6CA4"/>
    <w:rsid w:val="004F75C0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FBB"/>
    <w:rsid w:val="00526447"/>
    <w:rsid w:val="00526DFC"/>
    <w:rsid w:val="00526F43"/>
    <w:rsid w:val="00527651"/>
    <w:rsid w:val="005357BB"/>
    <w:rsid w:val="005363AB"/>
    <w:rsid w:val="00541892"/>
    <w:rsid w:val="00543365"/>
    <w:rsid w:val="005441BD"/>
    <w:rsid w:val="00544EF4"/>
    <w:rsid w:val="00545E53"/>
    <w:rsid w:val="005479D9"/>
    <w:rsid w:val="005511E0"/>
    <w:rsid w:val="00555DE6"/>
    <w:rsid w:val="005567A3"/>
    <w:rsid w:val="005572BD"/>
    <w:rsid w:val="00557A12"/>
    <w:rsid w:val="00560AC7"/>
    <w:rsid w:val="00561AFB"/>
    <w:rsid w:val="00561FA8"/>
    <w:rsid w:val="00562CBA"/>
    <w:rsid w:val="005635ED"/>
    <w:rsid w:val="00563962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568"/>
    <w:rsid w:val="005835E7"/>
    <w:rsid w:val="0058397F"/>
    <w:rsid w:val="00583BF8"/>
    <w:rsid w:val="005856C0"/>
    <w:rsid w:val="00585F33"/>
    <w:rsid w:val="00591124"/>
    <w:rsid w:val="005942F3"/>
    <w:rsid w:val="00597024"/>
    <w:rsid w:val="005A0274"/>
    <w:rsid w:val="005A095C"/>
    <w:rsid w:val="005A4477"/>
    <w:rsid w:val="005A669D"/>
    <w:rsid w:val="005A75D8"/>
    <w:rsid w:val="005B1C24"/>
    <w:rsid w:val="005B713E"/>
    <w:rsid w:val="005C01B5"/>
    <w:rsid w:val="005C03B6"/>
    <w:rsid w:val="005C348E"/>
    <w:rsid w:val="005C68E1"/>
    <w:rsid w:val="005C7DEA"/>
    <w:rsid w:val="005D3763"/>
    <w:rsid w:val="005D55E1"/>
    <w:rsid w:val="005E19F7"/>
    <w:rsid w:val="005E4F04"/>
    <w:rsid w:val="005E62C2"/>
    <w:rsid w:val="005E6C71"/>
    <w:rsid w:val="005E70A0"/>
    <w:rsid w:val="005F0963"/>
    <w:rsid w:val="005F1577"/>
    <w:rsid w:val="005F2824"/>
    <w:rsid w:val="005F2EBA"/>
    <w:rsid w:val="005F35ED"/>
    <w:rsid w:val="005F57B4"/>
    <w:rsid w:val="005F7812"/>
    <w:rsid w:val="005F7A88"/>
    <w:rsid w:val="00603A1A"/>
    <w:rsid w:val="006046D5"/>
    <w:rsid w:val="00607A93"/>
    <w:rsid w:val="00610C08"/>
    <w:rsid w:val="00611F74"/>
    <w:rsid w:val="006122ED"/>
    <w:rsid w:val="00615772"/>
    <w:rsid w:val="00616616"/>
    <w:rsid w:val="00621256"/>
    <w:rsid w:val="00621FCC"/>
    <w:rsid w:val="00622E4B"/>
    <w:rsid w:val="00630D36"/>
    <w:rsid w:val="006333DA"/>
    <w:rsid w:val="00635134"/>
    <w:rsid w:val="006356E2"/>
    <w:rsid w:val="006363B0"/>
    <w:rsid w:val="0064069D"/>
    <w:rsid w:val="00642A65"/>
    <w:rsid w:val="00643E8D"/>
    <w:rsid w:val="00645DCE"/>
    <w:rsid w:val="006465AC"/>
    <w:rsid w:val="006465BF"/>
    <w:rsid w:val="00653B22"/>
    <w:rsid w:val="00654102"/>
    <w:rsid w:val="006545F7"/>
    <w:rsid w:val="00657BF4"/>
    <w:rsid w:val="006603FB"/>
    <w:rsid w:val="006608DF"/>
    <w:rsid w:val="006623AC"/>
    <w:rsid w:val="006678AF"/>
    <w:rsid w:val="006701EF"/>
    <w:rsid w:val="00671DD8"/>
    <w:rsid w:val="00673BA5"/>
    <w:rsid w:val="00680058"/>
    <w:rsid w:val="00681F9F"/>
    <w:rsid w:val="00683A9E"/>
    <w:rsid w:val="006840EA"/>
    <w:rsid w:val="006844E2"/>
    <w:rsid w:val="00684B78"/>
    <w:rsid w:val="00685267"/>
    <w:rsid w:val="006872AE"/>
    <w:rsid w:val="00690082"/>
    <w:rsid w:val="00690252"/>
    <w:rsid w:val="00690C38"/>
    <w:rsid w:val="00691E1D"/>
    <w:rsid w:val="006946BB"/>
    <w:rsid w:val="006969FA"/>
    <w:rsid w:val="006A15F9"/>
    <w:rsid w:val="006A35D5"/>
    <w:rsid w:val="006A748A"/>
    <w:rsid w:val="006B0D2E"/>
    <w:rsid w:val="006B16EF"/>
    <w:rsid w:val="006B4F2E"/>
    <w:rsid w:val="006C419E"/>
    <w:rsid w:val="006C4A31"/>
    <w:rsid w:val="006C5974"/>
    <w:rsid w:val="006C5AC2"/>
    <w:rsid w:val="006C6AFB"/>
    <w:rsid w:val="006D148E"/>
    <w:rsid w:val="006D1B58"/>
    <w:rsid w:val="006D2735"/>
    <w:rsid w:val="006D45B2"/>
    <w:rsid w:val="006E0FCC"/>
    <w:rsid w:val="006E1E96"/>
    <w:rsid w:val="006E5E21"/>
    <w:rsid w:val="006E7383"/>
    <w:rsid w:val="006F13A5"/>
    <w:rsid w:val="006F17E6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11C"/>
    <w:rsid w:val="00713808"/>
    <w:rsid w:val="007151B6"/>
    <w:rsid w:val="0071520D"/>
    <w:rsid w:val="00715D0B"/>
    <w:rsid w:val="00715EDB"/>
    <w:rsid w:val="007160D5"/>
    <w:rsid w:val="007163FB"/>
    <w:rsid w:val="007179C3"/>
    <w:rsid w:val="00717C2E"/>
    <w:rsid w:val="007204FA"/>
    <w:rsid w:val="007213B3"/>
    <w:rsid w:val="0072457F"/>
    <w:rsid w:val="00725406"/>
    <w:rsid w:val="0072621B"/>
    <w:rsid w:val="00726D25"/>
    <w:rsid w:val="00730555"/>
    <w:rsid w:val="007312CC"/>
    <w:rsid w:val="007319C4"/>
    <w:rsid w:val="00731E27"/>
    <w:rsid w:val="00732F6D"/>
    <w:rsid w:val="00736A64"/>
    <w:rsid w:val="00737F6A"/>
    <w:rsid w:val="007410B6"/>
    <w:rsid w:val="00744C6F"/>
    <w:rsid w:val="007457F6"/>
    <w:rsid w:val="00745ABB"/>
    <w:rsid w:val="00745D4C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2AD"/>
    <w:rsid w:val="00764A67"/>
    <w:rsid w:val="00770F6B"/>
    <w:rsid w:val="00771883"/>
    <w:rsid w:val="00771ECB"/>
    <w:rsid w:val="007756A7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7DC9"/>
    <w:rsid w:val="007A1F2F"/>
    <w:rsid w:val="007A20EB"/>
    <w:rsid w:val="007A2A5C"/>
    <w:rsid w:val="007A2BF4"/>
    <w:rsid w:val="007A5150"/>
    <w:rsid w:val="007A51C7"/>
    <w:rsid w:val="007A5373"/>
    <w:rsid w:val="007A56C8"/>
    <w:rsid w:val="007A6839"/>
    <w:rsid w:val="007A789F"/>
    <w:rsid w:val="007B5B6F"/>
    <w:rsid w:val="007B7276"/>
    <w:rsid w:val="007B75BC"/>
    <w:rsid w:val="007C0BD6"/>
    <w:rsid w:val="007C0EA7"/>
    <w:rsid w:val="007C3806"/>
    <w:rsid w:val="007C5BB7"/>
    <w:rsid w:val="007D07D5"/>
    <w:rsid w:val="007D0C05"/>
    <w:rsid w:val="007D1C64"/>
    <w:rsid w:val="007D32DD"/>
    <w:rsid w:val="007D6DCE"/>
    <w:rsid w:val="007D72C4"/>
    <w:rsid w:val="007E2B0A"/>
    <w:rsid w:val="007E2CFE"/>
    <w:rsid w:val="007E431C"/>
    <w:rsid w:val="007E59C9"/>
    <w:rsid w:val="007F0072"/>
    <w:rsid w:val="007F2EB6"/>
    <w:rsid w:val="007F54C3"/>
    <w:rsid w:val="00802949"/>
    <w:rsid w:val="0080301E"/>
    <w:rsid w:val="0080315D"/>
    <w:rsid w:val="0080365F"/>
    <w:rsid w:val="00806F3A"/>
    <w:rsid w:val="00812BE5"/>
    <w:rsid w:val="00817429"/>
    <w:rsid w:val="00821514"/>
    <w:rsid w:val="00821E35"/>
    <w:rsid w:val="00824288"/>
    <w:rsid w:val="00824591"/>
    <w:rsid w:val="00824AED"/>
    <w:rsid w:val="00827820"/>
    <w:rsid w:val="00830F13"/>
    <w:rsid w:val="00831B8B"/>
    <w:rsid w:val="0083405D"/>
    <w:rsid w:val="008352D4"/>
    <w:rsid w:val="00836DB9"/>
    <w:rsid w:val="00837C67"/>
    <w:rsid w:val="008415B0"/>
    <w:rsid w:val="00842028"/>
    <w:rsid w:val="00842390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BEB"/>
    <w:rsid w:val="00866867"/>
    <w:rsid w:val="00872257"/>
    <w:rsid w:val="008753E6"/>
    <w:rsid w:val="0087738C"/>
    <w:rsid w:val="00880199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A0D"/>
    <w:rsid w:val="00894F19"/>
    <w:rsid w:val="00896A10"/>
    <w:rsid w:val="008971B5"/>
    <w:rsid w:val="008A0C0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DEE"/>
    <w:rsid w:val="008C0FF3"/>
    <w:rsid w:val="008C1595"/>
    <w:rsid w:val="008C1D22"/>
    <w:rsid w:val="008C3524"/>
    <w:rsid w:val="008C4061"/>
    <w:rsid w:val="008C4229"/>
    <w:rsid w:val="008C5BE0"/>
    <w:rsid w:val="008C7233"/>
    <w:rsid w:val="008D2434"/>
    <w:rsid w:val="008D2E00"/>
    <w:rsid w:val="008D4A19"/>
    <w:rsid w:val="008D65A5"/>
    <w:rsid w:val="008D6EAA"/>
    <w:rsid w:val="008E171D"/>
    <w:rsid w:val="008E2785"/>
    <w:rsid w:val="008E78A3"/>
    <w:rsid w:val="008E7B99"/>
    <w:rsid w:val="008F0654"/>
    <w:rsid w:val="008F06CB"/>
    <w:rsid w:val="008F233B"/>
    <w:rsid w:val="008F2880"/>
    <w:rsid w:val="008F2E83"/>
    <w:rsid w:val="008F5FA4"/>
    <w:rsid w:val="008F612A"/>
    <w:rsid w:val="008F65FE"/>
    <w:rsid w:val="0090293D"/>
    <w:rsid w:val="009034DE"/>
    <w:rsid w:val="009035C4"/>
    <w:rsid w:val="00905396"/>
    <w:rsid w:val="0090605D"/>
    <w:rsid w:val="00906419"/>
    <w:rsid w:val="00912176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25D"/>
    <w:rsid w:val="009332A2"/>
    <w:rsid w:val="00933516"/>
    <w:rsid w:val="0093356A"/>
    <w:rsid w:val="00937598"/>
    <w:rsid w:val="0093790B"/>
    <w:rsid w:val="00943751"/>
    <w:rsid w:val="00945848"/>
    <w:rsid w:val="00946DD0"/>
    <w:rsid w:val="009509E6"/>
    <w:rsid w:val="009512D3"/>
    <w:rsid w:val="00952018"/>
    <w:rsid w:val="00952800"/>
    <w:rsid w:val="0095300D"/>
    <w:rsid w:val="00953C80"/>
    <w:rsid w:val="00956812"/>
    <w:rsid w:val="0095719A"/>
    <w:rsid w:val="009623E9"/>
    <w:rsid w:val="00963EEB"/>
    <w:rsid w:val="009648BC"/>
    <w:rsid w:val="00964C2F"/>
    <w:rsid w:val="00965060"/>
    <w:rsid w:val="00965F88"/>
    <w:rsid w:val="009673F8"/>
    <w:rsid w:val="009760D0"/>
    <w:rsid w:val="00984E03"/>
    <w:rsid w:val="0098520D"/>
    <w:rsid w:val="00986029"/>
    <w:rsid w:val="00987E85"/>
    <w:rsid w:val="009A0D12"/>
    <w:rsid w:val="009A1987"/>
    <w:rsid w:val="009A2146"/>
    <w:rsid w:val="009A2BEE"/>
    <w:rsid w:val="009A5289"/>
    <w:rsid w:val="009A7A53"/>
    <w:rsid w:val="009B00DC"/>
    <w:rsid w:val="009B0402"/>
    <w:rsid w:val="009B0B75"/>
    <w:rsid w:val="009B16DF"/>
    <w:rsid w:val="009B40CE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FBB"/>
    <w:rsid w:val="009D55AA"/>
    <w:rsid w:val="009E3E77"/>
    <w:rsid w:val="009E3FAB"/>
    <w:rsid w:val="009E5B3F"/>
    <w:rsid w:val="009E7D90"/>
    <w:rsid w:val="009F1AB0"/>
    <w:rsid w:val="009F2D79"/>
    <w:rsid w:val="009F501D"/>
    <w:rsid w:val="00A0071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0A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52D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390"/>
    <w:rsid w:val="00A638DA"/>
    <w:rsid w:val="00A65B41"/>
    <w:rsid w:val="00A65E00"/>
    <w:rsid w:val="00A66A78"/>
    <w:rsid w:val="00A7436E"/>
    <w:rsid w:val="00A74E96"/>
    <w:rsid w:val="00A75A8E"/>
    <w:rsid w:val="00A824DD"/>
    <w:rsid w:val="00A8363F"/>
    <w:rsid w:val="00A83676"/>
    <w:rsid w:val="00A83B7B"/>
    <w:rsid w:val="00A84274"/>
    <w:rsid w:val="00A850F3"/>
    <w:rsid w:val="00A864E3"/>
    <w:rsid w:val="00A94574"/>
    <w:rsid w:val="00A952EE"/>
    <w:rsid w:val="00A95936"/>
    <w:rsid w:val="00A96265"/>
    <w:rsid w:val="00A97084"/>
    <w:rsid w:val="00A9757D"/>
    <w:rsid w:val="00AA1A99"/>
    <w:rsid w:val="00AA1C2C"/>
    <w:rsid w:val="00AA35F6"/>
    <w:rsid w:val="00AA667C"/>
    <w:rsid w:val="00AA6E91"/>
    <w:rsid w:val="00AA7439"/>
    <w:rsid w:val="00AA7D12"/>
    <w:rsid w:val="00AB047E"/>
    <w:rsid w:val="00AB0B0A"/>
    <w:rsid w:val="00AB0BB7"/>
    <w:rsid w:val="00AB22C6"/>
    <w:rsid w:val="00AB2AD0"/>
    <w:rsid w:val="00AB5852"/>
    <w:rsid w:val="00AB67FC"/>
    <w:rsid w:val="00AC00F2"/>
    <w:rsid w:val="00AC31B5"/>
    <w:rsid w:val="00AC4EA1"/>
    <w:rsid w:val="00AC5381"/>
    <w:rsid w:val="00AC5920"/>
    <w:rsid w:val="00AD0E65"/>
    <w:rsid w:val="00AD16B8"/>
    <w:rsid w:val="00AD2BF2"/>
    <w:rsid w:val="00AD2EFD"/>
    <w:rsid w:val="00AD4E90"/>
    <w:rsid w:val="00AD5422"/>
    <w:rsid w:val="00AE2EE6"/>
    <w:rsid w:val="00AE32E5"/>
    <w:rsid w:val="00AE4179"/>
    <w:rsid w:val="00AE4425"/>
    <w:rsid w:val="00AE4FBE"/>
    <w:rsid w:val="00AE650F"/>
    <w:rsid w:val="00AE6555"/>
    <w:rsid w:val="00AE7D16"/>
    <w:rsid w:val="00AF0D12"/>
    <w:rsid w:val="00AF499F"/>
    <w:rsid w:val="00AF4CAA"/>
    <w:rsid w:val="00AF5117"/>
    <w:rsid w:val="00AF571A"/>
    <w:rsid w:val="00AF60A0"/>
    <w:rsid w:val="00AF67FC"/>
    <w:rsid w:val="00AF7DF5"/>
    <w:rsid w:val="00B006E5"/>
    <w:rsid w:val="00B024C2"/>
    <w:rsid w:val="00B04966"/>
    <w:rsid w:val="00B07700"/>
    <w:rsid w:val="00B13921"/>
    <w:rsid w:val="00B1528C"/>
    <w:rsid w:val="00B16ACD"/>
    <w:rsid w:val="00B21487"/>
    <w:rsid w:val="00B232D1"/>
    <w:rsid w:val="00B24DB5"/>
    <w:rsid w:val="00B25973"/>
    <w:rsid w:val="00B31F9E"/>
    <w:rsid w:val="00B3268F"/>
    <w:rsid w:val="00B32794"/>
    <w:rsid w:val="00B32C2C"/>
    <w:rsid w:val="00B33A1A"/>
    <w:rsid w:val="00B33E6C"/>
    <w:rsid w:val="00B369AE"/>
    <w:rsid w:val="00B36EE4"/>
    <w:rsid w:val="00B371CC"/>
    <w:rsid w:val="00B401B0"/>
    <w:rsid w:val="00B41CD9"/>
    <w:rsid w:val="00B427E6"/>
    <w:rsid w:val="00B428A6"/>
    <w:rsid w:val="00B43E1F"/>
    <w:rsid w:val="00B43F97"/>
    <w:rsid w:val="00B45FBC"/>
    <w:rsid w:val="00B51A7D"/>
    <w:rsid w:val="00B532C5"/>
    <w:rsid w:val="00B535C2"/>
    <w:rsid w:val="00B55544"/>
    <w:rsid w:val="00B63B9B"/>
    <w:rsid w:val="00B642FC"/>
    <w:rsid w:val="00B64D26"/>
    <w:rsid w:val="00B64FBB"/>
    <w:rsid w:val="00B70E22"/>
    <w:rsid w:val="00B765AE"/>
    <w:rsid w:val="00B774CB"/>
    <w:rsid w:val="00B77B12"/>
    <w:rsid w:val="00B80402"/>
    <w:rsid w:val="00B80B9A"/>
    <w:rsid w:val="00B82FB9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866"/>
    <w:rsid w:val="00BB6C0E"/>
    <w:rsid w:val="00BB7B38"/>
    <w:rsid w:val="00BC11E5"/>
    <w:rsid w:val="00BC4BC6"/>
    <w:rsid w:val="00BC52FD"/>
    <w:rsid w:val="00BC6E62"/>
    <w:rsid w:val="00BC7443"/>
    <w:rsid w:val="00BD0648"/>
    <w:rsid w:val="00BD0FC3"/>
    <w:rsid w:val="00BD1040"/>
    <w:rsid w:val="00BD34AA"/>
    <w:rsid w:val="00BE0C44"/>
    <w:rsid w:val="00BE1B8B"/>
    <w:rsid w:val="00BE2A18"/>
    <w:rsid w:val="00BE2C01"/>
    <w:rsid w:val="00BE2E23"/>
    <w:rsid w:val="00BE41EC"/>
    <w:rsid w:val="00BE56F3"/>
    <w:rsid w:val="00BE56FB"/>
    <w:rsid w:val="00BE6706"/>
    <w:rsid w:val="00BF3DDE"/>
    <w:rsid w:val="00BF6589"/>
    <w:rsid w:val="00BF6F7F"/>
    <w:rsid w:val="00C00647"/>
    <w:rsid w:val="00C01009"/>
    <w:rsid w:val="00C022A0"/>
    <w:rsid w:val="00C02764"/>
    <w:rsid w:val="00C04CEF"/>
    <w:rsid w:val="00C0662F"/>
    <w:rsid w:val="00C11943"/>
    <w:rsid w:val="00C11EC9"/>
    <w:rsid w:val="00C12E96"/>
    <w:rsid w:val="00C14763"/>
    <w:rsid w:val="00C16141"/>
    <w:rsid w:val="00C164D6"/>
    <w:rsid w:val="00C22247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16B9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09D"/>
    <w:rsid w:val="00C84C47"/>
    <w:rsid w:val="00C858A4"/>
    <w:rsid w:val="00C86AFA"/>
    <w:rsid w:val="00C90623"/>
    <w:rsid w:val="00C9293E"/>
    <w:rsid w:val="00C94015"/>
    <w:rsid w:val="00CA6676"/>
    <w:rsid w:val="00CB18D0"/>
    <w:rsid w:val="00CB1C8A"/>
    <w:rsid w:val="00CB24F5"/>
    <w:rsid w:val="00CB2663"/>
    <w:rsid w:val="00CB3BBE"/>
    <w:rsid w:val="00CB59E9"/>
    <w:rsid w:val="00CB6EDB"/>
    <w:rsid w:val="00CC048D"/>
    <w:rsid w:val="00CC0D6A"/>
    <w:rsid w:val="00CC3831"/>
    <w:rsid w:val="00CC3E3D"/>
    <w:rsid w:val="00CC43C5"/>
    <w:rsid w:val="00CC519B"/>
    <w:rsid w:val="00CD12C1"/>
    <w:rsid w:val="00CD17DD"/>
    <w:rsid w:val="00CD214E"/>
    <w:rsid w:val="00CD361E"/>
    <w:rsid w:val="00CD46FA"/>
    <w:rsid w:val="00CD5973"/>
    <w:rsid w:val="00CE0B86"/>
    <w:rsid w:val="00CE31A6"/>
    <w:rsid w:val="00CE3779"/>
    <w:rsid w:val="00CF09AA"/>
    <w:rsid w:val="00CF4813"/>
    <w:rsid w:val="00CF5233"/>
    <w:rsid w:val="00D029B8"/>
    <w:rsid w:val="00D02F60"/>
    <w:rsid w:val="00D0464E"/>
    <w:rsid w:val="00D04A96"/>
    <w:rsid w:val="00D07A7B"/>
    <w:rsid w:val="00D10625"/>
    <w:rsid w:val="00D10E06"/>
    <w:rsid w:val="00D15197"/>
    <w:rsid w:val="00D16820"/>
    <w:rsid w:val="00D169C8"/>
    <w:rsid w:val="00D1793F"/>
    <w:rsid w:val="00D22AF5"/>
    <w:rsid w:val="00D235EA"/>
    <w:rsid w:val="00D247A9"/>
    <w:rsid w:val="00D2659E"/>
    <w:rsid w:val="00D32721"/>
    <w:rsid w:val="00D328DC"/>
    <w:rsid w:val="00D33387"/>
    <w:rsid w:val="00D402FB"/>
    <w:rsid w:val="00D40E2F"/>
    <w:rsid w:val="00D424BA"/>
    <w:rsid w:val="00D47D7A"/>
    <w:rsid w:val="00D50ABD"/>
    <w:rsid w:val="00D55290"/>
    <w:rsid w:val="00D57791"/>
    <w:rsid w:val="00D6046A"/>
    <w:rsid w:val="00D62870"/>
    <w:rsid w:val="00D62FE2"/>
    <w:rsid w:val="00D655D9"/>
    <w:rsid w:val="00D65872"/>
    <w:rsid w:val="00D676F3"/>
    <w:rsid w:val="00D70EF5"/>
    <w:rsid w:val="00D71024"/>
    <w:rsid w:val="00D71A25"/>
    <w:rsid w:val="00D71FCF"/>
    <w:rsid w:val="00D7277B"/>
    <w:rsid w:val="00D72A54"/>
    <w:rsid w:val="00D72CC1"/>
    <w:rsid w:val="00D738A4"/>
    <w:rsid w:val="00D76EC9"/>
    <w:rsid w:val="00D80E7D"/>
    <w:rsid w:val="00D81397"/>
    <w:rsid w:val="00D813B2"/>
    <w:rsid w:val="00D848B9"/>
    <w:rsid w:val="00D90E69"/>
    <w:rsid w:val="00D91368"/>
    <w:rsid w:val="00D926E6"/>
    <w:rsid w:val="00D93106"/>
    <w:rsid w:val="00D933E9"/>
    <w:rsid w:val="00D9505D"/>
    <w:rsid w:val="00D953D0"/>
    <w:rsid w:val="00D959F5"/>
    <w:rsid w:val="00D96884"/>
    <w:rsid w:val="00D9776B"/>
    <w:rsid w:val="00DA3FDD"/>
    <w:rsid w:val="00DA7017"/>
    <w:rsid w:val="00DA7028"/>
    <w:rsid w:val="00DB18B8"/>
    <w:rsid w:val="00DB1AD2"/>
    <w:rsid w:val="00DB1BFC"/>
    <w:rsid w:val="00DB2B58"/>
    <w:rsid w:val="00DB5206"/>
    <w:rsid w:val="00DB6276"/>
    <w:rsid w:val="00DB63F5"/>
    <w:rsid w:val="00DC1C6B"/>
    <w:rsid w:val="00DC2491"/>
    <w:rsid w:val="00DC2C2E"/>
    <w:rsid w:val="00DC4AF0"/>
    <w:rsid w:val="00DC5337"/>
    <w:rsid w:val="00DC6D10"/>
    <w:rsid w:val="00DC6E9D"/>
    <w:rsid w:val="00DC7886"/>
    <w:rsid w:val="00DD0CF2"/>
    <w:rsid w:val="00DE1554"/>
    <w:rsid w:val="00DE2901"/>
    <w:rsid w:val="00DE3AA3"/>
    <w:rsid w:val="00DE479C"/>
    <w:rsid w:val="00DE590F"/>
    <w:rsid w:val="00DE666D"/>
    <w:rsid w:val="00DE710B"/>
    <w:rsid w:val="00DE7DC1"/>
    <w:rsid w:val="00DF3F7E"/>
    <w:rsid w:val="00DF5C3C"/>
    <w:rsid w:val="00DF67E0"/>
    <w:rsid w:val="00DF7648"/>
    <w:rsid w:val="00DF7830"/>
    <w:rsid w:val="00E00E29"/>
    <w:rsid w:val="00E01924"/>
    <w:rsid w:val="00E02BAB"/>
    <w:rsid w:val="00E04CEB"/>
    <w:rsid w:val="00E060BC"/>
    <w:rsid w:val="00E11420"/>
    <w:rsid w:val="00E132FB"/>
    <w:rsid w:val="00E13B7F"/>
    <w:rsid w:val="00E170B7"/>
    <w:rsid w:val="00E177DD"/>
    <w:rsid w:val="00E20900"/>
    <w:rsid w:val="00E20C7F"/>
    <w:rsid w:val="00E223B7"/>
    <w:rsid w:val="00E2396E"/>
    <w:rsid w:val="00E24728"/>
    <w:rsid w:val="00E276AC"/>
    <w:rsid w:val="00E34A35"/>
    <w:rsid w:val="00E37C2F"/>
    <w:rsid w:val="00E41C28"/>
    <w:rsid w:val="00E42B39"/>
    <w:rsid w:val="00E42FA3"/>
    <w:rsid w:val="00E44B1E"/>
    <w:rsid w:val="00E46308"/>
    <w:rsid w:val="00E51E17"/>
    <w:rsid w:val="00E52CCD"/>
    <w:rsid w:val="00E52DAB"/>
    <w:rsid w:val="00E539B0"/>
    <w:rsid w:val="00E55994"/>
    <w:rsid w:val="00E60606"/>
    <w:rsid w:val="00E60C66"/>
    <w:rsid w:val="00E6164D"/>
    <w:rsid w:val="00E6165B"/>
    <w:rsid w:val="00E618C9"/>
    <w:rsid w:val="00E620A9"/>
    <w:rsid w:val="00E62774"/>
    <w:rsid w:val="00E6307C"/>
    <w:rsid w:val="00E636FA"/>
    <w:rsid w:val="00E665BF"/>
    <w:rsid w:val="00E66C50"/>
    <w:rsid w:val="00E679D3"/>
    <w:rsid w:val="00E71208"/>
    <w:rsid w:val="00E71444"/>
    <w:rsid w:val="00E71C91"/>
    <w:rsid w:val="00E720A1"/>
    <w:rsid w:val="00E75DDA"/>
    <w:rsid w:val="00E773E8"/>
    <w:rsid w:val="00E813B4"/>
    <w:rsid w:val="00E83ADD"/>
    <w:rsid w:val="00E84F38"/>
    <w:rsid w:val="00E85623"/>
    <w:rsid w:val="00E87441"/>
    <w:rsid w:val="00E91FAE"/>
    <w:rsid w:val="00E9319B"/>
    <w:rsid w:val="00E96E3F"/>
    <w:rsid w:val="00EA270C"/>
    <w:rsid w:val="00EA4974"/>
    <w:rsid w:val="00EA532E"/>
    <w:rsid w:val="00EA56FB"/>
    <w:rsid w:val="00EB06D9"/>
    <w:rsid w:val="00EB1180"/>
    <w:rsid w:val="00EB192B"/>
    <w:rsid w:val="00EB19ED"/>
    <w:rsid w:val="00EB1CAB"/>
    <w:rsid w:val="00EB2DA9"/>
    <w:rsid w:val="00EC0F5A"/>
    <w:rsid w:val="00EC2784"/>
    <w:rsid w:val="00EC4265"/>
    <w:rsid w:val="00EC4CEB"/>
    <w:rsid w:val="00EC659E"/>
    <w:rsid w:val="00ED1B8C"/>
    <w:rsid w:val="00ED2072"/>
    <w:rsid w:val="00ED2AE0"/>
    <w:rsid w:val="00ED495B"/>
    <w:rsid w:val="00ED5157"/>
    <w:rsid w:val="00ED5553"/>
    <w:rsid w:val="00ED5E36"/>
    <w:rsid w:val="00ED6961"/>
    <w:rsid w:val="00EE388D"/>
    <w:rsid w:val="00EE6464"/>
    <w:rsid w:val="00EE6972"/>
    <w:rsid w:val="00EE6B8E"/>
    <w:rsid w:val="00EE7BD7"/>
    <w:rsid w:val="00EF0126"/>
    <w:rsid w:val="00EF0B96"/>
    <w:rsid w:val="00EF2FA0"/>
    <w:rsid w:val="00EF3486"/>
    <w:rsid w:val="00EF47AF"/>
    <w:rsid w:val="00EF53B6"/>
    <w:rsid w:val="00F00B73"/>
    <w:rsid w:val="00F02377"/>
    <w:rsid w:val="00F115CA"/>
    <w:rsid w:val="00F118A4"/>
    <w:rsid w:val="00F14817"/>
    <w:rsid w:val="00F14EBA"/>
    <w:rsid w:val="00F1510F"/>
    <w:rsid w:val="00F1533A"/>
    <w:rsid w:val="00F15E5A"/>
    <w:rsid w:val="00F17F0A"/>
    <w:rsid w:val="00F218C6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2847"/>
    <w:rsid w:val="00F52A20"/>
    <w:rsid w:val="00F53596"/>
    <w:rsid w:val="00F55BA8"/>
    <w:rsid w:val="00F55DB1"/>
    <w:rsid w:val="00F56ACA"/>
    <w:rsid w:val="00F600FE"/>
    <w:rsid w:val="00F6200A"/>
    <w:rsid w:val="00F62E4D"/>
    <w:rsid w:val="00F651B5"/>
    <w:rsid w:val="00F65B15"/>
    <w:rsid w:val="00F66B34"/>
    <w:rsid w:val="00F675B9"/>
    <w:rsid w:val="00F711C9"/>
    <w:rsid w:val="00F74C59"/>
    <w:rsid w:val="00F755A4"/>
    <w:rsid w:val="00F75C3A"/>
    <w:rsid w:val="00F77D16"/>
    <w:rsid w:val="00F82312"/>
    <w:rsid w:val="00F82E30"/>
    <w:rsid w:val="00F830B1"/>
    <w:rsid w:val="00F831CB"/>
    <w:rsid w:val="00F848A3"/>
    <w:rsid w:val="00F84ACF"/>
    <w:rsid w:val="00F85742"/>
    <w:rsid w:val="00F85BF8"/>
    <w:rsid w:val="00F871CE"/>
    <w:rsid w:val="00F87802"/>
    <w:rsid w:val="00F91783"/>
    <w:rsid w:val="00F92C0A"/>
    <w:rsid w:val="00F9415B"/>
    <w:rsid w:val="00F94A73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4EBE"/>
    <w:rsid w:val="00FD1DBE"/>
    <w:rsid w:val="00FD20AE"/>
    <w:rsid w:val="00FD25A7"/>
    <w:rsid w:val="00FD27B6"/>
    <w:rsid w:val="00FD3689"/>
    <w:rsid w:val="00FD42A3"/>
    <w:rsid w:val="00FD7468"/>
    <w:rsid w:val="00FD7CE0"/>
    <w:rsid w:val="00FE01D1"/>
    <w:rsid w:val="00FE0B3B"/>
    <w:rsid w:val="00FE1BE2"/>
    <w:rsid w:val="00FE5F43"/>
    <w:rsid w:val="00FE730A"/>
    <w:rsid w:val="00FF1DD7"/>
    <w:rsid w:val="00FF4453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658732"/>
  <w15:docId w15:val="{8818812C-E802-49A1-A8C5-206175C9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5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4340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ny"/>
    <w:rsid w:val="006D148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6D14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7D0C05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7D0C05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7D0C05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locked/>
    <w:rsid w:val="007D0C05"/>
    <w:rPr>
      <w:rFonts w:eastAsiaTheme="minorEastAsia" w:cs="Arial"/>
      <w:bCs/>
      <w:szCs w:val="20"/>
    </w:rPr>
  </w:style>
  <w:style w:type="paragraph" w:styleId="Tekstpodstawowy">
    <w:name w:val="Body Text"/>
    <w:basedOn w:val="Normalny"/>
    <w:link w:val="TekstpodstawowyZnak"/>
    <w:uiPriority w:val="99"/>
    <w:rsid w:val="007D0C05"/>
    <w:pPr>
      <w:widowControl/>
      <w:tabs>
        <w:tab w:val="left" w:pos="408"/>
      </w:tabs>
      <w:autoSpaceDE/>
      <w:autoSpaceDN/>
      <w:adjustRightInd/>
      <w:jc w:val="both"/>
    </w:pPr>
    <w:rPr>
      <w:rFonts w:eastAsia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C0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D0C05"/>
    <w:rPr>
      <w:b/>
      <w:bCs/>
    </w:rPr>
  </w:style>
  <w:style w:type="character" w:styleId="Hipercze">
    <w:name w:val="Hyperlink"/>
    <w:uiPriority w:val="99"/>
    <w:rsid w:val="007D0C05"/>
    <w:rPr>
      <w:rFonts w:cs="Times New Roman"/>
      <w:color w:val="2939B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0C05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D0C05"/>
    <w:pPr>
      <w:spacing w:line="240" w:lineRule="auto"/>
    </w:pPr>
    <w:rPr>
      <w:rFonts w:ascii="Times New Roman" w:hAnsi="Times New Roman"/>
    </w:rPr>
  </w:style>
  <w:style w:type="character" w:styleId="Uwydatnienie">
    <w:name w:val="Emphasis"/>
    <w:uiPriority w:val="20"/>
    <w:qFormat/>
    <w:rsid w:val="007D0C05"/>
    <w:rPr>
      <w:i/>
      <w:iCs/>
    </w:rPr>
  </w:style>
  <w:style w:type="character" w:customStyle="1" w:styleId="tellink">
    <w:name w:val="tellink"/>
    <w:rsid w:val="007D0C05"/>
  </w:style>
  <w:style w:type="character" w:customStyle="1" w:styleId="acopre">
    <w:name w:val="acopre"/>
    <w:rsid w:val="007D0C05"/>
  </w:style>
  <w:style w:type="character" w:customStyle="1" w:styleId="zmsearchresult">
    <w:name w:val="zmsearchresult"/>
    <w:rsid w:val="007D0C05"/>
  </w:style>
  <w:style w:type="character" w:customStyle="1" w:styleId="object">
    <w:name w:val="object"/>
    <w:rsid w:val="007D0C05"/>
  </w:style>
  <w:style w:type="character" w:customStyle="1" w:styleId="cloakedemail">
    <w:name w:val="cloaked_email"/>
    <w:rsid w:val="007D0C0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0C0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uro@ippl.pl" TargetMode="External"/><Relationship Id="rId18" Type="http://schemas.openxmlformats.org/officeDocument/2006/relationships/hyperlink" Target="mailto:biuro@greentree.com.pl" TargetMode="External"/><Relationship Id="rId26" Type="http://schemas.openxmlformats.org/officeDocument/2006/relationships/hyperlink" Target="mailto:sekretariat@federacja-konsumentow.org.pl" TargetMode="External"/><Relationship Id="rId21" Type="http://schemas.openxmlformats.org/officeDocument/2006/relationships/hyperlink" Target="mailto:info@silbo.pl" TargetMode="External"/><Relationship Id="rId34" Type="http://schemas.openxmlformats.org/officeDocument/2006/relationships/hyperlink" Target="mailto:biuro@kigo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ffice-zywiec@alpla.com" TargetMode="External"/><Relationship Id="rId17" Type="http://schemas.openxmlformats.org/officeDocument/2006/relationships/hyperlink" Target="mailto:kig@kig.pl" TargetMode="External"/><Relationship Id="rId25" Type="http://schemas.openxmlformats.org/officeDocument/2006/relationships/hyperlink" Target="mailto:biuro@eko-pak.biz" TargetMode="External"/><Relationship Id="rId33" Type="http://schemas.openxmlformats.org/officeDocument/2006/relationships/hyperlink" Target="http://www.pigo.org.p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office@tworzywa.org.pl" TargetMode="External"/><Relationship Id="rId20" Type="http://schemas.openxmlformats.org/officeDocument/2006/relationships/hyperlink" Target="mailto:recepcja.basfpolska@basf.com" TargetMode="External"/><Relationship Id="rId29" Type="http://schemas.openxmlformats.org/officeDocument/2006/relationships/hyperlink" Target="mailto:info@gmgroup.bi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.pl@plasticseurope.org" TargetMode="External"/><Relationship Id="rId24" Type="http://schemas.openxmlformats.org/officeDocument/2006/relationships/hyperlink" Target="mailto:rekopol@rekopol.pl" TargetMode="External"/><Relationship Id="rId32" Type="http://schemas.openxmlformats.org/officeDocument/2006/relationships/hyperlink" Target="mailto:sekretariat@ios.gov.p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omasz.zwoniarski@zelan.pl" TargetMode="External"/><Relationship Id="rId23" Type="http://schemas.openxmlformats.org/officeDocument/2006/relationships/hyperlink" Target="mailto:biuro@pfpz.pl" TargetMode="External"/><Relationship Id="rId28" Type="http://schemas.openxmlformats.org/officeDocument/2006/relationships/hyperlink" Target="mailto:jpatorska@deloittece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joanna.muniak@mos.gov.pl" TargetMode="External"/><Relationship Id="rId19" Type="http://schemas.openxmlformats.org/officeDocument/2006/relationships/hyperlink" Target="mailto:tetrapak.polska@tetrapak.com" TargetMode="External"/><Relationship Id="rId31" Type="http://schemas.openxmlformats.org/officeDocument/2006/relationships/hyperlink" Target="mailto:kig-ps@kig-ps.pl" TargetMode="External"/><Relationship Id="rId4" Type="http://schemas.openxmlformats.org/officeDocument/2006/relationships/styles" Target="styles.xml"/><Relationship Id="rId9" Type="http://schemas.openxmlformats.org/officeDocument/2006/relationships/hyperlink" Target="mailto:tomasz.zaliwski@klimat.gov.pl" TargetMode="External"/><Relationship Id="rId14" Type="http://schemas.openxmlformats.org/officeDocument/2006/relationships/hyperlink" Target="mailto:biuro@prokarton.org" TargetMode="External"/><Relationship Id="rId22" Type="http://schemas.openxmlformats.org/officeDocument/2006/relationships/hyperlink" Target="mailto:info@spp.pl" TargetMode="External"/><Relationship Id="rId27" Type="http://schemas.openxmlformats.org/officeDocument/2006/relationships/hyperlink" Target="mailto:sekretariat@skp.pl" TargetMode="External"/><Relationship Id="rId30" Type="http://schemas.openxmlformats.org/officeDocument/2006/relationships/hyperlink" Target="mailto:lukasz@goz.world" TargetMode="External"/><Relationship Id="rId35" Type="http://schemas.openxmlformats.org/officeDocument/2006/relationships/hyperlink" Target="mailto:fundusz@nfosigw.gov.pl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2A696-E94D-473A-AE9F-0D544D84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90</TotalTime>
  <Pages>7</Pages>
  <Words>3148</Words>
  <Characters>18891</Characters>
  <Application>Microsoft Office Word</Application>
  <DocSecurity>0</DocSecurity>
  <Lines>157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Ola Puczniewska</dc:creator>
  <cp:lastModifiedBy>Banaszak Wojciech</cp:lastModifiedBy>
  <cp:revision>12</cp:revision>
  <cp:lastPrinted>2020-07-14T06:43:00Z</cp:lastPrinted>
  <dcterms:created xsi:type="dcterms:W3CDTF">2022-11-28T15:39:00Z</dcterms:created>
  <dcterms:modified xsi:type="dcterms:W3CDTF">2023-05-05T11:28:00Z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