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CA4AE" w14:textId="77777777" w:rsidR="0011180E" w:rsidRDefault="0011180E" w:rsidP="00A2334B">
      <w:pPr>
        <w:spacing w:line="240" w:lineRule="auto"/>
        <w:ind w:firstLine="70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6D994CD" w14:textId="77777777" w:rsidR="00A2334B" w:rsidRPr="004B541C" w:rsidRDefault="00A2334B" w:rsidP="00A2334B">
      <w:pPr>
        <w:spacing w:line="240" w:lineRule="auto"/>
        <w:ind w:firstLine="70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541C">
        <w:rPr>
          <w:rFonts w:ascii="Times New Roman" w:hAnsi="Times New Roman" w:cs="Times New Roman"/>
          <w:b/>
          <w:sz w:val="24"/>
          <w:szCs w:val="24"/>
        </w:rPr>
        <w:t>U Z A S A D N I E N I E</w:t>
      </w:r>
    </w:p>
    <w:p w14:paraId="342E2C0E" w14:textId="77777777" w:rsidR="00A2334B" w:rsidRPr="004B541C" w:rsidRDefault="00A2334B" w:rsidP="007058F7">
      <w:pPr>
        <w:spacing w:line="240" w:lineRule="auto"/>
        <w:ind w:firstLine="703"/>
        <w:rPr>
          <w:rFonts w:ascii="Times New Roman" w:hAnsi="Times New Roman" w:cs="Times New Roman"/>
          <w:color w:val="auto"/>
          <w:sz w:val="24"/>
          <w:szCs w:val="24"/>
        </w:rPr>
      </w:pPr>
    </w:p>
    <w:p w14:paraId="005CBB0B" w14:textId="77777777" w:rsidR="00416D24" w:rsidRPr="0056467C" w:rsidRDefault="00416D24" w:rsidP="0011180E">
      <w:pPr>
        <w:spacing w:line="360" w:lineRule="auto"/>
        <w:ind w:firstLine="703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6467C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 xml:space="preserve">Podstawę prawną dla obowiązku przekazywania przez przedsiębiorców wykonujących działalność kantorową Narodowemu Bankowi Polskiemu danych w zakresie niezbędnym do sporządzania bilansu płatniczego oraz międzynarodowej pozycji inwestycyjnej stanowi art. 30 ust. 1 ustawy z dnia </w:t>
      </w:r>
      <w:r w:rsidRPr="005646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27 lipca 2002 r. – Prawo dewizowe (Dz. U. z 2022 r. poz. 309). W ust. 3 art. 30 zamieszczone zostało upoważnienie ustawowe </w:t>
      </w:r>
      <w:r w:rsidRPr="0056467C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  <w:lang w:eastAsia="en-US"/>
        </w:rPr>
        <w:t>dla ministra właściwego do spraw finansów publicznych, który określi, w drodze rozporządzenia, sposób, zakres i terminy wykonywania obowiązku, o którym mowa w ust. 1, oraz wysokość kwot, których przekroczenie powoduje powstanie tego obowiązku, mając na uwadze zapewnienie danych niezbędnych do sporządzania bilansu płatniczego oraz międzynarodowej pozycji inwestycyjnej.</w:t>
      </w:r>
    </w:p>
    <w:p w14:paraId="522FBE8A" w14:textId="570967A0" w:rsidR="00416D24" w:rsidRPr="00845562" w:rsidRDefault="00416D24" w:rsidP="0011180E">
      <w:pPr>
        <w:spacing w:line="360" w:lineRule="auto"/>
        <w:ind w:firstLine="703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16D2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2334B" w:rsidRPr="004B541C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7058F7" w:rsidRPr="004B541C">
        <w:rPr>
          <w:rFonts w:ascii="Times New Roman" w:hAnsi="Times New Roman" w:cs="Times New Roman"/>
          <w:color w:val="auto"/>
          <w:sz w:val="24"/>
          <w:szCs w:val="24"/>
        </w:rPr>
        <w:t>ozporządzenie Ministra Rozwoju i Finansów z dnia 9 sierpnia 2017 r. w sprawie przekazywania Narodowemu Bankowi Polskiemu danych nie</w:t>
      </w:r>
      <w:r w:rsidR="007058F7" w:rsidRPr="004B541C">
        <w:rPr>
          <w:rFonts w:ascii="Times New Roman" w:hAnsi="Times New Roman" w:cs="Times New Roman"/>
          <w:color w:val="auto"/>
          <w:sz w:val="24"/>
          <w:szCs w:val="24"/>
        </w:rPr>
        <w:lastRenderedPageBreak/>
        <w:t>zbędnych do sporządzania bilansu płatniczego oraz międzynarodowej pozycji inwestycyj</w:t>
      </w:r>
      <w:r w:rsidR="0011180E">
        <w:rPr>
          <w:rFonts w:ascii="Times New Roman" w:hAnsi="Times New Roman" w:cs="Times New Roman"/>
          <w:color w:val="auto"/>
          <w:sz w:val="24"/>
          <w:szCs w:val="24"/>
        </w:rPr>
        <w:t xml:space="preserve">nej (Dz. U. z 2022 r. poz. 692) </w:t>
      </w:r>
      <w:r w:rsidR="00A2334B" w:rsidRPr="004B541C">
        <w:rPr>
          <w:rFonts w:ascii="Times New Roman" w:hAnsi="Times New Roman" w:cs="Times New Roman"/>
          <w:color w:val="auto"/>
          <w:sz w:val="24"/>
          <w:szCs w:val="24"/>
        </w:rPr>
        <w:t xml:space="preserve">jest wykonaniem </w:t>
      </w:r>
      <w:r w:rsidR="0002031E">
        <w:rPr>
          <w:rFonts w:ascii="Times New Roman" w:hAnsi="Times New Roman" w:cs="Times New Roman"/>
          <w:color w:val="auto"/>
          <w:sz w:val="24"/>
          <w:szCs w:val="24"/>
        </w:rPr>
        <w:t>upoważnienia ustawowego zawartego</w:t>
      </w:r>
      <w:r w:rsidR="00A2334B" w:rsidRPr="004B541C">
        <w:rPr>
          <w:rFonts w:ascii="Times New Roman" w:hAnsi="Times New Roman" w:cs="Times New Roman"/>
          <w:color w:val="auto"/>
          <w:sz w:val="24"/>
          <w:szCs w:val="24"/>
        </w:rPr>
        <w:t xml:space="preserve"> w art. 30 ust. 3 </w:t>
      </w:r>
      <w:r w:rsidR="007058F7" w:rsidRPr="004B54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541C" w:rsidRPr="004B541C">
        <w:rPr>
          <w:rFonts w:ascii="Times New Roman" w:hAnsi="Times New Roman" w:cs="Times New Roman"/>
          <w:color w:val="auto"/>
          <w:sz w:val="24"/>
          <w:szCs w:val="24"/>
        </w:rPr>
        <w:t xml:space="preserve">ustawy z dnia </w:t>
      </w:r>
      <w:r w:rsidR="00BA6F5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</w:t>
      </w:r>
      <w:r w:rsidR="004B541C" w:rsidRPr="004B541C">
        <w:rPr>
          <w:rFonts w:ascii="Times New Roman" w:hAnsi="Times New Roman" w:cs="Times New Roman"/>
          <w:color w:val="auto"/>
          <w:sz w:val="24"/>
          <w:szCs w:val="24"/>
        </w:rPr>
        <w:t>27 lipca 2002 r. – Prawo dewizowe.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Przy tym </w:t>
      </w:r>
      <w:r w:rsidRPr="0084556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jest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ono </w:t>
      </w:r>
      <w:r w:rsidRPr="0084556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dostosowane do rozwiązań zawartych w:</w:t>
      </w:r>
    </w:p>
    <w:p w14:paraId="0CAD96AB" w14:textId="31CAE96F" w:rsidR="00416D24" w:rsidRPr="00845562" w:rsidRDefault="00416D24" w:rsidP="0011180E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4556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rozporządzeniu (WE) 184/2005 Parlamentu Europejskiego i Rady z dnia 12 stycznia </w:t>
      </w:r>
      <w:r w:rsidRPr="0084556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 w:type="textWrapping" w:clear="all"/>
        <w:t xml:space="preserve">2005 r. w sprawie statystyki Wspólnoty w zakresie bilansu płatniczego, międzynarodowego handlu usługami i zagranicznych inwestycji bezpośrednich </w:t>
      </w:r>
      <w:r w:rsidRPr="00845562"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(Dz. Urz. UE L 35 z 8.02.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    </w:t>
      </w:r>
      <w:r w:rsidRPr="00845562"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2005, str. 23</w:t>
      </w:r>
      <w:r w:rsidR="0011180E"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,</w:t>
      </w:r>
      <w:r w:rsidRPr="00845562"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 z późn. zm.)</w:t>
      </w:r>
      <w:r w:rsidRPr="0084556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; </w:t>
      </w:r>
    </w:p>
    <w:p w14:paraId="7A79CC20" w14:textId="1CD99BD9" w:rsidR="00416D24" w:rsidRPr="00845562" w:rsidRDefault="00416D24" w:rsidP="00416D24">
      <w:pPr>
        <w:numPr>
          <w:ilvl w:val="0"/>
          <w:numId w:val="1"/>
        </w:numPr>
        <w:shd w:val="clear" w:color="auto" w:fill="FFFFFF"/>
        <w:spacing w:line="360" w:lineRule="auto"/>
        <w:contextualSpacing/>
        <w:textAlignment w:val="baseline"/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</w:pPr>
      <w:r w:rsidRPr="0084556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rozporządzeniu wykonawczym Komisji (WE) 601/2006 </w:t>
      </w:r>
      <w:r w:rsidRPr="00845562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z dnia 18 kwietnia 2006 r. </w:t>
      </w:r>
      <w:r w:rsidRPr="00845562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br w:type="textWrapping" w:clear="all"/>
        <w:t>w sprawie wykonania rozporządzenia (WE) nr 184/2005 Parlamentu Europejskiego</w:t>
      </w:r>
      <w:r w:rsidRPr="00845562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br w:type="textWrapping" w:clear="all"/>
        <w:t xml:space="preserve">i Rady w zakresie formatu i procedury przekazywania danych zmienionym rozporządzeniem (UE) </w:t>
      </w:r>
      <w:r w:rsidRPr="0084556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228/2014 z dnia 10 marca 2014 r. </w:t>
      </w:r>
      <w:r w:rsidRPr="00845562"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(Dz. Urz. </w:t>
      </w:r>
      <w:r w:rsidRPr="00845562"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  <w:lang w:eastAsia="en-US"/>
        </w:rPr>
        <w:lastRenderedPageBreak/>
        <w:t xml:space="preserve">UE L 106 </w:t>
      </w:r>
      <w:r w:rsidRPr="00845562"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  <w:lang w:eastAsia="en-US"/>
        </w:rPr>
        <w:br w:type="textWrapping" w:clear="all"/>
        <w:t>z 19.04.2006</w:t>
      </w:r>
      <w:r w:rsidR="0011180E"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  <w:lang w:eastAsia="en-US"/>
        </w:rPr>
        <w:t xml:space="preserve">, </w:t>
      </w:r>
      <w:r w:rsidRPr="00845562"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str. 7</w:t>
      </w:r>
      <w:r w:rsidR="0011180E"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, z późn. zm.).</w:t>
      </w:r>
    </w:p>
    <w:p w14:paraId="067E175B" w14:textId="6532DF08" w:rsidR="009F22A7" w:rsidRPr="004B541C" w:rsidRDefault="007058F7" w:rsidP="007C409A">
      <w:pPr>
        <w:spacing w:line="360" w:lineRule="auto"/>
        <w:ind w:firstLine="703"/>
        <w:rPr>
          <w:rFonts w:ascii="Times New Roman" w:hAnsi="Times New Roman" w:cs="Times New Roman"/>
          <w:color w:val="auto"/>
          <w:sz w:val="24"/>
          <w:szCs w:val="24"/>
        </w:rPr>
      </w:pPr>
      <w:r w:rsidRPr="004B541C">
        <w:rPr>
          <w:rFonts w:ascii="Times New Roman" w:hAnsi="Times New Roman" w:cs="Times New Roman"/>
          <w:color w:val="auto"/>
          <w:sz w:val="24"/>
          <w:szCs w:val="24"/>
        </w:rPr>
        <w:t>Zmiana rozporządzenia Ministra Rozwoju i Finansów w sprawie przekazywania Narodowemu Bankowi Polskiemu danych niezbędnych do sporządzania bilansu płatniczego oraz między</w:t>
      </w:r>
      <w:r w:rsidR="004B541C" w:rsidRPr="004B541C">
        <w:rPr>
          <w:rFonts w:ascii="Times New Roman" w:hAnsi="Times New Roman" w:cs="Times New Roman"/>
          <w:color w:val="auto"/>
          <w:sz w:val="24"/>
          <w:szCs w:val="24"/>
        </w:rPr>
        <w:t>narodowej pozycji inwestycyjnej</w:t>
      </w:r>
      <w:r w:rsidRPr="004B541C">
        <w:rPr>
          <w:rFonts w:ascii="Times New Roman" w:hAnsi="Times New Roman" w:cs="Times New Roman"/>
          <w:color w:val="auto"/>
          <w:sz w:val="24"/>
          <w:szCs w:val="24"/>
        </w:rPr>
        <w:t xml:space="preserve"> wynika z potrzeby objęcia obowiązkiem sprawozdawczym przedsiębiorców prowadzących działalność kantorową w zakresie zakupu i sprzedaży waluty ukraińskiej. </w:t>
      </w:r>
    </w:p>
    <w:p w14:paraId="2E52B8CE" w14:textId="103B4E40" w:rsidR="007C409A" w:rsidRDefault="007058F7" w:rsidP="007C409A">
      <w:pPr>
        <w:spacing w:line="360" w:lineRule="auto"/>
        <w:ind w:firstLine="703"/>
        <w:rPr>
          <w:rFonts w:ascii="Times New Roman" w:hAnsi="Times New Roman" w:cs="Times New Roman"/>
          <w:sz w:val="24"/>
          <w:szCs w:val="24"/>
        </w:rPr>
      </w:pPr>
      <w:r w:rsidRPr="007058F7">
        <w:rPr>
          <w:rFonts w:ascii="Times New Roman" w:hAnsi="Times New Roman" w:cs="Times New Roman"/>
          <w:sz w:val="24"/>
          <w:szCs w:val="24"/>
        </w:rPr>
        <w:t>Znaczny wzrost przywozu na terytorium Rzeczypospolitej Polskiej dużej ilości wa</w:t>
      </w:r>
      <w:r w:rsidR="009F22A7">
        <w:rPr>
          <w:rFonts w:ascii="Times New Roman" w:hAnsi="Times New Roman" w:cs="Times New Roman"/>
          <w:sz w:val="24"/>
          <w:szCs w:val="24"/>
        </w:rPr>
        <w:t xml:space="preserve">luty ukraińskiej jest </w:t>
      </w:r>
      <w:r w:rsidRPr="007058F7">
        <w:rPr>
          <w:rFonts w:ascii="Times New Roman" w:hAnsi="Times New Roman" w:cs="Times New Roman"/>
          <w:sz w:val="24"/>
          <w:szCs w:val="24"/>
        </w:rPr>
        <w:t>konsekwencją wojny prowadzonej przez Federację Ro</w:t>
      </w:r>
      <w:r w:rsidR="007C409A">
        <w:rPr>
          <w:rFonts w:ascii="Times New Roman" w:hAnsi="Times New Roman" w:cs="Times New Roman"/>
          <w:sz w:val="24"/>
          <w:szCs w:val="24"/>
        </w:rPr>
        <w:t xml:space="preserve">syjską w Ukrainie. Zjawisko to </w:t>
      </w:r>
      <w:r w:rsidRPr="007058F7">
        <w:rPr>
          <w:rFonts w:ascii="Times New Roman" w:hAnsi="Times New Roman" w:cs="Times New Roman"/>
          <w:sz w:val="24"/>
          <w:szCs w:val="24"/>
        </w:rPr>
        <w:t>powinno być monitorowane w ramach zadań Banku Centralnego przewidzianych w art. 3 ust. 2 pkt 7 ustawy o Narodowym Banku Polskim (Dz.</w:t>
      </w:r>
      <w:r w:rsidR="00C318EE">
        <w:rPr>
          <w:rFonts w:ascii="Times New Roman" w:hAnsi="Times New Roman" w:cs="Times New Roman"/>
          <w:sz w:val="24"/>
          <w:szCs w:val="24"/>
        </w:rPr>
        <w:t xml:space="preserve"> </w:t>
      </w:r>
      <w:r w:rsidRPr="007058F7">
        <w:rPr>
          <w:rFonts w:ascii="Times New Roman" w:hAnsi="Times New Roman" w:cs="Times New Roman"/>
          <w:sz w:val="24"/>
          <w:szCs w:val="24"/>
        </w:rPr>
        <w:t>U. z 2022 r. poz. 2025). Zgodnie z tym przepisem do zadań Narodowego Banku Polskiego należy opracowywanie statystyki pieniężnej i bankowej, bilansu płatniczego oraz międzynarodowej pozycji inwestycyjnej. Z punktu widzenia formalnoprawnego roz</w:t>
      </w:r>
      <w:r w:rsidRPr="007058F7">
        <w:rPr>
          <w:rFonts w:ascii="Times New Roman" w:hAnsi="Times New Roman" w:cs="Times New Roman"/>
          <w:sz w:val="24"/>
          <w:szCs w:val="24"/>
        </w:rPr>
        <w:lastRenderedPageBreak/>
        <w:t>porządzenie Ministra Rozwoju i Finansów w sprawie przekazywania Narodowemu Bankowi Polskiemu danych niezbędnych do sporządzania bilansu płatniczego oraz międzynarodowej po</w:t>
      </w:r>
      <w:r w:rsidR="00AB6860">
        <w:rPr>
          <w:rFonts w:ascii="Times New Roman" w:hAnsi="Times New Roman" w:cs="Times New Roman"/>
          <w:sz w:val="24"/>
          <w:szCs w:val="24"/>
        </w:rPr>
        <w:t xml:space="preserve">zycji Inwestycyjnej, umożliwia </w:t>
      </w:r>
      <w:r w:rsidRPr="007058F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AB6860">
        <w:rPr>
          <w:rFonts w:ascii="Times New Roman" w:hAnsi="Times New Roman" w:cs="Times New Roman"/>
          <w:sz w:val="24"/>
          <w:szCs w:val="24"/>
        </w:rPr>
        <w:t>tak określonego zadania przez B</w:t>
      </w:r>
      <w:r w:rsidRPr="007058F7">
        <w:rPr>
          <w:rFonts w:ascii="Times New Roman" w:hAnsi="Times New Roman" w:cs="Times New Roman"/>
          <w:sz w:val="24"/>
          <w:szCs w:val="24"/>
        </w:rPr>
        <w:t xml:space="preserve">ank Centralny w zakresie bilansu płatniczego. </w:t>
      </w:r>
    </w:p>
    <w:p w14:paraId="368879E6" w14:textId="77777777" w:rsidR="00AB6860" w:rsidRDefault="007058F7" w:rsidP="007C409A">
      <w:pPr>
        <w:spacing w:line="360" w:lineRule="auto"/>
        <w:ind w:firstLine="703"/>
        <w:rPr>
          <w:rFonts w:ascii="Times New Roman" w:hAnsi="Times New Roman" w:cs="Times New Roman"/>
          <w:sz w:val="24"/>
          <w:szCs w:val="24"/>
        </w:rPr>
      </w:pPr>
      <w:r w:rsidRPr="007058F7">
        <w:rPr>
          <w:rFonts w:ascii="Times New Roman" w:hAnsi="Times New Roman" w:cs="Times New Roman"/>
          <w:sz w:val="24"/>
          <w:szCs w:val="24"/>
        </w:rPr>
        <w:t xml:space="preserve">Obecnie obowiązujące przepisy nie stanowią jednak podstawy dla objęcia obowiązkiem sprawozdawczym przedsiębiorców prowadzących działalność kantorową w zakresie obrotu walutą ukraińską, w sposób umożliwiający ustalenie wartości zakupu i sprzedaży tej waluty. Zmieniane rozporządzenie w załączniku nr 10 w formularzu PZ-KAN wyodrębnia bowiem jedynie EUR, USD, GBP i CHF, czego konsekwencją jest uwzględnianie waluty ukraińskiej w ramach pozycji „pozostałe waluty". Dlatego też konieczna jest nowelizacja rozporządzenia polegająca na zmianie w załączniku nr 10 formularza PZ-KAN poprzez wyodrębnienie waluty ukraińskiej spośród danych zawartych w pozycji „pozostałe waluty". </w:t>
      </w:r>
    </w:p>
    <w:p w14:paraId="2CB935D6" w14:textId="66CE1146" w:rsidR="00C964E3" w:rsidRDefault="00C964E3" w:rsidP="007C409A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C964E3">
        <w:rPr>
          <w:rFonts w:ascii="Times New Roman" w:hAnsi="Times New Roman" w:cs="Times New Roman"/>
          <w:sz w:val="24"/>
          <w:szCs w:val="24"/>
        </w:rPr>
        <w:lastRenderedPageBreak/>
        <w:t>Proponuje się, aby projektowane rozporządzenie weszło w życie po upływie 14 dni od dnia ogłoszenia.</w:t>
      </w:r>
      <w:r w:rsidR="00D15CE2" w:rsidRPr="00D15CE2">
        <w:rPr>
          <w:rFonts w:ascii="Times New Roman" w:hAnsi="Times New Roman" w:cs="Times New Roman"/>
          <w:sz w:val="24"/>
          <w:szCs w:val="24"/>
        </w:rPr>
        <w:t xml:space="preserve"> </w:t>
      </w:r>
      <w:r w:rsidR="00D15CE2">
        <w:rPr>
          <w:rFonts w:ascii="Times New Roman" w:hAnsi="Times New Roman" w:cs="Times New Roman"/>
          <w:sz w:val="24"/>
          <w:szCs w:val="24"/>
        </w:rPr>
        <w:t>P</w:t>
      </w:r>
      <w:r w:rsidR="00D15CE2" w:rsidRPr="007058F7">
        <w:rPr>
          <w:rFonts w:ascii="Times New Roman" w:hAnsi="Times New Roman" w:cs="Times New Roman"/>
          <w:sz w:val="24"/>
          <w:szCs w:val="24"/>
        </w:rPr>
        <w:t xml:space="preserve">rzepisy rozporządzenia mają </w:t>
      </w:r>
      <w:r w:rsidR="007C409A">
        <w:rPr>
          <w:rFonts w:ascii="Times New Roman" w:hAnsi="Times New Roman" w:cs="Times New Roman"/>
          <w:sz w:val="24"/>
          <w:szCs w:val="24"/>
        </w:rPr>
        <w:t xml:space="preserve">mieć </w:t>
      </w:r>
      <w:r w:rsidR="00D15CE2" w:rsidRPr="007058F7">
        <w:rPr>
          <w:rFonts w:ascii="Times New Roman" w:hAnsi="Times New Roman" w:cs="Times New Roman"/>
          <w:sz w:val="24"/>
          <w:szCs w:val="24"/>
        </w:rPr>
        <w:t xml:space="preserve">zastosowanie po raz pierwszy do sprawozdań kwartalnych za </w:t>
      </w:r>
      <w:r w:rsidR="00D54C88">
        <w:rPr>
          <w:rFonts w:ascii="Times New Roman" w:hAnsi="Times New Roman" w:cs="Times New Roman"/>
          <w:sz w:val="24"/>
          <w:szCs w:val="24"/>
        </w:rPr>
        <w:t>trzeci</w:t>
      </w:r>
      <w:r w:rsidR="00D15CE2" w:rsidRPr="007058F7">
        <w:rPr>
          <w:rFonts w:ascii="Times New Roman" w:hAnsi="Times New Roman" w:cs="Times New Roman"/>
          <w:sz w:val="24"/>
          <w:szCs w:val="24"/>
        </w:rPr>
        <w:t xml:space="preserve"> kwartał 2023 r. Powyższy termin pozostaje w związku z koniecznością pilnego objęcia obowiązkiem sprawozdawczym ww. działalności, z uwzględnieniem kwartalnego przekazywania danych.</w:t>
      </w:r>
    </w:p>
    <w:p w14:paraId="1ED957D8" w14:textId="77777777" w:rsidR="0011180E" w:rsidRPr="00C964E3" w:rsidRDefault="0011180E" w:rsidP="007C409A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14:paraId="58531EF1" w14:textId="7BC56155" w:rsidR="00D62CCF" w:rsidRPr="003A6FCE" w:rsidRDefault="00D62CCF" w:rsidP="007C409A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3A6FCE">
        <w:rPr>
          <w:rFonts w:ascii="Times New Roman" w:hAnsi="Times New Roman" w:cs="Times New Roman"/>
          <w:sz w:val="24"/>
          <w:szCs w:val="24"/>
        </w:rPr>
        <w:t xml:space="preserve">Zawarte w projekcie regulacje nie stanowią przepisów technicznych w rozumieniu rozporządzenia Rady Ministrów z dnia 23 grudnia 2002 r. w sprawie sposobu funkcjonowania krajowego systemu notyfikacji norm i aktów prawnych (Dz. U. </w:t>
      </w:r>
      <w:r w:rsidRPr="00DE0AA2">
        <w:rPr>
          <w:rFonts w:ascii="Times New Roman" w:hAnsi="Times New Roman" w:cs="Times New Roman"/>
          <w:color w:val="auto"/>
          <w:sz w:val="24"/>
          <w:szCs w:val="24"/>
        </w:rPr>
        <w:t>po</w:t>
      </w:r>
      <w:r w:rsidRPr="003A6FCE">
        <w:rPr>
          <w:rFonts w:ascii="Times New Roman" w:hAnsi="Times New Roman" w:cs="Times New Roman"/>
          <w:sz w:val="24"/>
          <w:szCs w:val="24"/>
        </w:rPr>
        <w:t>z. 2039</w:t>
      </w:r>
      <w:r w:rsidRPr="00DE0AA2">
        <w:rPr>
          <w:rFonts w:ascii="Times New Roman" w:hAnsi="Times New Roman" w:cs="Times New Roman"/>
          <w:color w:val="auto"/>
          <w:sz w:val="24"/>
          <w:szCs w:val="24"/>
        </w:rPr>
        <w:t xml:space="preserve">, z późn. zm.). </w:t>
      </w:r>
      <w:r w:rsidRPr="003A6FCE">
        <w:rPr>
          <w:rFonts w:ascii="Times New Roman" w:hAnsi="Times New Roman" w:cs="Times New Roman"/>
          <w:sz w:val="24"/>
          <w:szCs w:val="24"/>
        </w:rPr>
        <w:t>Projekt rozporządzenia nie podlega zatem procedurze notyfikacji</w:t>
      </w:r>
      <w:r>
        <w:rPr>
          <w:rFonts w:ascii="Times New Roman" w:hAnsi="Times New Roman" w:cs="Times New Roman"/>
          <w:sz w:val="24"/>
          <w:szCs w:val="24"/>
        </w:rPr>
        <w:t xml:space="preserve"> UE</w:t>
      </w:r>
      <w:r w:rsidRPr="003A6FCE">
        <w:rPr>
          <w:rFonts w:ascii="Times New Roman" w:hAnsi="Times New Roman" w:cs="Times New Roman"/>
          <w:sz w:val="24"/>
          <w:szCs w:val="24"/>
        </w:rPr>
        <w:t>.</w:t>
      </w:r>
    </w:p>
    <w:p w14:paraId="07D6F958" w14:textId="5E39689C" w:rsidR="00D62CCF" w:rsidRPr="003A6FCE" w:rsidRDefault="00D62CCF" w:rsidP="0011180E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3A6FCE">
        <w:rPr>
          <w:rFonts w:ascii="Times New Roman" w:hAnsi="Times New Roman" w:cs="Times New Roman"/>
          <w:sz w:val="24"/>
          <w:szCs w:val="24"/>
        </w:rPr>
        <w:t xml:space="preserve">Projektowane rozporządzenie nie wymaga przedstawiania organom i instytucjom Unii Europejskiej w celu uzyskania opinii, dokonania powiadomienia, konsultacji albo uzgodnienia. W szczególności, zgodnie z art. 2 ust. 1 decyzji Rady 98/415/WE z dnia 29 czerwca 1998 r.  w sprawie konsultacji Europejskiego Banku Centralnego udzielanych władzom krajowym </w:t>
      </w:r>
      <w:r w:rsidRPr="003A6FCE">
        <w:rPr>
          <w:rFonts w:ascii="Times New Roman" w:hAnsi="Times New Roman" w:cs="Times New Roman"/>
          <w:sz w:val="24"/>
          <w:szCs w:val="24"/>
        </w:rPr>
        <w:lastRenderedPageBreak/>
        <w:t xml:space="preserve">w sprawie projektów przepisów prawnych (Dz. Urz. WE L 189 z 03.07.1998, str. 42 </w:t>
      </w:r>
      <w:r w:rsidR="0011180E">
        <w:rPr>
          <w:rFonts w:ascii="Times New Roman" w:hAnsi="Times New Roman" w:cs="Times New Roman"/>
          <w:sz w:val="24"/>
          <w:szCs w:val="24"/>
        </w:rPr>
        <w:t>–</w:t>
      </w:r>
      <w:r w:rsidRPr="003A6FCE">
        <w:rPr>
          <w:rFonts w:ascii="Times New Roman" w:hAnsi="Times New Roman" w:cs="Times New Roman"/>
          <w:sz w:val="24"/>
          <w:szCs w:val="24"/>
        </w:rPr>
        <w:t xml:space="preserve"> Dz. Urz. UE Polskie Wydanie Specjalne rozdz. 1, t. 1, str. 446), projekt rozporządzenia nie podlega konsultacji z Europejskim Bankiem Centralnym.</w:t>
      </w:r>
    </w:p>
    <w:p w14:paraId="5B6F11A5" w14:textId="297EE91F" w:rsidR="0011180E" w:rsidRDefault="00D62CCF" w:rsidP="00D62CCF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3A6FCE">
        <w:rPr>
          <w:rFonts w:ascii="Times New Roman" w:hAnsi="Times New Roman" w:cs="Times New Roman"/>
          <w:sz w:val="24"/>
          <w:szCs w:val="24"/>
        </w:rPr>
        <w:t xml:space="preserve">Zgodnie z art. 5 ustawy z dnia 7 lipca 2005 r. o działalności lobbingowej w procesie stanowienia prawa oraz § 52 uchwały nr 190 Rady Ministrów z dnia 29 października 2013 r. </w:t>
      </w:r>
      <w:r w:rsidR="0011180E">
        <w:rPr>
          <w:rFonts w:ascii="Times New Roman" w:hAnsi="Times New Roman" w:cs="Times New Roman"/>
          <w:sz w:val="24"/>
          <w:szCs w:val="24"/>
        </w:rPr>
        <w:t>–</w:t>
      </w:r>
      <w:r w:rsidRPr="003A6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846C3" w14:textId="04C20130" w:rsidR="00D62CCF" w:rsidRPr="003A6FCE" w:rsidRDefault="00D62CCF" w:rsidP="0011180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6FCE">
        <w:rPr>
          <w:rFonts w:ascii="Times New Roman" w:hAnsi="Times New Roman" w:cs="Times New Roman"/>
          <w:sz w:val="24"/>
          <w:szCs w:val="24"/>
        </w:rPr>
        <w:t>Regulamin pracy Rady Ministrów (M.P. z 20</w:t>
      </w:r>
      <w:r w:rsidR="00AD0FA2">
        <w:rPr>
          <w:rFonts w:ascii="Times New Roman" w:hAnsi="Times New Roman" w:cs="Times New Roman"/>
          <w:sz w:val="24"/>
          <w:szCs w:val="24"/>
        </w:rPr>
        <w:t>22</w:t>
      </w:r>
      <w:r w:rsidRPr="003A6FCE">
        <w:rPr>
          <w:rFonts w:ascii="Times New Roman" w:hAnsi="Times New Roman" w:cs="Times New Roman"/>
          <w:sz w:val="24"/>
          <w:szCs w:val="24"/>
        </w:rPr>
        <w:t xml:space="preserve"> r. poz. </w:t>
      </w:r>
      <w:r w:rsidR="00AD0FA2">
        <w:rPr>
          <w:rFonts w:ascii="Times New Roman" w:hAnsi="Times New Roman" w:cs="Times New Roman"/>
          <w:sz w:val="24"/>
          <w:szCs w:val="24"/>
        </w:rPr>
        <w:t>348</w:t>
      </w:r>
      <w:r w:rsidRPr="003A6FCE">
        <w:rPr>
          <w:rFonts w:ascii="Times New Roman" w:hAnsi="Times New Roman" w:cs="Times New Roman"/>
          <w:sz w:val="24"/>
          <w:szCs w:val="24"/>
        </w:rPr>
        <w:t>) projekt rozporządzenia zosta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3A6FCE">
        <w:rPr>
          <w:rFonts w:ascii="Times New Roman" w:hAnsi="Times New Roman" w:cs="Times New Roman"/>
          <w:sz w:val="24"/>
          <w:szCs w:val="24"/>
        </w:rPr>
        <w:t xml:space="preserve"> udostępniony w Biuletynie Informacji Publicznej na stronie podmiotowej Rządowego Centrum Legislacji, w serwisie Rządowy Proces Legislacyjny.</w:t>
      </w:r>
    </w:p>
    <w:p w14:paraId="6D2F7D9B" w14:textId="21B44763" w:rsidR="00D62CCF" w:rsidRPr="00EC0FD8" w:rsidRDefault="00D62CCF" w:rsidP="0011180E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EC0FD8">
        <w:rPr>
          <w:rFonts w:ascii="Times New Roman" w:hAnsi="Times New Roman" w:cs="Times New Roman"/>
          <w:sz w:val="24"/>
          <w:szCs w:val="24"/>
        </w:rPr>
        <w:t xml:space="preserve">Projekt rozporządzenia został ujęty w Wykazie prac legislacyjnych </w:t>
      </w:r>
      <w:r>
        <w:rPr>
          <w:rFonts w:ascii="Times New Roman" w:hAnsi="Times New Roman" w:cs="Times New Roman"/>
          <w:sz w:val="24"/>
          <w:szCs w:val="24"/>
        </w:rPr>
        <w:t>Ministra Finansów (poz.</w:t>
      </w:r>
      <w:r w:rsidR="001C3066">
        <w:rPr>
          <w:rFonts w:ascii="Times New Roman" w:hAnsi="Times New Roman" w:cs="Times New Roman"/>
          <w:sz w:val="24"/>
          <w:szCs w:val="24"/>
        </w:rPr>
        <w:t xml:space="preserve"> 713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0FD8">
        <w:rPr>
          <w:rFonts w:ascii="Times New Roman" w:hAnsi="Times New Roman" w:cs="Times New Roman"/>
          <w:sz w:val="24"/>
          <w:szCs w:val="24"/>
        </w:rPr>
        <w:t>.</w:t>
      </w:r>
    </w:p>
    <w:p w14:paraId="51F28A2F" w14:textId="77777777" w:rsidR="00D62CCF" w:rsidRDefault="00D62CCF" w:rsidP="0011180E">
      <w:pPr>
        <w:spacing w:line="360" w:lineRule="auto"/>
        <w:ind w:firstLine="705"/>
        <w:rPr>
          <w:rFonts w:ascii="Times New Roman" w:eastAsia="Calibri" w:hAnsi="Times New Roman" w:cs="Times New Roman"/>
          <w:sz w:val="24"/>
          <w:szCs w:val="24"/>
        </w:rPr>
      </w:pPr>
      <w:r w:rsidRPr="00B1121D">
        <w:rPr>
          <w:rFonts w:ascii="Times New Roman" w:eastAsia="Calibri" w:hAnsi="Times New Roman" w:cs="Times New Roman"/>
          <w:sz w:val="24"/>
          <w:szCs w:val="24"/>
        </w:rPr>
        <w:t xml:space="preserve">Zawarte w projekcie regulacje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 będą miały </w:t>
      </w:r>
      <w:r w:rsidRPr="00B1121D">
        <w:rPr>
          <w:rFonts w:ascii="Times New Roman" w:eastAsia="Calibri" w:hAnsi="Times New Roman" w:cs="Times New Roman"/>
          <w:sz w:val="24"/>
          <w:szCs w:val="24"/>
        </w:rPr>
        <w:t>wpływ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B1121D">
        <w:rPr>
          <w:rFonts w:ascii="Times New Roman" w:eastAsia="Calibri" w:hAnsi="Times New Roman" w:cs="Times New Roman"/>
          <w:sz w:val="24"/>
          <w:szCs w:val="24"/>
        </w:rPr>
        <w:t xml:space="preserve"> na działalność mikroprzedsiębiorców, małych i średnich przedsiębiorców zgodnie z </w:t>
      </w:r>
      <w:r>
        <w:rPr>
          <w:rFonts w:ascii="Times New Roman" w:eastAsia="Calibri" w:hAnsi="Times New Roman" w:cs="Times New Roman"/>
          <w:sz w:val="24"/>
          <w:szCs w:val="24"/>
        </w:rPr>
        <w:t>ustawą</w:t>
      </w:r>
      <w:r w:rsidRPr="00B11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 dnia 6 marca 2018 r. – Prawo przedsiębiorców (</w:t>
      </w:r>
      <w:r w:rsidRPr="00B1121D">
        <w:rPr>
          <w:rFonts w:ascii="Times New Roman" w:eastAsia="Calibri" w:hAnsi="Times New Roman" w:cs="Times New Roman"/>
          <w:sz w:val="24"/>
          <w:szCs w:val="24"/>
        </w:rPr>
        <w:t>Dz. U.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4329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043290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1). </w:t>
      </w:r>
    </w:p>
    <w:p w14:paraId="60AC160C" w14:textId="77777777" w:rsidR="00870823" w:rsidRDefault="00870823" w:rsidP="0011180E">
      <w:pPr>
        <w:spacing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870823">
        <w:rPr>
          <w:rFonts w:ascii="Times New Roman" w:hAnsi="Times New Roman" w:cs="Times New Roman"/>
          <w:sz w:val="24"/>
          <w:szCs w:val="24"/>
        </w:rPr>
        <w:lastRenderedPageBreak/>
        <w:t>Projektowane rozporządzenia nie ma wpływu na jednostki samorządu terytorialnego, w związku z tym nie ma potrzeby przedstawiania go do opinii Komisji Wspólnej Rządu i Samorządu Terytorialnego.</w:t>
      </w:r>
    </w:p>
    <w:p w14:paraId="44D6B68E" w14:textId="77777777" w:rsidR="00D62CCF" w:rsidRPr="003A6FCE" w:rsidRDefault="00D62CCF" w:rsidP="0011180E">
      <w:pPr>
        <w:spacing w:line="360" w:lineRule="auto"/>
        <w:ind w:firstLine="705"/>
        <w:rPr>
          <w:rFonts w:ascii="Times New Roman" w:hAnsi="Times New Roman" w:cs="Times New Roman"/>
          <w:color w:val="auto"/>
          <w:sz w:val="24"/>
          <w:szCs w:val="24"/>
        </w:rPr>
      </w:pPr>
      <w:r w:rsidRPr="003A6FCE">
        <w:rPr>
          <w:rFonts w:ascii="Times New Roman" w:hAnsi="Times New Roman" w:cs="Times New Roman"/>
          <w:sz w:val="24"/>
          <w:szCs w:val="24"/>
        </w:rPr>
        <w:t>Projekt rozporządzenia nie jest sprzeczny z prawem Unii Europejskiej.</w:t>
      </w:r>
    </w:p>
    <w:p w14:paraId="7C264A83" w14:textId="77777777" w:rsidR="00D62CCF" w:rsidRPr="003A6FCE" w:rsidRDefault="00D62CCF" w:rsidP="0011180E">
      <w:pPr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4057721" w14:textId="77777777" w:rsidR="00D62CCF" w:rsidRPr="003A6FCE" w:rsidRDefault="00D62CCF" w:rsidP="0011180E">
      <w:pPr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0B80A6D" w14:textId="77777777" w:rsidR="00B65C6C" w:rsidRDefault="00B65C6C" w:rsidP="0011180E">
      <w:pPr>
        <w:spacing w:line="360" w:lineRule="auto"/>
      </w:pPr>
    </w:p>
    <w:sectPr w:rsidR="00B65C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937D" w14:textId="77777777" w:rsidR="00E76410" w:rsidRDefault="00E76410" w:rsidP="00D62CCF">
      <w:pPr>
        <w:spacing w:line="240" w:lineRule="auto"/>
      </w:pPr>
      <w:r>
        <w:separator/>
      </w:r>
    </w:p>
  </w:endnote>
  <w:endnote w:type="continuationSeparator" w:id="0">
    <w:p w14:paraId="79D805A9" w14:textId="77777777" w:rsidR="00E76410" w:rsidRDefault="00E76410" w:rsidP="00D62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278163"/>
      <w:docPartObj>
        <w:docPartGallery w:val="Page Numbers (Bottom of Page)"/>
        <w:docPartUnique/>
      </w:docPartObj>
    </w:sdtPr>
    <w:sdtEndPr/>
    <w:sdtContent>
      <w:p w14:paraId="25D07A32" w14:textId="77777777" w:rsidR="00CF3C36" w:rsidRDefault="00CF3C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3B">
          <w:rPr>
            <w:noProof/>
          </w:rPr>
          <w:t>2</w:t>
        </w:r>
        <w:r>
          <w:fldChar w:fldCharType="end"/>
        </w:r>
      </w:p>
    </w:sdtContent>
  </w:sdt>
  <w:p w14:paraId="49EC89C9" w14:textId="77777777" w:rsidR="003A6FCE" w:rsidRDefault="005F2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9913" w14:textId="77777777" w:rsidR="00E76410" w:rsidRDefault="00E76410" w:rsidP="00D62CCF">
      <w:pPr>
        <w:spacing w:line="240" w:lineRule="auto"/>
      </w:pPr>
      <w:r>
        <w:separator/>
      </w:r>
    </w:p>
  </w:footnote>
  <w:footnote w:type="continuationSeparator" w:id="0">
    <w:p w14:paraId="0C48C1D7" w14:textId="77777777" w:rsidR="00E76410" w:rsidRDefault="00E76410" w:rsidP="00D62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37DAC"/>
    <w:multiLevelType w:val="hybridMultilevel"/>
    <w:tmpl w:val="13C27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CF"/>
    <w:rsid w:val="0002031E"/>
    <w:rsid w:val="00043290"/>
    <w:rsid w:val="00104E19"/>
    <w:rsid w:val="0011180E"/>
    <w:rsid w:val="00172ACC"/>
    <w:rsid w:val="001C3066"/>
    <w:rsid w:val="001C43DB"/>
    <w:rsid w:val="001F6227"/>
    <w:rsid w:val="002405B3"/>
    <w:rsid w:val="002A7B25"/>
    <w:rsid w:val="0037236C"/>
    <w:rsid w:val="003A5DF2"/>
    <w:rsid w:val="00416D24"/>
    <w:rsid w:val="00417BC2"/>
    <w:rsid w:val="004B541C"/>
    <w:rsid w:val="004C11CD"/>
    <w:rsid w:val="00533B66"/>
    <w:rsid w:val="00536640"/>
    <w:rsid w:val="0056467C"/>
    <w:rsid w:val="005C30EC"/>
    <w:rsid w:val="005F273B"/>
    <w:rsid w:val="0060070A"/>
    <w:rsid w:val="00674D8C"/>
    <w:rsid w:val="006C2196"/>
    <w:rsid w:val="0070214A"/>
    <w:rsid w:val="007058F7"/>
    <w:rsid w:val="00756854"/>
    <w:rsid w:val="007C409A"/>
    <w:rsid w:val="00843084"/>
    <w:rsid w:val="008563CE"/>
    <w:rsid w:val="00870823"/>
    <w:rsid w:val="009F22A7"/>
    <w:rsid w:val="00A2334B"/>
    <w:rsid w:val="00A44984"/>
    <w:rsid w:val="00AB6860"/>
    <w:rsid w:val="00AD0FA2"/>
    <w:rsid w:val="00AF5821"/>
    <w:rsid w:val="00B27CD6"/>
    <w:rsid w:val="00B60332"/>
    <w:rsid w:val="00B65C6C"/>
    <w:rsid w:val="00B73720"/>
    <w:rsid w:val="00BA63B6"/>
    <w:rsid w:val="00BA6F51"/>
    <w:rsid w:val="00C318EE"/>
    <w:rsid w:val="00C41F4B"/>
    <w:rsid w:val="00C964E3"/>
    <w:rsid w:val="00CE3FFE"/>
    <w:rsid w:val="00CF3C36"/>
    <w:rsid w:val="00D15CE2"/>
    <w:rsid w:val="00D54C88"/>
    <w:rsid w:val="00D62CCF"/>
    <w:rsid w:val="00E5568A"/>
    <w:rsid w:val="00E76410"/>
    <w:rsid w:val="00E81CD2"/>
    <w:rsid w:val="00EF2806"/>
    <w:rsid w:val="00F847A1"/>
    <w:rsid w:val="00F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67BFD8"/>
  <w15:chartTrackingRefBased/>
  <w15:docId w15:val="{62DB17FD-E1F6-41AD-99D5-6F4A5222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CCF"/>
    <w:pPr>
      <w:spacing w:after="0" w:line="276" w:lineRule="auto"/>
      <w:ind w:firstLine="425"/>
      <w:jc w:val="both"/>
    </w:pPr>
    <w:rPr>
      <w:color w:val="000000" w:themeColor="tex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2C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CCF"/>
    <w:rPr>
      <w:color w:val="000000" w:themeColor="tex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3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C36"/>
    <w:rPr>
      <w:color w:val="000000" w:themeColor="tex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1E"/>
    <w:rPr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1E"/>
    <w:rPr>
      <w:b/>
      <w:bCs/>
      <w:color w:val="000000" w:themeColor="tex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1E"/>
    <w:rPr>
      <w:rFonts w:ascii="Segoe UI" w:hAnsi="Segoe UI" w:cs="Segoe UI"/>
      <w:color w:val="000000" w:themeColor="text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5150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Krętowski Piotr</dc:creator>
  <cp:keywords/>
  <dc:description/>
  <cp:lastModifiedBy>Śmierzyńska Anna</cp:lastModifiedBy>
  <cp:revision>2</cp:revision>
  <dcterms:created xsi:type="dcterms:W3CDTF">2023-05-08T13:09:00Z</dcterms:created>
  <dcterms:modified xsi:type="dcterms:W3CDTF">2023-05-08T13:09:00Z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UxC4dwLulzfINJ8nQH+xvX5LNGipWa4BRSZhPgxsCvljQbToOEOBm3PrthsEqdWrF0qZxxS5GikAlifJ/HWIsg==</vt:lpwstr>
  </property>
  <property fmtid="{D5CDD505-2E9C-101B-9397-08002B2CF9AE}" pid="4" name="MFClassificationDate">
    <vt:lpwstr>2023-03-28T14:29:16.1476495+02:00</vt:lpwstr>
  </property>
  <property fmtid="{D5CDD505-2E9C-101B-9397-08002B2CF9AE}" pid="5" name="MFClassifiedBySID">
    <vt:lpwstr>UxC4dwLulzfINJ8nQH+xvX5LNGipWa4BRSZhPgxsCvm42mrIC/DSDv0ggS+FjUN/2v1BBotkLlY5aAiEhoi6uXzhDCfPvg4sc0G8voBLzJLvkqej8/tevp8fstakWsVh</vt:lpwstr>
  </property>
  <property fmtid="{D5CDD505-2E9C-101B-9397-08002B2CF9AE}" pid="6" name="MFGRNItemId">
    <vt:lpwstr>GRN-2d32938a-6061-4e9d-8e01-f7bcd670972c</vt:lpwstr>
  </property>
  <property fmtid="{D5CDD505-2E9C-101B-9397-08002B2CF9AE}" pid="7" name="MFHash">
    <vt:lpwstr>LNIaWzRp8TLidNho3wBHn3hqF9ciK16hJxtJ4Kf9j/c=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