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1133" w14:textId="77777777" w:rsidR="001024DD" w:rsidRPr="0051484B" w:rsidRDefault="001024DD" w:rsidP="001506D1">
      <w:r w:rsidRPr="0051484B">
        <w:tab/>
      </w: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22"/>
        <w:gridCol w:w="278"/>
        <w:gridCol w:w="353"/>
        <w:gridCol w:w="217"/>
        <w:gridCol w:w="570"/>
        <w:gridCol w:w="151"/>
        <w:gridCol w:w="419"/>
        <w:gridCol w:w="113"/>
        <w:gridCol w:w="405"/>
        <w:gridCol w:w="51"/>
        <w:gridCol w:w="419"/>
        <w:gridCol w:w="151"/>
        <w:gridCol w:w="317"/>
        <w:gridCol w:w="253"/>
        <w:gridCol w:w="570"/>
        <w:gridCol w:w="115"/>
        <w:gridCol w:w="1422"/>
        <w:gridCol w:w="10"/>
      </w:tblGrid>
      <w:tr w:rsidR="001024DD" w:rsidRPr="0051484B" w14:paraId="2FFC4E3D" w14:textId="77777777" w:rsidTr="00CC3BF6">
        <w:trPr>
          <w:trHeight w:val="1611"/>
        </w:trPr>
        <w:tc>
          <w:tcPr>
            <w:tcW w:w="5133" w:type="dxa"/>
            <w:gridSpan w:val="13"/>
            <w:shd w:val="clear" w:color="auto" w:fill="auto"/>
          </w:tcPr>
          <w:p w14:paraId="07FED1A9" w14:textId="77777777" w:rsidR="001024DD" w:rsidRPr="0051484B" w:rsidRDefault="001024DD" w:rsidP="001506D1">
            <w:pPr>
              <w:rPr>
                <w:color w:val="000000"/>
              </w:rPr>
            </w:pPr>
            <w:bookmarkStart w:id="0" w:name="t1"/>
            <w:r w:rsidRPr="0051484B">
              <w:rPr>
                <w:b/>
                <w:color w:val="000000"/>
              </w:rPr>
              <w:t>Nazwa projektu</w:t>
            </w:r>
          </w:p>
          <w:p w14:paraId="55BDE4E2" w14:textId="77777777" w:rsidR="001024DD" w:rsidRPr="0051484B" w:rsidRDefault="001024DD" w:rsidP="001506D1">
            <w:pPr>
              <w:pStyle w:val="Bezodstpw"/>
              <w:jc w:val="both"/>
              <w:rPr>
                <w:rStyle w:val="PodtytuZnak"/>
                <w:rFonts w:ascii="Times New Roman" w:hAnsi="Times New Roman"/>
                <w:sz w:val="22"/>
                <w:szCs w:val="22"/>
              </w:rPr>
            </w:pPr>
            <w:r w:rsidRPr="0051484B">
              <w:rPr>
                <w:rStyle w:val="PodtytuZnak"/>
                <w:rFonts w:ascii="Times New Roman" w:hAnsi="Times New Roman"/>
                <w:sz w:val="22"/>
                <w:szCs w:val="22"/>
              </w:rPr>
              <w:t xml:space="preserve">Projekt ustawy </w:t>
            </w:r>
            <w:r w:rsidR="00D87C15" w:rsidRPr="0051484B">
              <w:rPr>
                <w:rStyle w:val="PodtytuZnak"/>
                <w:rFonts w:ascii="Times New Roman" w:hAnsi="Times New Roman"/>
                <w:sz w:val="22"/>
                <w:szCs w:val="22"/>
              </w:rPr>
              <w:t>o podmiotach obsługujących kredyty i nabywcach kredytów</w:t>
            </w:r>
          </w:p>
          <w:p w14:paraId="71029D8C" w14:textId="77777777" w:rsidR="001024DD" w:rsidRPr="0051484B" w:rsidRDefault="001024DD" w:rsidP="001506D1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14:paraId="0C62EFD6" w14:textId="77777777" w:rsidR="001024DD" w:rsidRPr="0051484B" w:rsidRDefault="001024DD" w:rsidP="001506D1">
            <w:pPr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>Ministerstwo wiodące i ministerstwa współpracujące</w:t>
            </w:r>
          </w:p>
          <w:p w14:paraId="4A978E7A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Ministerstwo Finansów</w:t>
            </w:r>
          </w:p>
          <w:p w14:paraId="3341BED4" w14:textId="77777777" w:rsidR="001024DD" w:rsidRPr="0051484B" w:rsidRDefault="001024DD" w:rsidP="001506D1">
            <w:pPr>
              <w:rPr>
                <w:b/>
                <w:color w:val="000000"/>
              </w:rPr>
            </w:pPr>
          </w:p>
          <w:p w14:paraId="7C42A30E" w14:textId="77777777" w:rsidR="001024DD" w:rsidRPr="0051484B" w:rsidRDefault="001024DD" w:rsidP="001506D1">
            <w:pPr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 xml:space="preserve">Osoba odpowiedzialna za projekt w randze Ministra, Sekretarza Stanu lub Podsekretarza Stanu </w:t>
            </w:r>
          </w:p>
          <w:p w14:paraId="23763A56" w14:textId="77777777" w:rsidR="001024DD" w:rsidRPr="0051484B" w:rsidRDefault="00E12D87" w:rsidP="001506D1">
            <w:r w:rsidRPr="0051484B">
              <w:t>Piotr Patkowski</w:t>
            </w:r>
            <w:r w:rsidR="001024DD" w:rsidRPr="0051484B">
              <w:t>, Podsekretarz Stanu w Ministerstwie Finansów</w:t>
            </w:r>
          </w:p>
          <w:p w14:paraId="09A8BE9A" w14:textId="77777777" w:rsidR="001024DD" w:rsidRPr="0051484B" w:rsidRDefault="001024DD" w:rsidP="001506D1">
            <w:pPr>
              <w:rPr>
                <w:b/>
                <w:color w:val="000000"/>
              </w:rPr>
            </w:pPr>
          </w:p>
          <w:p w14:paraId="29A4C6C1" w14:textId="77777777" w:rsidR="001024DD" w:rsidRPr="0051484B" w:rsidRDefault="001024DD" w:rsidP="001506D1">
            <w:pPr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>Kontakt do opiekuna merytorycznego projektu</w:t>
            </w:r>
          </w:p>
          <w:p w14:paraId="3169A56B" w14:textId="77777777" w:rsidR="001024DD" w:rsidRPr="0051484B" w:rsidRDefault="00A234F3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Jarosław Niezgoda</w:t>
            </w:r>
            <w:r w:rsidR="001024DD" w:rsidRPr="0051484B">
              <w:rPr>
                <w:color w:val="000000"/>
              </w:rPr>
              <w:t>,</w:t>
            </w:r>
            <w:r w:rsidR="001024DD" w:rsidRPr="0051484B">
              <w:rPr>
                <w:b/>
                <w:color w:val="000000"/>
              </w:rPr>
              <w:t xml:space="preserve"> </w:t>
            </w:r>
            <w:r w:rsidRPr="00246C4E">
              <w:rPr>
                <w:color w:val="000000"/>
              </w:rPr>
              <w:t xml:space="preserve">Zastępca </w:t>
            </w:r>
            <w:r w:rsidR="001024DD" w:rsidRPr="00246C4E">
              <w:rPr>
                <w:color w:val="000000"/>
              </w:rPr>
              <w:t>Dyrektor</w:t>
            </w:r>
            <w:r w:rsidRPr="00246C4E">
              <w:rPr>
                <w:color w:val="000000"/>
              </w:rPr>
              <w:t>a</w:t>
            </w:r>
            <w:r w:rsidR="001024DD" w:rsidRPr="00246C4E">
              <w:rPr>
                <w:color w:val="000000"/>
              </w:rPr>
              <w:t xml:space="preserve"> Departamentu Rozwoju Rynku Finansowego</w:t>
            </w:r>
            <w:r w:rsidR="003074E8" w:rsidRPr="0051484B">
              <w:t xml:space="preserve"> w </w:t>
            </w:r>
            <w:r w:rsidR="001024DD" w:rsidRPr="0051484B">
              <w:t>Ministerstwie Finansów,</w:t>
            </w:r>
            <w:r w:rsidR="001024DD" w:rsidRPr="0051484B">
              <w:rPr>
                <w:color w:val="000000"/>
              </w:rPr>
              <w:t xml:space="preserve"> tel. 22 694 58 28, </w:t>
            </w:r>
          </w:p>
          <w:p w14:paraId="215DBCAA" w14:textId="20D60BA8" w:rsidR="00B63188" w:rsidRPr="0051484B" w:rsidRDefault="001024DD" w:rsidP="003C0645">
            <w:pPr>
              <w:ind w:hanging="45"/>
              <w:rPr>
                <w:color w:val="000000"/>
                <w:lang w:val="en-GB"/>
              </w:rPr>
            </w:pPr>
            <w:r w:rsidRPr="0051484B">
              <w:rPr>
                <w:color w:val="000000"/>
              </w:rPr>
              <w:t xml:space="preserve"> </w:t>
            </w:r>
            <w:r w:rsidRPr="0051484B">
              <w:rPr>
                <w:color w:val="000000"/>
                <w:lang w:val="en-GB"/>
              </w:rPr>
              <w:t xml:space="preserve">e-mail: </w:t>
            </w:r>
            <w:bookmarkEnd w:id="0"/>
            <w:r w:rsidR="00B63188" w:rsidRPr="0051484B">
              <w:rPr>
                <w:color w:val="000000"/>
                <w:lang w:val="en-GB"/>
              </w:rPr>
              <w:t>sekretariat.fn@mf.gov.pl</w:t>
            </w:r>
          </w:p>
        </w:tc>
        <w:tc>
          <w:tcPr>
            <w:tcW w:w="5814" w:type="dxa"/>
            <w:gridSpan w:val="17"/>
            <w:shd w:val="clear" w:color="auto" w:fill="FFFFFF"/>
          </w:tcPr>
          <w:p w14:paraId="241B9808" w14:textId="26D2D0F7" w:rsidR="001024DD" w:rsidRPr="0051484B" w:rsidRDefault="001024DD" w:rsidP="001506D1">
            <w:pPr>
              <w:jc w:val="left"/>
              <w:rPr>
                <w:b/>
              </w:rPr>
            </w:pPr>
            <w:r w:rsidRPr="0051484B">
              <w:rPr>
                <w:b/>
              </w:rPr>
              <w:t>Data sporządzenia</w:t>
            </w:r>
            <w:r w:rsidRPr="0051484B">
              <w:rPr>
                <w:b/>
              </w:rPr>
              <w:br/>
            </w:r>
            <w:r w:rsidR="00CB7396">
              <w:t>06</w:t>
            </w:r>
            <w:r w:rsidR="009C32D4" w:rsidRPr="0051484B">
              <w:t>.</w:t>
            </w:r>
            <w:r w:rsidR="00CB7396">
              <w:t>06</w:t>
            </w:r>
            <w:r w:rsidR="00CF34AD">
              <w:t>.2023</w:t>
            </w:r>
            <w:r w:rsidRPr="0051484B">
              <w:t xml:space="preserve"> r.</w:t>
            </w:r>
            <w:r w:rsidR="00763D2A" w:rsidRPr="0051484B">
              <w:t xml:space="preserve"> </w:t>
            </w:r>
          </w:p>
          <w:p w14:paraId="51A42F51" w14:textId="77777777" w:rsidR="001024DD" w:rsidRPr="0051484B" w:rsidRDefault="001024DD" w:rsidP="001506D1">
            <w:pPr>
              <w:rPr>
                <w:b/>
              </w:rPr>
            </w:pPr>
          </w:p>
          <w:p w14:paraId="22B80A0C" w14:textId="77777777" w:rsidR="001024DD" w:rsidRPr="0051484B" w:rsidRDefault="001024DD" w:rsidP="001506D1">
            <w:pPr>
              <w:rPr>
                <w:b/>
              </w:rPr>
            </w:pPr>
            <w:r w:rsidRPr="0051484B">
              <w:rPr>
                <w:b/>
              </w:rPr>
              <w:t xml:space="preserve">Źródło: </w:t>
            </w:r>
            <w:bookmarkStart w:id="1" w:name="Lista1"/>
          </w:p>
          <w:bookmarkEnd w:id="1"/>
          <w:p w14:paraId="09663D1D" w14:textId="106FA542" w:rsidR="001024DD" w:rsidRPr="0051484B" w:rsidRDefault="00B97589" w:rsidP="001506D1">
            <w:r>
              <w:t>d</w:t>
            </w:r>
            <w:r w:rsidR="00FB7861" w:rsidRPr="0051484B">
              <w:t>yrektywa</w:t>
            </w:r>
            <w:r w:rsidR="00D87C15" w:rsidRPr="0051484B">
              <w:t xml:space="preserve"> Parlamentu Europe</w:t>
            </w:r>
            <w:r w:rsidR="00AF475D" w:rsidRPr="0051484B">
              <w:t>jskiego i Rady (UE) 2021/2167 z </w:t>
            </w:r>
            <w:r w:rsidR="00D87C15" w:rsidRPr="0051484B">
              <w:t>dnia 24 listopada 2021 r. w sprawie podmiotów obsługujących kredyty i nabywców kredytów oraz w sprawie zmiany dyrektyw 2008/48/WE i 2014/17/UE</w:t>
            </w:r>
            <w:r w:rsidR="00AF475D" w:rsidRPr="0051484B">
              <w:t xml:space="preserve"> </w:t>
            </w:r>
            <w:r w:rsidR="00D87C15" w:rsidRPr="0051484B">
              <w:t>(Dz. Urz. UE L 68 z 26.02.2021, str. 14).</w:t>
            </w:r>
          </w:p>
          <w:p w14:paraId="32433157" w14:textId="77777777" w:rsidR="003074E8" w:rsidRPr="0051484B" w:rsidRDefault="003074E8" w:rsidP="001506D1">
            <w:pPr>
              <w:spacing w:before="120"/>
              <w:rPr>
                <w:b/>
                <w:color w:val="000000"/>
              </w:rPr>
            </w:pPr>
          </w:p>
          <w:p w14:paraId="56C8AC19" w14:textId="77777777" w:rsidR="003074E8" w:rsidRPr="0051484B" w:rsidRDefault="003074E8" w:rsidP="001506D1">
            <w:pPr>
              <w:spacing w:before="120"/>
              <w:rPr>
                <w:b/>
                <w:color w:val="000000"/>
              </w:rPr>
            </w:pPr>
          </w:p>
          <w:p w14:paraId="6B7F1E96" w14:textId="77777777" w:rsidR="003074E8" w:rsidRPr="0051484B" w:rsidRDefault="003074E8" w:rsidP="001506D1">
            <w:pPr>
              <w:spacing w:before="120"/>
              <w:rPr>
                <w:b/>
                <w:color w:val="000000"/>
              </w:rPr>
            </w:pPr>
          </w:p>
          <w:p w14:paraId="06C542BA" w14:textId="6C30D23C" w:rsidR="001024DD" w:rsidRPr="0051484B" w:rsidRDefault="001024DD" w:rsidP="001506D1">
            <w:pPr>
              <w:spacing w:before="120"/>
              <w:rPr>
                <w:color w:val="000000"/>
              </w:rPr>
            </w:pPr>
            <w:r w:rsidRPr="0051484B">
              <w:rPr>
                <w:b/>
                <w:color w:val="000000"/>
              </w:rPr>
              <w:t xml:space="preserve">Nr w wykazie prac legislacyjnych i programowych Rady Ministrów: </w:t>
            </w:r>
            <w:r w:rsidR="005E5A0A">
              <w:rPr>
                <w:b/>
                <w:color w:val="000000"/>
              </w:rPr>
              <w:t>UC145</w:t>
            </w:r>
          </w:p>
          <w:p w14:paraId="589D9224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589BAA9F" w14:textId="77777777" w:rsidTr="00CC3BF6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D5247DB" w14:textId="77777777" w:rsidR="001024DD" w:rsidRPr="0051484B" w:rsidRDefault="001024DD" w:rsidP="001506D1">
            <w:pPr>
              <w:ind w:left="57"/>
              <w:jc w:val="center"/>
              <w:rPr>
                <w:b/>
                <w:color w:val="FFFFFF"/>
              </w:rPr>
            </w:pPr>
            <w:r w:rsidRPr="0051484B">
              <w:rPr>
                <w:b/>
                <w:color w:val="FFFFFF"/>
              </w:rPr>
              <w:t>OCENA SKUTKÓW REGULACJI</w:t>
            </w:r>
          </w:p>
        </w:tc>
      </w:tr>
      <w:tr w:rsidR="001024DD" w:rsidRPr="0051484B" w14:paraId="401E1EC1" w14:textId="77777777" w:rsidTr="00CC3BF6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66ED7E96" w14:textId="77777777" w:rsidR="001024DD" w:rsidRPr="0051484B" w:rsidRDefault="001024DD" w:rsidP="001506D1">
            <w:pPr>
              <w:numPr>
                <w:ilvl w:val="0"/>
                <w:numId w:val="1"/>
              </w:numPr>
              <w:spacing w:before="60" w:after="60"/>
              <w:ind w:left="318" w:hanging="284"/>
              <w:rPr>
                <w:b/>
                <w:color w:val="000000"/>
              </w:rPr>
            </w:pPr>
            <w:r w:rsidRPr="0051484B">
              <w:rPr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024DD" w:rsidRPr="0051484B" w14:paraId="72EAB928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8E98EB" w14:textId="6B17BD49" w:rsidR="00A13042" w:rsidRDefault="001024DD" w:rsidP="00246C4E">
            <w:r w:rsidRPr="0051484B">
              <w:t xml:space="preserve">Projektowana ustawa ma na celu wdrożenie </w:t>
            </w:r>
            <w:r w:rsidR="00B97589">
              <w:t>przepisów</w:t>
            </w:r>
            <w:r w:rsidR="00B97589" w:rsidRPr="0051484B">
              <w:t xml:space="preserve"> </w:t>
            </w:r>
            <w:r w:rsidRPr="0051484B">
              <w:t xml:space="preserve">dyrektywy </w:t>
            </w:r>
            <w:r w:rsidR="00FB7861" w:rsidRPr="0051484B">
              <w:t>Parlamentu Europe</w:t>
            </w:r>
            <w:r w:rsidR="0051484B" w:rsidRPr="0051484B">
              <w:t>jskiego i Rady (UE) 2021/2167 z </w:t>
            </w:r>
            <w:r w:rsidR="00FB7861" w:rsidRPr="0051484B">
              <w:t>dnia 24 listopada 2021 r. w sprawie podmiotów obsługujących kredyty i nabywców kredytów oraz w sprawie zmiany dyrektyw 2008/48/WE i 2014/17/UE</w:t>
            </w:r>
            <w:r w:rsidR="00B97589">
              <w:t xml:space="preserve"> </w:t>
            </w:r>
            <w:r w:rsidR="00B97589" w:rsidRPr="0051484B">
              <w:t>(Dz. Urz.</w:t>
            </w:r>
            <w:r w:rsidR="00B97589">
              <w:t xml:space="preserve"> UE L 68 z 26.02.2021, str. 14), zwanej dalej </w:t>
            </w:r>
            <w:r w:rsidR="00075A5F" w:rsidRPr="0051484B">
              <w:t>„</w:t>
            </w:r>
            <w:r w:rsidR="00B97589">
              <w:t>D</w:t>
            </w:r>
            <w:r w:rsidR="00075A5F" w:rsidRPr="0051484B">
              <w:t>yrektyw</w:t>
            </w:r>
            <w:r w:rsidR="00B97589">
              <w:t>ą</w:t>
            </w:r>
            <w:r w:rsidR="00075A5F" w:rsidRPr="0051484B">
              <w:t xml:space="preserve"> 2021/2167”</w:t>
            </w:r>
            <w:r w:rsidR="00FB7861" w:rsidRPr="0051484B">
              <w:t>.</w:t>
            </w:r>
            <w:r w:rsidR="00400EFF">
              <w:t xml:space="preserve"> </w:t>
            </w:r>
          </w:p>
          <w:p w14:paraId="1F8D622A" w14:textId="719BA411" w:rsidR="00A13042" w:rsidRDefault="00B97589" w:rsidP="00400EFF">
            <w:pPr>
              <w:outlineLvl w:val="0"/>
            </w:pPr>
            <w:r>
              <w:rPr>
                <w:noProof/>
              </w:rPr>
              <w:t>D</w:t>
            </w:r>
            <w:r w:rsidR="00A234F3" w:rsidRPr="0051484B">
              <w:rPr>
                <w:noProof/>
              </w:rPr>
              <w:t xml:space="preserve">yrektywa </w:t>
            </w:r>
            <w:r w:rsidRPr="0051484B">
              <w:t>2021/2167</w:t>
            </w:r>
            <w:r>
              <w:t xml:space="preserve"> </w:t>
            </w:r>
            <w:r w:rsidR="00A234F3" w:rsidRPr="0051484B">
              <w:rPr>
                <w:noProof/>
              </w:rPr>
              <w:t>wraz z innymi środkami proponowanymi przez Komisję</w:t>
            </w:r>
            <w:r w:rsidR="001506D1">
              <w:rPr>
                <w:noProof/>
              </w:rPr>
              <w:t xml:space="preserve"> Europejską</w:t>
            </w:r>
            <w:r w:rsidR="00A234F3" w:rsidRPr="0051484B">
              <w:rPr>
                <w:noProof/>
              </w:rPr>
              <w:t xml:space="preserve">, </w:t>
            </w:r>
            <w:r w:rsidR="0051484B">
              <w:rPr>
                <w:noProof/>
              </w:rPr>
              <w:t>jak ró</w:t>
            </w:r>
            <w:r w:rsidR="00F5237C">
              <w:rPr>
                <w:noProof/>
              </w:rPr>
              <w:t>w</w:t>
            </w:r>
            <w:r w:rsidR="0051484B">
              <w:rPr>
                <w:noProof/>
              </w:rPr>
              <w:t>nież</w:t>
            </w:r>
            <w:r w:rsidR="00A234F3" w:rsidRPr="0051484B">
              <w:rPr>
                <w:noProof/>
              </w:rPr>
              <w:t xml:space="preserve"> działania podejmowane przez Europejski Bank Centralny (EBC)</w:t>
            </w:r>
            <w:r w:rsidR="00A13042">
              <w:rPr>
                <w:noProof/>
              </w:rPr>
              <w:t>,</w:t>
            </w:r>
            <w:r w:rsidR="00A234F3" w:rsidRPr="0051484B">
              <w:rPr>
                <w:noProof/>
              </w:rPr>
              <w:t xml:space="preserve"> w kontekście nadzoru bankowego w ramach Jednolitego Mechanizmu Nadzorczego oraz przez Europejski Urząd Nadzoru </w:t>
            </w:r>
            <w:r w:rsidR="00294C7F">
              <w:rPr>
                <w:noProof/>
              </w:rPr>
              <w:t xml:space="preserve">Bankowego </w:t>
            </w:r>
            <w:r>
              <w:rPr>
                <w:noProof/>
              </w:rPr>
              <w:t>(</w:t>
            </w:r>
            <w:r w:rsidR="00A234F3" w:rsidRPr="0051484B">
              <w:rPr>
                <w:noProof/>
              </w:rPr>
              <w:t>EUNB), stworzą dla instytucji kredytowych</w:t>
            </w:r>
            <w:r>
              <w:rPr>
                <w:noProof/>
              </w:rPr>
              <w:t xml:space="preserve"> lub </w:t>
            </w:r>
            <w:r w:rsidR="00294C7F">
              <w:rPr>
                <w:noProof/>
              </w:rPr>
              <w:t>banków</w:t>
            </w:r>
            <w:r w:rsidR="00A234F3" w:rsidRPr="0051484B">
              <w:rPr>
                <w:noProof/>
              </w:rPr>
              <w:t xml:space="preserve"> odpowiednie środowisko do radzenia sobie z nieobsługiwanymi kredytami ujętymi w ich bilansach oraz zmniejszą ryzyko akumulacji nieobsługiwanych kredytów w przyszłości.</w:t>
            </w:r>
            <w:r w:rsidR="00DB0BDC">
              <w:t xml:space="preserve"> </w:t>
            </w:r>
          </w:p>
          <w:p w14:paraId="0DFBA33A" w14:textId="3688F2B6" w:rsidR="00400EFF" w:rsidRDefault="00DB0BDC" w:rsidP="00400EFF">
            <w:pPr>
              <w:outlineLvl w:val="0"/>
              <w:rPr>
                <w:noProof/>
              </w:rPr>
            </w:pPr>
            <w:r w:rsidRPr="00DB0BDC">
              <w:rPr>
                <w:noProof/>
              </w:rPr>
              <w:t>W konkluzjach Rady z dnia 11 lipca 2017 r. w sprawie planu działania na rzecz rozwiązania problemu kredytów zagrożonych w Europie</w:t>
            </w:r>
            <w:r w:rsidR="00B97589">
              <w:rPr>
                <w:noProof/>
              </w:rPr>
              <w:t>,</w:t>
            </w:r>
            <w:r w:rsidRPr="00DB0BDC">
              <w:rPr>
                <w:noProof/>
              </w:rPr>
              <w:t xml:space="preserve"> zwanego dalej „Planem działania”</w:t>
            </w:r>
            <w:r w:rsidR="00B97589">
              <w:rPr>
                <w:noProof/>
              </w:rPr>
              <w:t>,</w:t>
            </w:r>
            <w:r w:rsidRPr="00DB0BDC">
              <w:rPr>
                <w:noProof/>
              </w:rPr>
              <w:t xml:space="preserve"> zwrócono się do różnych instytucji o podjęcie odpowiednich środków w celu dalszego zaradzenia problemom związanym z wysokim wolumenem nieobsługiwanych kredytów w Unii</w:t>
            </w:r>
            <w:r w:rsidR="00B97589">
              <w:rPr>
                <w:noProof/>
              </w:rPr>
              <w:t xml:space="preserve"> Europejskiej</w:t>
            </w:r>
            <w:r w:rsidRPr="00DB0BDC">
              <w:rPr>
                <w:noProof/>
              </w:rPr>
              <w:t xml:space="preserve"> oraz uniknięcia ich możliw</w:t>
            </w:r>
            <w:r w:rsidR="008D09EF">
              <w:rPr>
                <w:noProof/>
              </w:rPr>
              <w:t>ej akumulacji w przyszłości. W P</w:t>
            </w:r>
            <w:r w:rsidRPr="00DB0BDC">
              <w:rPr>
                <w:noProof/>
              </w:rPr>
              <w:t xml:space="preserve">lanie działania określono kompleksowe podejście, które opiera się na połączeniu uzupełniających się środków z zakresu polityki w czterech obszarach: (i) nadzoru bankowego i regulacji bankowej; (ii) reformy ram restrukturyzacji, niewypłacalności i dochodzenia wierzytelności; (iii) rozwoju wtórnych rynków aktywów zagrożonych; oraz (iv) wspierania restrukturyzacji systemu bankowego. </w:t>
            </w:r>
          </w:p>
          <w:p w14:paraId="2C19F3A9" w14:textId="35BFE79D" w:rsidR="00DB0BDC" w:rsidRPr="0051484B" w:rsidRDefault="001F1EA7" w:rsidP="005E5A0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Zgodnie z motywami </w:t>
            </w:r>
            <w:r w:rsidR="00B97589">
              <w:rPr>
                <w:noProof/>
              </w:rPr>
              <w:t xml:space="preserve">Dyrektywy </w:t>
            </w:r>
            <w:r>
              <w:rPr>
                <w:noProof/>
              </w:rPr>
              <w:t>2021/2167 w</w:t>
            </w:r>
            <w:r w:rsidRPr="001F1EA7">
              <w:rPr>
                <w:noProof/>
              </w:rPr>
              <w:t xml:space="preserve"> przypadku gdy kredyty stają się nieobsługiwane, skuteczniejsze mechanizmy egzekwowania w zakresie kredytów zabezpieczonych pozwoliłyby instytucjom kredytowym zastosować kompleksową strategię, aby wyegzekwować należności z tytułu nieobsługiwanych kredytów, z zachowaniem silnych </w:t>
            </w:r>
            <w:r w:rsidR="0023560C">
              <w:rPr>
                <w:noProof/>
              </w:rPr>
              <w:br/>
            </w:r>
            <w:r w:rsidRPr="001F1EA7">
              <w:rPr>
                <w:noProof/>
              </w:rPr>
              <w:t>i skutecznych środków ochronnych dla kredytobiorców. Jeżeli wolumen nieobsługiwanych kredytów mimo wszystko stanie się zbyt wysoki, instytucje kredytowe powinny móc sprzedawać je innym operatorom na efektywnych, konkurencyjnych i przejrzystych rynkach wtórnych.</w:t>
            </w:r>
            <w:r w:rsidR="005E5A0A">
              <w:rPr>
                <w:noProof/>
              </w:rPr>
              <w:t xml:space="preserve"> </w:t>
            </w:r>
            <w:r w:rsidR="00DB0BDC">
              <w:rPr>
                <w:noProof/>
              </w:rPr>
              <w:t xml:space="preserve">Pomimo działań instytucji kredytowych w zakresie zmniejszania wolumenu kredytów nieobsługiwanych, konieczne </w:t>
            </w:r>
            <w:r w:rsidR="00B97589">
              <w:rPr>
                <w:noProof/>
              </w:rPr>
              <w:t xml:space="preserve">było </w:t>
            </w:r>
            <w:r w:rsidR="00DB0BDC">
              <w:rPr>
                <w:noProof/>
              </w:rPr>
              <w:t>wypracowanie spójnej strategii dla państw członkowskich, pozwalającej na działania transgraniczne.</w:t>
            </w:r>
            <w:r w:rsidR="009E0082">
              <w:rPr>
                <w:noProof/>
              </w:rPr>
              <w:t xml:space="preserve"> </w:t>
            </w:r>
            <w:r w:rsidR="005E5A0A">
              <w:rPr>
                <w:noProof/>
              </w:rPr>
              <w:t>N</w:t>
            </w:r>
            <w:r w:rsidR="00DB0BDC" w:rsidRPr="00DB0BDC">
              <w:rPr>
                <w:noProof/>
              </w:rPr>
              <w:t>abywcy kredytów i podmioty obsługujące kredyty nie mog</w:t>
            </w:r>
            <w:r w:rsidR="005E5A0A">
              <w:rPr>
                <w:noProof/>
              </w:rPr>
              <w:t>li</w:t>
            </w:r>
            <w:r w:rsidR="00DB0BDC" w:rsidRPr="00DB0BDC">
              <w:rPr>
                <w:noProof/>
              </w:rPr>
              <w:t xml:space="preserve"> czerpać korzyści pł</w:t>
            </w:r>
            <w:r w:rsidR="00DB0BDC">
              <w:rPr>
                <w:noProof/>
              </w:rPr>
              <w:t>ynących z rynku wewnętrznego z powodu przeszkód płynących</w:t>
            </w:r>
            <w:r w:rsidR="00DB0BDC" w:rsidRPr="00DB0BDC">
              <w:rPr>
                <w:noProof/>
              </w:rPr>
              <w:t xml:space="preserve"> z rozbieżnych systemów krajowych</w:t>
            </w:r>
            <w:r w:rsidR="00DB0BDC">
              <w:rPr>
                <w:noProof/>
              </w:rPr>
              <w:t>.</w:t>
            </w:r>
            <w:r w:rsidR="00DB0BDC" w:rsidRPr="00DB0BDC">
              <w:rPr>
                <w:noProof/>
              </w:rPr>
              <w:t xml:space="preserve"> </w:t>
            </w:r>
          </w:p>
          <w:p w14:paraId="7AA56BD7" w14:textId="77777777" w:rsidR="00294C7F" w:rsidRDefault="00294C7F" w:rsidP="001506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6E82C860" w14:textId="4E89F982" w:rsidR="00A13042" w:rsidRDefault="00274DDD" w:rsidP="001506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Dyrektywa 2021/2167 ma zastosowanie do nabywców kredytów i podmiotów obsługujących kredyty, które to kredyty zostały pierwotnie udzielone przez instytucję kredytową</w:t>
            </w:r>
            <w:r w:rsidR="00B9758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8E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bank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lub </w:t>
            </w:r>
            <w:r w:rsidR="00B9758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ich</w:t>
            </w:r>
            <w:r w:rsidR="00B97589"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jednostki zależne. </w:t>
            </w:r>
            <w:r w:rsidR="00400EF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yrektywa </w:t>
            </w:r>
            <w:r w:rsidR="00B97589"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2021/2167 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nie ma</w:t>
            </w:r>
            <w:r w:rsidR="00400EF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natomiast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zastosowania do nabywania i obsługi umowy o kredyt prowadzonej przez instytucję kred</w:t>
            </w:r>
            <w:r w:rsidR="008E4B1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ytową i jej jednostki zależne w </w:t>
            </w:r>
            <w:r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UE ani do nabywania i obsługi umów o kredyt sporządzonych przez inne rodzaje kredytodawców niż instytucje kredytowe i ich jednostki zależne.</w:t>
            </w:r>
            <w:r w:rsidR="00400EF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E55A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Celem </w:t>
            </w:r>
            <w:r w:rsidR="00B9758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</w:t>
            </w:r>
            <w:r w:rsidR="00EE55A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yrektywy 2021/2167 jest 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wspieranie rozwoju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rynków wtórnych nieobsługiwanych kredytów w Unii</w:t>
            </w:r>
            <w:r w:rsidR="00B9758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Europejskiej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oraz usunięcie przeszkód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dla przeniesienia nieobsługiwanych kredytów do nabywców kredytów, dokonywanego przez instytucje kredytowe, przy jednoczesnej ochronie praw kredytobiorców. 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Tym samym </w:t>
            </w:r>
            <w:r w:rsidR="00B9758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yrektywa </w:t>
            </w:r>
            <w:r w:rsidR="00505CB3" w:rsidRPr="0051484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2021/2167 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harmonizuje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wymogi dotyczące udzielania zezwoleń dla podmiotów obsługujących kredyty. 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Jednocześnie ustanawia się w niej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ogólnounijne ramy zarówno dla nab</w:t>
            </w:r>
            <w:r w:rsid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ywców nieobsługiwanych kredytów,</w:t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jak </w:t>
            </w:r>
            <w:r w:rsidR="0023560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/>
            </w:r>
            <w:r w:rsidR="00505CB3" w:rsidRPr="00505CB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 dla podmiotów obsługujących nieobsługiwane umowy o kredyt sporządzone przez instytucje kredytowe, zgodnie z którymi podmioty obsługujące kredyty powinny uzyskać zezwolenie od właściwych organów państw członkowskich oraz podlegać ich nadzorowi.</w:t>
            </w:r>
            <w:r w:rsidR="00400EF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274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W zakresie przekazywania informacji w</w:t>
            </w:r>
            <w:r w:rsidR="00027436" w:rsidRPr="000274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łaściwe organy </w:t>
            </w:r>
            <w:r w:rsidR="000274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powinny mieć możliwość żądania informacji dotyczących</w:t>
            </w:r>
            <w:r w:rsidR="00027436" w:rsidRPr="000274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przeniesionych portfeli kredytowych</w:t>
            </w:r>
            <w:r w:rsidR="0002743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14:paraId="2A4E09CE" w14:textId="1E898DCD" w:rsidR="008E4B14" w:rsidRPr="0051484B" w:rsidRDefault="00505CB3" w:rsidP="001506D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Dyrektywa 2021/2167 nie przewiduje konieczności uzyskania zezwolenia przez nabywcę kredytu, </w:t>
            </w:r>
            <w:r w:rsidR="005E5A0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b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rak zatem wymogu</w:t>
            </w:r>
            <w:r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wobec nabywców kredytów</w:t>
            </w:r>
            <w:r w:rsidR="002E580F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aby ubiegali się oni </w:t>
            </w:r>
            <w:r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wydanie </w:t>
            </w:r>
            <w:r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zezwoleni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a. Jedocześnie istotne jest</w:t>
            </w:r>
            <w:r w:rsidR="00B27B7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aby nadal miały zastosowanie unijne i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krajowe przepisy dotyczące ochrony konsumentów</w:t>
            </w:r>
            <w:r w:rsidR="006C62F9" w:rsidRPr="002E58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14:paraId="008DBB2E" w14:textId="30D8BFF1" w:rsidR="00402BB3" w:rsidRDefault="00FB54AF" w:rsidP="001506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48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Zgodnie z informacjami Związku Przedsiębiorstw Finansowych</w:t>
            </w:r>
            <w:r w:rsidR="00B27B74">
              <w:rPr>
                <w:rFonts w:ascii="Times New Roman" w:hAnsi="Times New Roman" w:cs="Times New Roman"/>
                <w:sz w:val="22"/>
                <w:szCs w:val="22"/>
              </w:rPr>
              <w:t xml:space="preserve">, zwanego </w:t>
            </w:r>
            <w:r w:rsidR="001B2BCF">
              <w:rPr>
                <w:rFonts w:ascii="Times New Roman" w:hAnsi="Times New Roman" w:cs="Times New Roman"/>
                <w:sz w:val="22"/>
                <w:szCs w:val="22"/>
              </w:rPr>
              <w:t>dalej</w:t>
            </w:r>
            <w:r w:rsidRPr="0051484B">
              <w:rPr>
                <w:rFonts w:ascii="Times New Roman" w:hAnsi="Times New Roman" w:cs="Times New Roman"/>
                <w:sz w:val="22"/>
                <w:szCs w:val="22"/>
              </w:rPr>
              <w:t xml:space="preserve"> „ZPF”, p</w:t>
            </w:r>
            <w:r w:rsidR="00980614" w:rsidRPr="0051484B">
              <w:rPr>
                <w:rFonts w:ascii="Times New Roman" w:hAnsi="Times New Roman" w:cs="Times New Roman"/>
                <w:sz w:val="22"/>
                <w:szCs w:val="22"/>
              </w:rPr>
              <w:t xml:space="preserve">o intensywnym roku 2021, </w:t>
            </w:r>
            <w:r w:rsidR="0023560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484B">
              <w:rPr>
                <w:rFonts w:ascii="Times New Roman" w:hAnsi="Times New Roman" w:cs="Times New Roman"/>
                <w:sz w:val="22"/>
                <w:szCs w:val="22"/>
              </w:rPr>
              <w:t>w zakresie</w:t>
            </w:r>
            <w:r w:rsidR="00980614" w:rsidRPr="0051484B">
              <w:rPr>
                <w:rFonts w:ascii="Times New Roman" w:hAnsi="Times New Roman" w:cs="Times New Roman"/>
                <w:sz w:val="22"/>
                <w:szCs w:val="22"/>
              </w:rPr>
              <w:t xml:space="preserve"> wartoś</w:t>
            </w:r>
            <w:r w:rsidR="005E5A0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r w:rsidR="00980614" w:rsidRPr="0051484B">
              <w:rPr>
                <w:rFonts w:ascii="Times New Roman" w:hAnsi="Times New Roman" w:cs="Times New Roman"/>
                <w:sz w:val="22"/>
                <w:szCs w:val="22"/>
              </w:rPr>
              <w:t xml:space="preserve"> transakcji portfeli</w:t>
            </w:r>
            <w:r w:rsidR="008E4B14">
              <w:rPr>
                <w:rFonts w:ascii="Times New Roman" w:hAnsi="Times New Roman" w:cs="Times New Roman"/>
                <w:sz w:val="22"/>
                <w:szCs w:val="22"/>
              </w:rPr>
              <w:t xml:space="preserve"> kredytów</w:t>
            </w:r>
            <w:r w:rsidR="000A2579">
              <w:rPr>
                <w:rFonts w:ascii="Times New Roman" w:hAnsi="Times New Roman" w:cs="Times New Roman"/>
                <w:sz w:val="22"/>
                <w:szCs w:val="22"/>
              </w:rPr>
              <w:t xml:space="preserve"> zagrożonych, tzw. kredytów</w:t>
            </w:r>
            <w:r w:rsidR="008E4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0614" w:rsidRPr="0051484B">
              <w:rPr>
                <w:rFonts w:ascii="Times New Roman" w:hAnsi="Times New Roman" w:cs="Times New Roman"/>
                <w:sz w:val="22"/>
                <w:szCs w:val="22"/>
              </w:rPr>
              <w:t>NPL</w:t>
            </w:r>
            <w:r w:rsidR="008E4B14">
              <w:rPr>
                <w:rFonts w:ascii="Times New Roman" w:hAnsi="Times New Roman" w:cs="Times New Roman"/>
                <w:sz w:val="22"/>
                <w:szCs w:val="22"/>
              </w:rPr>
              <w:t xml:space="preserve"> (ang.: </w:t>
            </w:r>
            <w:r w:rsidR="008E4B14" w:rsidRPr="008E4B14">
              <w:rPr>
                <w:rFonts w:ascii="Times New Roman" w:hAnsi="Times New Roman" w:cs="Times New Roman"/>
                <w:i/>
                <w:sz w:val="22"/>
                <w:szCs w:val="22"/>
              </w:rPr>
              <w:t>non-performing loans</w:t>
            </w:r>
            <w:r w:rsidR="008E4B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80614" w:rsidRPr="0051484B">
              <w:rPr>
                <w:rFonts w:ascii="Times New Roman" w:hAnsi="Times New Roman" w:cs="Times New Roman"/>
                <w:sz w:val="22"/>
                <w:szCs w:val="22"/>
              </w:rPr>
              <w:t>, I kwartał 2022 roku charakteryzował się istotnym spowolnieniem. Podaż portfeli była niska, jednocześnie oferowane ceny pozostały na wysokim poziomie. Rosnące stopy procentowe negatywnie wpływają na zdolność oraz poziom finansowania zakupów wierzytelności.</w:t>
            </w:r>
            <w:r w:rsidR="00400E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292F" w:rsidRPr="0051484B">
              <w:rPr>
                <w:rFonts w:ascii="Times New Roman" w:hAnsi="Times New Roman" w:cs="Times New Roman"/>
                <w:sz w:val="22"/>
                <w:szCs w:val="22"/>
              </w:rPr>
              <w:t>Ponadto w ciągu ostatnich jedenastu lat wartość nominalna wierzytelności zarządzanych przez firmy zarządzające wierzytelnościami zrzeszone w ZPF wzrosła z 30,3 mld zł w 2010 roku do 145,7 mld zł na koniec I kwartału 2021 roku. Średnia wartość jednej obsługiwanej wierzytelności na koniec I kwartału 2022 roku wyniosła 7,89 tys. PLN. Tylko w I kwartale 2021 roku firmy zarządzające wierzytelnościami przywróciły do obiegu około 1,5 mld zł.</w:t>
            </w:r>
          </w:p>
          <w:p w14:paraId="046ACD73" w14:textId="77777777" w:rsidR="005E5A0A" w:rsidRDefault="005E5A0A" w:rsidP="001506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29353" w14:textId="1E35C306" w:rsidR="00400EFF" w:rsidRPr="0051484B" w:rsidRDefault="005E5A0A" w:rsidP="003C064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A0A">
              <w:rPr>
                <w:rFonts w:ascii="Times New Roman" w:hAnsi="Times New Roman" w:cs="Times New Roman"/>
                <w:sz w:val="22"/>
                <w:szCs w:val="22"/>
              </w:rPr>
              <w:t>Projekt ustawy obejmuje także zmiany wynikające z wyroku TSUE z dnia 27 marca 2019 (C-545/17) umożliwiające nadanie pisma w placówce podmiotu zajmującego się doręczaniem korespondencji na terenie Unii Europejskiej, a nie jak obecnie jedynie w placówce na terytorium Rzeczypospolitej Polskiej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024DD" w:rsidRPr="0051484B" w14:paraId="4DF9EC99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1CE2F50" w14:textId="77777777" w:rsidR="001024DD" w:rsidRPr="0051484B" w:rsidRDefault="001024DD" w:rsidP="001506D1">
            <w:pPr>
              <w:numPr>
                <w:ilvl w:val="0"/>
                <w:numId w:val="1"/>
              </w:numPr>
              <w:ind w:left="318" w:hanging="284"/>
              <w:rPr>
                <w:b/>
                <w:color w:val="000000"/>
              </w:rPr>
            </w:pPr>
            <w:r w:rsidRPr="0051484B">
              <w:rPr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1024DD" w:rsidRPr="0051484B" w14:paraId="38D84E46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18FCA250" w14:textId="27EB1588" w:rsidR="008F14BD" w:rsidRDefault="00075A5F" w:rsidP="001506D1">
            <w:r w:rsidRPr="0051484B">
              <w:t xml:space="preserve">W ramach wdrożenia do krajowego systemu prawnego </w:t>
            </w:r>
            <w:r w:rsidR="00400EFF">
              <w:t>przepisów</w:t>
            </w:r>
            <w:r w:rsidRPr="0051484B">
              <w:t xml:space="preserve"> </w:t>
            </w:r>
            <w:r w:rsidR="00B27B74">
              <w:t>D</w:t>
            </w:r>
            <w:r w:rsidR="00E363AF" w:rsidRPr="0051484B">
              <w:t xml:space="preserve">yrektywy 2021/2167 </w:t>
            </w:r>
            <w:r w:rsidR="00400EFF">
              <w:t xml:space="preserve">proponuje się </w:t>
            </w:r>
            <w:r w:rsidR="00B27B74">
              <w:t xml:space="preserve">opracowanie </w:t>
            </w:r>
            <w:r w:rsidR="00B27B74" w:rsidRPr="00FC4411">
              <w:t>now</w:t>
            </w:r>
            <w:r w:rsidR="00B27B74">
              <w:t>ej</w:t>
            </w:r>
            <w:r w:rsidR="00B27B74" w:rsidRPr="00FC4411">
              <w:t xml:space="preserve"> ustaw</w:t>
            </w:r>
            <w:r w:rsidR="00B27B74">
              <w:t xml:space="preserve">y </w:t>
            </w:r>
            <w:r w:rsidR="008D0BF1" w:rsidRPr="008D0BF1">
              <w:t>o podmiotach obsługujących kredyty i nabywcach kredytów</w:t>
            </w:r>
            <w:r w:rsidR="008D0BF1">
              <w:t xml:space="preserve">, w której </w:t>
            </w:r>
            <w:r w:rsidR="00E363AF" w:rsidRPr="0051484B">
              <w:t>przede wszystkim:</w:t>
            </w:r>
          </w:p>
          <w:p w14:paraId="2EEB8C6A" w14:textId="04280B94" w:rsidR="00E9331A" w:rsidRDefault="00E9331A" w:rsidP="00D5309E">
            <w:r>
              <w:t xml:space="preserve">- </w:t>
            </w:r>
            <w:r w:rsidR="00B27B74">
              <w:t>zostanie wskazane</w:t>
            </w:r>
            <w:r w:rsidR="00F623BC">
              <w:t xml:space="preserve">, że czynności w zakresie obsługi kredytów </w:t>
            </w:r>
            <w:r w:rsidR="00B27B74">
              <w:t xml:space="preserve">będą </w:t>
            </w:r>
            <w:r w:rsidR="00B27B74" w:rsidRPr="00FC4411">
              <w:t>odnos</w:t>
            </w:r>
            <w:r w:rsidR="00B27B74">
              <w:t>iły</w:t>
            </w:r>
            <w:r w:rsidR="00B27B74" w:rsidRPr="00FC4411">
              <w:t xml:space="preserve"> </w:t>
            </w:r>
            <w:r w:rsidR="00F623BC">
              <w:t>się do umów sporządzonych przez określony katalog kredytodawców</w:t>
            </w:r>
            <w:r w:rsidR="00B27B74">
              <w:t>;</w:t>
            </w:r>
            <w:r w:rsidR="00F623BC">
              <w:t xml:space="preserve"> </w:t>
            </w:r>
            <w:r w:rsidR="00B27B74">
              <w:t>p</w:t>
            </w:r>
            <w:r w:rsidR="00F623BC">
              <w:t>roponuje się</w:t>
            </w:r>
            <w:r w:rsidR="00B27B74">
              <w:t>,</w:t>
            </w:r>
            <w:r w:rsidR="00F623BC">
              <w:t xml:space="preserve"> aby obejmował on m.in. bank krajowy </w:t>
            </w:r>
            <w:r w:rsidR="00F623BC" w:rsidRPr="00F623BC">
              <w:t xml:space="preserve">lub instytucję kredytową w </w:t>
            </w:r>
            <w:r w:rsidR="00F623BC">
              <w:t xml:space="preserve">rozumieniu </w:t>
            </w:r>
            <w:r w:rsidR="009E0082">
              <w:t>r</w:t>
            </w:r>
            <w:r w:rsidR="00D5309E">
              <w:t xml:space="preserve">ozporządzenia Parlamentu Europejskiego i Rady (UE) nr 575/2013 z dnia 26 czerwca 2013 r. w sprawie wymogów ostrożnościowych dla instytucji kredytowych </w:t>
            </w:r>
            <w:r w:rsidR="009E0082">
              <w:t>oraz</w:t>
            </w:r>
            <w:r w:rsidR="00D5309E">
              <w:t xml:space="preserve"> zmieniające</w:t>
            </w:r>
            <w:r w:rsidR="00B27B74">
              <w:t>go</w:t>
            </w:r>
            <w:r w:rsidR="00D5309E">
              <w:t xml:space="preserve"> rozporządzenie (UE) nr 648/2012</w:t>
            </w:r>
            <w:r w:rsidR="009E0082">
              <w:t xml:space="preserve"> (Dz. Urz.</w:t>
            </w:r>
            <w:r w:rsidR="001D6010">
              <w:t xml:space="preserve"> UE </w:t>
            </w:r>
            <w:r w:rsidR="004D457F">
              <w:t xml:space="preserve">L </w:t>
            </w:r>
            <w:r w:rsidR="001D6010" w:rsidRPr="001D6010">
              <w:t xml:space="preserve">176, </w:t>
            </w:r>
            <w:r w:rsidR="001D6010">
              <w:t>z 26.6.2013 str</w:t>
            </w:r>
            <w:r w:rsidR="001D6010" w:rsidRPr="001D6010">
              <w:t>. 1–337</w:t>
            </w:r>
            <w:r w:rsidR="009E0082">
              <w:t>)</w:t>
            </w:r>
            <w:r w:rsidR="00D5309E">
              <w:t>,</w:t>
            </w:r>
            <w:r w:rsidR="00F623BC">
              <w:t xml:space="preserve"> </w:t>
            </w:r>
            <w:r w:rsidR="00F623BC" w:rsidRPr="00F623BC">
              <w:t>oddział instytucji kredytowej w rozumieniu ustawy z dnia 29 sierpnia 1997 r. – Prawo bankowe</w:t>
            </w:r>
            <w:r w:rsidR="002C7DB6">
              <w:t>;</w:t>
            </w:r>
          </w:p>
          <w:p w14:paraId="1D767E93" w14:textId="17A08FF3" w:rsidR="008D0BF1" w:rsidRDefault="00E363AF" w:rsidP="001506D1">
            <w:r w:rsidRPr="0051484B">
              <w:t xml:space="preserve">- </w:t>
            </w:r>
            <w:r w:rsidR="00B27B74">
              <w:t>ustanowi</w:t>
            </w:r>
            <w:r w:rsidR="00B27B74" w:rsidRPr="0051484B">
              <w:t xml:space="preserve"> </w:t>
            </w:r>
            <w:r w:rsidRPr="0051484B">
              <w:t xml:space="preserve">się </w:t>
            </w:r>
            <w:r w:rsidR="008F14BD" w:rsidRPr="0051484B">
              <w:t>ram</w:t>
            </w:r>
            <w:r w:rsidRPr="0051484B">
              <w:t>y</w:t>
            </w:r>
            <w:r w:rsidR="000A2579">
              <w:t xml:space="preserve"> prawne</w:t>
            </w:r>
            <w:r w:rsidR="008F14BD" w:rsidRPr="0051484B">
              <w:t xml:space="preserve"> dla podmiotów obsługujących kredyty, w tym</w:t>
            </w:r>
            <w:r w:rsidR="00D815C3" w:rsidRPr="0051484B">
              <w:t xml:space="preserve"> </w:t>
            </w:r>
            <w:r w:rsidR="008F14BD" w:rsidRPr="0051484B">
              <w:t>zasady udzielania im zezwole</w:t>
            </w:r>
            <w:r w:rsidR="00F10B7E" w:rsidRPr="0051484B">
              <w:t>ń</w:t>
            </w:r>
            <w:r w:rsidR="00F37238">
              <w:t xml:space="preserve"> </w:t>
            </w:r>
            <w:r w:rsidR="00AE58E0">
              <w:t xml:space="preserve">na prowadzenie działalności </w:t>
            </w:r>
            <w:r w:rsidR="00F37238">
              <w:t xml:space="preserve">po spełnieniu </w:t>
            </w:r>
            <w:r w:rsidR="00A13042">
              <w:t xml:space="preserve">określonych </w:t>
            </w:r>
            <w:r w:rsidR="00F37238">
              <w:t>wymogów</w:t>
            </w:r>
            <w:r w:rsidR="00B27B74">
              <w:t>; p</w:t>
            </w:r>
            <w:r w:rsidR="008D0BF1">
              <w:t>onadto określ</w:t>
            </w:r>
            <w:r w:rsidR="00B27B74">
              <w:t>i</w:t>
            </w:r>
            <w:r w:rsidR="008D0BF1">
              <w:t xml:space="preserve"> się wysokość opłaty </w:t>
            </w:r>
            <w:r w:rsidR="00B27B74">
              <w:t>za</w:t>
            </w:r>
            <w:r w:rsidR="008D0BF1">
              <w:t xml:space="preserve"> udzielenia zezwolenia</w:t>
            </w:r>
            <w:r w:rsidR="00660BF2">
              <w:t xml:space="preserve"> </w:t>
            </w:r>
            <w:r w:rsidR="00660BF2" w:rsidRPr="00660BF2">
              <w:t xml:space="preserve">w wysokości </w:t>
            </w:r>
            <w:r w:rsidR="00AE58E0">
              <w:t xml:space="preserve">równowartości </w:t>
            </w:r>
            <w:r w:rsidR="00660BF2">
              <w:t xml:space="preserve">w złotych </w:t>
            </w:r>
            <w:r w:rsidR="00D819DF">
              <w:t xml:space="preserve">kwoty </w:t>
            </w:r>
            <w:r w:rsidR="00660BF2">
              <w:t>4500 euro</w:t>
            </w:r>
            <w:r w:rsidR="002C7DB6">
              <w:t>;</w:t>
            </w:r>
          </w:p>
          <w:p w14:paraId="65E28C7D" w14:textId="442B78F6" w:rsidR="00F10B7E" w:rsidRDefault="008D0BF1" w:rsidP="001506D1">
            <w:r>
              <w:t xml:space="preserve">- </w:t>
            </w:r>
            <w:r w:rsidR="00B27B74">
              <w:t>ustanowi</w:t>
            </w:r>
            <w:r w:rsidR="00B27B74" w:rsidRPr="0051484B">
              <w:t xml:space="preserve"> </w:t>
            </w:r>
            <w:r>
              <w:t xml:space="preserve">się </w:t>
            </w:r>
            <w:r w:rsidR="00B27B74">
              <w:t>warunki</w:t>
            </w:r>
            <w:r w:rsidR="00B27B74" w:rsidRPr="00FC4411">
              <w:t xml:space="preserve"> </w:t>
            </w:r>
            <w:r w:rsidR="00F37238">
              <w:t>działalności, prawa i obowiązki nabywców kredytów, którzy nabywają prawa kredytodawcy wynikające z nieobsługiwanej umowy o kredyt lub sam</w:t>
            </w:r>
            <w:r w:rsidR="00C22C00">
              <w:t>ą nieobsługiwaną umowę o kredyt</w:t>
            </w:r>
            <w:r w:rsidR="00F94F5C">
              <w:t xml:space="preserve">. Jednocześnie ani </w:t>
            </w:r>
            <w:r w:rsidR="0023560C">
              <w:t>D</w:t>
            </w:r>
            <w:r w:rsidR="00F94F5C">
              <w:t>yrektywa</w:t>
            </w:r>
            <w:r w:rsidR="0023560C">
              <w:t xml:space="preserve"> </w:t>
            </w:r>
            <w:r w:rsidR="0023560C" w:rsidRPr="0051484B">
              <w:t>2021/2167</w:t>
            </w:r>
            <w:r w:rsidR="00F94F5C">
              <w:t xml:space="preserve">, ani projekt nie zakładają możliwości korzystania przez instytucję kredytową (bank) z </w:t>
            </w:r>
            <w:r w:rsidR="00F94F5C" w:rsidRPr="00F94F5C">
              <w:t>wyspecjalizo</w:t>
            </w:r>
            <w:r w:rsidR="00F94F5C">
              <w:t>wanych podmiotów obsługujących</w:t>
            </w:r>
            <w:r w:rsidR="00F94F5C" w:rsidRPr="00F94F5C">
              <w:t xml:space="preserve"> kredyty</w:t>
            </w:r>
            <w:r w:rsidR="00F94F5C">
              <w:t xml:space="preserve"> </w:t>
            </w:r>
            <w:r w:rsidR="00F94F5C" w:rsidRPr="00F94F5C">
              <w:t>albo przeniesienia umowy o kredyt na nabywcę kredytu, który posiada apetyt na ryzyko oraz wiedzę fachową niezbędne do zarządzania takim kredytem</w:t>
            </w:r>
            <w:r w:rsidR="001B2BCF">
              <w:t>;</w:t>
            </w:r>
          </w:p>
          <w:p w14:paraId="7293BB25" w14:textId="779A28CA" w:rsidR="00C30043" w:rsidRPr="0051484B" w:rsidRDefault="005C512C" w:rsidP="001506D1">
            <w:r>
              <w:t xml:space="preserve">- wprowadzi się </w:t>
            </w:r>
            <w:r w:rsidR="00AE58E0">
              <w:t xml:space="preserve">zasadę nieobciążania </w:t>
            </w:r>
            <w:r w:rsidR="008D5DCF">
              <w:t xml:space="preserve">kredytobiorców kosztami związanymi z przeniesieniem </w:t>
            </w:r>
            <w:r w:rsidR="00D61291" w:rsidRPr="00D61291">
              <w:t>nieobsługiwanej umowy o kredyt</w:t>
            </w:r>
            <w:r w:rsidR="008D5DCF">
              <w:t>;</w:t>
            </w:r>
          </w:p>
          <w:p w14:paraId="3F34955D" w14:textId="5088AE90" w:rsidR="00D30A82" w:rsidRDefault="00F37238" w:rsidP="001506D1">
            <w:r>
              <w:t xml:space="preserve">- </w:t>
            </w:r>
            <w:r w:rsidR="00B27B74">
              <w:t>ustanowi</w:t>
            </w:r>
            <w:r w:rsidR="00B27B74" w:rsidRPr="0051484B">
              <w:t xml:space="preserve"> </w:t>
            </w:r>
            <w:r>
              <w:t xml:space="preserve">się katalog podmiotów, w stosunku do których przepisy </w:t>
            </w:r>
            <w:r w:rsidR="00B27B74">
              <w:t xml:space="preserve">projektowanej </w:t>
            </w:r>
            <w:r w:rsidR="00D30A82">
              <w:t xml:space="preserve">ustawy nie </w:t>
            </w:r>
            <w:r w:rsidR="00B27B74">
              <w:t xml:space="preserve">będą miały </w:t>
            </w:r>
            <w:r w:rsidR="00D30A82">
              <w:t>zastosowania</w:t>
            </w:r>
            <w:r w:rsidR="00B27B74">
              <w:t>;</w:t>
            </w:r>
            <w:r w:rsidR="001F2441">
              <w:t>;</w:t>
            </w:r>
          </w:p>
          <w:p w14:paraId="0CF1176D" w14:textId="05CEF213" w:rsidR="00B82DCD" w:rsidRDefault="006839F1" w:rsidP="001506D1">
            <w:r>
              <w:t xml:space="preserve">- </w:t>
            </w:r>
            <w:r w:rsidR="00CC3BF6">
              <w:t xml:space="preserve">ustanowi </w:t>
            </w:r>
            <w:r>
              <w:t>się o</w:t>
            </w:r>
            <w:r w:rsidRPr="006839F1">
              <w:t>bowiązki</w:t>
            </w:r>
            <w:r w:rsidR="00D56533">
              <w:t xml:space="preserve"> podmiotów obsługujących kredyty w zakresie prowadzonej przez nie działalności, </w:t>
            </w:r>
            <w:r w:rsidR="0023560C">
              <w:br/>
            </w:r>
            <w:r w:rsidR="00D56533">
              <w:t>w</w:t>
            </w:r>
            <w:r w:rsidR="00A13042">
              <w:t xml:space="preserve"> </w:t>
            </w:r>
            <w:r w:rsidR="00D56533">
              <w:t xml:space="preserve">szczególności dotyczące obowiązku posiadania </w:t>
            </w:r>
            <w:r w:rsidR="00DE1FE2">
              <w:t>kapitału zakładowego</w:t>
            </w:r>
            <w:r w:rsidR="008D0BF1">
              <w:t xml:space="preserve"> w </w:t>
            </w:r>
            <w:r w:rsidR="000710C1">
              <w:t xml:space="preserve">minimalnej </w:t>
            </w:r>
            <w:r w:rsidR="008D0BF1">
              <w:t xml:space="preserve">wysokości </w:t>
            </w:r>
            <w:r w:rsidR="000710C1">
              <w:t>1 000 000 zł</w:t>
            </w:r>
            <w:r w:rsidR="00AE58E0">
              <w:t xml:space="preserve"> i formy działalności</w:t>
            </w:r>
            <w:r w:rsidR="00CC3BF6">
              <w:t>;</w:t>
            </w:r>
            <w:r w:rsidR="000710C1">
              <w:t xml:space="preserve"> </w:t>
            </w:r>
            <w:r w:rsidR="00CC3BF6">
              <w:t>d</w:t>
            </w:r>
            <w:r w:rsidR="000710C1">
              <w:t>odatkowo proponuje się wprowadzenie wymogu</w:t>
            </w:r>
            <w:r w:rsidR="000710C1" w:rsidRPr="000710C1">
              <w:t xml:space="preserve"> utrzymywania przez cały okres działalności, </w:t>
            </w:r>
            <w:r w:rsidR="00500821">
              <w:t>funduszy</w:t>
            </w:r>
            <w:r w:rsidR="00500821" w:rsidRPr="000710C1">
              <w:t xml:space="preserve"> </w:t>
            </w:r>
            <w:r w:rsidR="000710C1" w:rsidRPr="000710C1">
              <w:t>własnych na określonym poziomie</w:t>
            </w:r>
            <w:r w:rsidR="00981336">
              <w:t>, tj.</w:t>
            </w:r>
            <w:r w:rsidR="000710C1" w:rsidRPr="000710C1">
              <w:t xml:space="preserve"> nie niższym niż wysokość kapitału zakładowego</w:t>
            </w:r>
            <w:r w:rsidR="002C7DB6">
              <w:t>;</w:t>
            </w:r>
          </w:p>
          <w:p w14:paraId="6A3AF1BD" w14:textId="15AD12F7" w:rsidR="00C30043" w:rsidRDefault="00C30043" w:rsidP="001506D1">
            <w:r>
              <w:t xml:space="preserve">- projekt nie </w:t>
            </w:r>
            <w:r w:rsidR="005C512C">
              <w:t xml:space="preserve">będzie </w:t>
            </w:r>
            <w:r>
              <w:t>przewid</w:t>
            </w:r>
            <w:r w:rsidR="005C512C">
              <w:t>ywał</w:t>
            </w:r>
            <w:r>
              <w:t xml:space="preserve"> możliwości przechowywania </w:t>
            </w:r>
            <w:r w:rsidRPr="00C30043">
              <w:t>środków finansowych od kredytobiorców podczas prowadzenia działalności w zakresie obsługi kredytów</w:t>
            </w:r>
            <w:r>
              <w:t>;</w:t>
            </w:r>
          </w:p>
          <w:p w14:paraId="168B03CE" w14:textId="6270ECDC" w:rsidR="00CF23E1" w:rsidRDefault="008D0BF1" w:rsidP="001506D1">
            <w:r>
              <w:t xml:space="preserve">- </w:t>
            </w:r>
            <w:r w:rsidR="00DE1FE2">
              <w:t>określ</w:t>
            </w:r>
            <w:r w:rsidR="00CC3BF6">
              <w:t>i</w:t>
            </w:r>
            <w:r w:rsidR="00DE1FE2">
              <w:t xml:space="preserve"> się wymogi</w:t>
            </w:r>
            <w:r w:rsidR="00CC3BF6">
              <w:t>,</w:t>
            </w:r>
            <w:r w:rsidR="00DE1FE2">
              <w:t xml:space="preserve"> jakie muszą spełnić członkowie zarządu </w:t>
            </w:r>
            <w:r w:rsidR="003C5CC9">
              <w:t xml:space="preserve">oraz rady nadzorczej </w:t>
            </w:r>
            <w:r w:rsidR="00DE1FE2">
              <w:t>podmiotu obsługującego kredyty</w:t>
            </w:r>
            <w:r w:rsidR="00CC3BF6">
              <w:t xml:space="preserve">; </w:t>
            </w:r>
            <w:r w:rsidR="00CC3BF6" w:rsidRPr="00CC3BF6">
              <w:t>spełnienie tych wymogów będzie warunkiem uzyskania zezwolenia;</w:t>
            </w:r>
          </w:p>
          <w:p w14:paraId="6E1DC628" w14:textId="78743690" w:rsidR="00D93805" w:rsidRDefault="006A1B2F" w:rsidP="001506D1">
            <w:r>
              <w:t xml:space="preserve">- </w:t>
            </w:r>
            <w:r w:rsidR="00C147A3">
              <w:t>określ</w:t>
            </w:r>
            <w:r w:rsidR="00CC3BF6">
              <w:t>i</w:t>
            </w:r>
            <w:r>
              <w:t xml:space="preserve"> się także okoliczności, w których Komisja Nadzoru Finansowego </w:t>
            </w:r>
            <w:r w:rsidR="003C5CC9">
              <w:t xml:space="preserve">może cofnąć </w:t>
            </w:r>
            <w:r>
              <w:t>zezwolenie</w:t>
            </w:r>
            <w:r w:rsidR="00A87C3B">
              <w:t xml:space="preserve"> na prowadzeni</w:t>
            </w:r>
            <w:r w:rsidR="00CC3BF6">
              <w:t xml:space="preserve">e </w:t>
            </w:r>
            <w:r w:rsidR="00A87C3B">
              <w:t>działalności w zakresie obsługi kredytów</w:t>
            </w:r>
            <w:r w:rsidR="00AE58E0">
              <w:t xml:space="preserve"> oraz warunki wygaśnięcia zezwolenia </w:t>
            </w:r>
            <w:r w:rsidR="00101E4F">
              <w:t>na wykonywanie działalności w zakresie obsługi kredytów</w:t>
            </w:r>
            <w:r w:rsidR="00856991">
              <w:t>;</w:t>
            </w:r>
            <w:r w:rsidR="00101E4F">
              <w:t xml:space="preserve"> </w:t>
            </w:r>
          </w:p>
          <w:p w14:paraId="0747E1F3" w14:textId="068CE492" w:rsidR="00101E4F" w:rsidRPr="0051484B" w:rsidRDefault="00B3014E" w:rsidP="001506D1">
            <w:r>
              <w:t>- wprowadz</w:t>
            </w:r>
            <w:r w:rsidR="00CC3BF6">
              <w:t>i</w:t>
            </w:r>
            <w:r>
              <w:t xml:space="preserve"> się obowiązek wyznaczenia przez nabywcę kredytu podmiotu obsługującego kredyty, </w:t>
            </w:r>
            <w:r w:rsidR="00CC3BF6">
              <w:t>a także określi się</w:t>
            </w:r>
            <w:r w:rsidR="009156D7">
              <w:t xml:space="preserve"> </w:t>
            </w:r>
            <w:r w:rsidR="00843C43">
              <w:t xml:space="preserve">niezbędne </w:t>
            </w:r>
            <w:r w:rsidR="009156D7">
              <w:t>elementy</w:t>
            </w:r>
            <w:r w:rsidR="00101E4F">
              <w:t xml:space="preserve"> d</w:t>
            </w:r>
            <w:r w:rsidR="009156D7">
              <w:t>o zawarcia umowy</w:t>
            </w:r>
            <w:r w:rsidR="00843C43">
              <w:t xml:space="preserve"> </w:t>
            </w:r>
            <w:r w:rsidR="009156D7">
              <w:t xml:space="preserve">między podmiotem </w:t>
            </w:r>
            <w:r w:rsidR="00843C43">
              <w:t>obsługującym kredyt a nabywcą kredytu</w:t>
            </w:r>
            <w:r w:rsidR="00CC3BF6">
              <w:t>;</w:t>
            </w:r>
            <w:r w:rsidR="00101E4F">
              <w:t xml:space="preserve"> </w:t>
            </w:r>
            <w:r w:rsidR="00CC3BF6">
              <w:t>p</w:t>
            </w:r>
            <w:r w:rsidR="00DE4FE2">
              <w:t xml:space="preserve">onadto przewiduje się możliwość dalszego powierzenia </w:t>
            </w:r>
            <w:r w:rsidR="00DE4FE2" w:rsidRPr="00DE4FE2">
              <w:t>wykonywania czynności przez podmiot obsługujący kredyty</w:t>
            </w:r>
            <w:r w:rsidR="00DE4FE2">
              <w:t xml:space="preserve"> dostaw</w:t>
            </w:r>
            <w:r w:rsidR="002C64A9">
              <w:t>c</w:t>
            </w:r>
            <w:r w:rsidR="00DE4FE2">
              <w:t xml:space="preserve">y </w:t>
            </w:r>
            <w:r w:rsidR="00DE4FE2" w:rsidRPr="00DE4FE2">
              <w:t>usług obsługi kredytów</w:t>
            </w:r>
            <w:r w:rsidR="00101E4F">
              <w:t>;</w:t>
            </w:r>
            <w:r w:rsidR="006C6C28">
              <w:t xml:space="preserve"> </w:t>
            </w:r>
          </w:p>
          <w:p w14:paraId="6BB3CCAA" w14:textId="30867EF9" w:rsidR="006C6C28" w:rsidRDefault="004B76F9" w:rsidP="006C6C28">
            <w:r w:rsidRPr="0051484B">
              <w:t>- wprowadz</w:t>
            </w:r>
            <w:r w:rsidR="00CC3BF6">
              <w:t>i</w:t>
            </w:r>
            <w:r w:rsidRPr="0051484B">
              <w:t xml:space="preserve"> się rejestru podmiotów obsługujących kredyty, który </w:t>
            </w:r>
            <w:r w:rsidR="00CC3BF6">
              <w:t xml:space="preserve">będzie </w:t>
            </w:r>
            <w:r w:rsidRPr="0051484B">
              <w:t>prowadzony przez Komisję Nadzoru Finansowego</w:t>
            </w:r>
            <w:r w:rsidR="004A2C0F">
              <w:t xml:space="preserve">, </w:t>
            </w:r>
            <w:r w:rsidR="00A13042">
              <w:t>aby zapewnić</w:t>
            </w:r>
            <w:r w:rsidR="004A2C0F">
              <w:t xml:space="preserve"> przejrzystoś</w:t>
            </w:r>
            <w:r w:rsidR="002001E7">
              <w:t>ć</w:t>
            </w:r>
            <w:r w:rsidR="004A2C0F">
              <w:t xml:space="preserve"> w </w:t>
            </w:r>
            <w:r w:rsidR="00CC3BF6">
              <w:t xml:space="preserve">zakresie </w:t>
            </w:r>
            <w:r w:rsidR="004A2C0F">
              <w:t>liczby</w:t>
            </w:r>
            <w:r w:rsidR="00D5061D" w:rsidRPr="00D5061D">
              <w:t xml:space="preserve"> posiadających zezwolenie podmiotów obsługujących kredyty</w:t>
            </w:r>
            <w:r w:rsidR="00CC3BF6">
              <w:t>; p</w:t>
            </w:r>
            <w:r w:rsidR="0007575B">
              <w:t>onadto wprowadz</w:t>
            </w:r>
            <w:r w:rsidR="00CC3BF6">
              <w:t>i</w:t>
            </w:r>
            <w:r w:rsidR="0007575B">
              <w:t xml:space="preserve"> się wymóg sprawozdawczości </w:t>
            </w:r>
            <w:r w:rsidR="0007575B" w:rsidRPr="0007575B">
              <w:t>w zakresie obsługi kredytów</w:t>
            </w:r>
            <w:r w:rsidR="0007575B">
              <w:t xml:space="preserve"> </w:t>
            </w:r>
            <w:r w:rsidR="00CC3BF6">
              <w:t xml:space="preserve">wobec </w:t>
            </w:r>
            <w:r w:rsidR="0007575B">
              <w:t>Komisji Nadzoru Finansowego</w:t>
            </w:r>
            <w:r w:rsidR="00CC3BF6">
              <w:t xml:space="preserve">; </w:t>
            </w:r>
          </w:p>
          <w:p w14:paraId="6BBF8819" w14:textId="691C0165" w:rsidR="00981336" w:rsidRDefault="00E21397" w:rsidP="001506D1">
            <w:r>
              <w:t xml:space="preserve">- </w:t>
            </w:r>
            <w:r w:rsidR="00CC3BF6">
              <w:t xml:space="preserve">ustanowi </w:t>
            </w:r>
            <w:r>
              <w:t>się nadzór nad działalnością</w:t>
            </w:r>
            <w:r w:rsidRPr="00E21397">
              <w:t xml:space="preserve"> podmiotów obsługujących kredyty oraz nabywców kredytów</w:t>
            </w:r>
            <w:r>
              <w:t xml:space="preserve"> przez Komisję Nadzoru Finansowego</w:t>
            </w:r>
            <w:r w:rsidR="00AD099B">
              <w:t>;</w:t>
            </w:r>
            <w:r w:rsidR="00CF0655">
              <w:t xml:space="preserve"> </w:t>
            </w:r>
            <w:r w:rsidR="00AD099B">
              <w:t>p</w:t>
            </w:r>
            <w:r w:rsidR="007C592E">
              <w:t>onadto w zależności od charakteru naruszeń Komisj</w:t>
            </w:r>
            <w:r w:rsidR="00AD099B">
              <w:t>a</w:t>
            </w:r>
            <w:r w:rsidR="007C592E">
              <w:t xml:space="preserve"> Nadzoru Finansowego </w:t>
            </w:r>
            <w:r w:rsidR="00AD099B">
              <w:t xml:space="preserve">będzie miała </w:t>
            </w:r>
            <w:r w:rsidR="007C592E">
              <w:t>możliwość nakładania kar pieniężnych</w:t>
            </w:r>
            <w:r w:rsidR="00EE47A2">
              <w:t xml:space="preserve"> </w:t>
            </w:r>
            <w:r w:rsidR="00EE47A2" w:rsidRPr="00EE47A2">
              <w:t>na podmiot obsługujący kredyty</w:t>
            </w:r>
            <w:r w:rsidR="00EE47A2">
              <w:t xml:space="preserve"> lub </w:t>
            </w:r>
            <w:r w:rsidR="00EE47A2" w:rsidRPr="00EE47A2">
              <w:t>odpowiedzialnego za naruszenie członka zarządu podmiotu obsługującego kredyty</w:t>
            </w:r>
            <w:r w:rsidR="00D34710">
              <w:t xml:space="preserve"> lub nabywcę kredytu lub jego przedstawiciela</w:t>
            </w:r>
            <w:r w:rsidR="00AD099B">
              <w:t>;</w:t>
            </w:r>
            <w:r w:rsidR="00BC6B89">
              <w:t xml:space="preserve"> </w:t>
            </w:r>
          </w:p>
          <w:p w14:paraId="2DD5081E" w14:textId="6E36727E" w:rsidR="00981336" w:rsidRDefault="00981336" w:rsidP="001506D1">
            <w:r>
              <w:t xml:space="preserve">- </w:t>
            </w:r>
            <w:r w:rsidR="00AD099B">
              <w:t xml:space="preserve">określi się </w:t>
            </w:r>
            <w:r w:rsidR="00BC6B89">
              <w:t xml:space="preserve">zasady finansowania </w:t>
            </w:r>
            <w:r w:rsidR="00BC6B89" w:rsidRPr="00BC6B89">
              <w:t>kosztów nadzoru</w:t>
            </w:r>
            <w:r w:rsidR="00BC6B89">
              <w:t xml:space="preserve"> przez p</w:t>
            </w:r>
            <w:r w:rsidR="00BC6B89" w:rsidRPr="00BC6B89">
              <w:t>odmioty obsługujące kredyty</w:t>
            </w:r>
            <w:r w:rsidR="00AD099B">
              <w:t>;</w:t>
            </w:r>
            <w:r w:rsidR="005171A5">
              <w:t xml:space="preserve"> </w:t>
            </w:r>
          </w:p>
          <w:p w14:paraId="60A52310" w14:textId="421642E6" w:rsidR="00770972" w:rsidRDefault="00981336" w:rsidP="001506D1">
            <w:r>
              <w:t xml:space="preserve">- </w:t>
            </w:r>
            <w:r w:rsidR="00AD099B" w:rsidRPr="00AD099B">
              <w:t>wprowadzenie przepisów karnych penalizujących m.in. prowadzenie</w:t>
            </w:r>
            <w:r w:rsidR="00AD099B" w:rsidRPr="00AD099B" w:rsidDel="00AD099B">
              <w:t xml:space="preserve"> </w:t>
            </w:r>
            <w:r w:rsidR="008F0E20">
              <w:t>działalnoś</w:t>
            </w:r>
            <w:r w:rsidR="00AD099B">
              <w:t>ci</w:t>
            </w:r>
            <w:r w:rsidR="008F0E20">
              <w:t xml:space="preserve"> w zakresie obsługi kredytu </w:t>
            </w:r>
            <w:r w:rsidR="008F0E20" w:rsidRPr="008F0E20">
              <w:t>bez wymaganego zezwolenia</w:t>
            </w:r>
            <w:r w:rsidR="008F0E20">
              <w:t xml:space="preserve">, </w:t>
            </w:r>
            <w:r w:rsidR="00AD099B">
              <w:t xml:space="preserve">czy </w:t>
            </w:r>
            <w:r w:rsidR="008F0E20">
              <w:t>uniemożliwianie czynności kontrolnych</w:t>
            </w:r>
            <w:r w:rsidR="002C7DB6">
              <w:t>;</w:t>
            </w:r>
          </w:p>
          <w:p w14:paraId="3A3F178C" w14:textId="5064DA3E" w:rsidR="00E40593" w:rsidRDefault="00DE4FE2" w:rsidP="001506D1">
            <w:r>
              <w:t xml:space="preserve">- </w:t>
            </w:r>
            <w:r w:rsidR="00EE55AD">
              <w:t>p</w:t>
            </w:r>
            <w:r>
              <w:t xml:space="preserve">rzewiduje się, </w:t>
            </w:r>
            <w:r w:rsidR="00E40593">
              <w:t>że</w:t>
            </w:r>
            <w:r>
              <w:t xml:space="preserve"> p</w:t>
            </w:r>
            <w:r w:rsidRPr="00DE4FE2">
              <w:t>odmiot obsługujący kredyty posiadający zezwolenie</w:t>
            </w:r>
            <w:r w:rsidR="00E40593">
              <w:t xml:space="preserve"> </w:t>
            </w:r>
            <w:r w:rsidR="00AD099B">
              <w:t>będzie mógł</w:t>
            </w:r>
            <w:r w:rsidR="00AD099B" w:rsidRPr="00DE4FE2">
              <w:t xml:space="preserve"> </w:t>
            </w:r>
            <w:r w:rsidRPr="00DE4FE2">
              <w:t>prowadzić działalnoś</w:t>
            </w:r>
            <w:r w:rsidR="00452FB3">
              <w:t>ć</w:t>
            </w:r>
            <w:r w:rsidRPr="00DE4FE2">
              <w:t xml:space="preserve"> </w:t>
            </w:r>
            <w:r w:rsidR="008D58AD">
              <w:t xml:space="preserve">w zakresie </w:t>
            </w:r>
            <w:r w:rsidR="00B56BE0">
              <w:t xml:space="preserve">tylko </w:t>
            </w:r>
            <w:r w:rsidR="008D58AD">
              <w:t xml:space="preserve">nieobsługiwanych umów o kredyt </w:t>
            </w:r>
            <w:r w:rsidRPr="00DE4FE2">
              <w:t>na terytorium gosz</w:t>
            </w:r>
            <w:r w:rsidR="00E40593">
              <w:t>czącego państwa członkowskiego</w:t>
            </w:r>
            <w:r w:rsidR="00AD099B">
              <w:t>,</w:t>
            </w:r>
            <w:r w:rsidR="00E40593">
              <w:t xml:space="preserve"> czyli</w:t>
            </w:r>
            <w:r w:rsidR="00E40593" w:rsidRPr="00E40593">
              <w:t xml:space="preserve"> państwie inn</w:t>
            </w:r>
            <w:r w:rsidR="00452FB3">
              <w:t>ym</w:t>
            </w:r>
            <w:r w:rsidR="00E40593" w:rsidRPr="00E40593">
              <w:t xml:space="preserve"> niż macierzyste państwo członkowskie, w którym podmiot obsługujący kredyty ma oddział lub w którym prowadzi działalność w zakresie obsługi kredytów, oraz w którym </w:t>
            </w:r>
            <w:r w:rsidR="008304B4" w:rsidRPr="00E40593">
              <w:t>k</w:t>
            </w:r>
            <w:r w:rsidR="008304B4">
              <w:t>redytobiorca</w:t>
            </w:r>
            <w:r w:rsidR="008304B4" w:rsidRPr="00E40593">
              <w:t xml:space="preserve"> </w:t>
            </w:r>
            <w:r w:rsidR="00E40593" w:rsidRPr="00E40593">
              <w:t>ma miejsce zamieszkania</w:t>
            </w:r>
            <w:r w:rsidR="002C7DB6">
              <w:t>;</w:t>
            </w:r>
          </w:p>
          <w:p w14:paraId="21771D91" w14:textId="1D352CC0" w:rsidR="0007575B" w:rsidRDefault="0007575B" w:rsidP="001506D1">
            <w:r>
              <w:lastRenderedPageBreak/>
              <w:t xml:space="preserve">- </w:t>
            </w:r>
            <w:r w:rsidR="00EE55AD">
              <w:t>w</w:t>
            </w:r>
            <w:r>
              <w:t xml:space="preserve"> kontekście działalności transgranicznej </w:t>
            </w:r>
            <w:r w:rsidR="00AD099B">
              <w:t>zostanie wskazane</w:t>
            </w:r>
            <w:r>
              <w:t>, że w</w:t>
            </w:r>
            <w:r w:rsidRPr="0007575B">
              <w:t xml:space="preserve"> przyp</w:t>
            </w:r>
            <w:r>
              <w:t xml:space="preserve">adku gdy nabywca kredytu </w:t>
            </w:r>
            <w:r w:rsidRPr="0007575B">
              <w:t xml:space="preserve">nie posiada miejsca zamieszkania (siedziby) lub głównego biura na terenie państwa członkowskiego, </w:t>
            </w:r>
            <w:r w:rsidR="00AD099B">
              <w:t xml:space="preserve">będzie on </w:t>
            </w:r>
            <w:r w:rsidRPr="0007575B">
              <w:t>wyznacza</w:t>
            </w:r>
            <w:r w:rsidR="00AD099B">
              <w:t>ł</w:t>
            </w:r>
            <w:r w:rsidRPr="0007575B">
              <w:t xml:space="preserve"> </w:t>
            </w:r>
            <w:r w:rsidR="00BA7FA0">
              <w:t>w formie pisemnej</w:t>
            </w:r>
            <w:r w:rsidRPr="0007575B">
              <w:t xml:space="preserve"> swojego przedstawiciela</w:t>
            </w:r>
            <w:r w:rsidR="002C7DB6">
              <w:t>;</w:t>
            </w:r>
          </w:p>
          <w:p w14:paraId="71B616FE" w14:textId="1E009E21" w:rsidR="003506EE" w:rsidRDefault="00E40593" w:rsidP="001506D1">
            <w:r>
              <w:t>- wprowadz</w:t>
            </w:r>
            <w:r w:rsidR="00AD099B">
              <w:t>i</w:t>
            </w:r>
            <w:r>
              <w:t xml:space="preserve"> się obowiązek udostępniania przez kredytodawcę informacji, które pozwolą potencjalnemu nabywcy kredytu </w:t>
            </w:r>
            <w:r w:rsidR="00772EDE">
              <w:t>uzyskanie</w:t>
            </w:r>
            <w:r>
              <w:t xml:space="preserve"> istotnych informacji dotyczących </w:t>
            </w:r>
            <w:r w:rsidR="00772EDE">
              <w:t>oceny</w:t>
            </w:r>
            <w:r w:rsidR="00772EDE" w:rsidRPr="00772EDE">
              <w:t xml:space="preserve"> możliwości odzyskania wartości takiej umowy</w:t>
            </w:r>
            <w:r w:rsidR="00452FB3">
              <w:t>; d</w:t>
            </w:r>
            <w:r w:rsidR="008D5DCF">
              <w:t xml:space="preserve">odatkowo przewiduje się obowiązek przekazywania Komisji Nadzoru Finansowego </w:t>
            </w:r>
            <w:r w:rsidR="00691467">
              <w:t xml:space="preserve">wskazanych </w:t>
            </w:r>
            <w:r w:rsidR="008D5DCF">
              <w:t>informacji</w:t>
            </w:r>
            <w:r w:rsidR="00691467">
              <w:t xml:space="preserve">; </w:t>
            </w:r>
          </w:p>
          <w:p w14:paraId="181E0DB7" w14:textId="0CC6FBDC" w:rsidR="00BA7FA0" w:rsidRDefault="00BA7FA0" w:rsidP="001506D1">
            <w:r>
              <w:t>- wprowadzi się tajemnicę zawodową</w:t>
            </w:r>
            <w:r w:rsidRPr="00BA7FA0">
              <w:t xml:space="preserve"> o</w:t>
            </w:r>
            <w:r>
              <w:t>bejmującą</w:t>
            </w:r>
            <w:r w:rsidRPr="00BA7FA0">
              <w:t xml:space="preserve"> informacje dotyczące chronionych prawem interesów podmiotów obsługujących kredyty</w:t>
            </w:r>
            <w:r w:rsidR="00691467">
              <w:t>;</w:t>
            </w:r>
          </w:p>
          <w:p w14:paraId="719D0DE0" w14:textId="5D1C83A0" w:rsidR="00977590" w:rsidRPr="0051484B" w:rsidRDefault="00977590" w:rsidP="001506D1">
            <w:r>
              <w:t xml:space="preserve">- w celu należytej ochrony praw kredytobiorcy </w:t>
            </w:r>
            <w:r w:rsidR="00AD099B">
              <w:t xml:space="preserve">ustanowi </w:t>
            </w:r>
            <w:r>
              <w:t>się wymóg opracowania w</w:t>
            </w:r>
            <w:r w:rsidRPr="00977590">
              <w:t>ewnętrzn</w:t>
            </w:r>
            <w:r>
              <w:t>ych</w:t>
            </w:r>
            <w:r w:rsidRPr="00977590">
              <w:t xml:space="preserve"> procedur i polityki </w:t>
            </w:r>
            <w:r w:rsidR="0023560C">
              <w:br/>
            </w:r>
            <w:r w:rsidRPr="00977590">
              <w:t>w zakresie obsługi kredytów</w:t>
            </w:r>
            <w:r>
              <w:t xml:space="preserve"> prz</w:t>
            </w:r>
            <w:r w:rsidR="00AB090E">
              <w:t xml:space="preserve">ez podmiot obsługujący kredyty, w tym procedur </w:t>
            </w:r>
            <w:r w:rsidR="00566EAE">
              <w:t>dotycząc</w:t>
            </w:r>
            <w:r w:rsidR="00AD099B">
              <w:t>ych</w:t>
            </w:r>
            <w:r w:rsidR="00566EAE">
              <w:t xml:space="preserve"> </w:t>
            </w:r>
            <w:r w:rsidR="00AB090E" w:rsidRPr="00AB090E">
              <w:t>przeciwdziałania praniu pien</w:t>
            </w:r>
            <w:r w:rsidR="00B6727A">
              <w:t>iędzy i finansowaniu terroryzmu, jak również procedury dotyczącej</w:t>
            </w:r>
            <w:r w:rsidR="00EE55AD">
              <w:t xml:space="preserve"> relacji z kredytobiorcą</w:t>
            </w:r>
            <w:r w:rsidR="002C7DB6">
              <w:t>;</w:t>
            </w:r>
          </w:p>
          <w:p w14:paraId="3AAA8D7C" w14:textId="11463E2C" w:rsidR="005171A5" w:rsidRDefault="005171A5" w:rsidP="001506D1">
            <w:r>
              <w:t>- określ</w:t>
            </w:r>
            <w:r w:rsidR="00AD099B">
              <w:t>i</w:t>
            </w:r>
            <w:r>
              <w:t xml:space="preserve"> się katalog podmiotów, na żądanie których podmiot obsługujący kredyty zobowiązany </w:t>
            </w:r>
            <w:r w:rsidR="00AD099B">
              <w:t xml:space="preserve">będzie </w:t>
            </w:r>
            <w:r>
              <w:t>udzielić informacje</w:t>
            </w:r>
            <w:r w:rsidR="00C8237D">
              <w:t>;</w:t>
            </w:r>
          </w:p>
          <w:p w14:paraId="3C029C1F" w14:textId="6BF03325" w:rsidR="005171A5" w:rsidRDefault="005171A5" w:rsidP="001506D1">
            <w:r>
              <w:t xml:space="preserve">- </w:t>
            </w:r>
            <w:r w:rsidR="00AD099B">
              <w:t>wprowadzi się</w:t>
            </w:r>
            <w:r>
              <w:t xml:space="preserve"> obowiązek podmiotu obsługującego kredyt</w:t>
            </w:r>
            <w:r w:rsidR="002A1278">
              <w:t xml:space="preserve"> </w:t>
            </w:r>
            <w:r>
              <w:t>przechowywania dokumentacji w zakresie prowadzenia działalności obsługi kredytu.</w:t>
            </w:r>
          </w:p>
          <w:p w14:paraId="4B2C3571" w14:textId="77777777" w:rsidR="00C147A3" w:rsidRPr="0051484B" w:rsidRDefault="00C147A3" w:rsidP="001506D1"/>
          <w:p w14:paraId="7A0B0444" w14:textId="2F591A62" w:rsidR="006C67BF" w:rsidRPr="0051484B" w:rsidRDefault="005E5A0A" w:rsidP="001506D1">
            <w:r>
              <w:t>W ramach zmian</w:t>
            </w:r>
            <w:r w:rsidR="00023F5E">
              <w:t xml:space="preserve"> </w:t>
            </w:r>
            <w:r w:rsidR="00023F5E" w:rsidRPr="00023F5E">
              <w:t>w</w:t>
            </w:r>
            <w:r w:rsidR="00023F5E">
              <w:t>ynikając</w:t>
            </w:r>
            <w:r>
              <w:t>ych</w:t>
            </w:r>
            <w:r w:rsidR="00023F5E">
              <w:t xml:space="preserve"> z </w:t>
            </w:r>
            <w:r w:rsidR="00023F5E" w:rsidRPr="005E5A0A">
              <w:t>wyroku TSUE z dnia 27 marca 2019 (C-545/17)</w:t>
            </w:r>
            <w:r w:rsidR="00714899">
              <w:t xml:space="preserve"> </w:t>
            </w:r>
            <w:r>
              <w:t>w projekcie przewiduje się zmiany:</w:t>
            </w:r>
          </w:p>
          <w:p w14:paraId="22BA9298" w14:textId="5D6F26C1" w:rsidR="005E7BD9" w:rsidRDefault="005E7BD9" w:rsidP="008E5727">
            <w:pPr>
              <w:pStyle w:val="Akapitzlist"/>
              <w:numPr>
                <w:ilvl w:val="0"/>
                <w:numId w:val="11"/>
              </w:numPr>
            </w:pPr>
            <w:r>
              <w:t xml:space="preserve">ustawy </w:t>
            </w:r>
            <w:r w:rsidRPr="005E7BD9">
              <w:t>z dnia 22 maja 2003 r. o ubezpieczeniach obowiązkowych, Ubezpieczeniowym Funduszu Gwarancyjnym i Polskim Biurze Ubezpieczycieli Komunikacyjnych</w:t>
            </w:r>
            <w:r w:rsidR="00EF3D67">
              <w:t xml:space="preserve">– </w:t>
            </w:r>
            <w:r w:rsidR="008E5727">
              <w:t>poprzez umożliwienie</w:t>
            </w:r>
            <w:r w:rsidR="00EF3D67">
              <w:t>, w celu zachowania terminów,</w:t>
            </w:r>
            <w:r w:rsidR="008E5727">
              <w:t xml:space="preserve"> nadania</w:t>
            </w:r>
            <w:r w:rsidR="008E5727" w:rsidRPr="008E5727">
              <w:t xml:space="preserve"> </w:t>
            </w:r>
            <w:r w:rsidR="008E5727">
              <w:t>oświadczenia</w:t>
            </w:r>
            <w:r w:rsidR="008E5727" w:rsidRPr="008E5727">
              <w:t xml:space="preserve"> o wypowiedzeniu lub odstąpieniu od umowy ubezpieczenia obowiązkowego w placówce podmiotu zajmującego się doręczaniem korespondencji na terenie Unii Europejskiej</w:t>
            </w:r>
            <w:r w:rsidR="008E5727">
              <w:t>;</w:t>
            </w:r>
          </w:p>
          <w:p w14:paraId="4C71BFB3" w14:textId="65E6AC5C" w:rsidR="005E7BD9" w:rsidRDefault="005E7BD9" w:rsidP="008E5727">
            <w:pPr>
              <w:pStyle w:val="Akapitzlist"/>
              <w:numPr>
                <w:ilvl w:val="0"/>
                <w:numId w:val="11"/>
              </w:numPr>
            </w:pPr>
            <w:r>
              <w:t xml:space="preserve">ustawy </w:t>
            </w:r>
            <w:r w:rsidRPr="00B842DA">
              <w:t xml:space="preserve">z dnia 27 maja 2004 r. o funduszach inwestycyjnych i zarządzaniu alternatywnymi funduszami inwestycyjnymi </w:t>
            </w:r>
            <w:r w:rsidR="00EF3D67">
              <w:t xml:space="preserve"> – </w:t>
            </w:r>
            <w:r w:rsidR="008E5727">
              <w:t>poprzez umożliwienie</w:t>
            </w:r>
            <w:r w:rsidR="0029684F">
              <w:t>,</w:t>
            </w:r>
            <w:r w:rsidR="0029684F">
              <w:rPr>
                <w:rStyle w:val="Ppogrubienie"/>
                <w:b w:val="0"/>
              </w:rPr>
              <w:t xml:space="preserve"> w celu zachowania terminów,</w:t>
            </w:r>
            <w:r w:rsidR="008E5727">
              <w:t xml:space="preserve"> nadania </w:t>
            </w:r>
            <w:r w:rsidR="008E5727" w:rsidRPr="008E5727">
              <w:t>decyzji kończącej postępowanie w przedmiocie zawiadomienia</w:t>
            </w:r>
            <w:r w:rsidR="008E5727">
              <w:t xml:space="preserve"> </w:t>
            </w:r>
            <w:r w:rsidR="008E5727" w:rsidRPr="008E5727">
              <w:t>w placówce podmiotu zajmującego się doręczaniem korespondencji na terenie Unii Europejskiej</w:t>
            </w:r>
            <w:r w:rsidR="008E5727">
              <w:t>;</w:t>
            </w:r>
          </w:p>
          <w:p w14:paraId="0A7F34E0" w14:textId="0855FD64" w:rsidR="000A53BD" w:rsidRDefault="000A53BD" w:rsidP="008E5727">
            <w:pPr>
              <w:pStyle w:val="Akapitzlist"/>
              <w:numPr>
                <w:ilvl w:val="0"/>
                <w:numId w:val="11"/>
              </w:numPr>
            </w:pPr>
            <w:r>
              <w:t xml:space="preserve">ustawy </w:t>
            </w:r>
            <w:r w:rsidRPr="000A53BD">
              <w:t xml:space="preserve">z dnia 29 lipca 2005 r. o obrocie instrumentami finansowymi </w:t>
            </w:r>
            <w:r w:rsidR="00EF3D67">
              <w:t xml:space="preserve"> –</w:t>
            </w:r>
            <w:r w:rsidR="008E5727">
              <w:t>poprzez umożliwienie</w:t>
            </w:r>
            <w:r w:rsidR="00EF3D67">
              <w:t>, w celu zachowania terminów,</w:t>
            </w:r>
            <w:r w:rsidR="008E5727">
              <w:t xml:space="preserve"> nadania </w:t>
            </w:r>
            <w:r w:rsidR="008E5727" w:rsidRPr="008E5727">
              <w:t>decyzji</w:t>
            </w:r>
            <w:r w:rsidR="008E5727">
              <w:t xml:space="preserve"> </w:t>
            </w:r>
            <w:r w:rsidR="008E5727" w:rsidRPr="008E5727">
              <w:t>w placówce podmiotu zajmującego się doręczaniem korespondencji na terenie Unii Europejskiej</w:t>
            </w:r>
            <w:r w:rsidR="008E5727">
              <w:t>;</w:t>
            </w:r>
          </w:p>
          <w:p w14:paraId="704CDC2D" w14:textId="0C2E9215" w:rsidR="0026182C" w:rsidRDefault="0026182C" w:rsidP="008E5727">
            <w:pPr>
              <w:pStyle w:val="Akapitzlist"/>
              <w:numPr>
                <w:ilvl w:val="0"/>
                <w:numId w:val="11"/>
              </w:numPr>
            </w:pPr>
            <w:r>
              <w:rPr>
                <w:rStyle w:val="Ppogrubienie"/>
                <w:b w:val="0"/>
              </w:rPr>
              <w:t xml:space="preserve">ustawy </w:t>
            </w:r>
            <w:r w:rsidRPr="003541C8">
              <w:rPr>
                <w:rStyle w:val="Ppogrubienie"/>
                <w:b w:val="0"/>
              </w:rPr>
              <w:t xml:space="preserve">z dnia 21 lipca 2006 r. o nadzorze nad rynkiem </w:t>
            </w:r>
            <w:r>
              <w:rPr>
                <w:rStyle w:val="Ppogrubienie"/>
                <w:b w:val="0"/>
              </w:rPr>
              <w:t>kapitałowym</w:t>
            </w:r>
            <w:r w:rsidR="00EF3D67">
              <w:rPr>
                <w:rStyle w:val="Ppogrubienie"/>
                <w:b w:val="0"/>
              </w:rPr>
              <w:t xml:space="preserve">– </w:t>
            </w:r>
            <w:r w:rsidR="008E5727">
              <w:rPr>
                <w:rStyle w:val="Ppogrubienie"/>
                <w:b w:val="0"/>
              </w:rPr>
              <w:t>poprzez umożliwienie</w:t>
            </w:r>
            <w:r w:rsidR="0029684F">
              <w:rPr>
                <w:rStyle w:val="Ppogrubienie"/>
                <w:b w:val="0"/>
              </w:rPr>
              <w:t>, w celu zachowania terminów,</w:t>
            </w:r>
            <w:r w:rsidR="008E5727">
              <w:rPr>
                <w:rStyle w:val="Ppogrubienie"/>
                <w:b w:val="0"/>
              </w:rPr>
              <w:t xml:space="preserve"> doręczenia protokołów</w:t>
            </w:r>
            <w:r w:rsidR="008E5727" w:rsidRPr="008E5727">
              <w:rPr>
                <w:rStyle w:val="Ppogrubienie"/>
                <w:b w:val="0"/>
              </w:rPr>
              <w:t xml:space="preserve"> kontroli kontrolowanemu bezpośrednio, za pokwitowaniem</w:t>
            </w:r>
            <w:r w:rsidR="008E5727">
              <w:rPr>
                <w:rStyle w:val="Ppogrubienie"/>
                <w:b w:val="0"/>
              </w:rPr>
              <w:t xml:space="preserve"> przez </w:t>
            </w:r>
            <w:r w:rsidR="008E5727" w:rsidRPr="008E5727">
              <w:rPr>
                <w:rStyle w:val="Ppogrubienie"/>
                <w:b w:val="0"/>
              </w:rPr>
              <w:t>podmiot zajmujący się doręczaniem korespondencji na terenie Unii Europejskiej</w:t>
            </w:r>
            <w:r w:rsidR="0029684F">
              <w:rPr>
                <w:rStyle w:val="Ppogrubienie"/>
                <w:b w:val="0"/>
              </w:rPr>
              <w:t>;</w:t>
            </w:r>
          </w:p>
          <w:p w14:paraId="595D88DE" w14:textId="2BCD8430" w:rsidR="00B1794E" w:rsidRDefault="00B1794E" w:rsidP="0029684F">
            <w:pPr>
              <w:pStyle w:val="Akapitzlist"/>
              <w:numPr>
                <w:ilvl w:val="0"/>
                <w:numId w:val="11"/>
              </w:numPr>
            </w:pPr>
            <w:r>
              <w:t>ustawy z</w:t>
            </w:r>
            <w:r w:rsidRPr="00B1794E">
              <w:t xml:space="preserve"> dnia 19 sierpnia 2011 r. o usługach płatniczych</w:t>
            </w:r>
            <w:r w:rsidR="00EF3D67">
              <w:t xml:space="preserve"> –</w:t>
            </w:r>
            <w:r w:rsidR="0029684F">
              <w:t xml:space="preserve"> poprzez umożliwienie, w celu zachowania terminów, nadania odpowiedzi udzielonych na piśmie</w:t>
            </w:r>
            <w:r w:rsidR="0029684F" w:rsidRPr="008E5727">
              <w:t xml:space="preserve"> w placówce podmiotu zajmującego się doręczaniem korespondencji na terenie Unii Europejskiej</w:t>
            </w:r>
            <w:r w:rsidR="0029684F">
              <w:t>;</w:t>
            </w:r>
          </w:p>
          <w:p w14:paraId="7BAC1888" w14:textId="0654EA4D" w:rsidR="00B1794E" w:rsidRDefault="00B1794E" w:rsidP="0029684F">
            <w:pPr>
              <w:pStyle w:val="Akapitzlist"/>
              <w:numPr>
                <w:ilvl w:val="0"/>
                <w:numId w:val="11"/>
              </w:numPr>
            </w:pPr>
            <w:r w:rsidRPr="0029684F">
              <w:t>ustawy z dnia 23</w:t>
            </w:r>
            <w:r w:rsidRPr="00B1794E">
              <w:t xml:space="preserve"> października 2014 r. o odwróconym kredycie hipotecznym</w:t>
            </w:r>
            <w:r w:rsidR="00EF3D67">
              <w:t xml:space="preserve">– </w:t>
            </w:r>
            <w:r w:rsidR="0029684F">
              <w:t>poprzez umożliwienie, w celu zachowania terminu, nadania oświadczenia</w:t>
            </w:r>
            <w:r w:rsidR="0029684F" w:rsidRPr="0029684F">
              <w:t xml:space="preserve"> o odstąpieniu od umowy</w:t>
            </w:r>
            <w:r w:rsidR="0029684F">
              <w:t xml:space="preserve"> </w:t>
            </w:r>
            <w:r w:rsidR="0029684F" w:rsidRPr="0029684F">
              <w:t>odwróconego kredytu hipotecznego</w:t>
            </w:r>
            <w:r w:rsidR="0029684F">
              <w:t xml:space="preserve"> </w:t>
            </w:r>
            <w:r w:rsidR="0029684F" w:rsidRPr="008E5727">
              <w:t>w placówce podmiotu zajmującego się doręczaniem korespondencji na terenie Unii Europejskiej</w:t>
            </w:r>
            <w:r w:rsidR="0029684F">
              <w:t>;</w:t>
            </w:r>
          </w:p>
          <w:p w14:paraId="5F09EC00" w14:textId="02AD3CAE" w:rsidR="00B1794E" w:rsidRDefault="00B1794E" w:rsidP="009914E8">
            <w:pPr>
              <w:pStyle w:val="Akapitzlist"/>
              <w:numPr>
                <w:ilvl w:val="0"/>
                <w:numId w:val="11"/>
              </w:numPr>
            </w:pPr>
            <w:r w:rsidRPr="009914E8">
              <w:t>ustawy z dnia 11 września 2015</w:t>
            </w:r>
            <w:r w:rsidRPr="00B1794E">
              <w:t xml:space="preserve"> r. o działalności ubezpieczeniowej i reasekuracyjnej </w:t>
            </w:r>
            <w:r w:rsidR="009914E8">
              <w:t xml:space="preserve">poprzez umożliwienie, w celu zachowania terminów, nadania </w:t>
            </w:r>
            <w:r w:rsidR="009914E8" w:rsidRPr="009914E8">
              <w:t>decyzji kończącej postępowanie w przedmiocie zawiadomienia</w:t>
            </w:r>
            <w:r w:rsidR="009914E8">
              <w:t xml:space="preserve"> </w:t>
            </w:r>
            <w:r w:rsidR="009914E8" w:rsidRPr="008E5727">
              <w:t>w placówce podmiotu zajmującego się doręczaniem korespondencji na terenie Unii Europejskiej</w:t>
            </w:r>
            <w:r w:rsidR="00820B36">
              <w:t>.</w:t>
            </w:r>
          </w:p>
          <w:p w14:paraId="59F0CB4B" w14:textId="77777777" w:rsidR="00C147A3" w:rsidRDefault="00C147A3" w:rsidP="00A77D73">
            <w:pPr>
              <w:pStyle w:val="Akapitzlist"/>
            </w:pPr>
          </w:p>
          <w:p w14:paraId="6375CA21" w14:textId="0F878C02" w:rsidR="001024DD" w:rsidRPr="0051484B" w:rsidRDefault="00C147A3" w:rsidP="003C0645">
            <w:r>
              <w:t>I</w:t>
            </w:r>
            <w:r w:rsidRPr="0051484B">
              <w:t xml:space="preserve">mplementacja </w:t>
            </w:r>
            <w:r w:rsidR="009F768F">
              <w:t>D</w:t>
            </w:r>
            <w:r w:rsidRPr="0051484B">
              <w:t xml:space="preserve">yrektywy 2021/2167 do polskiego porządku prawnego może stanowić impuls dla rozwoju tej części sektora finansowego, wzmocni ochronę banków przed </w:t>
            </w:r>
            <w:r w:rsidR="00A77D73">
              <w:t>ujętymi</w:t>
            </w:r>
            <w:r w:rsidR="00FF01D4" w:rsidRPr="0051484B">
              <w:t xml:space="preserve"> </w:t>
            </w:r>
            <w:r w:rsidRPr="0051484B">
              <w:t>w bilansach banków kredyt</w:t>
            </w:r>
            <w:r w:rsidR="00A77D73">
              <w:t>ami</w:t>
            </w:r>
            <w:r w:rsidRPr="0051484B">
              <w:t xml:space="preserve"> zagrożonych, ujednolici działania branży, zwiększy jej konkurencyjność, polepszy współpracę między wierzycielem a </w:t>
            </w:r>
            <w:r w:rsidR="00FF01D4">
              <w:t>nabywcą kredytu</w:t>
            </w:r>
            <w:r w:rsidRPr="0051484B">
              <w:t xml:space="preserve"> z korzyścią dla osób zadłużonych, a wyznaczone </w:t>
            </w:r>
            <w:r w:rsidR="009F768F">
              <w:t>D</w:t>
            </w:r>
            <w:r w:rsidRPr="0051484B">
              <w:t xml:space="preserve">yrektywą 2021/2167 warunki prowadzenia działalności w </w:t>
            </w:r>
            <w:r w:rsidR="00FF01D4">
              <w:t>na rynku wtórnym kredytu</w:t>
            </w:r>
            <w:r w:rsidRPr="0051484B">
              <w:t xml:space="preserve"> będą najistotniejszym wyznacznikiem ram jego funkcjonowania.</w:t>
            </w:r>
          </w:p>
        </w:tc>
      </w:tr>
      <w:tr w:rsidR="001024DD" w:rsidRPr="0051484B" w14:paraId="6BAB26FB" w14:textId="77777777" w:rsidTr="00CC3BF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D3F97B0" w14:textId="77777777" w:rsidR="001024DD" w:rsidRPr="0051484B" w:rsidRDefault="001024DD" w:rsidP="001506D1">
            <w:pPr>
              <w:rPr>
                <w:b/>
                <w:color w:val="000000"/>
              </w:rPr>
            </w:pPr>
            <w:r w:rsidRPr="0051484B">
              <w:rPr>
                <w:b/>
              </w:rPr>
              <w:lastRenderedPageBreak/>
              <w:t>3.Jak</w:t>
            </w:r>
            <w:r w:rsidRPr="0051484B">
              <w:rPr>
                <w:b/>
                <w:spacing w:val="-2"/>
              </w:rPr>
              <w:t xml:space="preserve"> problem został rozwiązany w innych krajach, w szczególności krajach członkowskich OECD/UE</w:t>
            </w:r>
            <w:r w:rsidRPr="0051484B">
              <w:rPr>
                <w:b/>
                <w:color w:val="000000"/>
              </w:rPr>
              <w:t>?</w:t>
            </w:r>
          </w:p>
        </w:tc>
      </w:tr>
      <w:tr w:rsidR="001024DD" w:rsidRPr="0051484B" w14:paraId="6B1FFC94" w14:textId="77777777" w:rsidTr="00CC3BF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2003688A" w14:textId="77777777" w:rsidR="00DF4BA2" w:rsidRDefault="00DF4BA2" w:rsidP="00DF4B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Pogrubienie"/>
                <w:b w:val="0"/>
              </w:rPr>
            </w:pPr>
            <w:r w:rsidRPr="00DF4BA2">
              <w:rPr>
                <w:rStyle w:val="Pogrubienie"/>
                <w:b w:val="0"/>
              </w:rPr>
              <w:t>Projektowana ustawa ma na celu wykonanie prawa Unii Europejskiej, co nastąpi na tożsamych zasadach w</w:t>
            </w:r>
            <w:r>
              <w:rPr>
                <w:rStyle w:val="Pogrubienie"/>
                <w:b w:val="0"/>
              </w:rPr>
              <w:t xml:space="preserve"> </w:t>
            </w:r>
            <w:r w:rsidRPr="00DF4BA2">
              <w:rPr>
                <w:rStyle w:val="Pogrubienie"/>
                <w:b w:val="0"/>
              </w:rPr>
              <w:t>państwach członkowskich UE.</w:t>
            </w:r>
          </w:p>
          <w:p w14:paraId="3DCE4BA0" w14:textId="77777777" w:rsidR="00DF4BA2" w:rsidRDefault="00DF4BA2" w:rsidP="00150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Pogrubienie"/>
                <w:b w:val="0"/>
              </w:rPr>
            </w:pPr>
          </w:p>
          <w:p w14:paraId="2E381CA2" w14:textId="7378D07D" w:rsidR="00D03AF6" w:rsidRDefault="00980614" w:rsidP="00150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Pogrubienie"/>
                <w:b w:val="0"/>
              </w:rPr>
            </w:pPr>
            <w:r w:rsidRPr="0051484B">
              <w:rPr>
                <w:rStyle w:val="Pogrubienie"/>
                <w:b w:val="0"/>
              </w:rPr>
              <w:t>Komisja Europejska</w:t>
            </w:r>
            <w:r w:rsidR="009F768F">
              <w:rPr>
                <w:rStyle w:val="Pogrubienie"/>
                <w:b w:val="0"/>
              </w:rPr>
              <w:t>,</w:t>
            </w:r>
            <w:r w:rsidRPr="0051484B">
              <w:rPr>
                <w:rStyle w:val="Pogrubienie"/>
                <w:b w:val="0"/>
              </w:rPr>
              <w:t xml:space="preserve"> dostrzegając problem dużych wolumenów kredytów zagroż</w:t>
            </w:r>
            <w:r w:rsidR="00AF475D" w:rsidRPr="0051484B">
              <w:rPr>
                <w:rStyle w:val="Pogrubienie"/>
                <w:b w:val="0"/>
              </w:rPr>
              <w:t>onych w bankach</w:t>
            </w:r>
            <w:r w:rsidR="009F768F">
              <w:rPr>
                <w:rStyle w:val="Pogrubienie"/>
                <w:b w:val="0"/>
              </w:rPr>
              <w:t>,</w:t>
            </w:r>
            <w:r w:rsidR="00AF475D" w:rsidRPr="0051484B">
              <w:rPr>
                <w:rStyle w:val="Pogrubienie"/>
                <w:b w:val="0"/>
              </w:rPr>
              <w:t xml:space="preserve"> zaproponowała </w:t>
            </w:r>
            <w:r w:rsidR="009F768F">
              <w:rPr>
                <w:rStyle w:val="Pogrubienie"/>
                <w:b w:val="0"/>
              </w:rPr>
              <w:t>D</w:t>
            </w:r>
            <w:r w:rsidRPr="0051484B">
              <w:rPr>
                <w:rStyle w:val="Pogrubienie"/>
                <w:b w:val="0"/>
              </w:rPr>
              <w:t>yrektyw</w:t>
            </w:r>
            <w:r w:rsidR="00952445">
              <w:rPr>
                <w:rStyle w:val="Pogrubienie"/>
                <w:b w:val="0"/>
              </w:rPr>
              <w:t>ę</w:t>
            </w:r>
            <w:r w:rsidRPr="0051484B">
              <w:rPr>
                <w:rStyle w:val="Pogrubienie"/>
                <w:b w:val="0"/>
              </w:rPr>
              <w:t xml:space="preserve"> </w:t>
            </w:r>
            <w:r w:rsidR="009A1745" w:rsidRPr="0051484B">
              <w:t>2021/2167</w:t>
            </w:r>
            <w:r w:rsidRPr="0051484B">
              <w:rPr>
                <w:rStyle w:val="Pogrubienie"/>
                <w:b w:val="0"/>
              </w:rPr>
              <w:t>, mając</w:t>
            </w:r>
            <w:r w:rsidR="00952445">
              <w:rPr>
                <w:rStyle w:val="Pogrubienie"/>
                <w:b w:val="0"/>
              </w:rPr>
              <w:t>ą</w:t>
            </w:r>
            <w:r w:rsidRPr="0051484B">
              <w:rPr>
                <w:rStyle w:val="Pogrubienie"/>
                <w:b w:val="0"/>
              </w:rPr>
              <w:t xml:space="preserve"> na celu ustabilizowanie sytuacji i zapobieganie nadmiernej akumulacji nieterminowych kredytów w przyszłości. Komisja </w:t>
            </w:r>
            <w:r w:rsidR="00952445">
              <w:rPr>
                <w:rStyle w:val="Pogrubienie"/>
                <w:b w:val="0"/>
              </w:rPr>
              <w:t xml:space="preserve">Europejska </w:t>
            </w:r>
            <w:r w:rsidRPr="0051484B">
              <w:rPr>
                <w:rStyle w:val="Pogrubienie"/>
                <w:b w:val="0"/>
              </w:rPr>
              <w:t xml:space="preserve">zwróciła uwagę, że problem kredytów zagrożonych „ze względu na wzajemne powiązania między systemami bankowymi i finansowymi w całej Unii, (…) stwarza znaczący potencjał skutków ubocznych dla państw członkowskich i Unii jako całości zarówno pod względem wzrostu gospodarczego, jak </w:t>
            </w:r>
            <w:r w:rsidR="0023560C">
              <w:rPr>
                <w:rStyle w:val="Pogrubienie"/>
                <w:b w:val="0"/>
              </w:rPr>
              <w:br/>
            </w:r>
            <w:r w:rsidRPr="0051484B">
              <w:rPr>
                <w:rStyle w:val="Pogrubienie"/>
                <w:b w:val="0"/>
              </w:rPr>
              <w:t xml:space="preserve">i stabilności finansowej”. Dlatego też rekomendowanym działaniem jest współpraca banków z branżą zarządzania wierzytelnościami. Istotność poziomu kredytów zagrożonych dla gospodarki potwierdza analiza sytuacji </w:t>
            </w:r>
            <w:r w:rsidR="0023560C">
              <w:rPr>
                <w:rStyle w:val="Pogrubienie"/>
                <w:b w:val="0"/>
              </w:rPr>
              <w:br/>
            </w:r>
            <w:r w:rsidRPr="0051484B">
              <w:rPr>
                <w:rStyle w:val="Pogrubienie"/>
                <w:b w:val="0"/>
              </w:rPr>
              <w:t xml:space="preserve">na poszczególnych rynkach UE. Obniżenie przez europejskie banki odsetka kredytów nieregularnych przekłada się </w:t>
            </w:r>
            <w:r w:rsidR="0023560C">
              <w:rPr>
                <w:rStyle w:val="Pogrubienie"/>
                <w:b w:val="0"/>
              </w:rPr>
              <w:br/>
            </w:r>
            <w:r w:rsidRPr="0051484B">
              <w:rPr>
                <w:rStyle w:val="Pogrubienie"/>
                <w:b w:val="0"/>
              </w:rPr>
              <w:t xml:space="preserve">na możliwość wyższego poziomu wzrostu gospodarczego. </w:t>
            </w:r>
          </w:p>
          <w:p w14:paraId="10A027B5" w14:textId="5E12DF7F" w:rsidR="001024DD" w:rsidRPr="0051484B" w:rsidRDefault="00980614" w:rsidP="003C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1484B">
              <w:rPr>
                <w:rStyle w:val="Pogrubienie"/>
                <w:b w:val="0"/>
              </w:rPr>
              <w:t xml:space="preserve">Dane Europejskiego Banku Centralnego (ECB) wskazują, </w:t>
            </w:r>
            <w:r w:rsidR="00AF475D" w:rsidRPr="0051484B">
              <w:rPr>
                <w:rStyle w:val="Pogrubienie"/>
                <w:b w:val="0"/>
              </w:rPr>
              <w:t>że w </w:t>
            </w:r>
            <w:r w:rsidRPr="0051484B">
              <w:rPr>
                <w:rStyle w:val="Pogrubienie"/>
                <w:b w:val="0"/>
              </w:rPr>
              <w:t xml:space="preserve">latach 2014–2019 poszczególne sektory bankowe obniżyły poziom NPL średnio o 6,4 pkt. proc. Największą poprawę jakości portfela kredytowego odnotowały: Cypr (-20,5 pkt. proc.), Słowenia (-19,4 pkt. proc.), Rumunia (-16,4 pkt. proc.) i Węgry (-15,2 pkt. proc.). Jednocześnie są to kraje, które </w:t>
            </w:r>
            <w:r w:rsidRPr="0051484B">
              <w:rPr>
                <w:rStyle w:val="Pogrubienie"/>
                <w:b w:val="0"/>
              </w:rPr>
              <w:lastRenderedPageBreak/>
              <w:t>w analizowanym okresie odnotowały średnie tempo PKB na poziomie wyższym od średniej unijnej. W tym kontekście szczególnie warto podkreślić przykład C</w:t>
            </w:r>
            <w:r w:rsidR="00AF475D" w:rsidRPr="0051484B">
              <w:rPr>
                <w:rStyle w:val="Pogrubienie"/>
                <w:b w:val="0"/>
              </w:rPr>
              <w:t>ypru, który jeszcze w </w:t>
            </w:r>
            <w:r w:rsidRPr="0051484B">
              <w:rPr>
                <w:rStyle w:val="Pogrubienie"/>
                <w:b w:val="0"/>
              </w:rPr>
              <w:t>2014 roku notował drugi najwyższy poziom NPL wśród krajów</w:t>
            </w:r>
            <w:r w:rsidRPr="0051484B" w:rsidDel="00980614">
              <w:rPr>
                <w:rStyle w:val="Pogrubienie"/>
                <w:b w:val="0"/>
              </w:rPr>
              <w:t xml:space="preserve"> </w:t>
            </w:r>
            <w:r w:rsidRPr="0051484B">
              <w:rPr>
                <w:rStyle w:val="Pogrubienie"/>
                <w:b w:val="0"/>
              </w:rPr>
              <w:t>UE (38,6%) i jednocześnie najniższy poziom wzrostu gospodarczego (-1,8%).</w:t>
            </w:r>
            <w:r w:rsidRPr="0051484B" w:rsidDel="00980614">
              <w:rPr>
                <w:rStyle w:val="Pogrubienie"/>
                <w:b w:val="0"/>
              </w:rPr>
              <w:t xml:space="preserve"> </w:t>
            </w:r>
          </w:p>
        </w:tc>
      </w:tr>
      <w:tr w:rsidR="001024DD" w:rsidRPr="0051484B" w14:paraId="6B9C9E9A" w14:textId="77777777" w:rsidTr="00CC3BF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29B1F3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</w:rPr>
              <w:lastRenderedPageBreak/>
              <w:t>4. Podmioty, na które oddziałuje projekt</w:t>
            </w:r>
          </w:p>
        </w:tc>
      </w:tr>
      <w:tr w:rsidR="001024DD" w:rsidRPr="0051484B" w14:paraId="150A6B3D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727D664A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4FCA17E6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Wielkość</w:t>
            </w:r>
          </w:p>
        </w:tc>
        <w:tc>
          <w:tcPr>
            <w:tcW w:w="3149" w:type="dxa"/>
            <w:gridSpan w:val="12"/>
          </w:tcPr>
          <w:p w14:paraId="1703A581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Źródło danych</w:t>
            </w:r>
            <w:r w:rsidRPr="0051484B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28" w:type="dxa"/>
            <w:gridSpan w:val="6"/>
          </w:tcPr>
          <w:p w14:paraId="01F0FC44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Oddziaływanie</w:t>
            </w:r>
          </w:p>
        </w:tc>
      </w:tr>
      <w:tr w:rsidR="001024DD" w:rsidRPr="0051484B" w14:paraId="5C6C18E6" w14:textId="77777777" w:rsidTr="00187DB9">
        <w:trPr>
          <w:gridAfter w:val="1"/>
          <w:wAfter w:w="10" w:type="dxa"/>
          <w:trHeight w:val="979"/>
        </w:trPr>
        <w:tc>
          <w:tcPr>
            <w:tcW w:w="2668" w:type="dxa"/>
            <w:gridSpan w:val="3"/>
          </w:tcPr>
          <w:p w14:paraId="4BC0AEEC" w14:textId="77777777" w:rsidR="001024DD" w:rsidRPr="0051484B" w:rsidRDefault="001024DD" w:rsidP="001506D1">
            <w:pPr>
              <w:spacing w:before="40"/>
              <w:jc w:val="center"/>
              <w:rPr>
                <w:rStyle w:val="Hipercze"/>
                <w:color w:val="000000" w:themeColor="text1"/>
                <w:spacing w:val="-2"/>
                <w:u w:val="none"/>
              </w:rPr>
            </w:pPr>
            <w:r w:rsidRPr="0051484B">
              <w:rPr>
                <w:rStyle w:val="Hipercze"/>
                <w:color w:val="000000" w:themeColor="text1"/>
                <w:spacing w:val="-2"/>
                <w:u w:val="none"/>
              </w:rPr>
              <w:t>B</w:t>
            </w:r>
            <w:r w:rsidR="00FC6255" w:rsidRPr="0051484B">
              <w:rPr>
                <w:rStyle w:val="Hipercze"/>
                <w:color w:val="000000" w:themeColor="text1"/>
                <w:spacing w:val="-2"/>
                <w:u w:val="none"/>
              </w:rPr>
              <w:t>anki w formie spółek akcyjnych</w:t>
            </w:r>
          </w:p>
        </w:tc>
        <w:tc>
          <w:tcPr>
            <w:tcW w:w="2292" w:type="dxa"/>
            <w:gridSpan w:val="8"/>
          </w:tcPr>
          <w:p w14:paraId="3A036136" w14:textId="77777777" w:rsidR="001024DD" w:rsidRPr="0051484B" w:rsidRDefault="00FC6255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30</w:t>
            </w:r>
          </w:p>
        </w:tc>
        <w:tc>
          <w:tcPr>
            <w:tcW w:w="3149" w:type="dxa"/>
            <w:gridSpan w:val="12"/>
          </w:tcPr>
          <w:p w14:paraId="2EB5276A" w14:textId="77777777" w:rsidR="00FC6255" w:rsidRPr="0051484B" w:rsidRDefault="00FC6255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Rejestr podmiotów sektora bankowego KNF</w:t>
            </w:r>
          </w:p>
          <w:p w14:paraId="76B5DC54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 xml:space="preserve">(stan na </w:t>
            </w:r>
            <w:r w:rsidR="00FC6255" w:rsidRPr="0051484B">
              <w:rPr>
                <w:color w:val="000000"/>
                <w:spacing w:val="-2"/>
              </w:rPr>
              <w:t>14</w:t>
            </w:r>
            <w:r w:rsidRPr="0051484B">
              <w:rPr>
                <w:color w:val="000000"/>
                <w:spacing w:val="-2"/>
              </w:rPr>
              <w:t>.</w:t>
            </w:r>
            <w:r w:rsidR="00FC6255" w:rsidRPr="0051484B">
              <w:rPr>
                <w:color w:val="000000"/>
                <w:spacing w:val="-2"/>
              </w:rPr>
              <w:t>10</w:t>
            </w:r>
            <w:r w:rsidRPr="0051484B">
              <w:rPr>
                <w:color w:val="000000"/>
                <w:spacing w:val="-2"/>
              </w:rPr>
              <w:t>.</w:t>
            </w:r>
            <w:r w:rsidR="00991751" w:rsidRPr="0051484B">
              <w:rPr>
                <w:color w:val="000000"/>
                <w:spacing w:val="-2"/>
              </w:rPr>
              <w:t>202</w:t>
            </w:r>
            <w:r w:rsidR="00FC6255" w:rsidRPr="0051484B">
              <w:rPr>
                <w:color w:val="000000"/>
                <w:spacing w:val="-2"/>
              </w:rPr>
              <w:t>2</w:t>
            </w:r>
            <w:r w:rsidR="00991751" w:rsidRPr="0051484B">
              <w:rPr>
                <w:color w:val="000000"/>
                <w:spacing w:val="-2"/>
              </w:rPr>
              <w:t xml:space="preserve"> </w:t>
            </w:r>
            <w:r w:rsidRPr="0051484B">
              <w:rPr>
                <w:color w:val="000000"/>
                <w:spacing w:val="-2"/>
              </w:rPr>
              <w:t>r.)</w:t>
            </w:r>
          </w:p>
        </w:tc>
        <w:tc>
          <w:tcPr>
            <w:tcW w:w="2828" w:type="dxa"/>
            <w:gridSpan w:val="6"/>
          </w:tcPr>
          <w:p w14:paraId="39D28604" w14:textId="77777777" w:rsidR="001024DD" w:rsidRPr="0051484B" w:rsidRDefault="00FC6255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t>Możliwość zmniejszenia wolumenów kredytów zagrożonych</w:t>
            </w:r>
            <w:r w:rsidR="002352A7">
              <w:t>.</w:t>
            </w:r>
          </w:p>
        </w:tc>
      </w:tr>
      <w:tr w:rsidR="005B47EB" w:rsidRPr="0051484B" w14:paraId="44522745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3A041A67" w14:textId="77777777" w:rsidR="005B47EB" w:rsidRPr="0051484B" w:rsidRDefault="005B47EB" w:rsidP="001506D1">
            <w:pPr>
              <w:jc w:val="center"/>
            </w:pPr>
            <w:r w:rsidRPr="0051484B">
              <w:t>Banki spółdzielcze</w:t>
            </w:r>
          </w:p>
        </w:tc>
        <w:tc>
          <w:tcPr>
            <w:tcW w:w="2292" w:type="dxa"/>
            <w:gridSpan w:val="8"/>
          </w:tcPr>
          <w:p w14:paraId="4A75BC02" w14:textId="77777777" w:rsidR="005B47EB" w:rsidRPr="0051484B" w:rsidRDefault="00FC6255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498</w:t>
            </w:r>
          </w:p>
        </w:tc>
        <w:tc>
          <w:tcPr>
            <w:tcW w:w="3149" w:type="dxa"/>
            <w:gridSpan w:val="12"/>
          </w:tcPr>
          <w:p w14:paraId="21BA635B" w14:textId="77777777" w:rsidR="005B47EB" w:rsidRPr="0051484B" w:rsidRDefault="008524EE" w:rsidP="001506D1">
            <w:pPr>
              <w:spacing w:before="40"/>
              <w:jc w:val="center"/>
              <w:rPr>
                <w:bCs/>
                <w:color w:val="000000"/>
              </w:rPr>
            </w:pPr>
            <w:r w:rsidRPr="0051484B">
              <w:rPr>
                <w:bCs/>
                <w:color w:val="000000"/>
              </w:rPr>
              <w:t xml:space="preserve">Dane miesięczne sektora bankowego - sierpień 2022 </w:t>
            </w:r>
            <w:r w:rsidR="005B47EB" w:rsidRPr="0051484B">
              <w:rPr>
                <w:bCs/>
                <w:color w:val="000000"/>
              </w:rPr>
              <w:t xml:space="preserve">KNF </w:t>
            </w:r>
          </w:p>
          <w:p w14:paraId="0682709B" w14:textId="77777777" w:rsidR="005B47EB" w:rsidRPr="0051484B" w:rsidRDefault="008524EE" w:rsidP="001506D1">
            <w:pPr>
              <w:spacing w:before="40"/>
              <w:jc w:val="center"/>
              <w:rPr>
                <w:bCs/>
                <w:color w:val="000000"/>
              </w:rPr>
            </w:pPr>
            <w:r w:rsidRPr="0051484B">
              <w:rPr>
                <w:bCs/>
                <w:color w:val="000000"/>
              </w:rPr>
              <w:t>(stan na 14.10.2022</w:t>
            </w:r>
            <w:r w:rsidR="005B47EB" w:rsidRPr="0051484B">
              <w:rPr>
                <w:bCs/>
                <w:color w:val="000000"/>
              </w:rPr>
              <w:t>)</w:t>
            </w:r>
          </w:p>
        </w:tc>
        <w:tc>
          <w:tcPr>
            <w:tcW w:w="2828" w:type="dxa"/>
            <w:gridSpan w:val="6"/>
          </w:tcPr>
          <w:p w14:paraId="552695EA" w14:textId="77777777" w:rsidR="005B47EB" w:rsidRPr="0051484B" w:rsidRDefault="001C5D0D" w:rsidP="001506D1">
            <w:pPr>
              <w:jc w:val="center"/>
              <w:rPr>
                <w:rStyle w:val="Ppogrubienie"/>
                <w:b w:val="0"/>
              </w:rPr>
            </w:pPr>
            <w:r w:rsidRPr="0051484B">
              <w:t>Możliwość zmniejszenia wolumenów kredytów zagrożonych</w:t>
            </w:r>
            <w:r w:rsidR="002352A7">
              <w:t>.</w:t>
            </w:r>
          </w:p>
        </w:tc>
      </w:tr>
      <w:tr w:rsidR="001024DD" w:rsidRPr="0051484B" w14:paraId="5D312A1B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1EB9662C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t>Komisja Nadzoru Finansowego</w:t>
            </w:r>
          </w:p>
          <w:p w14:paraId="4991733C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</w:tcPr>
          <w:p w14:paraId="6BFEA90C" w14:textId="77777777" w:rsidR="001024DD" w:rsidRPr="0051484B" w:rsidRDefault="001024DD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1</w:t>
            </w:r>
          </w:p>
        </w:tc>
        <w:tc>
          <w:tcPr>
            <w:tcW w:w="3149" w:type="dxa"/>
            <w:gridSpan w:val="12"/>
          </w:tcPr>
          <w:p w14:paraId="23A832EA" w14:textId="0CD3A92D" w:rsidR="001024DD" w:rsidRPr="0051484B" w:rsidRDefault="0023560C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bCs/>
                <w:color w:val="000000"/>
              </w:rPr>
              <w:t>u</w:t>
            </w:r>
            <w:r w:rsidR="001024DD" w:rsidRPr="0051484B">
              <w:rPr>
                <w:bCs/>
                <w:color w:val="000000"/>
              </w:rPr>
              <w:t xml:space="preserve">stawa z dnia 21 lipca 2006 r. </w:t>
            </w:r>
            <w:r>
              <w:rPr>
                <w:bCs/>
                <w:color w:val="000000"/>
              </w:rPr>
              <w:br/>
            </w:r>
            <w:r w:rsidR="001024DD" w:rsidRPr="0051484B">
              <w:rPr>
                <w:bCs/>
                <w:color w:val="000000"/>
              </w:rPr>
              <w:t>o nadzorze nad rynkiem finansowym</w:t>
            </w:r>
          </w:p>
        </w:tc>
        <w:tc>
          <w:tcPr>
            <w:tcW w:w="2828" w:type="dxa"/>
            <w:gridSpan w:val="6"/>
          </w:tcPr>
          <w:p w14:paraId="06B5F0BC" w14:textId="77777777" w:rsidR="006C7A00" w:rsidRPr="0051484B" w:rsidRDefault="001024DD" w:rsidP="001506D1">
            <w:pPr>
              <w:jc w:val="center"/>
              <w:rPr>
                <w:rStyle w:val="Ppogrubienie"/>
                <w:b w:val="0"/>
              </w:rPr>
            </w:pPr>
            <w:r w:rsidRPr="0051484B">
              <w:rPr>
                <w:rStyle w:val="Ppogrubienie"/>
                <w:b w:val="0"/>
              </w:rPr>
              <w:t xml:space="preserve">Rozszerzenie nadzoru nad wykonywaniem działalności w zakresie </w:t>
            </w:r>
            <w:r w:rsidR="00EF4351" w:rsidRPr="0051484B">
              <w:rPr>
                <w:rStyle w:val="Ppogrubienie"/>
                <w:b w:val="0"/>
              </w:rPr>
              <w:t>obsługi kredytów</w:t>
            </w:r>
            <w:r w:rsidR="002352A7">
              <w:rPr>
                <w:rStyle w:val="Ppogrubienie"/>
                <w:b w:val="0"/>
              </w:rPr>
              <w:t>.</w:t>
            </w:r>
          </w:p>
          <w:p w14:paraId="0CE118D8" w14:textId="77777777" w:rsidR="006C7A00" w:rsidRPr="0051484B" w:rsidRDefault="006C7A00" w:rsidP="001506D1">
            <w:pPr>
              <w:jc w:val="center"/>
              <w:rPr>
                <w:rStyle w:val="Ppogrubienie"/>
                <w:b w:val="0"/>
              </w:rPr>
            </w:pPr>
          </w:p>
          <w:p w14:paraId="3282C0F4" w14:textId="77777777" w:rsidR="001024DD" w:rsidRPr="0051484B" w:rsidRDefault="006C7A00" w:rsidP="001506D1">
            <w:pPr>
              <w:jc w:val="center"/>
              <w:rPr>
                <w:color w:val="000000"/>
                <w:spacing w:val="-2"/>
              </w:rPr>
            </w:pPr>
            <w:r w:rsidRPr="0051484B">
              <w:rPr>
                <w:rStyle w:val="Ppogrubienie"/>
                <w:b w:val="0"/>
              </w:rPr>
              <w:t>Prowadzenie rejestru podmiotów obsługujących kredyty oraz wydawanie zezwoleń na działalność w zakresie obsługi kredytów</w:t>
            </w:r>
            <w:r w:rsidR="002352A7">
              <w:rPr>
                <w:rStyle w:val="Ppogrubienie"/>
                <w:b w:val="0"/>
              </w:rPr>
              <w:t>.</w:t>
            </w:r>
          </w:p>
        </w:tc>
      </w:tr>
      <w:tr w:rsidR="00453A43" w:rsidRPr="0051484B" w14:paraId="154EABD2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42292301" w14:textId="77777777" w:rsidR="00453A43" w:rsidRPr="0051484B" w:rsidRDefault="00453A43" w:rsidP="001506D1">
            <w:pPr>
              <w:jc w:val="center"/>
            </w:pPr>
            <w:r w:rsidRPr="00453A43">
              <w:t>Rzecznik Finansowy</w:t>
            </w:r>
          </w:p>
        </w:tc>
        <w:tc>
          <w:tcPr>
            <w:tcW w:w="2292" w:type="dxa"/>
            <w:gridSpan w:val="8"/>
          </w:tcPr>
          <w:p w14:paraId="3F30A4FF" w14:textId="77777777" w:rsidR="00453A43" w:rsidRPr="0051484B" w:rsidRDefault="00453A43" w:rsidP="001506D1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149" w:type="dxa"/>
            <w:gridSpan w:val="12"/>
          </w:tcPr>
          <w:p w14:paraId="483696FD" w14:textId="2146C253" w:rsidR="00453A43" w:rsidRPr="0051484B" w:rsidRDefault="00453A43" w:rsidP="009F768F">
            <w:pPr>
              <w:spacing w:before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ustawa</w:t>
            </w:r>
            <w:r w:rsidRPr="00453A43">
              <w:rPr>
                <w:bCs/>
                <w:color w:val="000000"/>
              </w:rPr>
              <w:t xml:space="preserve"> z dnia 5 sierpnia 2015 r. o rozpatrywaniu reklamacji przez podmioty rynku finansowego i o Rzeczniku Finansowym </w:t>
            </w:r>
          </w:p>
        </w:tc>
        <w:tc>
          <w:tcPr>
            <w:tcW w:w="2828" w:type="dxa"/>
            <w:gridSpan w:val="6"/>
          </w:tcPr>
          <w:p w14:paraId="714B4545" w14:textId="77777777" w:rsidR="00563077" w:rsidRPr="00563077" w:rsidRDefault="00563077" w:rsidP="00563077">
            <w:pPr>
              <w:jc w:val="center"/>
              <w:rPr>
                <w:rStyle w:val="Ppogrubienie"/>
                <w:b w:val="0"/>
              </w:rPr>
            </w:pPr>
            <w:r>
              <w:rPr>
                <w:rStyle w:val="Ppogrubienie"/>
                <w:b w:val="0"/>
              </w:rPr>
              <w:t>O</w:t>
            </w:r>
            <w:r w:rsidRPr="00563077">
              <w:rPr>
                <w:rStyle w:val="Ppogrubienie"/>
                <w:b w:val="0"/>
              </w:rPr>
              <w:t xml:space="preserve">bjęcie </w:t>
            </w:r>
            <w:r>
              <w:rPr>
                <w:rStyle w:val="Ppogrubienie"/>
                <w:b w:val="0"/>
              </w:rPr>
              <w:t>podmiotów obsługujących</w:t>
            </w:r>
            <w:r w:rsidRPr="00563077">
              <w:rPr>
                <w:rStyle w:val="Ppogrubienie"/>
                <w:b w:val="0"/>
              </w:rPr>
              <w:t xml:space="preserve"> kredyty, nabywców kredytów oraz dostawców usług obsługi kredytów</w:t>
            </w:r>
            <w:r>
              <w:rPr>
                <w:rStyle w:val="Ppogrubienie"/>
                <w:b w:val="0"/>
              </w:rPr>
              <w:t xml:space="preserve"> </w:t>
            </w:r>
            <w:r w:rsidRPr="00563077">
              <w:rPr>
                <w:rStyle w:val="Ppogrubienie"/>
                <w:b w:val="0"/>
              </w:rPr>
              <w:t>przepisami</w:t>
            </w:r>
          </w:p>
          <w:p w14:paraId="6FAD4E57" w14:textId="77777777" w:rsidR="00563077" w:rsidRPr="00563077" w:rsidRDefault="00563077" w:rsidP="00563077">
            <w:pPr>
              <w:jc w:val="center"/>
              <w:rPr>
                <w:rStyle w:val="Ppogrubienie"/>
                <w:b w:val="0"/>
              </w:rPr>
            </w:pPr>
            <w:r w:rsidRPr="00563077">
              <w:rPr>
                <w:rStyle w:val="Ppogrubienie"/>
                <w:b w:val="0"/>
              </w:rPr>
              <w:t>ustawy z dnia 5 sierpnia</w:t>
            </w:r>
          </w:p>
          <w:p w14:paraId="66A35D8F" w14:textId="77777777" w:rsidR="00563077" w:rsidRPr="00563077" w:rsidRDefault="00563077" w:rsidP="00563077">
            <w:pPr>
              <w:jc w:val="center"/>
              <w:rPr>
                <w:rStyle w:val="Ppogrubienie"/>
                <w:b w:val="0"/>
              </w:rPr>
            </w:pPr>
            <w:r w:rsidRPr="00563077">
              <w:rPr>
                <w:rStyle w:val="Ppogrubienie"/>
                <w:b w:val="0"/>
              </w:rPr>
              <w:t>2015 r. o rozpatrywaniu</w:t>
            </w:r>
          </w:p>
          <w:p w14:paraId="24491DD4" w14:textId="77777777" w:rsidR="00563077" w:rsidRPr="00563077" w:rsidRDefault="00563077" w:rsidP="00563077">
            <w:pPr>
              <w:jc w:val="center"/>
              <w:rPr>
                <w:rStyle w:val="Ppogrubienie"/>
                <w:b w:val="0"/>
              </w:rPr>
            </w:pPr>
            <w:r w:rsidRPr="00563077">
              <w:rPr>
                <w:rStyle w:val="Ppogrubienie"/>
                <w:b w:val="0"/>
              </w:rPr>
              <w:t>reklamacji przez podmioty</w:t>
            </w:r>
          </w:p>
          <w:p w14:paraId="2D14E2D4" w14:textId="7B768DC6" w:rsidR="00453A43" w:rsidRPr="0051484B" w:rsidRDefault="00563077" w:rsidP="0023560C">
            <w:pPr>
              <w:jc w:val="center"/>
              <w:rPr>
                <w:rStyle w:val="Ppogrubienie"/>
                <w:b w:val="0"/>
              </w:rPr>
            </w:pPr>
            <w:r w:rsidRPr="00563077">
              <w:rPr>
                <w:rStyle w:val="Ppogrubienie"/>
                <w:b w:val="0"/>
              </w:rPr>
              <w:t xml:space="preserve">rynku finansowego </w:t>
            </w:r>
            <w:r w:rsidR="0023560C">
              <w:rPr>
                <w:rStyle w:val="Ppogrubienie"/>
                <w:b w:val="0"/>
              </w:rPr>
              <w:br/>
            </w:r>
            <w:r w:rsidRPr="00563077">
              <w:rPr>
                <w:rStyle w:val="Ppogrubienie"/>
                <w:b w:val="0"/>
              </w:rPr>
              <w:t>i o</w:t>
            </w:r>
            <w:r w:rsidR="0023560C">
              <w:rPr>
                <w:rStyle w:val="Ppogrubienie"/>
                <w:b w:val="0"/>
              </w:rPr>
              <w:t xml:space="preserve"> </w:t>
            </w:r>
            <w:r w:rsidRPr="00563077">
              <w:rPr>
                <w:rStyle w:val="Ppogrubienie"/>
                <w:b w:val="0"/>
              </w:rPr>
              <w:t>Rzeczniku Finansowym</w:t>
            </w:r>
            <w:r w:rsidR="00021FE7">
              <w:rPr>
                <w:rStyle w:val="Ppogrubienie"/>
                <w:b w:val="0"/>
              </w:rPr>
              <w:t>.</w:t>
            </w:r>
          </w:p>
        </w:tc>
      </w:tr>
      <w:tr w:rsidR="008827E5" w:rsidRPr="0051484B" w14:paraId="4C73A13A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062251BD" w14:textId="77777777" w:rsidR="008827E5" w:rsidRPr="0051484B" w:rsidRDefault="008827E5" w:rsidP="001506D1">
            <w:pPr>
              <w:jc w:val="center"/>
            </w:pPr>
            <w:r>
              <w:t xml:space="preserve">Sądy </w:t>
            </w:r>
          </w:p>
        </w:tc>
        <w:tc>
          <w:tcPr>
            <w:tcW w:w="2292" w:type="dxa"/>
            <w:gridSpan w:val="8"/>
          </w:tcPr>
          <w:p w14:paraId="6DA666D8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376, w tym:</w:t>
            </w:r>
          </w:p>
          <w:p w14:paraId="23C46C99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318 sądów</w:t>
            </w:r>
          </w:p>
          <w:p w14:paraId="4186F470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rejonowych,</w:t>
            </w:r>
            <w:r>
              <w:rPr>
                <w:color w:val="000000"/>
                <w:spacing w:val="-2"/>
              </w:rPr>
              <w:t xml:space="preserve"> </w:t>
            </w:r>
            <w:r w:rsidRPr="008827E5">
              <w:rPr>
                <w:color w:val="000000"/>
                <w:spacing w:val="-2"/>
              </w:rPr>
              <w:t>47 sądów</w:t>
            </w:r>
          </w:p>
          <w:p w14:paraId="715C31C5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okręgowych,</w:t>
            </w:r>
          </w:p>
          <w:p w14:paraId="78EE3E89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11 sądów</w:t>
            </w:r>
          </w:p>
          <w:p w14:paraId="66E2043B" w14:textId="77777777" w:rsidR="008827E5" w:rsidRPr="008827E5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apelacyjnych</w:t>
            </w:r>
          </w:p>
          <w:p w14:paraId="07C92C05" w14:textId="77777777" w:rsidR="008827E5" w:rsidRPr="0051484B" w:rsidRDefault="008827E5" w:rsidP="008827E5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827E5">
              <w:rPr>
                <w:color w:val="000000"/>
                <w:spacing w:val="-2"/>
              </w:rPr>
              <w:t>(stan na 1.04.2022 r.)</w:t>
            </w:r>
          </w:p>
        </w:tc>
        <w:tc>
          <w:tcPr>
            <w:tcW w:w="3149" w:type="dxa"/>
            <w:gridSpan w:val="12"/>
          </w:tcPr>
          <w:p w14:paraId="4BAA7476" w14:textId="77777777" w:rsidR="00A730C8" w:rsidRPr="00A730C8" w:rsidRDefault="00A730C8" w:rsidP="00A730C8">
            <w:pPr>
              <w:spacing w:before="40"/>
              <w:jc w:val="center"/>
              <w:rPr>
                <w:bCs/>
                <w:color w:val="000000"/>
              </w:rPr>
            </w:pPr>
            <w:r w:rsidRPr="00A730C8">
              <w:rPr>
                <w:bCs/>
                <w:color w:val="000000"/>
              </w:rPr>
              <w:t>rozporządzenie Ministra Sprawiedliwości z dnia 28 grudnia 2018 r. w sprawie</w:t>
            </w:r>
          </w:p>
          <w:p w14:paraId="6542B8FE" w14:textId="77777777" w:rsidR="00A730C8" w:rsidRDefault="00A730C8" w:rsidP="00A730C8">
            <w:pPr>
              <w:spacing w:before="40"/>
              <w:jc w:val="center"/>
              <w:rPr>
                <w:bCs/>
                <w:color w:val="000000"/>
              </w:rPr>
            </w:pPr>
            <w:r w:rsidRPr="00A730C8">
              <w:rPr>
                <w:bCs/>
                <w:color w:val="000000"/>
              </w:rPr>
              <w:t xml:space="preserve">ustalenia siedzib i obszarów właściwości sądów apelacyjnych, sądów okręgowych i sądów rejonowych oraz zakresu rozpoznawanych przez nie spraw (Dz. U. z 2021 </w:t>
            </w:r>
            <w:r>
              <w:rPr>
                <w:bCs/>
                <w:color w:val="000000"/>
              </w:rPr>
              <w:t>r. poz. 1269, z późn. zm.)</w:t>
            </w:r>
          </w:p>
          <w:p w14:paraId="4BBFD837" w14:textId="77777777" w:rsidR="008827E5" w:rsidRPr="0051484B" w:rsidRDefault="00A730C8" w:rsidP="00A730C8">
            <w:pPr>
              <w:spacing w:before="40"/>
              <w:jc w:val="center"/>
              <w:rPr>
                <w:bCs/>
                <w:color w:val="000000"/>
              </w:rPr>
            </w:pPr>
            <w:r w:rsidRPr="00A730C8">
              <w:rPr>
                <w:bCs/>
                <w:color w:val="000000"/>
              </w:rPr>
              <w:t>Dane GUS - Lista sądów powszechnych</w:t>
            </w:r>
          </w:p>
        </w:tc>
        <w:tc>
          <w:tcPr>
            <w:tcW w:w="2828" w:type="dxa"/>
            <w:gridSpan w:val="6"/>
          </w:tcPr>
          <w:p w14:paraId="476A19FC" w14:textId="0B65542B" w:rsidR="008827E5" w:rsidRPr="0051484B" w:rsidRDefault="00031572" w:rsidP="00C30A17">
            <w:pPr>
              <w:jc w:val="center"/>
              <w:rPr>
                <w:rStyle w:val="Ppogrubienie"/>
                <w:b w:val="0"/>
              </w:rPr>
            </w:pPr>
            <w:r>
              <w:rPr>
                <w:rStyle w:val="Ppogrubienie"/>
                <w:b w:val="0"/>
              </w:rPr>
              <w:t>Projektowana ustawa nie wprowadza nowych podmiotów, a jedynie reguluje ich działalność</w:t>
            </w:r>
            <w:r w:rsidR="00C30A17">
              <w:rPr>
                <w:rStyle w:val="Ppogrubienie"/>
                <w:b w:val="0"/>
              </w:rPr>
              <w:t xml:space="preserve">, co może wiązać się m.in. </w:t>
            </w:r>
            <w:r w:rsidR="00A15FC7">
              <w:rPr>
                <w:rStyle w:val="Ppogrubienie"/>
                <w:b w:val="0"/>
              </w:rPr>
              <w:t xml:space="preserve">z </w:t>
            </w:r>
            <w:r w:rsidR="00C30A17">
              <w:rPr>
                <w:rStyle w:val="Ppogrubienie"/>
                <w:b w:val="0"/>
              </w:rPr>
              <w:t xml:space="preserve">wydawaniem przez sąd zaświadczeń o niekaralności członków zarządu przy udzielaniu zezwolenia </w:t>
            </w:r>
            <w:r w:rsidR="0023560C">
              <w:rPr>
                <w:rStyle w:val="Ppogrubienie"/>
                <w:b w:val="0"/>
              </w:rPr>
              <w:br/>
            </w:r>
            <w:r w:rsidR="00C30A17">
              <w:rPr>
                <w:rStyle w:val="Ppogrubienie"/>
                <w:b w:val="0"/>
              </w:rPr>
              <w:t xml:space="preserve">na prowadzenie działalności w zakresie obsługi kredytu, </w:t>
            </w:r>
            <w:r w:rsidR="0023560C">
              <w:rPr>
                <w:rStyle w:val="Ppogrubienie"/>
                <w:b w:val="0"/>
              </w:rPr>
              <w:br/>
            </w:r>
            <w:r w:rsidR="00C30A17">
              <w:rPr>
                <w:rStyle w:val="Ppogrubienie"/>
                <w:b w:val="0"/>
              </w:rPr>
              <w:t xml:space="preserve">a także przy rejestracji spółek (akcyjnej </w:t>
            </w:r>
            <w:r w:rsidR="0023560C">
              <w:rPr>
                <w:rStyle w:val="Ppogrubienie"/>
                <w:b w:val="0"/>
              </w:rPr>
              <w:br/>
            </w:r>
            <w:r w:rsidR="00C30A17">
              <w:rPr>
                <w:rStyle w:val="Ppogrubienie"/>
                <w:b w:val="0"/>
              </w:rPr>
              <w:t>i z ograniczoną odpowiedzialnością) czy przy przekształcaniu ich formy prawnej</w:t>
            </w:r>
            <w:r>
              <w:rPr>
                <w:rStyle w:val="Ppogrubienie"/>
                <w:b w:val="0"/>
              </w:rPr>
              <w:t xml:space="preserve">. </w:t>
            </w:r>
          </w:p>
        </w:tc>
      </w:tr>
      <w:tr w:rsidR="001B0463" w:rsidRPr="0051484B" w14:paraId="3A48F53C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0AFD0F42" w14:textId="77777777" w:rsidR="001B0463" w:rsidRPr="0051484B" w:rsidRDefault="001B0463" w:rsidP="001506D1">
            <w:pPr>
              <w:jc w:val="center"/>
            </w:pPr>
            <w:r w:rsidRPr="0051484B">
              <w:t xml:space="preserve">Podmioty obsługujące kredyty </w:t>
            </w:r>
          </w:p>
        </w:tc>
        <w:tc>
          <w:tcPr>
            <w:tcW w:w="2292" w:type="dxa"/>
            <w:gridSpan w:val="8"/>
          </w:tcPr>
          <w:p w14:paraId="293EFAA5" w14:textId="77777777" w:rsidR="001B0463" w:rsidRPr="0051484B" w:rsidRDefault="00A648B0" w:rsidP="00DF4BA2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brak danych</w:t>
            </w:r>
            <w:r w:rsidR="001B0463" w:rsidRPr="0051484B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149" w:type="dxa"/>
            <w:gridSpan w:val="12"/>
          </w:tcPr>
          <w:p w14:paraId="70225119" w14:textId="77777777" w:rsidR="001B0463" w:rsidRPr="0051484B" w:rsidRDefault="001B0463" w:rsidP="001506D1">
            <w:pPr>
              <w:spacing w:before="40"/>
              <w:jc w:val="center"/>
              <w:rPr>
                <w:bCs/>
                <w:color w:val="000000"/>
              </w:rPr>
            </w:pPr>
            <w:r w:rsidRPr="0051484B">
              <w:rPr>
                <w:bCs/>
                <w:color w:val="000000"/>
              </w:rPr>
              <w:t xml:space="preserve">- </w:t>
            </w:r>
          </w:p>
        </w:tc>
        <w:tc>
          <w:tcPr>
            <w:tcW w:w="2828" w:type="dxa"/>
            <w:gridSpan w:val="6"/>
          </w:tcPr>
          <w:p w14:paraId="6F8E1F05" w14:textId="77777777" w:rsidR="001B0463" w:rsidRPr="0051484B" w:rsidRDefault="001B0463" w:rsidP="001506D1">
            <w:pPr>
              <w:jc w:val="center"/>
              <w:rPr>
                <w:rStyle w:val="Ppogrubienie"/>
                <w:b w:val="0"/>
                <w:highlight w:val="yellow"/>
              </w:rPr>
            </w:pPr>
            <w:r w:rsidRPr="0051484B">
              <w:rPr>
                <w:rStyle w:val="Ppogrubienie"/>
                <w:b w:val="0"/>
              </w:rPr>
              <w:t xml:space="preserve">Wprowadzenie regulacji dotyczących zasad prowadzenia działalności </w:t>
            </w:r>
            <w:r w:rsidR="002352A7">
              <w:rPr>
                <w:rStyle w:val="Ppogrubienie"/>
                <w:b w:val="0"/>
              </w:rPr>
              <w:t>w </w:t>
            </w:r>
            <w:r w:rsidRPr="0051484B">
              <w:rPr>
                <w:rStyle w:val="Ppogrubienie"/>
                <w:b w:val="0"/>
              </w:rPr>
              <w:t>zakresie obsługi kredytów</w:t>
            </w:r>
            <w:r w:rsidR="002352A7">
              <w:rPr>
                <w:rStyle w:val="Ppogrubienie"/>
                <w:b w:val="0"/>
              </w:rPr>
              <w:t>.</w:t>
            </w:r>
          </w:p>
        </w:tc>
      </w:tr>
      <w:tr w:rsidR="006C7A00" w:rsidRPr="0051484B" w14:paraId="208964B2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1BF4C05D" w14:textId="77777777" w:rsidR="006C7A00" w:rsidRPr="0051484B" w:rsidRDefault="006C7A00" w:rsidP="001506D1">
            <w:pPr>
              <w:jc w:val="center"/>
            </w:pPr>
            <w:r w:rsidRPr="0051484B">
              <w:t xml:space="preserve">Nabywcy kredytów </w:t>
            </w:r>
          </w:p>
        </w:tc>
        <w:tc>
          <w:tcPr>
            <w:tcW w:w="2292" w:type="dxa"/>
            <w:gridSpan w:val="8"/>
          </w:tcPr>
          <w:p w14:paraId="178460CB" w14:textId="77777777" w:rsidR="00B255FA" w:rsidRDefault="00B255FA" w:rsidP="00B255FA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87</w:t>
            </w:r>
          </w:p>
          <w:p w14:paraId="4C81F747" w14:textId="77777777" w:rsidR="006C7A00" w:rsidRPr="0051484B" w:rsidRDefault="00B255FA" w:rsidP="00B255FA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(dot. sektora przedsiębiorstw windykacyjnych) </w:t>
            </w:r>
          </w:p>
        </w:tc>
        <w:tc>
          <w:tcPr>
            <w:tcW w:w="3149" w:type="dxa"/>
            <w:gridSpan w:val="12"/>
          </w:tcPr>
          <w:p w14:paraId="30F84D17" w14:textId="4C0FC657" w:rsidR="00B255FA" w:rsidRDefault="00B255FA" w:rsidP="00B255FA">
            <w:pPr>
              <w:spacing w:before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GUS – </w:t>
            </w:r>
            <w:r w:rsidR="009F768F">
              <w:rPr>
                <w:bCs/>
                <w:color w:val="000000"/>
              </w:rPr>
              <w:t xml:space="preserve">liczba </w:t>
            </w:r>
            <w:r w:rsidRPr="00B255FA">
              <w:rPr>
                <w:bCs/>
                <w:color w:val="000000"/>
              </w:rPr>
              <w:t>przedsiębiorstw windykacyjnych</w:t>
            </w:r>
            <w:r>
              <w:rPr>
                <w:bCs/>
                <w:color w:val="000000"/>
              </w:rPr>
              <w:t xml:space="preserve"> objętych badaniem „</w:t>
            </w:r>
            <w:r w:rsidRPr="00B255FA">
              <w:rPr>
                <w:bCs/>
                <w:color w:val="000000"/>
              </w:rPr>
              <w:t>Działalność przedsiębiorstw windykacyjnych w 2020 roku</w:t>
            </w:r>
            <w:r>
              <w:rPr>
                <w:bCs/>
                <w:color w:val="000000"/>
              </w:rPr>
              <w:t xml:space="preserve">”. Wśród podmiotów objętych badaniem </w:t>
            </w:r>
            <w:r w:rsidRPr="00B255FA">
              <w:rPr>
                <w:bCs/>
                <w:color w:val="000000"/>
              </w:rPr>
              <w:t xml:space="preserve">były 23 spółki akcyjne, 46 spółek z ograniczoną </w:t>
            </w:r>
            <w:r w:rsidRPr="00B255FA">
              <w:rPr>
                <w:bCs/>
                <w:color w:val="000000"/>
              </w:rPr>
              <w:lastRenderedPageBreak/>
              <w:t>odpowiedzialnością oraz 18 podmiotów o innych formach prawnych</w:t>
            </w:r>
            <w:r>
              <w:rPr>
                <w:bCs/>
                <w:color w:val="000000"/>
              </w:rPr>
              <w:t xml:space="preserve">. </w:t>
            </w:r>
          </w:p>
          <w:p w14:paraId="40B22D38" w14:textId="77777777" w:rsidR="00DF4BA2" w:rsidRDefault="00DF4BA2" w:rsidP="00B255FA">
            <w:pPr>
              <w:spacing w:before="40"/>
              <w:jc w:val="center"/>
              <w:rPr>
                <w:bCs/>
                <w:color w:val="000000"/>
              </w:rPr>
            </w:pPr>
          </w:p>
          <w:p w14:paraId="0E7D8A39" w14:textId="77777777" w:rsidR="006C7A00" w:rsidRPr="0051484B" w:rsidRDefault="00B255FA" w:rsidP="00B255FA">
            <w:pPr>
              <w:spacing w:before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Badanie dotyczyło wartość</w:t>
            </w:r>
            <w:r w:rsidRPr="00B255FA">
              <w:rPr>
                <w:bCs/>
                <w:color w:val="000000"/>
              </w:rPr>
              <w:t xml:space="preserve"> wszystkich </w:t>
            </w:r>
            <w:r>
              <w:rPr>
                <w:bCs/>
                <w:color w:val="000000"/>
              </w:rPr>
              <w:t xml:space="preserve">obsługiwanych </w:t>
            </w:r>
            <w:r w:rsidRPr="00B255FA">
              <w:rPr>
                <w:bCs/>
                <w:color w:val="000000"/>
              </w:rPr>
              <w:t>wierzytelności</w:t>
            </w:r>
            <w:r>
              <w:rPr>
                <w:bCs/>
                <w:color w:val="000000"/>
              </w:rPr>
              <w:t xml:space="preserve"> konsumenckich i korporacyjnych </w:t>
            </w:r>
            <w:r w:rsidRPr="00B255FA">
              <w:rPr>
                <w:bCs/>
                <w:color w:val="000000"/>
              </w:rPr>
              <w:t>(bez funduszy inwestycyjnych zewnętrznych)</w:t>
            </w:r>
            <w:r>
              <w:rPr>
                <w:bCs/>
                <w:color w:val="000000"/>
              </w:rPr>
              <w:t xml:space="preserve">. </w:t>
            </w:r>
            <w:r w:rsidR="006C7A00" w:rsidRPr="0051484B">
              <w:rPr>
                <w:bCs/>
                <w:color w:val="000000"/>
              </w:rPr>
              <w:t>-</w:t>
            </w:r>
          </w:p>
        </w:tc>
        <w:tc>
          <w:tcPr>
            <w:tcW w:w="2828" w:type="dxa"/>
            <w:gridSpan w:val="6"/>
          </w:tcPr>
          <w:p w14:paraId="012C6E20" w14:textId="77777777" w:rsidR="006C7A00" w:rsidRPr="0051484B" w:rsidRDefault="006C7A00" w:rsidP="001506D1">
            <w:pPr>
              <w:jc w:val="center"/>
              <w:rPr>
                <w:rStyle w:val="Ppogrubienie"/>
                <w:b w:val="0"/>
              </w:rPr>
            </w:pPr>
            <w:r w:rsidRPr="0051484B">
              <w:rPr>
                <w:rStyle w:val="Ppogrubienie"/>
                <w:b w:val="0"/>
              </w:rPr>
              <w:lastRenderedPageBreak/>
              <w:t xml:space="preserve">Wprowadzenie regulacji dotyczących zasad prowadzenia działalności </w:t>
            </w:r>
            <w:r w:rsidR="002352A7">
              <w:rPr>
                <w:rStyle w:val="Ppogrubienie"/>
                <w:b w:val="0"/>
              </w:rPr>
              <w:t>w </w:t>
            </w:r>
            <w:r w:rsidRPr="0051484B">
              <w:rPr>
                <w:rStyle w:val="Ppogrubienie"/>
                <w:b w:val="0"/>
              </w:rPr>
              <w:t>zakresie nabywania kredytów</w:t>
            </w:r>
            <w:r w:rsidR="002352A7">
              <w:rPr>
                <w:rStyle w:val="Ppogrubienie"/>
                <w:b w:val="0"/>
              </w:rPr>
              <w:t>.</w:t>
            </w:r>
          </w:p>
        </w:tc>
      </w:tr>
      <w:tr w:rsidR="00F61DCA" w:rsidRPr="0051484B" w14:paraId="6456F1DF" w14:textId="77777777" w:rsidTr="00187DB9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AB399C8" w14:textId="5044E886" w:rsidR="00F61DCA" w:rsidRPr="0051484B" w:rsidRDefault="00C95313" w:rsidP="001506D1">
            <w:pPr>
              <w:jc w:val="center"/>
            </w:pPr>
            <w:r>
              <w:lastRenderedPageBreak/>
              <w:t>K</w:t>
            </w:r>
            <w:r w:rsidR="00F61DCA">
              <w:t>onsumenci</w:t>
            </w:r>
          </w:p>
        </w:tc>
        <w:tc>
          <w:tcPr>
            <w:tcW w:w="2292" w:type="dxa"/>
            <w:gridSpan w:val="8"/>
          </w:tcPr>
          <w:p w14:paraId="071F8266" w14:textId="2AEF7BBA" w:rsidR="00F61DCA" w:rsidRDefault="004051B8" w:rsidP="00B255FA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3149" w:type="dxa"/>
            <w:gridSpan w:val="12"/>
          </w:tcPr>
          <w:p w14:paraId="5EDA3661" w14:textId="77A937E9" w:rsidR="00F61DCA" w:rsidRDefault="004051B8" w:rsidP="00B255FA">
            <w:pPr>
              <w:spacing w:before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828" w:type="dxa"/>
            <w:gridSpan w:val="6"/>
          </w:tcPr>
          <w:p w14:paraId="74651155" w14:textId="023A63AC" w:rsidR="00F61DCA" w:rsidRPr="0051484B" w:rsidRDefault="004051B8" w:rsidP="00795DE9">
            <w:pPr>
              <w:jc w:val="center"/>
              <w:rPr>
                <w:rStyle w:val="Ppogrubienie"/>
                <w:b w:val="0"/>
              </w:rPr>
            </w:pPr>
            <w:r>
              <w:rPr>
                <w:color w:val="000000"/>
                <w:spacing w:val="-2"/>
              </w:rPr>
              <w:t xml:space="preserve">Niniejsze regulacje </w:t>
            </w:r>
            <w:r w:rsidR="00795DE9">
              <w:rPr>
                <w:color w:val="000000"/>
                <w:spacing w:val="-2"/>
              </w:rPr>
              <w:t>podwyższą</w:t>
            </w:r>
            <w:r>
              <w:rPr>
                <w:color w:val="000000"/>
                <w:spacing w:val="-2"/>
              </w:rPr>
              <w:t xml:space="preserve"> poziom ochrony konsumentów i zapewnią przejrzyste zasady obsługi ich kredytów</w:t>
            </w:r>
            <w:r w:rsidR="00BF653B">
              <w:rPr>
                <w:color w:val="000000"/>
                <w:spacing w:val="-2"/>
              </w:rPr>
              <w:t>.</w:t>
            </w:r>
          </w:p>
        </w:tc>
      </w:tr>
      <w:tr w:rsidR="001024DD" w:rsidRPr="0051484B" w14:paraId="675F25BB" w14:textId="77777777" w:rsidTr="00CC3BF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E8B471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>5. Informacje na temat zakresu, czasu trwania i podsumowanie wyników konsultacji</w:t>
            </w:r>
          </w:p>
        </w:tc>
      </w:tr>
      <w:tr w:rsidR="001024DD" w:rsidRPr="0051484B" w14:paraId="33EC1BBF" w14:textId="77777777" w:rsidTr="00CE55E7">
        <w:trPr>
          <w:gridAfter w:val="1"/>
          <w:wAfter w:w="10" w:type="dxa"/>
          <w:trHeight w:val="274"/>
        </w:trPr>
        <w:tc>
          <w:tcPr>
            <w:tcW w:w="10937" w:type="dxa"/>
            <w:gridSpan w:val="29"/>
            <w:shd w:val="clear" w:color="auto" w:fill="FFFFFF"/>
          </w:tcPr>
          <w:p w14:paraId="483774D0" w14:textId="403A4610" w:rsidR="00C849F3" w:rsidRPr="0051484B" w:rsidRDefault="00D57ED8" w:rsidP="008304B4">
            <w:pPr>
              <w:shd w:val="clear" w:color="auto" w:fill="FFFFFF"/>
              <w:spacing w:before="100" w:beforeAutospacing="1" w:after="100" w:afterAutospacing="1"/>
            </w:pPr>
            <w:r w:rsidRPr="0051484B">
              <w:t xml:space="preserve">Projekt zostanie skierowany do </w:t>
            </w:r>
            <w:r w:rsidR="005E5A0A">
              <w:t xml:space="preserve">opiniowania i </w:t>
            </w:r>
            <w:r w:rsidRPr="0051484B">
              <w:t>konsultacji publicznych na 2</w:t>
            </w:r>
            <w:r w:rsidR="0073795C" w:rsidRPr="0051484B">
              <w:t>1 dni. Zostanie skonsultowany z</w:t>
            </w:r>
            <w:r w:rsidRPr="0051484B">
              <w:t xml:space="preserve"> reprezentatywnymi organizacjami zrzeszającymi przedsiębiorców oraz organizacjami konsumenckimi. W konsultacjach zostaną uwzględnione organizacje branżowe właściwe w zakresie funkcjonowania rynku finansowego. Projekt zostanie przekazany do następujących </w:t>
            </w:r>
            <w:r w:rsidR="00AA6552">
              <w:t xml:space="preserve">podmiotów i </w:t>
            </w:r>
            <w:r w:rsidRPr="0051484B">
              <w:t xml:space="preserve">organizacji: </w:t>
            </w:r>
            <w:r w:rsidR="00AA6552">
              <w:t xml:space="preserve">Urząd Ochrony Konkurencji i Konsumentów, Prokuratoria Generalna RP, Rzecznik Finansowy, Komisja Nadzoru Finansowego, </w:t>
            </w:r>
            <w:r w:rsidRPr="0051484B">
              <w:t xml:space="preserve">Polska Agencja Rozwoju Przedsiębiorczości, Business Center Club, Konfederacja </w:t>
            </w:r>
            <w:r w:rsidR="00AA6552">
              <w:t>„Lewiatan”</w:t>
            </w:r>
            <w:r w:rsidRPr="0051484B">
              <w:t xml:space="preserve">, Związek </w:t>
            </w:r>
            <w:r w:rsidR="00AA6552" w:rsidRPr="0051484B">
              <w:t xml:space="preserve">Przedsiębiorców </w:t>
            </w:r>
            <w:r w:rsidR="00AA6552">
              <w:t xml:space="preserve">i </w:t>
            </w:r>
            <w:r w:rsidRPr="0051484B">
              <w:t>Pracodawców, Pracodawcy Rzecz</w:t>
            </w:r>
            <w:r w:rsidR="00F908A4">
              <w:t>y</w:t>
            </w:r>
            <w:r w:rsidRPr="0051484B">
              <w:t>pospolitej Polskiej, Federacja Przedsiębiorców Polskich,</w:t>
            </w:r>
            <w:r w:rsidR="006C7CDB">
              <w:t xml:space="preserve"> Związek Rzemiosła Polskiego,</w:t>
            </w:r>
            <w:r w:rsidRPr="0051484B">
              <w:t xml:space="preserve"> Fundacja Małych i Średnich Przedsiębiorstw, Krajowa Izba Gospodarcza, Polski Klub Biznesu, Polskie Stowarzyszenie Prawników Przedsiębiorstw, NSZZ „Solidarność”, Ogólnopolskie Porozumienie Związków Zawodowych, Forum Związków Zawodowych, Federacja Konsumentów, Przewodniczący Krajowej Rady Rzeczników Konsumentów, Stowa</w:t>
            </w:r>
            <w:r w:rsidR="00364875">
              <w:t>rzyszenie Konsumentów Polskich,</w:t>
            </w:r>
            <w:r w:rsidRPr="0051484B">
              <w:t xml:space="preserve"> Stowarzyszenie Rzeczników Konsumentów, Związek Przedsiębiorstw Finansowych w Polsce, Polska Federacja Stowarzyszeń Rzeczoznawców Majątkowych, Polski Związek Instytucji Pożyczkowych. </w:t>
            </w:r>
          </w:p>
          <w:p w14:paraId="12892F66" w14:textId="77777777" w:rsidR="00CE55E7" w:rsidRPr="0051484B" w:rsidRDefault="00C849F3" w:rsidP="001506D1">
            <w:pPr>
              <w:shd w:val="clear" w:color="auto" w:fill="FFFFFF"/>
              <w:spacing w:before="100" w:beforeAutospacing="1" w:after="100" w:afterAutospacing="1"/>
            </w:pPr>
            <w:r w:rsidRPr="0051484B">
              <w:t>Projekt zostanie udostępniony na stronie internetowej Biuletynu Informacji Publicznej</w:t>
            </w:r>
            <w:r w:rsidR="00AF475D" w:rsidRPr="0051484B">
              <w:t xml:space="preserve"> Rządowego Centrum Legislacji w </w:t>
            </w:r>
            <w:r w:rsidRPr="0051484B">
              <w:t>zakładce Rządowy Proces Legislacyjny.</w:t>
            </w:r>
          </w:p>
        </w:tc>
      </w:tr>
      <w:tr w:rsidR="001024DD" w:rsidRPr="0051484B" w14:paraId="56F192D5" w14:textId="77777777" w:rsidTr="00CC3BF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F13101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>6. Wpływ na sektor finansów publicznych</w:t>
            </w:r>
          </w:p>
        </w:tc>
      </w:tr>
      <w:tr w:rsidR="001024DD" w:rsidRPr="0051484B" w14:paraId="79DACFA8" w14:textId="77777777" w:rsidTr="00CC3BF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C9ADA50" w14:textId="77777777" w:rsidR="001024DD" w:rsidRPr="0051484B" w:rsidRDefault="001024DD" w:rsidP="001506D1">
            <w:pPr>
              <w:spacing w:before="40" w:after="40"/>
              <w:rPr>
                <w:i/>
                <w:color w:val="000000"/>
              </w:rPr>
            </w:pPr>
            <w:r w:rsidRPr="0051484B">
              <w:rPr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BB5D5E0" w14:textId="77777777" w:rsidR="001024DD" w:rsidRPr="0051484B" w:rsidRDefault="001024DD" w:rsidP="001506D1">
            <w:pPr>
              <w:spacing w:before="40" w:after="40"/>
              <w:jc w:val="center"/>
              <w:rPr>
                <w:i/>
                <w:color w:val="000000"/>
                <w:spacing w:val="-2"/>
              </w:rPr>
            </w:pPr>
            <w:r w:rsidRPr="0051484B">
              <w:rPr>
                <w:color w:val="000000"/>
              </w:rPr>
              <w:t>Skutki w okresie 10 lat od wejścia w życie zmian [mln zł]</w:t>
            </w:r>
          </w:p>
        </w:tc>
      </w:tr>
      <w:tr w:rsidR="001024DD" w:rsidRPr="0051484B" w14:paraId="3EA7FE4F" w14:textId="77777777" w:rsidTr="00CC3BF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A5D65B4" w14:textId="77777777" w:rsidR="001024DD" w:rsidRPr="0051484B" w:rsidRDefault="001024DD" w:rsidP="001506D1">
            <w:pPr>
              <w:spacing w:before="40" w:after="40"/>
              <w:rPr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138607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099A01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65DB94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2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1A56D9F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6B30B8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538F961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C3E5B7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507167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1B40AE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D18E5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400E02E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0A5407E" w14:textId="77777777" w:rsidR="001024DD" w:rsidRPr="0051484B" w:rsidRDefault="001024DD" w:rsidP="001506D1">
            <w:pPr>
              <w:spacing w:before="40" w:after="40"/>
              <w:jc w:val="center"/>
              <w:rPr>
                <w:i/>
                <w:color w:val="000000"/>
                <w:spacing w:val="-2"/>
              </w:rPr>
            </w:pPr>
            <w:r w:rsidRPr="0051484B">
              <w:rPr>
                <w:i/>
                <w:color w:val="000000"/>
                <w:spacing w:val="-2"/>
              </w:rPr>
              <w:t>Łącznie (0-10)</w:t>
            </w:r>
          </w:p>
        </w:tc>
      </w:tr>
      <w:tr w:rsidR="001024DD" w:rsidRPr="0051484B" w14:paraId="3FD8741A" w14:textId="77777777" w:rsidTr="00CC3BF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D4030D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85E835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2A14F8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732E28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BBE99FC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263B9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C961B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71427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8D187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F0C0E9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257426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E5C26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602E2D" w14:textId="77777777" w:rsidR="001024DD" w:rsidRPr="0051484B" w:rsidRDefault="001024DD" w:rsidP="001506D1">
            <w:pPr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</w:rPr>
              <w:t>0 zł</w:t>
            </w:r>
          </w:p>
        </w:tc>
      </w:tr>
      <w:tr w:rsidR="001024DD" w:rsidRPr="0051484B" w14:paraId="2A03BFEF" w14:textId="77777777" w:rsidTr="00CC3BF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EAD7BE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638D1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293307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9774CD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768AD7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D3BBF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DFF29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6A533D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08109E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7265D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BA17C3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2E7D3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85831C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</w:p>
        </w:tc>
      </w:tr>
      <w:tr w:rsidR="001024DD" w:rsidRPr="0051484B" w14:paraId="257DC724" w14:textId="77777777" w:rsidTr="00CC3BF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E709EA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744AE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6A1AD1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93A5D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4EABE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25CBF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0E4654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ACD39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3D2D5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01C11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58A52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6C5C727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75FD29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703E0BBB" w14:textId="77777777" w:rsidTr="00CC3BF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4D8139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635D0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F55A1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D2DA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11DDDC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0E66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245E47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41A79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7A8A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9E8D47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9E98A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F536A4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2017CE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7B0CE5F3" w14:textId="77777777" w:rsidTr="00CC3BF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54F33B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03E04C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C0907B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73CCD4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F858429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2BD3A4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6314A5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1BBE28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5AD18E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62A4D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318D2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0138C8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EC3729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 zł</w:t>
            </w:r>
          </w:p>
        </w:tc>
      </w:tr>
      <w:tr w:rsidR="001024DD" w:rsidRPr="0051484B" w14:paraId="655249CA" w14:textId="77777777" w:rsidTr="00CC3BF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DE951D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0B3A7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D0067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958F8D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6B0D92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87B19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B3DFF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A2F95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4461C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692EE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39DCC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D80F0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0C5F4EF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61517B09" w14:textId="77777777" w:rsidTr="00CC3BF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E5C9D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CEF7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FB37BE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963E8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BE8A37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D40CD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FFC2F5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B1547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02C2C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7532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3E4A4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B52FD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F9D447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4117BC05" w14:textId="77777777" w:rsidTr="00CC3BF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EA00E8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3188B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55C1E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FD497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BF8F037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24437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23D5C7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10FD19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CA870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A839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87EBBD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A6B7313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2A6955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3424E098" w14:textId="77777777" w:rsidTr="00CC3BF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94D300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6F6FE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4E702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BEF564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ED8E9F8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94DDFB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14CF03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565DFD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6079B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2A5445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FBF66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8E67D8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132C7BA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 zł</w:t>
            </w:r>
          </w:p>
        </w:tc>
      </w:tr>
      <w:tr w:rsidR="001024DD" w:rsidRPr="0051484B" w14:paraId="7641D4B9" w14:textId="77777777" w:rsidTr="00CC3BF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C8FFA3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03D09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598B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A1050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4B38E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D3FCA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910FC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170F4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B0C88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9479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0D662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3155D6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5AE2EB0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</w:p>
        </w:tc>
      </w:tr>
      <w:tr w:rsidR="001024DD" w:rsidRPr="0051484B" w14:paraId="4C60265D" w14:textId="77777777" w:rsidTr="00CC3BF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8AC5A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CD68A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35292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78D6D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FD70B4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8E22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69154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627BE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38BD83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B2DF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AE713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439E55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C20AB80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575FB6C9" w14:textId="77777777" w:rsidTr="00CC3BF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ACA7F6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B44A9B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9EE5A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DD7DEE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34DEC3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52CDB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4AB788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3C3EC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40CFFA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77D7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1426C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B215CA4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9EBD539" w14:textId="77777777" w:rsidR="001024DD" w:rsidRPr="0051484B" w:rsidRDefault="001024DD" w:rsidP="001506D1">
            <w:pPr>
              <w:rPr>
                <w:color w:val="000000"/>
              </w:rPr>
            </w:pPr>
          </w:p>
        </w:tc>
      </w:tr>
      <w:tr w:rsidR="001024DD" w:rsidRPr="0051484B" w14:paraId="360BBF64" w14:textId="77777777" w:rsidTr="00CC3BF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DF41703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8238755" w14:textId="495AABCB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 xml:space="preserve">Wejście w życie ustawy nie będzie miało wpływu na sektor finansów publicznych, w tym </w:t>
            </w:r>
            <w:r w:rsidR="0023560C">
              <w:rPr>
                <w:color w:val="000000"/>
              </w:rPr>
              <w:br/>
            </w:r>
            <w:r w:rsidRPr="0051484B">
              <w:rPr>
                <w:color w:val="000000"/>
              </w:rPr>
              <w:t>na budżet państwa i budżety jednostek samorządu terytorialnego.</w:t>
            </w:r>
          </w:p>
        </w:tc>
      </w:tr>
      <w:tr w:rsidR="001024DD" w:rsidRPr="0051484B" w14:paraId="7F733490" w14:textId="77777777" w:rsidTr="00CC3BF6">
        <w:trPr>
          <w:gridAfter w:val="1"/>
          <w:wAfter w:w="10" w:type="dxa"/>
          <w:trHeight w:val="1006"/>
        </w:trPr>
        <w:tc>
          <w:tcPr>
            <w:tcW w:w="2243" w:type="dxa"/>
            <w:gridSpan w:val="2"/>
            <w:shd w:val="clear" w:color="auto" w:fill="FFFFFF"/>
          </w:tcPr>
          <w:p w14:paraId="7BBA2E4D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DD93600" w14:textId="4F194C7C" w:rsidR="001024DD" w:rsidRDefault="00DB72D9" w:rsidP="00BF653B">
            <w:pPr>
              <w:autoSpaceDE w:val="0"/>
              <w:autoSpaceDN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Projekt zakłada prowadzenie rejestru podmiotów obsługujących kredyty oraz wydawanie zezwoleń przez Komisję Nadzoru Finansowego. Koszty te będą</w:t>
            </w:r>
            <w:r>
              <w:rPr>
                <w:rFonts w:ascii="TimesNewRoman" w:hAnsi="TimesNewRoman"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neutralne dla bud</w:t>
            </w:r>
            <w:r>
              <w:rPr>
                <w:rFonts w:ascii="TimesNewRoman" w:hAnsi="TimesNewRoman"/>
                <w:color w:val="000000"/>
                <w:lang w:eastAsia="pl-PL"/>
              </w:rPr>
              <w:t>ż</w:t>
            </w:r>
            <w:r>
              <w:rPr>
                <w:color w:val="000000"/>
                <w:lang w:eastAsia="pl-PL"/>
              </w:rPr>
              <w:t>etu pa</w:t>
            </w:r>
            <w:r>
              <w:rPr>
                <w:rFonts w:ascii="TimesNewRoman" w:hAnsi="TimesNewRoman"/>
                <w:color w:val="000000"/>
                <w:lang w:eastAsia="pl-PL"/>
              </w:rPr>
              <w:t>ń</w:t>
            </w:r>
            <w:r>
              <w:rPr>
                <w:color w:val="000000"/>
                <w:lang w:eastAsia="pl-PL"/>
              </w:rPr>
              <w:t xml:space="preserve">stwa, ponieważ projekt </w:t>
            </w:r>
            <w:r w:rsidR="00BF653B">
              <w:rPr>
                <w:color w:val="000000"/>
                <w:lang w:eastAsia="pl-PL"/>
              </w:rPr>
              <w:t xml:space="preserve">będzie </w:t>
            </w:r>
            <w:r>
              <w:rPr>
                <w:color w:val="000000"/>
                <w:lang w:eastAsia="pl-PL"/>
              </w:rPr>
              <w:t>przewid</w:t>
            </w:r>
            <w:r w:rsidR="00BF653B">
              <w:rPr>
                <w:color w:val="000000"/>
                <w:lang w:eastAsia="pl-PL"/>
              </w:rPr>
              <w:t>ywał</w:t>
            </w:r>
            <w:r>
              <w:rPr>
                <w:color w:val="000000"/>
                <w:lang w:eastAsia="pl-PL"/>
              </w:rPr>
              <w:t xml:space="preserve"> opłaty za wydawanie zezwolenia. </w:t>
            </w:r>
            <w:r w:rsidRPr="00DB72D9">
              <w:rPr>
                <w:color w:val="000000"/>
                <w:lang w:eastAsia="pl-PL"/>
              </w:rPr>
              <w:t xml:space="preserve">Podmioty obsługujące kredyty </w:t>
            </w:r>
            <w:r w:rsidR="00BF653B">
              <w:rPr>
                <w:color w:val="000000"/>
                <w:lang w:eastAsia="pl-PL"/>
              </w:rPr>
              <w:t>będą</w:t>
            </w:r>
            <w:r w:rsidRPr="00DB72D9">
              <w:rPr>
                <w:color w:val="000000"/>
                <w:lang w:eastAsia="pl-PL"/>
              </w:rPr>
              <w:t xml:space="preserve"> obowiązane do wnoszenia rocznych wpłat na pokrycie kosztów nadzoru w kwocie nie wyższej niż 0,5% sumy przychodów </w:t>
            </w:r>
            <w:r w:rsidR="00266205" w:rsidRPr="00266205">
              <w:rPr>
                <w:color w:val="000000"/>
                <w:lang w:eastAsia="pl-PL"/>
              </w:rPr>
              <w:t xml:space="preserve">uzyskanych z działalności w zakresie obsługi kredytów za okres kolejnych dwunastu miesięcy kalendarzowych od momentu, którym powstało zobowiązanie, i nie mniejszej niż równowartość w złotych kwoty 1000 euro, przeliczonej przy </w:t>
            </w:r>
            <w:r w:rsidR="00266205" w:rsidRPr="00266205">
              <w:rPr>
                <w:color w:val="000000"/>
                <w:lang w:eastAsia="pl-PL"/>
              </w:rPr>
              <w:lastRenderedPageBreak/>
              <w:t>zastosowaniu kursu średniego euro ogłaszanego przez Narodowy Bank Polski na ostatni dzień roboczy roku poprzedzającego rok kalendarzowy, w którym powstało zobowiązanie</w:t>
            </w:r>
            <w:r w:rsidRPr="00DB72D9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08D31B0C" w14:textId="367D7119" w:rsidR="00650385" w:rsidRDefault="00650385" w:rsidP="00300189">
            <w:pPr>
              <w:autoSpaceDE w:val="0"/>
              <w:autoSpaceDN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Projekt </w:t>
            </w:r>
            <w:r w:rsidRPr="00650385">
              <w:rPr>
                <w:color w:val="000000"/>
                <w:lang w:eastAsia="pl-PL"/>
              </w:rPr>
              <w:t xml:space="preserve">ustawy przyczyni się do uporządkowania stosunków prawnych oraz praw i obowiązków stron, co powinno ograniczyć liczbę sporów, a co za tym idzie projekt ustawy nie wpłynie </w:t>
            </w:r>
            <w:r w:rsidR="0023560C">
              <w:rPr>
                <w:color w:val="000000"/>
                <w:lang w:eastAsia="pl-PL"/>
              </w:rPr>
              <w:br/>
            </w:r>
            <w:r w:rsidRPr="00650385">
              <w:rPr>
                <w:color w:val="000000"/>
                <w:lang w:eastAsia="pl-PL"/>
              </w:rPr>
              <w:t>na etatyzację w sądach powszechnych.</w:t>
            </w:r>
            <w:r>
              <w:rPr>
                <w:color w:val="000000"/>
                <w:lang w:eastAsia="pl-PL"/>
              </w:rPr>
              <w:t xml:space="preserve"> </w:t>
            </w:r>
            <w:r w:rsidRPr="00650385">
              <w:rPr>
                <w:color w:val="000000"/>
                <w:lang w:eastAsia="pl-PL"/>
              </w:rPr>
              <w:t xml:space="preserve">Ustawa będzie miała nieznaczny wpływ na zwiększenie liczby spraw rozpatrywanych przez sądy powszechne w związku z potencjalnymi sporami prawnymi pomiędzy kredytobiorcami a nabywcami kredytów. </w:t>
            </w:r>
          </w:p>
          <w:p w14:paraId="308F2B0C" w14:textId="61FB4A4A" w:rsidR="00300189" w:rsidRPr="00DB72D9" w:rsidRDefault="00300189" w:rsidP="00036D9E">
            <w:pPr>
              <w:autoSpaceDE w:val="0"/>
              <w:autoSpaceDN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Projekt ustawy nie przewiduje </w:t>
            </w:r>
            <w:r w:rsidR="00036D9E">
              <w:rPr>
                <w:color w:val="000000"/>
                <w:lang w:eastAsia="pl-PL"/>
              </w:rPr>
              <w:t>dodatkowych obciążeń finansowych</w:t>
            </w:r>
            <w:r>
              <w:rPr>
                <w:color w:val="000000"/>
                <w:lang w:eastAsia="pl-PL"/>
              </w:rPr>
              <w:t xml:space="preserve"> Rzecznika Finansowego</w:t>
            </w:r>
            <w:r w:rsidR="00036D9E">
              <w:rPr>
                <w:color w:val="000000"/>
                <w:lang w:eastAsia="pl-PL"/>
              </w:rPr>
              <w:t>. Wynika to z faktu, że nie jest spodziewane znaczące</w:t>
            </w:r>
            <w:r>
              <w:rPr>
                <w:color w:val="000000"/>
                <w:lang w:eastAsia="pl-PL"/>
              </w:rPr>
              <w:t xml:space="preserve"> </w:t>
            </w:r>
            <w:r w:rsidRPr="00300189">
              <w:rPr>
                <w:color w:val="000000"/>
                <w:lang w:eastAsia="pl-PL"/>
              </w:rPr>
              <w:t xml:space="preserve">zwiększenie liczby </w:t>
            </w:r>
            <w:r>
              <w:rPr>
                <w:color w:val="000000"/>
                <w:lang w:eastAsia="pl-PL"/>
              </w:rPr>
              <w:t>skarg kredytobiorców.</w:t>
            </w:r>
          </w:p>
        </w:tc>
      </w:tr>
      <w:tr w:rsidR="001024DD" w:rsidRPr="0051484B" w14:paraId="0069B532" w14:textId="77777777" w:rsidTr="00CC3BF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1B463EA" w14:textId="77777777" w:rsidR="001024DD" w:rsidRPr="0051484B" w:rsidRDefault="001024DD" w:rsidP="001506D1">
            <w:pPr>
              <w:spacing w:before="120" w:after="120"/>
              <w:rPr>
                <w:b/>
                <w:color w:val="000000"/>
                <w:spacing w:val="-2"/>
              </w:rPr>
            </w:pPr>
            <w:r w:rsidRPr="0051484B">
              <w:rPr>
                <w:b/>
                <w:color w:val="000000"/>
                <w:spacing w:val="-2"/>
              </w:rPr>
              <w:lastRenderedPageBreak/>
              <w:t xml:space="preserve">7. Wpływ na </w:t>
            </w:r>
            <w:r w:rsidRPr="0051484B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024DD" w:rsidRPr="0051484B" w14:paraId="56ACA56A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258E095" w14:textId="77777777" w:rsidR="001024DD" w:rsidRPr="0051484B" w:rsidRDefault="001024DD" w:rsidP="001506D1">
            <w:pPr>
              <w:jc w:val="center"/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Skutki</w:t>
            </w:r>
          </w:p>
        </w:tc>
      </w:tr>
      <w:tr w:rsidR="001024DD" w:rsidRPr="0051484B" w14:paraId="2C6F3E89" w14:textId="77777777" w:rsidTr="00CC3BF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852B5BD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812F285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0</w:t>
            </w:r>
          </w:p>
        </w:tc>
        <w:tc>
          <w:tcPr>
            <w:tcW w:w="938" w:type="dxa"/>
            <w:gridSpan w:val="6"/>
            <w:shd w:val="clear" w:color="auto" w:fill="FFFFFF"/>
          </w:tcPr>
          <w:p w14:paraId="69EEB081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4F63D0D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590DCAF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16F11EB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D0F5763" w14:textId="77777777" w:rsidR="001024DD" w:rsidRPr="0051484B" w:rsidRDefault="001024DD" w:rsidP="001506D1">
            <w:pPr>
              <w:jc w:val="center"/>
              <w:rPr>
                <w:color w:val="000000"/>
              </w:rPr>
            </w:pPr>
            <w:r w:rsidRPr="0051484B">
              <w:rPr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09843D6" w14:textId="77777777" w:rsidR="001024DD" w:rsidRPr="0051484B" w:rsidRDefault="001024DD" w:rsidP="001506D1">
            <w:pPr>
              <w:jc w:val="center"/>
              <w:rPr>
                <w:i/>
                <w:color w:val="000000"/>
                <w:spacing w:val="-2"/>
              </w:rPr>
            </w:pPr>
            <w:r w:rsidRPr="0051484B">
              <w:rPr>
                <w:i/>
                <w:color w:val="000000"/>
                <w:spacing w:val="-2"/>
              </w:rPr>
              <w:t>Łącznie</w:t>
            </w:r>
            <w:r w:rsidRPr="0051484B" w:rsidDel="0073273A">
              <w:rPr>
                <w:i/>
                <w:color w:val="000000"/>
                <w:spacing w:val="-2"/>
              </w:rPr>
              <w:t xml:space="preserve"> </w:t>
            </w:r>
            <w:r w:rsidRPr="0051484B">
              <w:rPr>
                <w:i/>
                <w:color w:val="000000"/>
                <w:spacing w:val="-2"/>
              </w:rPr>
              <w:t>(0-10)</w:t>
            </w:r>
          </w:p>
        </w:tc>
      </w:tr>
      <w:tr w:rsidR="001024DD" w:rsidRPr="0051484B" w14:paraId="16BBE28F" w14:textId="77777777" w:rsidTr="00CC3BF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BEE6C9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W ujęciu pieniężnym</w:t>
            </w:r>
          </w:p>
          <w:p w14:paraId="30A87EC4" w14:textId="77777777" w:rsidR="001024DD" w:rsidRPr="0051484B" w:rsidRDefault="001024DD" w:rsidP="001506D1">
            <w:pPr>
              <w:rPr>
                <w:spacing w:val="-2"/>
              </w:rPr>
            </w:pPr>
            <w:r w:rsidRPr="0051484B">
              <w:rPr>
                <w:spacing w:val="-2"/>
              </w:rPr>
              <w:t xml:space="preserve">(w mln zł, </w:t>
            </w:r>
          </w:p>
          <w:p w14:paraId="4B140590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262F6A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F5E801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45D2107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CE24C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D65E30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C42DC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1C429D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C348AC1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</w:p>
        </w:tc>
      </w:tr>
      <w:tr w:rsidR="001024DD" w:rsidRPr="0051484B" w14:paraId="2B510179" w14:textId="77777777" w:rsidTr="00CC3BF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EF56A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DB0753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5B4D4C4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4553465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E10A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490E3F3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85DDF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A0E37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641F497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</w:p>
        </w:tc>
      </w:tr>
      <w:tr w:rsidR="001024DD" w:rsidRPr="0051484B" w14:paraId="60851F51" w14:textId="77777777" w:rsidTr="00CC3BF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DB256C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B7BF4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D31B600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6"/>
            <w:shd w:val="clear" w:color="auto" w:fill="FFFFFF"/>
          </w:tcPr>
          <w:p w14:paraId="671FE21C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322A4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88CEB65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2F2FFF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512D38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7408041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</w:p>
        </w:tc>
      </w:tr>
      <w:tr w:rsidR="001024DD" w:rsidRPr="0051484B" w14:paraId="6922205A" w14:textId="77777777" w:rsidTr="00CC3BF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E0F613B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F120978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202364E" w14:textId="0568AA92" w:rsidR="00362998" w:rsidRDefault="001024DD" w:rsidP="00362998">
            <w:r w:rsidRPr="0051484B">
              <w:rPr>
                <w:color w:val="000000"/>
                <w:spacing w:val="-2"/>
              </w:rPr>
              <w:t>Wprowadzane rozwiązania mogą pozytywnie wpłynąć na postrzeganie polskiego systemu finansowego, w szczególności sektora bankowego</w:t>
            </w:r>
            <w:r w:rsidRPr="0051484B">
              <w:t xml:space="preserve"> oraz </w:t>
            </w:r>
            <w:r w:rsidR="0023560C">
              <w:br/>
            </w:r>
            <w:r w:rsidR="00C849F3" w:rsidRPr="0051484B">
              <w:t>na rozwój wtórnych rynków kredytów zagrożonych</w:t>
            </w:r>
            <w:r w:rsidR="000A645E">
              <w:t>. W zakresie sektora tych przedsiębiorstw</w:t>
            </w:r>
            <w:r w:rsidR="00362998">
              <w:t xml:space="preserve"> (w</w:t>
            </w:r>
            <w:r w:rsidR="00362998" w:rsidRPr="00362998">
              <w:t xml:space="preserve"> grupie 87 badanych</w:t>
            </w:r>
            <w:r w:rsidR="00362998">
              <w:t xml:space="preserve"> przez GUS</w:t>
            </w:r>
            <w:r w:rsidR="00362998" w:rsidRPr="00362998">
              <w:t xml:space="preserve"> przedsiębiorstw windykacyjnych były 23 spółki akcyjne, 46 spółek z ograniczoną odpowiedzialnością oraz 18 podm</w:t>
            </w:r>
            <w:r w:rsidR="00362998">
              <w:t>iotów o innych formach prawnych)</w:t>
            </w:r>
            <w:r w:rsidR="000A645E">
              <w:t xml:space="preserve">, </w:t>
            </w:r>
            <w:r w:rsidR="00362998">
              <w:t>działalność tych przedsiębiorstw jako podmiotów obsługujących kredyty będzie wiązała się z koniecznością dostosowania się do wymogów projektowanej ustawy, np. w zakresie wymogów dotyczących</w:t>
            </w:r>
            <w:r w:rsidR="00362998" w:rsidRPr="00362998">
              <w:t xml:space="preserve"> uzyskania zezwolenia na prowadzenie działalności j</w:t>
            </w:r>
            <w:r w:rsidR="00362998">
              <w:t>ako podmiot obsługujący kredyty.</w:t>
            </w:r>
          </w:p>
          <w:p w14:paraId="39EA35E3" w14:textId="1B645864" w:rsidR="001024DD" w:rsidRPr="0051484B" w:rsidRDefault="00362998" w:rsidP="00362998">
            <w:pPr>
              <w:rPr>
                <w:color w:val="000000"/>
                <w:spacing w:val="-2"/>
              </w:rPr>
            </w:pPr>
            <w:r>
              <w:t>Jednocześnie podmiot obsługujący kredyty powinien działać w formie spółki kapitałowej (</w:t>
            </w:r>
            <w:r w:rsidRPr="00362998">
              <w:t>spółki akcyjnej albo spółki z ograniczoną odpowiedzialnością</w:t>
            </w:r>
            <w:r>
              <w:t>)</w:t>
            </w:r>
            <w:r w:rsidRPr="009B2A0C">
              <w:t xml:space="preserve">, która w ramach wykonywanej przez siebie działalności </w:t>
            </w:r>
            <w:r>
              <w:t xml:space="preserve">m.in. </w:t>
            </w:r>
            <w:r w:rsidRPr="009B2A0C">
              <w:t>zarządza prawami i obowiązkami związanymi z prawami kredytodawcy wynikającymi z nieobsługiwanej umowy o kredyt</w:t>
            </w:r>
            <w:r>
              <w:t xml:space="preserve"> lub z samej nieobsługiwanej umowy</w:t>
            </w:r>
            <w:r w:rsidRPr="009B2A0C">
              <w:t xml:space="preserve"> </w:t>
            </w:r>
            <w:r w:rsidR="0023560C">
              <w:br/>
            </w:r>
            <w:r w:rsidRPr="009B2A0C">
              <w:t>o kredyt</w:t>
            </w:r>
            <w:r>
              <w:t xml:space="preserve">. </w:t>
            </w:r>
          </w:p>
        </w:tc>
      </w:tr>
      <w:tr w:rsidR="001024DD" w:rsidRPr="0051484B" w14:paraId="6D5406B1" w14:textId="77777777" w:rsidTr="003C0645">
        <w:trPr>
          <w:gridAfter w:val="1"/>
          <w:wAfter w:w="10" w:type="dxa"/>
          <w:trHeight w:val="800"/>
        </w:trPr>
        <w:tc>
          <w:tcPr>
            <w:tcW w:w="1596" w:type="dxa"/>
            <w:vMerge/>
            <w:shd w:val="clear" w:color="auto" w:fill="FFFFFF"/>
          </w:tcPr>
          <w:p w14:paraId="5D400332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C78195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C32AF7" w14:textId="77777777" w:rsidR="001024DD" w:rsidRPr="0051484B" w:rsidRDefault="00B668BF" w:rsidP="001506D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jak wyżej</w:t>
            </w:r>
            <w:r w:rsidR="001024DD" w:rsidRPr="0051484B">
              <w:rPr>
                <w:color w:val="000000"/>
                <w:spacing w:val="-2"/>
              </w:rPr>
              <w:t>.</w:t>
            </w:r>
          </w:p>
        </w:tc>
      </w:tr>
      <w:tr w:rsidR="001024DD" w:rsidRPr="0051484B" w14:paraId="69EB582A" w14:textId="77777777" w:rsidTr="00CC3BF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B91A0A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CCCCCF5" w14:textId="77777777" w:rsidR="001024DD" w:rsidRPr="0051484B" w:rsidRDefault="001024DD" w:rsidP="001506D1">
            <w:pPr>
              <w:tabs>
                <w:tab w:val="right" w:pos="1936"/>
              </w:tabs>
              <w:rPr>
                <w:color w:val="000000"/>
              </w:rPr>
            </w:pPr>
            <w:r w:rsidRPr="0051484B">
              <w:t>rodzina, obywatele oraz gospodarstwa domowe</w:t>
            </w:r>
            <w:r w:rsidRPr="0051484B">
              <w:rPr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DFA5E0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t>Wejście w życie ustawy nie wpłynie na sytuację ekonomiczną i społeczną rodziny, a także osób niepełnosprawnych oraz osób starszych.</w:t>
            </w:r>
          </w:p>
        </w:tc>
      </w:tr>
      <w:tr w:rsidR="001024DD" w:rsidRPr="0051484B" w14:paraId="30074AAD" w14:textId="77777777" w:rsidTr="00CC3BF6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4A242A4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FE338F6" w14:textId="77777777" w:rsidR="001024DD" w:rsidRPr="0051484B" w:rsidRDefault="001024DD" w:rsidP="001506D1">
            <w:pPr>
              <w:rPr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B0D15BA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</w:p>
        </w:tc>
      </w:tr>
      <w:tr w:rsidR="001024DD" w:rsidRPr="0051484B" w14:paraId="730AE1DB" w14:textId="77777777" w:rsidTr="00CC3BF6">
        <w:trPr>
          <w:gridAfter w:val="1"/>
          <w:wAfter w:w="10" w:type="dxa"/>
          <w:trHeight w:val="1124"/>
        </w:trPr>
        <w:tc>
          <w:tcPr>
            <w:tcW w:w="2243" w:type="dxa"/>
            <w:gridSpan w:val="2"/>
            <w:shd w:val="clear" w:color="auto" w:fill="FFFFFF"/>
          </w:tcPr>
          <w:p w14:paraId="22C89AFA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4EE3148" w14:textId="18980C3D" w:rsidR="002013B6" w:rsidRDefault="00C849F3" w:rsidP="002013B6">
            <w:r w:rsidRPr="0051484B">
              <w:t xml:space="preserve">Przedsiębiorcy prowadzący działalność w zakresie obsługi kredytów ponosić będą koszty związane z utrzymywania przez Komisję Nadzoru Finansowego rejestru instytucji, bezpośrednio na rachunek urzędu obsługującego </w:t>
            </w:r>
            <w:r w:rsidR="0023560C">
              <w:t>Komisję</w:t>
            </w:r>
            <w:r w:rsidR="0023560C" w:rsidRPr="0023560C">
              <w:t xml:space="preserve"> Nadzoru Finansowego</w:t>
            </w:r>
            <w:r w:rsidRPr="0051484B">
              <w:t xml:space="preserve">. </w:t>
            </w:r>
            <w:r w:rsidR="002013B6">
              <w:t>Zgodnie z projektowanymi przepisami, udzielenie zezwolenia na rozpoczęcie działalności w zakresie obsługi kredytów podlega opłacie</w:t>
            </w:r>
            <w:r w:rsidR="0023560C">
              <w:t xml:space="preserve"> </w:t>
            </w:r>
            <w:r w:rsidR="002013B6">
              <w:t xml:space="preserve">w wysokości równowartość w złotych </w:t>
            </w:r>
            <w:r w:rsidR="00D819DF">
              <w:t xml:space="preserve">kwoty </w:t>
            </w:r>
            <w:r w:rsidR="002013B6">
              <w:t>4500 euro.</w:t>
            </w:r>
          </w:p>
          <w:p w14:paraId="3564B1EF" w14:textId="1F738108" w:rsidR="002013B6" w:rsidRPr="0051484B" w:rsidRDefault="002013B6" w:rsidP="003C0645">
            <w:r>
              <w:t xml:space="preserve">Dodatkowo podmioty obsługujące kredyty będą obowiązane do wnoszenia rocznych wpłat </w:t>
            </w:r>
            <w:r w:rsidR="0023560C">
              <w:br/>
            </w:r>
            <w:r>
              <w:t xml:space="preserve">na pokrycie kosztów nadzoru w kwocie nie wyższej niż 0,5% sumy przychodów </w:t>
            </w:r>
            <w:r w:rsidR="00D819DF" w:rsidRPr="00D819DF">
              <w:t>uzyskanych z działalności w zakresie obsługi kredytów za okres kolejnych dwunastu miesięcy kalendarzowych od momentu, którym powstało zobowiązanie, i nie mniejszej niż równowartość w złotych kwoty 1000 euro, przeliczonej przy zastosowaniu kursu średniego euro ogłaszanego przez Narodowy Bank Polski na ostatni dzień roboczy roku poprzedzającego rok kalendarzowy, w którym powstało zobowiązanie</w:t>
            </w:r>
            <w:r>
              <w:t xml:space="preserve">. </w:t>
            </w:r>
          </w:p>
        </w:tc>
      </w:tr>
      <w:tr w:rsidR="001024DD" w:rsidRPr="0051484B" w14:paraId="0215253F" w14:textId="77777777" w:rsidTr="00CC3BF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878C11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 xml:space="preserve">8. </w:t>
            </w:r>
            <w:r w:rsidRPr="0051484B">
              <w:rPr>
                <w:b/>
              </w:rPr>
              <w:t>Zmiana obciążeń regulacyjnych (w tym obowiązków informacyjnych) wynikających z projektu</w:t>
            </w:r>
          </w:p>
        </w:tc>
      </w:tr>
      <w:tr w:rsidR="001024DD" w:rsidRPr="0051484B" w14:paraId="159F8001" w14:textId="77777777" w:rsidTr="00CC3BF6">
        <w:trPr>
          <w:gridAfter w:val="1"/>
          <w:wAfter w:w="10" w:type="dxa"/>
          <w:trHeight w:val="558"/>
        </w:trPr>
        <w:tc>
          <w:tcPr>
            <w:tcW w:w="10937" w:type="dxa"/>
            <w:gridSpan w:val="29"/>
            <w:shd w:val="clear" w:color="auto" w:fill="FFFFFF"/>
          </w:tcPr>
          <w:p w14:paraId="004296CA" w14:textId="77777777" w:rsidR="001024DD" w:rsidRPr="0051484B" w:rsidRDefault="00100CA5" w:rsidP="001506D1">
            <w:pPr>
              <w:rPr>
                <w:color w:val="000000"/>
              </w:rPr>
            </w:pPr>
            <w:sdt>
              <w:sdtPr>
                <w:rPr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☐</w:t>
                </w:r>
              </w:sdtContent>
            </w:sdt>
            <w:r w:rsidR="001024DD" w:rsidRPr="0051484B">
              <w:rPr>
                <w:color w:val="000000"/>
                <w:spacing w:val="-2"/>
              </w:rPr>
              <w:t xml:space="preserve"> nie dotyczy</w:t>
            </w:r>
          </w:p>
        </w:tc>
      </w:tr>
      <w:tr w:rsidR="001024DD" w:rsidRPr="0051484B" w14:paraId="321C53BA" w14:textId="77777777" w:rsidTr="00CC3BF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2FE6ED1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51484B">
              <w:rPr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5EE03F2" w14:textId="77777777" w:rsidR="001024DD" w:rsidRPr="0051484B" w:rsidRDefault="00100CA5" w:rsidP="001506D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024DD" w:rsidRPr="0051484B">
              <w:rPr>
                <w:color w:val="000000"/>
              </w:rPr>
              <w:t xml:space="preserve"> tak</w:t>
            </w:r>
          </w:p>
          <w:p w14:paraId="671A2158" w14:textId="77777777" w:rsidR="001024DD" w:rsidRPr="0051484B" w:rsidRDefault="00100CA5" w:rsidP="001506D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024DD" w:rsidRPr="0051484B">
              <w:rPr>
                <w:color w:val="000000"/>
              </w:rPr>
              <w:t xml:space="preserve"> nie</w:t>
            </w:r>
          </w:p>
          <w:p w14:paraId="707E234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nie dotyczy</w:t>
            </w:r>
          </w:p>
        </w:tc>
      </w:tr>
      <w:tr w:rsidR="001024DD" w:rsidRPr="0051484B" w14:paraId="15C20215" w14:textId="77777777" w:rsidTr="00CC3BF6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3C4E702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zmniejszenie liczby dokumentów </w:t>
            </w:r>
          </w:p>
          <w:p w14:paraId="33DEE270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zmniejszenie liczby procedur</w:t>
            </w:r>
          </w:p>
          <w:p w14:paraId="08A1AAB3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skrócenie czasu na załatwienie sprawy</w:t>
            </w:r>
          </w:p>
          <w:p w14:paraId="3D1E377F" w14:textId="77777777" w:rsidR="001024DD" w:rsidRPr="0051484B" w:rsidRDefault="001024DD" w:rsidP="001506D1">
            <w:pPr>
              <w:rPr>
                <w:b/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inne:</w:t>
            </w:r>
            <w:r w:rsidRPr="0051484B">
              <w:rPr>
                <w:color w:val="000000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43CBE4" w14:textId="77777777" w:rsidR="001024DD" w:rsidRPr="0051484B" w:rsidRDefault="00100CA5" w:rsidP="001506D1">
            <w:pPr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  <w:spacing w:val="-2"/>
                  </w:rPr>
                  <w:t>☒</w:t>
                </w:r>
              </w:sdtContent>
            </w:sdt>
            <w:r w:rsidR="001024DD" w:rsidRPr="0051484B">
              <w:rPr>
                <w:color w:val="000000"/>
                <w:spacing w:val="-2"/>
              </w:rPr>
              <w:t xml:space="preserve"> zwiększenie liczby dokumentów</w:t>
            </w:r>
          </w:p>
          <w:p w14:paraId="02F1D1FC" w14:textId="77777777" w:rsidR="001024DD" w:rsidRPr="0051484B" w:rsidRDefault="00100CA5" w:rsidP="001506D1">
            <w:pPr>
              <w:rPr>
                <w:color w:val="000000"/>
                <w:spacing w:val="-2"/>
              </w:rPr>
            </w:pPr>
            <w:sdt>
              <w:sdtPr>
                <w:rPr>
                  <w:color w:val="000000"/>
                </w:rPr>
                <w:id w:val="76241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024DD" w:rsidRPr="0051484B">
              <w:rPr>
                <w:color w:val="000000"/>
              </w:rPr>
              <w:t xml:space="preserve"> </w:t>
            </w:r>
            <w:r w:rsidR="001024DD" w:rsidRPr="0051484B">
              <w:rPr>
                <w:color w:val="000000"/>
                <w:spacing w:val="-2"/>
              </w:rPr>
              <w:t>zwiększenie liczby procedur</w:t>
            </w:r>
          </w:p>
          <w:p w14:paraId="12115018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wydłużenie czasu na załatwienie sprawy</w:t>
            </w:r>
          </w:p>
          <w:p w14:paraId="05A493AD" w14:textId="2D29D01F" w:rsidR="001024DD" w:rsidRPr="0051484B" w:rsidRDefault="001024DD" w:rsidP="003C0645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inne:</w:t>
            </w:r>
            <w:r w:rsidRPr="0051484B">
              <w:rPr>
                <w:color w:val="000000"/>
              </w:rPr>
              <w:t xml:space="preserve"> (komentarz)</w:t>
            </w:r>
          </w:p>
        </w:tc>
      </w:tr>
      <w:tr w:rsidR="001024DD" w:rsidRPr="0051484B" w14:paraId="40D16565" w14:textId="77777777" w:rsidTr="00CC3BF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ED695E0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  <w:spacing w:val="-2"/>
              </w:rPr>
              <w:t>Wprowadzane obciążenia są przystosowane do ich elektronizacji.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9409FB3" w14:textId="77777777" w:rsidR="001024DD" w:rsidRPr="0051484B" w:rsidRDefault="00100CA5" w:rsidP="001506D1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4DD" w:rsidRPr="0051484B">
                  <w:rPr>
                    <w:rFonts w:ascii="Segoe UI Symbol" w:eastAsia="MS Gothic" w:hAnsi="Segoe UI Symbol" w:cs="Segoe UI Symbol"/>
                    <w:color w:val="000000"/>
                  </w:rPr>
                  <w:t>☒</w:t>
                </w:r>
              </w:sdtContent>
            </w:sdt>
            <w:r w:rsidR="001024DD" w:rsidRPr="0051484B">
              <w:rPr>
                <w:color w:val="000000"/>
              </w:rPr>
              <w:t xml:space="preserve"> tak</w:t>
            </w:r>
          </w:p>
          <w:p w14:paraId="5F3B4A07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nie</w:t>
            </w:r>
          </w:p>
          <w:p w14:paraId="0093CAA2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nie dotyczy</w:t>
            </w:r>
          </w:p>
        </w:tc>
      </w:tr>
      <w:tr w:rsidR="00425819" w:rsidRPr="0051484B" w14:paraId="72495030" w14:textId="77777777" w:rsidTr="004D4B7A">
        <w:trPr>
          <w:gridAfter w:val="1"/>
          <w:wAfter w:w="10" w:type="dxa"/>
          <w:trHeight w:val="870"/>
        </w:trPr>
        <w:tc>
          <w:tcPr>
            <w:tcW w:w="10937" w:type="dxa"/>
            <w:gridSpan w:val="29"/>
            <w:shd w:val="clear" w:color="auto" w:fill="FFFFFF"/>
          </w:tcPr>
          <w:p w14:paraId="4B95288A" w14:textId="344116CB" w:rsidR="00425819" w:rsidRDefault="00425819" w:rsidP="001506D1">
            <w:pPr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14:paraId="2DE2D670" w14:textId="537459C2" w:rsidR="00425819" w:rsidRDefault="00BF653B" w:rsidP="00AA6552">
            <w:pPr>
              <w:rPr>
                <w:color w:val="000000"/>
              </w:rPr>
            </w:pPr>
            <w:r>
              <w:rPr>
                <w:color w:val="000000"/>
              </w:rPr>
              <w:t>Projekt będzie</w:t>
            </w:r>
            <w:r w:rsidR="00425819" w:rsidRPr="00425819">
              <w:rPr>
                <w:color w:val="000000"/>
              </w:rPr>
              <w:t xml:space="preserve"> wymaga</w:t>
            </w:r>
            <w:r>
              <w:rPr>
                <w:color w:val="000000"/>
              </w:rPr>
              <w:t>ł</w:t>
            </w:r>
            <w:r w:rsidR="00425819" w:rsidRPr="00425819">
              <w:rPr>
                <w:color w:val="000000"/>
              </w:rPr>
              <w:t xml:space="preserve"> od instytucji kredytowych przekazywania nabywcom kredytów szczegółowych informacji, pozwalających na oszacowanie wartości praw kredytodawcy wynikających z nieobsługiwanej umowy o kredyt</w:t>
            </w:r>
            <w:r w:rsidR="00425819">
              <w:rPr>
                <w:color w:val="000000"/>
              </w:rPr>
              <w:t xml:space="preserve">. </w:t>
            </w:r>
            <w:r w:rsidR="00425819" w:rsidRPr="00425819">
              <w:rPr>
                <w:color w:val="000000"/>
              </w:rPr>
              <w:t>Kredytodawca, w terminie do 31 lipca oraz do 31 stycznia</w:t>
            </w:r>
            <w:r>
              <w:rPr>
                <w:color w:val="000000"/>
              </w:rPr>
              <w:t>,</w:t>
            </w:r>
            <w:r w:rsidR="00425819" w:rsidRPr="004258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będzie </w:t>
            </w:r>
            <w:r w:rsidR="00425819" w:rsidRPr="00425819">
              <w:rPr>
                <w:color w:val="000000"/>
              </w:rPr>
              <w:t>przekaz</w:t>
            </w:r>
            <w:r w:rsidR="00AA6552">
              <w:rPr>
                <w:color w:val="000000"/>
              </w:rPr>
              <w:t>ywał</w:t>
            </w:r>
            <w:r w:rsidR="00425819" w:rsidRPr="00425819">
              <w:rPr>
                <w:color w:val="000000"/>
              </w:rPr>
              <w:t xml:space="preserve"> Komisji</w:t>
            </w:r>
            <w:r>
              <w:rPr>
                <w:color w:val="000000"/>
              </w:rPr>
              <w:t xml:space="preserve"> Nadzoru Finansowego</w:t>
            </w:r>
            <w:r w:rsidR="00425819" w:rsidRPr="00425819">
              <w:rPr>
                <w:color w:val="000000"/>
              </w:rPr>
              <w:t xml:space="preserve"> informacje dotyczące transakcji przeniesienia nieobsługiwanych umów o</w:t>
            </w:r>
            <w:r w:rsidR="00425819">
              <w:rPr>
                <w:color w:val="000000"/>
              </w:rPr>
              <w:t xml:space="preserve"> kredyt, zawierające m.in.</w:t>
            </w:r>
            <w:r w:rsidR="00425819">
              <w:t xml:space="preserve"> </w:t>
            </w:r>
            <w:r w:rsidR="00425819" w:rsidRPr="00425819">
              <w:rPr>
                <w:color w:val="000000"/>
              </w:rPr>
              <w:t xml:space="preserve">łączną wartość należności z tytułu przeniesionych praw kredytodawcy wynikających z nieobsługiwanych umów o kredyt lub nieobsługiwanych umów </w:t>
            </w:r>
            <w:r w:rsidR="0023560C">
              <w:rPr>
                <w:color w:val="000000"/>
              </w:rPr>
              <w:br/>
            </w:r>
            <w:r w:rsidR="00425819" w:rsidRPr="00425819">
              <w:rPr>
                <w:color w:val="000000"/>
              </w:rPr>
              <w:t>o kredyt wra</w:t>
            </w:r>
            <w:r w:rsidR="00425819">
              <w:rPr>
                <w:color w:val="000000"/>
              </w:rPr>
              <w:t>z z liczbą przeniesionych umów</w:t>
            </w:r>
            <w:r w:rsidR="00E94E85">
              <w:rPr>
                <w:color w:val="000000"/>
              </w:rPr>
              <w:t>,</w:t>
            </w:r>
            <w:r w:rsidR="00E94E85">
              <w:t xml:space="preserve"> </w:t>
            </w:r>
            <w:r w:rsidR="00E94E85" w:rsidRPr="00E94E85">
              <w:rPr>
                <w:color w:val="000000"/>
              </w:rPr>
              <w:t>w podziale na należność główną i odsetki</w:t>
            </w:r>
            <w:r w:rsidR="00425819">
              <w:rPr>
                <w:color w:val="000000"/>
              </w:rPr>
              <w:t>.</w:t>
            </w:r>
          </w:p>
        </w:tc>
      </w:tr>
      <w:tr w:rsidR="001024DD" w:rsidRPr="0051484B" w14:paraId="7154270F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C2BA48A" w14:textId="77777777" w:rsidR="001024DD" w:rsidRPr="0051484B" w:rsidRDefault="001024DD" w:rsidP="001506D1">
            <w:pPr>
              <w:spacing w:before="60" w:after="60"/>
              <w:jc w:val="left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 xml:space="preserve">9. Wpływ na rynek pracy </w:t>
            </w:r>
          </w:p>
        </w:tc>
      </w:tr>
      <w:tr w:rsidR="001024DD" w:rsidRPr="0051484B" w14:paraId="66019058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46B5DFD" w14:textId="77777777" w:rsidR="001024DD" w:rsidRPr="0051484B" w:rsidRDefault="001024DD" w:rsidP="001506D1">
            <w:pPr>
              <w:spacing w:before="60" w:after="60"/>
              <w:rPr>
                <w:color w:val="000000"/>
              </w:rPr>
            </w:pPr>
            <w:r w:rsidRPr="0051484B">
              <w:rPr>
                <w:color w:val="000000"/>
              </w:rPr>
              <w:t xml:space="preserve">Wejście w życie ustawy nie wpłynie na rynek pracy. </w:t>
            </w:r>
          </w:p>
        </w:tc>
      </w:tr>
      <w:tr w:rsidR="001024DD" w:rsidRPr="0051484B" w14:paraId="0269AA61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0B6D36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>10. Wpływ na pozostałe obszary</w:t>
            </w:r>
          </w:p>
        </w:tc>
      </w:tr>
      <w:tr w:rsidR="001024DD" w:rsidRPr="0051484B" w14:paraId="38D09A5A" w14:textId="77777777" w:rsidTr="00CC3BF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ABA0516" w14:textId="77777777" w:rsidR="001024DD" w:rsidRPr="0051484B" w:rsidRDefault="001024DD" w:rsidP="001506D1">
            <w:pPr>
              <w:rPr>
                <w:color w:val="000000"/>
              </w:rPr>
            </w:pPr>
          </w:p>
          <w:p w14:paraId="3D61D92A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</w:t>
            </w:r>
            <w:r w:rsidRPr="0051484B">
              <w:rPr>
                <w:color w:val="000000"/>
                <w:spacing w:val="-2"/>
              </w:rPr>
              <w:t>środowisko naturalne</w:t>
            </w:r>
          </w:p>
          <w:p w14:paraId="6DD4E544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sytuacja i rozwój regionalny</w:t>
            </w:r>
          </w:p>
          <w:p w14:paraId="1B6C46B6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inne: </w:t>
            </w:r>
            <w:r w:rsidRPr="0051484B">
              <w:rPr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3E161E7" w14:textId="77777777" w:rsidR="001024DD" w:rsidRPr="0051484B" w:rsidRDefault="001024DD" w:rsidP="001506D1">
            <w:pPr>
              <w:rPr>
                <w:color w:val="000000"/>
              </w:rPr>
            </w:pPr>
          </w:p>
          <w:p w14:paraId="18758DB9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demografia</w:t>
            </w:r>
          </w:p>
          <w:p w14:paraId="0B5D4323" w14:textId="77777777" w:rsidR="001024DD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1484B">
              <w:rPr>
                <w:color w:val="000000"/>
              </w:rPr>
              <w:t xml:space="preserve"> mienie państwowe</w:t>
            </w:r>
          </w:p>
          <w:p w14:paraId="70CAAB86" w14:textId="513EC76E" w:rsidR="001E376A" w:rsidRPr="00425819" w:rsidRDefault="00425819" w:rsidP="001506D1">
            <w:r>
              <w:rPr>
                <w:rFonts w:ascii="Segoe UI Symbol" w:hAnsi="Segoe UI Symbol"/>
                <w:color w:val="000000"/>
              </w:rPr>
              <w:t>☒</w:t>
            </w:r>
            <w:r>
              <w:t xml:space="preserve"> </w:t>
            </w:r>
            <w:r w:rsidR="00A719A6" w:rsidRPr="00A719A6">
              <w:rPr>
                <w:color w:val="000000"/>
              </w:rPr>
              <w:t>sądy powszechne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A233229" w14:textId="77777777" w:rsidR="001024DD" w:rsidRPr="0051484B" w:rsidRDefault="001024DD" w:rsidP="001506D1">
            <w:pPr>
              <w:rPr>
                <w:color w:val="000000"/>
              </w:rPr>
            </w:pPr>
          </w:p>
          <w:p w14:paraId="234819C0" w14:textId="77777777" w:rsidR="001024DD" w:rsidRPr="0051484B" w:rsidRDefault="001024DD" w:rsidP="001506D1">
            <w:pPr>
              <w:rPr>
                <w:color w:val="000000"/>
                <w:spacing w:val="-2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informatyzacja</w:t>
            </w:r>
          </w:p>
          <w:p w14:paraId="20109FD6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rFonts w:ascii="Segoe UI Symbol" w:eastAsia="MS Gothic" w:hAnsi="Segoe UI Symbol" w:cs="Segoe UI Symbol"/>
                <w:color w:val="000000"/>
                <w:spacing w:val="-2"/>
              </w:rPr>
              <w:t>☐</w:t>
            </w:r>
            <w:r w:rsidRPr="0051484B">
              <w:rPr>
                <w:color w:val="000000"/>
                <w:spacing w:val="-2"/>
              </w:rPr>
              <w:t xml:space="preserve"> zdrowie</w:t>
            </w:r>
          </w:p>
        </w:tc>
      </w:tr>
      <w:tr w:rsidR="001024DD" w:rsidRPr="0051484B" w14:paraId="106DA3B7" w14:textId="77777777" w:rsidTr="00CC3BF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E3EB8" w14:textId="77777777" w:rsidR="001024DD" w:rsidRPr="0051484B" w:rsidRDefault="001024DD" w:rsidP="001506D1">
            <w:pPr>
              <w:rPr>
                <w:color w:val="000000"/>
              </w:rPr>
            </w:pPr>
            <w:r w:rsidRPr="0051484B">
              <w:rPr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0F775C3" w14:textId="3822024A" w:rsidR="001024DD" w:rsidRPr="0051484B" w:rsidRDefault="00CE0039" w:rsidP="003C0645">
            <w:pPr>
              <w:rPr>
                <w:color w:val="000000"/>
                <w:spacing w:val="-2"/>
              </w:rPr>
            </w:pPr>
            <w:r w:rsidRPr="00CE0039">
              <w:rPr>
                <w:color w:val="000000"/>
                <w:spacing w:val="-2"/>
              </w:rPr>
              <w:t xml:space="preserve">Ustawa będzie miała nieznaczny wpływ na zwiększenie liczby spraw rozpatrywanych przez sądy powszechne w związku z potencjalnymi sporami prawnymi pomiędzy kredytobiorcami </w:t>
            </w:r>
            <w:r w:rsidR="0023560C">
              <w:rPr>
                <w:color w:val="000000"/>
                <w:spacing w:val="-2"/>
              </w:rPr>
              <w:br/>
            </w:r>
            <w:r w:rsidRPr="00CE0039">
              <w:rPr>
                <w:color w:val="000000"/>
                <w:spacing w:val="-2"/>
              </w:rPr>
              <w:t>a nabywcami kredytów. Należy zauważyć</w:t>
            </w:r>
            <w:r w:rsidR="00AA6552">
              <w:rPr>
                <w:color w:val="000000"/>
                <w:spacing w:val="-2"/>
              </w:rPr>
              <w:t xml:space="preserve"> jednak</w:t>
            </w:r>
            <w:r w:rsidRPr="00CE0039">
              <w:rPr>
                <w:color w:val="000000"/>
                <w:spacing w:val="-2"/>
              </w:rPr>
              <w:t xml:space="preserve">, że sama działalność regulowana </w:t>
            </w:r>
            <w:r w:rsidR="00BF653B">
              <w:rPr>
                <w:color w:val="000000"/>
                <w:spacing w:val="-2"/>
              </w:rPr>
              <w:t>projektowaną</w:t>
            </w:r>
            <w:r w:rsidRPr="00CE0039">
              <w:rPr>
                <w:color w:val="000000"/>
                <w:spacing w:val="-2"/>
              </w:rPr>
              <w:t xml:space="preserve"> ustawą nie jest nowym rodzajem działalności, a obecny stan prawny (tj. brak regulacji prawnych odnoszących się stricte do nabywania wierzytelności) w ocenie projektodawcy powoduje większe ryzyko powstawania sporów związanych z tymi usługami. Wejście w życie </w:t>
            </w:r>
            <w:r w:rsidR="00BF653B">
              <w:rPr>
                <w:color w:val="000000"/>
                <w:spacing w:val="-2"/>
              </w:rPr>
              <w:t>D</w:t>
            </w:r>
            <w:r w:rsidRPr="00CE0039">
              <w:rPr>
                <w:color w:val="000000"/>
                <w:spacing w:val="-2"/>
              </w:rPr>
              <w:t xml:space="preserve">yrektywy 2021/2167 i projektowanej ustawy przyczyni się do uporządkowania stosunków prawnych oraz praw </w:t>
            </w:r>
            <w:r w:rsidR="0023560C">
              <w:rPr>
                <w:color w:val="000000"/>
                <w:spacing w:val="-2"/>
              </w:rPr>
              <w:br/>
            </w:r>
            <w:r w:rsidRPr="00CE0039">
              <w:rPr>
                <w:color w:val="000000"/>
                <w:spacing w:val="-2"/>
              </w:rPr>
              <w:t>i obowiązków stron, co powinno ograniczyć liczbę sporów, a co za tym idzie projekt ustawy nie wpłynie na etatyzację w sądach p</w:t>
            </w:r>
            <w:r>
              <w:rPr>
                <w:color w:val="000000"/>
                <w:spacing w:val="-2"/>
              </w:rPr>
              <w:t>owszechnych</w:t>
            </w:r>
            <w:r w:rsidR="00BF653B">
              <w:rPr>
                <w:color w:val="000000"/>
                <w:spacing w:val="-2"/>
              </w:rPr>
              <w:t>.</w:t>
            </w:r>
          </w:p>
        </w:tc>
      </w:tr>
      <w:tr w:rsidR="001024DD" w:rsidRPr="0051484B" w14:paraId="65937B17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92E7035" w14:textId="77777777" w:rsidR="001024DD" w:rsidRPr="0051484B" w:rsidRDefault="001024DD" w:rsidP="001506D1">
            <w:pPr>
              <w:spacing w:before="60" w:after="60"/>
              <w:rPr>
                <w:b/>
              </w:rPr>
            </w:pPr>
            <w:r w:rsidRPr="0051484B">
              <w:rPr>
                <w:b/>
                <w:spacing w:val="-2"/>
              </w:rPr>
              <w:t>11. Planowane wykonanie przepisów aktu prawnego</w:t>
            </w:r>
          </w:p>
        </w:tc>
      </w:tr>
      <w:tr w:rsidR="001024DD" w:rsidRPr="0051484B" w14:paraId="4768EAB8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5E61963" w14:textId="77777777" w:rsidR="001024DD" w:rsidRPr="0051484B" w:rsidRDefault="001024DD" w:rsidP="001506D1">
            <w:pPr>
              <w:spacing w:before="120" w:after="160"/>
            </w:pPr>
            <w:r w:rsidRPr="0051484B">
              <w:rPr>
                <w:spacing w:val="-2"/>
              </w:rPr>
              <w:t xml:space="preserve">Planowane wykonanie przepisów ustawy nastąpi z dniem jej wejścia w życie. </w:t>
            </w:r>
          </w:p>
        </w:tc>
      </w:tr>
      <w:tr w:rsidR="001024DD" w:rsidRPr="0051484B" w14:paraId="1342754B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016312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</w:rPr>
            </w:pPr>
            <w:r w:rsidRPr="0051484B">
              <w:rPr>
                <w:b/>
                <w:color w:val="000000"/>
              </w:rPr>
              <w:t xml:space="preserve">12. </w:t>
            </w:r>
            <w:r w:rsidRPr="0051484B">
              <w:rPr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024DD" w:rsidRPr="0051484B" w14:paraId="3A88F928" w14:textId="77777777" w:rsidTr="00CC3BF6">
        <w:trPr>
          <w:gridAfter w:val="1"/>
          <w:wAfter w:w="10" w:type="dxa"/>
          <w:trHeight w:val="1517"/>
        </w:trPr>
        <w:tc>
          <w:tcPr>
            <w:tcW w:w="10937" w:type="dxa"/>
            <w:gridSpan w:val="29"/>
            <w:shd w:val="clear" w:color="auto" w:fill="FFFFFF"/>
          </w:tcPr>
          <w:p w14:paraId="779A8A38" w14:textId="0D1DB281" w:rsidR="009A1745" w:rsidRPr="0051484B" w:rsidRDefault="001024DD" w:rsidP="001506D1">
            <w:pPr>
              <w:rPr>
                <w:spacing w:val="-2"/>
              </w:rPr>
            </w:pPr>
            <w:r w:rsidRPr="0051484B">
              <w:rPr>
                <w:spacing w:val="-2"/>
              </w:rPr>
              <w:t>Zgodnie z art</w:t>
            </w:r>
            <w:r w:rsidR="00B97589">
              <w:rPr>
                <w:spacing w:val="-2"/>
              </w:rPr>
              <w:t>.</w:t>
            </w:r>
            <w:r w:rsidRPr="0051484B">
              <w:rPr>
                <w:spacing w:val="-2"/>
              </w:rPr>
              <w:t xml:space="preserve"> 3</w:t>
            </w:r>
            <w:r w:rsidR="009A1745" w:rsidRPr="0051484B">
              <w:rPr>
                <w:spacing w:val="-2"/>
              </w:rPr>
              <w:t>0</w:t>
            </w:r>
            <w:r w:rsidRPr="0051484B">
              <w:rPr>
                <w:spacing w:val="-2"/>
              </w:rPr>
              <w:t xml:space="preserve"> </w:t>
            </w:r>
            <w:r w:rsidR="009F768F">
              <w:rPr>
                <w:spacing w:val="-2"/>
              </w:rPr>
              <w:t>D</w:t>
            </w:r>
            <w:r w:rsidRPr="0051484B">
              <w:rPr>
                <w:spacing w:val="-2"/>
              </w:rPr>
              <w:t xml:space="preserve">yrektywy </w:t>
            </w:r>
            <w:r w:rsidR="009A1745" w:rsidRPr="0051484B">
              <w:rPr>
                <w:spacing w:val="-2"/>
              </w:rPr>
              <w:t xml:space="preserve">2021/2167 </w:t>
            </w:r>
            <w:r w:rsidRPr="0051484B">
              <w:rPr>
                <w:spacing w:val="-2"/>
              </w:rPr>
              <w:t xml:space="preserve">do dnia </w:t>
            </w:r>
            <w:r w:rsidR="009A1745" w:rsidRPr="0051484B">
              <w:rPr>
                <w:spacing w:val="-2"/>
              </w:rPr>
              <w:t xml:space="preserve">29 grudnia 2026 r. Komisja dokonuje oceny niniejszej dyrektywy oraz przedstawia sprawozdanie na temat głównych jej ustaleń Parlamentowi Europejskiemu, Radzie oraz Europejskiemu Komitetowi Ekonomiczno-Społecznemu. </w:t>
            </w:r>
            <w:r w:rsidR="00F908A4" w:rsidRPr="00F908A4">
              <w:rPr>
                <w:spacing w:val="-2"/>
              </w:rPr>
              <w:t>Ponadto ewaluacja efektów projektu będzie dokonywana przez Komisję Nadzoru Finansowego w ramach prowadzonych działań nadzorczych.</w:t>
            </w:r>
          </w:p>
          <w:p w14:paraId="7EB58D96" w14:textId="77777777" w:rsidR="009A1745" w:rsidRPr="0051484B" w:rsidRDefault="009A1745" w:rsidP="001506D1">
            <w:pPr>
              <w:rPr>
                <w:spacing w:val="-2"/>
              </w:rPr>
            </w:pPr>
          </w:p>
          <w:p w14:paraId="73024E76" w14:textId="0BBEA03C" w:rsidR="00CF04B0" w:rsidRPr="0051484B" w:rsidRDefault="009A1745" w:rsidP="003C0645">
            <w:pPr>
              <w:rPr>
                <w:spacing w:val="-2"/>
              </w:rPr>
            </w:pPr>
            <w:r w:rsidRPr="0051484B">
              <w:rPr>
                <w:spacing w:val="-2"/>
              </w:rPr>
              <w:t xml:space="preserve">W myśl art. 31 </w:t>
            </w:r>
            <w:r w:rsidR="009F768F">
              <w:rPr>
                <w:spacing w:val="-2"/>
              </w:rPr>
              <w:t>D</w:t>
            </w:r>
            <w:r w:rsidRPr="0051484B">
              <w:rPr>
                <w:spacing w:val="-2"/>
              </w:rPr>
              <w:t xml:space="preserve">yrektywy 2021/2167 do dnia 29 grudnia 2023 r. </w:t>
            </w:r>
            <w:r w:rsidR="001024DD" w:rsidRPr="0051484B">
              <w:rPr>
                <w:spacing w:val="-2"/>
              </w:rPr>
              <w:t>Komisja</w:t>
            </w:r>
            <w:r w:rsidRPr="0051484B">
              <w:rPr>
                <w:spacing w:val="-2"/>
              </w:rPr>
              <w:t xml:space="preserve"> przedstawi</w:t>
            </w:r>
            <w:r w:rsidR="001024DD" w:rsidRPr="0051484B">
              <w:rPr>
                <w:spacing w:val="-2"/>
              </w:rPr>
              <w:t xml:space="preserve"> Parlamentowi Europejskiemu i Radzie sprawozdanie dotyczące</w:t>
            </w:r>
            <w:r w:rsidR="009A47B8" w:rsidRPr="0051484B">
              <w:rPr>
                <w:spacing w:val="-2"/>
              </w:rPr>
              <w:t xml:space="preserve"> wdrożenia niniejszej dyrektywy</w:t>
            </w:r>
            <w:r w:rsidR="00782218" w:rsidRPr="0051484B">
              <w:rPr>
                <w:spacing w:val="-2"/>
              </w:rPr>
              <w:t>, według wskazanych w tym artykule aspektów</w:t>
            </w:r>
            <w:r w:rsidR="009A47B8" w:rsidRPr="0051484B">
              <w:rPr>
                <w:spacing w:val="-2"/>
              </w:rPr>
              <w:t>. W stosownych przypadkach sprawozdaniu, o którym mowa w akapicie pierwszym, towarzyszy wniosek ustawodawczy.</w:t>
            </w:r>
            <w:bookmarkStart w:id="3" w:name="_GoBack"/>
            <w:bookmarkEnd w:id="3"/>
          </w:p>
        </w:tc>
      </w:tr>
      <w:tr w:rsidR="001024DD" w:rsidRPr="0051484B" w14:paraId="18DA0D65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3CB49C6" w14:textId="77777777" w:rsidR="001024DD" w:rsidRPr="0051484B" w:rsidRDefault="001024DD" w:rsidP="001506D1">
            <w:pPr>
              <w:spacing w:before="60" w:after="60"/>
              <w:rPr>
                <w:b/>
                <w:color w:val="000000"/>
                <w:spacing w:val="-2"/>
              </w:rPr>
            </w:pPr>
            <w:r w:rsidRPr="0051484B">
              <w:rPr>
                <w:b/>
                <w:color w:val="000000"/>
                <w:spacing w:val="-2"/>
              </w:rPr>
              <w:t xml:space="preserve">13. Załączniki </w:t>
            </w:r>
            <w:r w:rsidRPr="0051484B">
              <w:rPr>
                <w:b/>
                <w:spacing w:val="-2"/>
              </w:rPr>
              <w:t>(istotne dokumenty źródłowe, badania, analizy itp.</w:t>
            </w:r>
            <w:r w:rsidRPr="0051484B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1024DD" w:rsidRPr="0051484B" w14:paraId="4895ECB9" w14:textId="77777777" w:rsidTr="00CC3BF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4094B7" w14:textId="77777777" w:rsidR="001024DD" w:rsidRPr="0051484B" w:rsidRDefault="001024DD" w:rsidP="001506D1">
            <w:r w:rsidRPr="0051484B">
              <w:t>Brak</w:t>
            </w:r>
          </w:p>
        </w:tc>
      </w:tr>
    </w:tbl>
    <w:p w14:paraId="3AA7508C" w14:textId="77777777" w:rsidR="005401EF" w:rsidRPr="0051484B" w:rsidRDefault="005401EF" w:rsidP="001506D1"/>
    <w:sectPr w:rsidR="005401EF" w:rsidRPr="0051484B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69F9C" w14:textId="77777777" w:rsidR="00100CA5" w:rsidRDefault="00100CA5" w:rsidP="00044739">
      <w:r>
        <w:separator/>
      </w:r>
    </w:p>
  </w:endnote>
  <w:endnote w:type="continuationSeparator" w:id="0">
    <w:p w14:paraId="6BA6F272" w14:textId="77777777" w:rsidR="00100CA5" w:rsidRDefault="00100CA5" w:rsidP="00044739">
      <w:r>
        <w:continuationSeparator/>
      </w:r>
    </w:p>
  </w:endnote>
  <w:endnote w:type="continuationNotice" w:id="1">
    <w:p w14:paraId="40EB425A" w14:textId="77777777" w:rsidR="00100CA5" w:rsidRDefault="00100C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2A1" w14:textId="77777777" w:rsidR="00100CA5" w:rsidRDefault="00100CA5" w:rsidP="00044739">
      <w:r>
        <w:separator/>
      </w:r>
    </w:p>
  </w:footnote>
  <w:footnote w:type="continuationSeparator" w:id="0">
    <w:p w14:paraId="4CDFB17D" w14:textId="77777777" w:rsidR="00100CA5" w:rsidRDefault="00100CA5" w:rsidP="00044739">
      <w:r>
        <w:continuationSeparator/>
      </w:r>
    </w:p>
  </w:footnote>
  <w:footnote w:type="continuationNotice" w:id="1">
    <w:p w14:paraId="383E48EE" w14:textId="77777777" w:rsidR="00100CA5" w:rsidRDefault="00100C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B34"/>
    <w:multiLevelType w:val="hybridMultilevel"/>
    <w:tmpl w:val="14B480EA"/>
    <w:lvl w:ilvl="0" w:tplc="252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678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06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E2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87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87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CE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A4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E3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716"/>
    <w:multiLevelType w:val="hybridMultilevel"/>
    <w:tmpl w:val="0526CD54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3F139B6"/>
    <w:multiLevelType w:val="hybridMultilevel"/>
    <w:tmpl w:val="66F652FA"/>
    <w:lvl w:ilvl="0" w:tplc="DA9E7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435"/>
    <w:multiLevelType w:val="hybridMultilevel"/>
    <w:tmpl w:val="2620E1F4"/>
    <w:lvl w:ilvl="0" w:tplc="DA9E7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141"/>
    <w:multiLevelType w:val="hybridMultilevel"/>
    <w:tmpl w:val="D7A6B8E6"/>
    <w:lvl w:ilvl="0" w:tplc="A4FE1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69D8"/>
    <w:multiLevelType w:val="hybridMultilevel"/>
    <w:tmpl w:val="97308824"/>
    <w:lvl w:ilvl="0" w:tplc="C684494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411700"/>
    <w:multiLevelType w:val="hybridMultilevel"/>
    <w:tmpl w:val="3502D40A"/>
    <w:lvl w:ilvl="0" w:tplc="DA9E7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2246"/>
    <w:multiLevelType w:val="hybridMultilevel"/>
    <w:tmpl w:val="B0BA6666"/>
    <w:lvl w:ilvl="0" w:tplc="7626FD5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14717"/>
    <w:multiLevelType w:val="hybridMultilevel"/>
    <w:tmpl w:val="E2EC3B78"/>
    <w:lvl w:ilvl="0" w:tplc="A4FE1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68D6"/>
    <w:multiLevelType w:val="hybridMultilevel"/>
    <w:tmpl w:val="68B21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D2DCF"/>
    <w:multiLevelType w:val="hybridMultilevel"/>
    <w:tmpl w:val="8F30A92E"/>
    <w:lvl w:ilvl="0" w:tplc="AE5A1E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D107D"/>
    <w:multiLevelType w:val="hybridMultilevel"/>
    <w:tmpl w:val="7194C10C"/>
    <w:lvl w:ilvl="0" w:tplc="DA9E71FE">
      <w:start w:val="1"/>
      <w:numFmt w:val="bullet"/>
      <w:lvlText w:val="-"/>
      <w:lvlJc w:val="left"/>
      <w:pPr>
        <w:ind w:left="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EA29DC"/>
    <w:multiLevelType w:val="hybridMultilevel"/>
    <w:tmpl w:val="C2469C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467E4"/>
    <w:multiLevelType w:val="hybridMultilevel"/>
    <w:tmpl w:val="FAFADEA2"/>
    <w:lvl w:ilvl="0" w:tplc="DA9E71FE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2045AD9"/>
    <w:multiLevelType w:val="hybridMultilevel"/>
    <w:tmpl w:val="1B4A423E"/>
    <w:lvl w:ilvl="0" w:tplc="DA9E7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95BA8"/>
    <w:multiLevelType w:val="hybridMultilevel"/>
    <w:tmpl w:val="EBBE916A"/>
    <w:lvl w:ilvl="0" w:tplc="DA9E71FE">
      <w:start w:val="1"/>
      <w:numFmt w:val="bullet"/>
      <w:lvlText w:val="-"/>
      <w:lvlJc w:val="left"/>
      <w:pPr>
        <w:ind w:left="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76352DCA"/>
    <w:multiLevelType w:val="hybridMultilevel"/>
    <w:tmpl w:val="A8F080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7B36743"/>
    <w:multiLevelType w:val="hybridMultilevel"/>
    <w:tmpl w:val="6EC883CE"/>
    <w:lvl w:ilvl="0" w:tplc="DA9E7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C01F1"/>
    <w:multiLevelType w:val="hybridMultilevel"/>
    <w:tmpl w:val="451837A6"/>
    <w:lvl w:ilvl="0" w:tplc="7626FD5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19"/>
  </w:num>
  <w:num w:numId="13">
    <w:abstractNumId w:val="1"/>
  </w:num>
  <w:num w:numId="14">
    <w:abstractNumId w:val="14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022"/>
    <w:rsid w:val="000015EE"/>
    <w:rsid w:val="00001F6F"/>
    <w:rsid w:val="000022D5"/>
    <w:rsid w:val="00003126"/>
    <w:rsid w:val="00004C6A"/>
    <w:rsid w:val="00004C6C"/>
    <w:rsid w:val="00007DD0"/>
    <w:rsid w:val="000114BC"/>
    <w:rsid w:val="00011573"/>
    <w:rsid w:val="000116B9"/>
    <w:rsid w:val="000120C8"/>
    <w:rsid w:val="00012D11"/>
    <w:rsid w:val="00013EB5"/>
    <w:rsid w:val="00013F2A"/>
    <w:rsid w:val="0001469B"/>
    <w:rsid w:val="0001658B"/>
    <w:rsid w:val="00017D75"/>
    <w:rsid w:val="00020245"/>
    <w:rsid w:val="0002054E"/>
    <w:rsid w:val="0002055E"/>
    <w:rsid w:val="0002076E"/>
    <w:rsid w:val="00020C4F"/>
    <w:rsid w:val="000216C4"/>
    <w:rsid w:val="00021FE7"/>
    <w:rsid w:val="000223C6"/>
    <w:rsid w:val="00022899"/>
    <w:rsid w:val="00022CF1"/>
    <w:rsid w:val="00023836"/>
    <w:rsid w:val="00023B83"/>
    <w:rsid w:val="00023F5E"/>
    <w:rsid w:val="00024401"/>
    <w:rsid w:val="00024B2B"/>
    <w:rsid w:val="00025590"/>
    <w:rsid w:val="00025DA4"/>
    <w:rsid w:val="00026FB3"/>
    <w:rsid w:val="00027436"/>
    <w:rsid w:val="00027D09"/>
    <w:rsid w:val="000308EE"/>
    <w:rsid w:val="00031572"/>
    <w:rsid w:val="00032136"/>
    <w:rsid w:val="00033472"/>
    <w:rsid w:val="00035156"/>
    <w:rsid w:val="000356A9"/>
    <w:rsid w:val="00035740"/>
    <w:rsid w:val="00036D9E"/>
    <w:rsid w:val="00036E63"/>
    <w:rsid w:val="0004072E"/>
    <w:rsid w:val="0004139F"/>
    <w:rsid w:val="00042D29"/>
    <w:rsid w:val="00043492"/>
    <w:rsid w:val="000439C4"/>
    <w:rsid w:val="00044138"/>
    <w:rsid w:val="000442FC"/>
    <w:rsid w:val="000442FE"/>
    <w:rsid w:val="00044739"/>
    <w:rsid w:val="000461C3"/>
    <w:rsid w:val="00047287"/>
    <w:rsid w:val="00051082"/>
    <w:rsid w:val="00051637"/>
    <w:rsid w:val="00051A63"/>
    <w:rsid w:val="000523F3"/>
    <w:rsid w:val="00052E4E"/>
    <w:rsid w:val="00055026"/>
    <w:rsid w:val="00055175"/>
    <w:rsid w:val="000557FB"/>
    <w:rsid w:val="00056681"/>
    <w:rsid w:val="00060AAA"/>
    <w:rsid w:val="0006230B"/>
    <w:rsid w:val="00062D04"/>
    <w:rsid w:val="00063987"/>
    <w:rsid w:val="000648A7"/>
    <w:rsid w:val="0006618B"/>
    <w:rsid w:val="000670C0"/>
    <w:rsid w:val="000670FC"/>
    <w:rsid w:val="0006782B"/>
    <w:rsid w:val="000707F2"/>
    <w:rsid w:val="000710C1"/>
    <w:rsid w:val="00071A57"/>
    <w:rsid w:val="00071B99"/>
    <w:rsid w:val="00073621"/>
    <w:rsid w:val="00074809"/>
    <w:rsid w:val="000756E5"/>
    <w:rsid w:val="0007575B"/>
    <w:rsid w:val="00075A5F"/>
    <w:rsid w:val="00075B9D"/>
    <w:rsid w:val="000764CC"/>
    <w:rsid w:val="0007704E"/>
    <w:rsid w:val="0007767E"/>
    <w:rsid w:val="00077A04"/>
    <w:rsid w:val="00080EC8"/>
    <w:rsid w:val="00081C0B"/>
    <w:rsid w:val="0008237E"/>
    <w:rsid w:val="00082A87"/>
    <w:rsid w:val="00083008"/>
    <w:rsid w:val="00083FB8"/>
    <w:rsid w:val="0008446E"/>
    <w:rsid w:val="00084620"/>
    <w:rsid w:val="000847B0"/>
    <w:rsid w:val="00090754"/>
    <w:rsid w:val="00090C0F"/>
    <w:rsid w:val="00090C45"/>
    <w:rsid w:val="00091C29"/>
    <w:rsid w:val="00091FA3"/>
    <w:rsid w:val="0009251B"/>
    <w:rsid w:val="00092C7C"/>
    <w:rsid w:val="000943E9"/>
    <w:rsid w:val="0009449E"/>
    <w:rsid w:val="000944AC"/>
    <w:rsid w:val="00094CB9"/>
    <w:rsid w:val="000956B2"/>
    <w:rsid w:val="00096335"/>
    <w:rsid w:val="000969E7"/>
    <w:rsid w:val="00097A4E"/>
    <w:rsid w:val="000A0743"/>
    <w:rsid w:val="000A0AEE"/>
    <w:rsid w:val="000A1207"/>
    <w:rsid w:val="000A23DE"/>
    <w:rsid w:val="000A2579"/>
    <w:rsid w:val="000A3841"/>
    <w:rsid w:val="000A4020"/>
    <w:rsid w:val="000A4BF9"/>
    <w:rsid w:val="000A4FEF"/>
    <w:rsid w:val="000A53BD"/>
    <w:rsid w:val="000A645E"/>
    <w:rsid w:val="000A663A"/>
    <w:rsid w:val="000A78E5"/>
    <w:rsid w:val="000B13BD"/>
    <w:rsid w:val="000B1FAA"/>
    <w:rsid w:val="000B202C"/>
    <w:rsid w:val="000B20EB"/>
    <w:rsid w:val="000B2FF3"/>
    <w:rsid w:val="000B4B08"/>
    <w:rsid w:val="000B54FB"/>
    <w:rsid w:val="000B7385"/>
    <w:rsid w:val="000B7C96"/>
    <w:rsid w:val="000C0674"/>
    <w:rsid w:val="000C0AB6"/>
    <w:rsid w:val="000C1C59"/>
    <w:rsid w:val="000C29B0"/>
    <w:rsid w:val="000C2F24"/>
    <w:rsid w:val="000C5201"/>
    <w:rsid w:val="000C5C41"/>
    <w:rsid w:val="000C76FC"/>
    <w:rsid w:val="000C7C86"/>
    <w:rsid w:val="000D14A4"/>
    <w:rsid w:val="000D282A"/>
    <w:rsid w:val="000D3139"/>
    <w:rsid w:val="000D38FC"/>
    <w:rsid w:val="000D417E"/>
    <w:rsid w:val="000D4D90"/>
    <w:rsid w:val="000D53B0"/>
    <w:rsid w:val="000D6761"/>
    <w:rsid w:val="000E0808"/>
    <w:rsid w:val="000E0ECB"/>
    <w:rsid w:val="000E14FD"/>
    <w:rsid w:val="000E1791"/>
    <w:rsid w:val="000E24BB"/>
    <w:rsid w:val="000E24DB"/>
    <w:rsid w:val="000E2D10"/>
    <w:rsid w:val="000E3825"/>
    <w:rsid w:val="000E3E82"/>
    <w:rsid w:val="000E4410"/>
    <w:rsid w:val="000E5ED3"/>
    <w:rsid w:val="000E72F8"/>
    <w:rsid w:val="000E74FC"/>
    <w:rsid w:val="000E7AC7"/>
    <w:rsid w:val="000F0ECD"/>
    <w:rsid w:val="000F1044"/>
    <w:rsid w:val="000F1BB5"/>
    <w:rsid w:val="000F3204"/>
    <w:rsid w:val="000F5972"/>
    <w:rsid w:val="000F5B11"/>
    <w:rsid w:val="000F6AA9"/>
    <w:rsid w:val="000F717C"/>
    <w:rsid w:val="000F76FD"/>
    <w:rsid w:val="001003E2"/>
    <w:rsid w:val="0010048D"/>
    <w:rsid w:val="00100CA5"/>
    <w:rsid w:val="00100E27"/>
    <w:rsid w:val="0010171C"/>
    <w:rsid w:val="0010199E"/>
    <w:rsid w:val="00101E4F"/>
    <w:rsid w:val="00102083"/>
    <w:rsid w:val="00102257"/>
    <w:rsid w:val="001024DD"/>
    <w:rsid w:val="001033B3"/>
    <w:rsid w:val="0010359C"/>
    <w:rsid w:val="0010548B"/>
    <w:rsid w:val="001072D1"/>
    <w:rsid w:val="001119D5"/>
    <w:rsid w:val="00112CD5"/>
    <w:rsid w:val="00113E50"/>
    <w:rsid w:val="00114F6E"/>
    <w:rsid w:val="00115315"/>
    <w:rsid w:val="00116402"/>
    <w:rsid w:val="00116650"/>
    <w:rsid w:val="00117017"/>
    <w:rsid w:val="00117F1B"/>
    <w:rsid w:val="001216AC"/>
    <w:rsid w:val="00122C2F"/>
    <w:rsid w:val="00122CC4"/>
    <w:rsid w:val="00123EF3"/>
    <w:rsid w:val="00124300"/>
    <w:rsid w:val="00127299"/>
    <w:rsid w:val="00130E8E"/>
    <w:rsid w:val="0013114C"/>
    <w:rsid w:val="00131444"/>
    <w:rsid w:val="0013216E"/>
    <w:rsid w:val="001328AF"/>
    <w:rsid w:val="00133576"/>
    <w:rsid w:val="0013370C"/>
    <w:rsid w:val="00133E1B"/>
    <w:rsid w:val="001346E5"/>
    <w:rsid w:val="00135913"/>
    <w:rsid w:val="00137126"/>
    <w:rsid w:val="00137D41"/>
    <w:rsid w:val="001401B5"/>
    <w:rsid w:val="001422B9"/>
    <w:rsid w:val="00143B19"/>
    <w:rsid w:val="00143BAF"/>
    <w:rsid w:val="00144379"/>
    <w:rsid w:val="001443A8"/>
    <w:rsid w:val="00145A36"/>
    <w:rsid w:val="0014665F"/>
    <w:rsid w:val="00146863"/>
    <w:rsid w:val="00146E25"/>
    <w:rsid w:val="00147D1F"/>
    <w:rsid w:val="00150131"/>
    <w:rsid w:val="0015013F"/>
    <w:rsid w:val="001506D1"/>
    <w:rsid w:val="0015156F"/>
    <w:rsid w:val="001518CF"/>
    <w:rsid w:val="00152E02"/>
    <w:rsid w:val="00153464"/>
    <w:rsid w:val="00153F05"/>
    <w:rsid w:val="001541B3"/>
    <w:rsid w:val="00155B15"/>
    <w:rsid w:val="001570C6"/>
    <w:rsid w:val="001571E5"/>
    <w:rsid w:val="001576CB"/>
    <w:rsid w:val="001625BE"/>
    <w:rsid w:val="001629AF"/>
    <w:rsid w:val="00162AE1"/>
    <w:rsid w:val="001633BD"/>
    <w:rsid w:val="00163753"/>
    <w:rsid w:val="00163E0B"/>
    <w:rsid w:val="001643A4"/>
    <w:rsid w:val="00165C69"/>
    <w:rsid w:val="00170C21"/>
    <w:rsid w:val="00170F58"/>
    <w:rsid w:val="00171534"/>
    <w:rsid w:val="00171B5E"/>
    <w:rsid w:val="001727BB"/>
    <w:rsid w:val="001729A6"/>
    <w:rsid w:val="00172F65"/>
    <w:rsid w:val="0017302A"/>
    <w:rsid w:val="00174CEB"/>
    <w:rsid w:val="0017695F"/>
    <w:rsid w:val="00180371"/>
    <w:rsid w:val="00180D06"/>
    <w:rsid w:val="00180D25"/>
    <w:rsid w:val="001812C7"/>
    <w:rsid w:val="001828A5"/>
    <w:rsid w:val="0018318D"/>
    <w:rsid w:val="00184968"/>
    <w:rsid w:val="0018572C"/>
    <w:rsid w:val="00187DB9"/>
    <w:rsid w:val="00187E79"/>
    <w:rsid w:val="00187F0D"/>
    <w:rsid w:val="00187FA5"/>
    <w:rsid w:val="001908D1"/>
    <w:rsid w:val="00192CC5"/>
    <w:rsid w:val="001943DF"/>
    <w:rsid w:val="001947DD"/>
    <w:rsid w:val="00195594"/>
    <w:rsid w:val="001956A7"/>
    <w:rsid w:val="00195BED"/>
    <w:rsid w:val="00195CFB"/>
    <w:rsid w:val="0019627B"/>
    <w:rsid w:val="00196AD1"/>
    <w:rsid w:val="00196DCA"/>
    <w:rsid w:val="001972A4"/>
    <w:rsid w:val="00197C5B"/>
    <w:rsid w:val="001A07E1"/>
    <w:rsid w:val="001A118A"/>
    <w:rsid w:val="001A2737"/>
    <w:rsid w:val="001A27F4"/>
    <w:rsid w:val="001A2D95"/>
    <w:rsid w:val="001A4F6E"/>
    <w:rsid w:val="001A5992"/>
    <w:rsid w:val="001A5FDA"/>
    <w:rsid w:val="001A68F7"/>
    <w:rsid w:val="001A7074"/>
    <w:rsid w:val="001A74B0"/>
    <w:rsid w:val="001B0298"/>
    <w:rsid w:val="001B0463"/>
    <w:rsid w:val="001B07CA"/>
    <w:rsid w:val="001B1D2C"/>
    <w:rsid w:val="001B2BCF"/>
    <w:rsid w:val="001B3438"/>
    <w:rsid w:val="001B3446"/>
    <w:rsid w:val="001B3460"/>
    <w:rsid w:val="001B4CA1"/>
    <w:rsid w:val="001B574C"/>
    <w:rsid w:val="001B75D8"/>
    <w:rsid w:val="001C1060"/>
    <w:rsid w:val="001C3C63"/>
    <w:rsid w:val="001C5D0D"/>
    <w:rsid w:val="001C5F17"/>
    <w:rsid w:val="001C6EEA"/>
    <w:rsid w:val="001C790B"/>
    <w:rsid w:val="001D048E"/>
    <w:rsid w:val="001D2088"/>
    <w:rsid w:val="001D23D7"/>
    <w:rsid w:val="001D2644"/>
    <w:rsid w:val="001D3272"/>
    <w:rsid w:val="001D4732"/>
    <w:rsid w:val="001D5276"/>
    <w:rsid w:val="001D56D6"/>
    <w:rsid w:val="001D6010"/>
    <w:rsid w:val="001D696F"/>
    <w:rsid w:val="001D6A3C"/>
    <w:rsid w:val="001D6D51"/>
    <w:rsid w:val="001D6FB4"/>
    <w:rsid w:val="001D7F24"/>
    <w:rsid w:val="001E08B6"/>
    <w:rsid w:val="001E248D"/>
    <w:rsid w:val="001E2786"/>
    <w:rsid w:val="001E2A86"/>
    <w:rsid w:val="001E376A"/>
    <w:rsid w:val="001E3E62"/>
    <w:rsid w:val="001E4385"/>
    <w:rsid w:val="001E4895"/>
    <w:rsid w:val="001E51BD"/>
    <w:rsid w:val="001E53F4"/>
    <w:rsid w:val="001E541D"/>
    <w:rsid w:val="001E5E3F"/>
    <w:rsid w:val="001E6A72"/>
    <w:rsid w:val="001F1708"/>
    <w:rsid w:val="001F1EA7"/>
    <w:rsid w:val="001F2380"/>
    <w:rsid w:val="001F2441"/>
    <w:rsid w:val="001F5348"/>
    <w:rsid w:val="001F653A"/>
    <w:rsid w:val="001F6979"/>
    <w:rsid w:val="001F6CE7"/>
    <w:rsid w:val="001F7C74"/>
    <w:rsid w:val="002001E7"/>
    <w:rsid w:val="002013B6"/>
    <w:rsid w:val="0020293F"/>
    <w:rsid w:val="00202BC6"/>
    <w:rsid w:val="002035FD"/>
    <w:rsid w:val="00203726"/>
    <w:rsid w:val="00205141"/>
    <w:rsid w:val="0020516B"/>
    <w:rsid w:val="00205925"/>
    <w:rsid w:val="00205F88"/>
    <w:rsid w:val="00207067"/>
    <w:rsid w:val="002077AC"/>
    <w:rsid w:val="00207828"/>
    <w:rsid w:val="00207E02"/>
    <w:rsid w:val="002108F6"/>
    <w:rsid w:val="00211767"/>
    <w:rsid w:val="002122B6"/>
    <w:rsid w:val="00213559"/>
    <w:rsid w:val="00213A6D"/>
    <w:rsid w:val="00213EFD"/>
    <w:rsid w:val="00214A23"/>
    <w:rsid w:val="00214DFA"/>
    <w:rsid w:val="002151CB"/>
    <w:rsid w:val="002172F1"/>
    <w:rsid w:val="0022057F"/>
    <w:rsid w:val="002210FF"/>
    <w:rsid w:val="00221C6F"/>
    <w:rsid w:val="00222816"/>
    <w:rsid w:val="00222BCD"/>
    <w:rsid w:val="00223105"/>
    <w:rsid w:val="002238DD"/>
    <w:rsid w:val="00223BD4"/>
    <w:rsid w:val="00223C7B"/>
    <w:rsid w:val="00224AB1"/>
    <w:rsid w:val="00224FBB"/>
    <w:rsid w:val="0022548C"/>
    <w:rsid w:val="00225C39"/>
    <w:rsid w:val="0022687A"/>
    <w:rsid w:val="00230728"/>
    <w:rsid w:val="00234040"/>
    <w:rsid w:val="00234B79"/>
    <w:rsid w:val="00234BD2"/>
    <w:rsid w:val="002352A7"/>
    <w:rsid w:val="0023560C"/>
    <w:rsid w:val="0023574E"/>
    <w:rsid w:val="00235CD2"/>
    <w:rsid w:val="002368E1"/>
    <w:rsid w:val="00236D5A"/>
    <w:rsid w:val="002370A2"/>
    <w:rsid w:val="00240660"/>
    <w:rsid w:val="002415C2"/>
    <w:rsid w:val="00241627"/>
    <w:rsid w:val="00244513"/>
    <w:rsid w:val="0024605E"/>
    <w:rsid w:val="00246C4E"/>
    <w:rsid w:val="0024793F"/>
    <w:rsid w:val="0024797B"/>
    <w:rsid w:val="00247E87"/>
    <w:rsid w:val="00250BD6"/>
    <w:rsid w:val="00251041"/>
    <w:rsid w:val="00252601"/>
    <w:rsid w:val="00252BD5"/>
    <w:rsid w:val="00252EE9"/>
    <w:rsid w:val="00253E87"/>
    <w:rsid w:val="00254797"/>
    <w:rsid w:val="00254DED"/>
    <w:rsid w:val="00255619"/>
    <w:rsid w:val="00255DAD"/>
    <w:rsid w:val="00256108"/>
    <w:rsid w:val="00257293"/>
    <w:rsid w:val="0025755D"/>
    <w:rsid w:val="00260618"/>
    <w:rsid w:val="0026075A"/>
    <w:rsid w:val="00260F33"/>
    <w:rsid w:val="002613BD"/>
    <w:rsid w:val="0026182C"/>
    <w:rsid w:val="00261997"/>
    <w:rsid w:val="0026200B"/>
    <w:rsid w:val="00262244"/>
    <w:rsid w:val="002624F1"/>
    <w:rsid w:val="0026292A"/>
    <w:rsid w:val="002631B2"/>
    <w:rsid w:val="0026482C"/>
    <w:rsid w:val="002658B1"/>
    <w:rsid w:val="00266205"/>
    <w:rsid w:val="0027073D"/>
    <w:rsid w:val="00270842"/>
    <w:rsid w:val="00270C81"/>
    <w:rsid w:val="00271120"/>
    <w:rsid w:val="00271558"/>
    <w:rsid w:val="002716D8"/>
    <w:rsid w:val="00271A33"/>
    <w:rsid w:val="002733EB"/>
    <w:rsid w:val="00274188"/>
    <w:rsid w:val="00274801"/>
    <w:rsid w:val="00274862"/>
    <w:rsid w:val="00274D02"/>
    <w:rsid w:val="00274DDD"/>
    <w:rsid w:val="002750A0"/>
    <w:rsid w:val="00276147"/>
    <w:rsid w:val="00281BE7"/>
    <w:rsid w:val="00281FD3"/>
    <w:rsid w:val="002822EA"/>
    <w:rsid w:val="00282D72"/>
    <w:rsid w:val="00283402"/>
    <w:rsid w:val="0028619B"/>
    <w:rsid w:val="00286E51"/>
    <w:rsid w:val="00287219"/>
    <w:rsid w:val="002903CF"/>
    <w:rsid w:val="002904B3"/>
    <w:rsid w:val="00290FD6"/>
    <w:rsid w:val="002918A6"/>
    <w:rsid w:val="002940D9"/>
    <w:rsid w:val="00294259"/>
    <w:rsid w:val="00294C7F"/>
    <w:rsid w:val="00294EAC"/>
    <w:rsid w:val="00295BC3"/>
    <w:rsid w:val="0029684F"/>
    <w:rsid w:val="00296C13"/>
    <w:rsid w:val="002A0A65"/>
    <w:rsid w:val="002A0E7A"/>
    <w:rsid w:val="002A1278"/>
    <w:rsid w:val="002A1F15"/>
    <w:rsid w:val="002A2C81"/>
    <w:rsid w:val="002A30AA"/>
    <w:rsid w:val="002A450D"/>
    <w:rsid w:val="002A47FF"/>
    <w:rsid w:val="002A6517"/>
    <w:rsid w:val="002A7569"/>
    <w:rsid w:val="002B003C"/>
    <w:rsid w:val="002B1D87"/>
    <w:rsid w:val="002B1F96"/>
    <w:rsid w:val="002B2022"/>
    <w:rsid w:val="002B25C8"/>
    <w:rsid w:val="002B3C9F"/>
    <w:rsid w:val="002B3D1A"/>
    <w:rsid w:val="002B5258"/>
    <w:rsid w:val="002B540A"/>
    <w:rsid w:val="002B55EA"/>
    <w:rsid w:val="002B56E9"/>
    <w:rsid w:val="002B5779"/>
    <w:rsid w:val="002B5810"/>
    <w:rsid w:val="002B5F66"/>
    <w:rsid w:val="002B6EED"/>
    <w:rsid w:val="002B74B0"/>
    <w:rsid w:val="002C0260"/>
    <w:rsid w:val="002C0509"/>
    <w:rsid w:val="002C0FB3"/>
    <w:rsid w:val="002C13BF"/>
    <w:rsid w:val="002C27D0"/>
    <w:rsid w:val="002C2A4A"/>
    <w:rsid w:val="002C2C9B"/>
    <w:rsid w:val="002C356F"/>
    <w:rsid w:val="002C4B3B"/>
    <w:rsid w:val="002C51ED"/>
    <w:rsid w:val="002C57EF"/>
    <w:rsid w:val="002C62B6"/>
    <w:rsid w:val="002C64A9"/>
    <w:rsid w:val="002C6991"/>
    <w:rsid w:val="002C7DB6"/>
    <w:rsid w:val="002C7EC6"/>
    <w:rsid w:val="002D08C0"/>
    <w:rsid w:val="002D17D6"/>
    <w:rsid w:val="002D18D7"/>
    <w:rsid w:val="002D19ED"/>
    <w:rsid w:val="002D21CE"/>
    <w:rsid w:val="002D3BFE"/>
    <w:rsid w:val="002D3F00"/>
    <w:rsid w:val="002D4803"/>
    <w:rsid w:val="002D7AD3"/>
    <w:rsid w:val="002D7DB5"/>
    <w:rsid w:val="002E0757"/>
    <w:rsid w:val="002E08EA"/>
    <w:rsid w:val="002E2466"/>
    <w:rsid w:val="002E3444"/>
    <w:rsid w:val="002E36B5"/>
    <w:rsid w:val="002E3DA3"/>
    <w:rsid w:val="002E3FCC"/>
    <w:rsid w:val="002E450F"/>
    <w:rsid w:val="002E451D"/>
    <w:rsid w:val="002E4870"/>
    <w:rsid w:val="002E51B0"/>
    <w:rsid w:val="002E5799"/>
    <w:rsid w:val="002E580F"/>
    <w:rsid w:val="002E6B38"/>
    <w:rsid w:val="002E6BF6"/>
    <w:rsid w:val="002E6D63"/>
    <w:rsid w:val="002E6E2B"/>
    <w:rsid w:val="002F1859"/>
    <w:rsid w:val="002F31E2"/>
    <w:rsid w:val="002F4ED6"/>
    <w:rsid w:val="002F500B"/>
    <w:rsid w:val="002F6605"/>
    <w:rsid w:val="002F6E49"/>
    <w:rsid w:val="00300133"/>
    <w:rsid w:val="00300189"/>
    <w:rsid w:val="0030052B"/>
    <w:rsid w:val="00300991"/>
    <w:rsid w:val="003009FF"/>
    <w:rsid w:val="00300E11"/>
    <w:rsid w:val="00300F3A"/>
    <w:rsid w:val="00301760"/>
    <w:rsid w:val="00301959"/>
    <w:rsid w:val="00302D15"/>
    <w:rsid w:val="00304931"/>
    <w:rsid w:val="00305148"/>
    <w:rsid w:val="00305B8A"/>
    <w:rsid w:val="00305EEC"/>
    <w:rsid w:val="00306FAE"/>
    <w:rsid w:val="003074E8"/>
    <w:rsid w:val="00311F57"/>
    <w:rsid w:val="003136F6"/>
    <w:rsid w:val="00315D97"/>
    <w:rsid w:val="00316341"/>
    <w:rsid w:val="003168C0"/>
    <w:rsid w:val="0032030E"/>
    <w:rsid w:val="0032073B"/>
    <w:rsid w:val="00321A63"/>
    <w:rsid w:val="00324AB7"/>
    <w:rsid w:val="00326359"/>
    <w:rsid w:val="003276E3"/>
    <w:rsid w:val="00327820"/>
    <w:rsid w:val="003302D9"/>
    <w:rsid w:val="003307BE"/>
    <w:rsid w:val="00330996"/>
    <w:rsid w:val="00331BF9"/>
    <w:rsid w:val="00331C80"/>
    <w:rsid w:val="00332F2B"/>
    <w:rsid w:val="003344E7"/>
    <w:rsid w:val="0033490D"/>
    <w:rsid w:val="0033495E"/>
    <w:rsid w:val="00334A79"/>
    <w:rsid w:val="00334D8D"/>
    <w:rsid w:val="00334F7F"/>
    <w:rsid w:val="00334FCA"/>
    <w:rsid w:val="00335465"/>
    <w:rsid w:val="00335804"/>
    <w:rsid w:val="00335B9D"/>
    <w:rsid w:val="00335F53"/>
    <w:rsid w:val="00336C66"/>
    <w:rsid w:val="00337193"/>
    <w:rsid w:val="00337345"/>
    <w:rsid w:val="003376F4"/>
    <w:rsid w:val="00337856"/>
    <w:rsid w:val="00337870"/>
    <w:rsid w:val="00337AD2"/>
    <w:rsid w:val="00337DD2"/>
    <w:rsid w:val="003404D1"/>
    <w:rsid w:val="00341DC7"/>
    <w:rsid w:val="00341F18"/>
    <w:rsid w:val="003424BD"/>
    <w:rsid w:val="00343088"/>
    <w:rsid w:val="003443FF"/>
    <w:rsid w:val="003444F4"/>
    <w:rsid w:val="00344E62"/>
    <w:rsid w:val="00344EFE"/>
    <w:rsid w:val="0034512A"/>
    <w:rsid w:val="00345293"/>
    <w:rsid w:val="00346579"/>
    <w:rsid w:val="00346842"/>
    <w:rsid w:val="00346AB1"/>
    <w:rsid w:val="00346CA8"/>
    <w:rsid w:val="00347CA6"/>
    <w:rsid w:val="003506EE"/>
    <w:rsid w:val="003510A5"/>
    <w:rsid w:val="003533F8"/>
    <w:rsid w:val="00353AA9"/>
    <w:rsid w:val="0035424E"/>
    <w:rsid w:val="00354303"/>
    <w:rsid w:val="0035436F"/>
    <w:rsid w:val="00354D9B"/>
    <w:rsid w:val="003552DD"/>
    <w:rsid w:val="003556AC"/>
    <w:rsid w:val="00355808"/>
    <w:rsid w:val="00355AF6"/>
    <w:rsid w:val="00355C96"/>
    <w:rsid w:val="00355CED"/>
    <w:rsid w:val="00357011"/>
    <w:rsid w:val="00357501"/>
    <w:rsid w:val="00360414"/>
    <w:rsid w:val="00360697"/>
    <w:rsid w:val="00361EEA"/>
    <w:rsid w:val="00362998"/>
    <w:rsid w:val="00362C7E"/>
    <w:rsid w:val="00363309"/>
    <w:rsid w:val="0036350D"/>
    <w:rsid w:val="00363601"/>
    <w:rsid w:val="00363713"/>
    <w:rsid w:val="00363862"/>
    <w:rsid w:val="00364875"/>
    <w:rsid w:val="003650DC"/>
    <w:rsid w:val="00365772"/>
    <w:rsid w:val="00367DB8"/>
    <w:rsid w:val="00367FC5"/>
    <w:rsid w:val="00371857"/>
    <w:rsid w:val="00374699"/>
    <w:rsid w:val="00376AC9"/>
    <w:rsid w:val="00380414"/>
    <w:rsid w:val="003804BF"/>
    <w:rsid w:val="003809F7"/>
    <w:rsid w:val="00382689"/>
    <w:rsid w:val="00387717"/>
    <w:rsid w:val="0039136E"/>
    <w:rsid w:val="003914E8"/>
    <w:rsid w:val="003916BB"/>
    <w:rsid w:val="00393032"/>
    <w:rsid w:val="00393C03"/>
    <w:rsid w:val="00394B69"/>
    <w:rsid w:val="00396E18"/>
    <w:rsid w:val="00397078"/>
    <w:rsid w:val="00397273"/>
    <w:rsid w:val="00397592"/>
    <w:rsid w:val="003A0A64"/>
    <w:rsid w:val="003A1C3A"/>
    <w:rsid w:val="003A24A1"/>
    <w:rsid w:val="003A2793"/>
    <w:rsid w:val="003A37D2"/>
    <w:rsid w:val="003A3C11"/>
    <w:rsid w:val="003A638F"/>
    <w:rsid w:val="003A67C1"/>
    <w:rsid w:val="003A6953"/>
    <w:rsid w:val="003A695C"/>
    <w:rsid w:val="003A779A"/>
    <w:rsid w:val="003A7A50"/>
    <w:rsid w:val="003A7C5E"/>
    <w:rsid w:val="003A7E4F"/>
    <w:rsid w:val="003B01DF"/>
    <w:rsid w:val="003B145E"/>
    <w:rsid w:val="003B180F"/>
    <w:rsid w:val="003B2FD2"/>
    <w:rsid w:val="003B4230"/>
    <w:rsid w:val="003B4EC3"/>
    <w:rsid w:val="003B6083"/>
    <w:rsid w:val="003B730E"/>
    <w:rsid w:val="003B77E7"/>
    <w:rsid w:val="003C0147"/>
    <w:rsid w:val="003C0645"/>
    <w:rsid w:val="003C0A58"/>
    <w:rsid w:val="003C1578"/>
    <w:rsid w:val="003C2240"/>
    <w:rsid w:val="003C2ED9"/>
    <w:rsid w:val="003C350A"/>
    <w:rsid w:val="003C3838"/>
    <w:rsid w:val="003C4B3C"/>
    <w:rsid w:val="003C5650"/>
    <w:rsid w:val="003C5847"/>
    <w:rsid w:val="003C5874"/>
    <w:rsid w:val="003C5CC9"/>
    <w:rsid w:val="003C5DB3"/>
    <w:rsid w:val="003D0681"/>
    <w:rsid w:val="003D0881"/>
    <w:rsid w:val="003D12F6"/>
    <w:rsid w:val="003D1426"/>
    <w:rsid w:val="003D1DD3"/>
    <w:rsid w:val="003D2708"/>
    <w:rsid w:val="003D5081"/>
    <w:rsid w:val="003D52BF"/>
    <w:rsid w:val="003E2D61"/>
    <w:rsid w:val="003E2E48"/>
    <w:rsid w:val="003E2F4E"/>
    <w:rsid w:val="003E39C1"/>
    <w:rsid w:val="003E4341"/>
    <w:rsid w:val="003E45F8"/>
    <w:rsid w:val="003E593C"/>
    <w:rsid w:val="003E6522"/>
    <w:rsid w:val="003E6B49"/>
    <w:rsid w:val="003E7198"/>
    <w:rsid w:val="003E720A"/>
    <w:rsid w:val="003E7724"/>
    <w:rsid w:val="003E7876"/>
    <w:rsid w:val="003E7FFA"/>
    <w:rsid w:val="003F0DE3"/>
    <w:rsid w:val="003F354E"/>
    <w:rsid w:val="003F3B02"/>
    <w:rsid w:val="003F607C"/>
    <w:rsid w:val="003F6374"/>
    <w:rsid w:val="00400299"/>
    <w:rsid w:val="00400332"/>
    <w:rsid w:val="00400586"/>
    <w:rsid w:val="00400EFF"/>
    <w:rsid w:val="00401592"/>
    <w:rsid w:val="00401D5C"/>
    <w:rsid w:val="00402ABE"/>
    <w:rsid w:val="00402BB3"/>
    <w:rsid w:val="004037D5"/>
    <w:rsid w:val="00403C52"/>
    <w:rsid w:val="00403E6E"/>
    <w:rsid w:val="00404EBB"/>
    <w:rsid w:val="004051B8"/>
    <w:rsid w:val="004053BB"/>
    <w:rsid w:val="004060BE"/>
    <w:rsid w:val="00407869"/>
    <w:rsid w:val="00407CEB"/>
    <w:rsid w:val="00411F2D"/>
    <w:rsid w:val="004128CE"/>
    <w:rsid w:val="00412914"/>
    <w:rsid w:val="004129B4"/>
    <w:rsid w:val="00412A94"/>
    <w:rsid w:val="00412C0D"/>
    <w:rsid w:val="004142AC"/>
    <w:rsid w:val="00415E20"/>
    <w:rsid w:val="00416638"/>
    <w:rsid w:val="00416B09"/>
    <w:rsid w:val="0041719A"/>
    <w:rsid w:val="00417EF0"/>
    <w:rsid w:val="00420CA3"/>
    <w:rsid w:val="004215F2"/>
    <w:rsid w:val="00422181"/>
    <w:rsid w:val="004223EC"/>
    <w:rsid w:val="00422FD6"/>
    <w:rsid w:val="00423B27"/>
    <w:rsid w:val="004244A8"/>
    <w:rsid w:val="004257F5"/>
    <w:rsid w:val="00425819"/>
    <w:rsid w:val="00425F72"/>
    <w:rsid w:val="004265FD"/>
    <w:rsid w:val="00426A15"/>
    <w:rsid w:val="00427736"/>
    <w:rsid w:val="00430AF4"/>
    <w:rsid w:val="00431344"/>
    <w:rsid w:val="0043163C"/>
    <w:rsid w:val="00431BD2"/>
    <w:rsid w:val="00433186"/>
    <w:rsid w:val="00433205"/>
    <w:rsid w:val="00434C27"/>
    <w:rsid w:val="00436765"/>
    <w:rsid w:val="00436960"/>
    <w:rsid w:val="004377A0"/>
    <w:rsid w:val="004400B4"/>
    <w:rsid w:val="00440A3F"/>
    <w:rsid w:val="00441787"/>
    <w:rsid w:val="004419A7"/>
    <w:rsid w:val="00442A8D"/>
    <w:rsid w:val="00442F05"/>
    <w:rsid w:val="0044492A"/>
    <w:rsid w:val="00444F2D"/>
    <w:rsid w:val="004456F6"/>
    <w:rsid w:val="00446861"/>
    <w:rsid w:val="00450D0C"/>
    <w:rsid w:val="004513C5"/>
    <w:rsid w:val="00451489"/>
    <w:rsid w:val="00452034"/>
    <w:rsid w:val="0045211C"/>
    <w:rsid w:val="00452A66"/>
    <w:rsid w:val="00452C5A"/>
    <w:rsid w:val="00452FB3"/>
    <w:rsid w:val="004530F2"/>
    <w:rsid w:val="00453A43"/>
    <w:rsid w:val="00454C84"/>
    <w:rsid w:val="004551EE"/>
    <w:rsid w:val="00455228"/>
    <w:rsid w:val="00455FA6"/>
    <w:rsid w:val="00456E24"/>
    <w:rsid w:val="00456FF5"/>
    <w:rsid w:val="00460D1E"/>
    <w:rsid w:val="00461CDD"/>
    <w:rsid w:val="00461FBC"/>
    <w:rsid w:val="00462906"/>
    <w:rsid w:val="00462C50"/>
    <w:rsid w:val="00462DF3"/>
    <w:rsid w:val="00463EA6"/>
    <w:rsid w:val="004652F5"/>
    <w:rsid w:val="00466364"/>
    <w:rsid w:val="00466C70"/>
    <w:rsid w:val="00466FF6"/>
    <w:rsid w:val="00467C00"/>
    <w:rsid w:val="00467F98"/>
    <w:rsid w:val="004702C9"/>
    <w:rsid w:val="004703A6"/>
    <w:rsid w:val="00470BE0"/>
    <w:rsid w:val="00471EFF"/>
    <w:rsid w:val="00472A76"/>
    <w:rsid w:val="00472E45"/>
    <w:rsid w:val="00473FEA"/>
    <w:rsid w:val="004743F4"/>
    <w:rsid w:val="0047579D"/>
    <w:rsid w:val="004778F3"/>
    <w:rsid w:val="00477A30"/>
    <w:rsid w:val="00477D53"/>
    <w:rsid w:val="00477D59"/>
    <w:rsid w:val="004816D2"/>
    <w:rsid w:val="004831E1"/>
    <w:rsid w:val="00483262"/>
    <w:rsid w:val="00483D2C"/>
    <w:rsid w:val="00483EAC"/>
    <w:rsid w:val="00484107"/>
    <w:rsid w:val="00484AEC"/>
    <w:rsid w:val="00484CD7"/>
    <w:rsid w:val="0048541F"/>
    <w:rsid w:val="00485CC5"/>
    <w:rsid w:val="00487825"/>
    <w:rsid w:val="00487CA5"/>
    <w:rsid w:val="00491BB0"/>
    <w:rsid w:val="00492559"/>
    <w:rsid w:val="0049343F"/>
    <w:rsid w:val="004937C1"/>
    <w:rsid w:val="00494019"/>
    <w:rsid w:val="00494C7C"/>
    <w:rsid w:val="004964FC"/>
    <w:rsid w:val="00497E30"/>
    <w:rsid w:val="004A01BD"/>
    <w:rsid w:val="004A1042"/>
    <w:rsid w:val="004A145E"/>
    <w:rsid w:val="004A1F15"/>
    <w:rsid w:val="004A2A81"/>
    <w:rsid w:val="004A2C0F"/>
    <w:rsid w:val="004A36AB"/>
    <w:rsid w:val="004A4CB5"/>
    <w:rsid w:val="004A4E56"/>
    <w:rsid w:val="004A6311"/>
    <w:rsid w:val="004A6453"/>
    <w:rsid w:val="004A6ACE"/>
    <w:rsid w:val="004A7BD7"/>
    <w:rsid w:val="004B20BA"/>
    <w:rsid w:val="004B23EC"/>
    <w:rsid w:val="004B2C19"/>
    <w:rsid w:val="004B3357"/>
    <w:rsid w:val="004B39F4"/>
    <w:rsid w:val="004B6701"/>
    <w:rsid w:val="004B6DCE"/>
    <w:rsid w:val="004B76F9"/>
    <w:rsid w:val="004B7AB9"/>
    <w:rsid w:val="004C1543"/>
    <w:rsid w:val="004C15C2"/>
    <w:rsid w:val="004C2A49"/>
    <w:rsid w:val="004C2AC5"/>
    <w:rsid w:val="004C36D8"/>
    <w:rsid w:val="004C3937"/>
    <w:rsid w:val="004C3F52"/>
    <w:rsid w:val="004C4338"/>
    <w:rsid w:val="004C745B"/>
    <w:rsid w:val="004D1248"/>
    <w:rsid w:val="004D16C8"/>
    <w:rsid w:val="004D1E3C"/>
    <w:rsid w:val="004D3B56"/>
    <w:rsid w:val="004D4033"/>
    <w:rsid w:val="004D4169"/>
    <w:rsid w:val="004D457F"/>
    <w:rsid w:val="004D5BA8"/>
    <w:rsid w:val="004D6E14"/>
    <w:rsid w:val="004E00B9"/>
    <w:rsid w:val="004E02A7"/>
    <w:rsid w:val="004E0410"/>
    <w:rsid w:val="004E105C"/>
    <w:rsid w:val="004E1539"/>
    <w:rsid w:val="004E17C0"/>
    <w:rsid w:val="004E19FC"/>
    <w:rsid w:val="004E237F"/>
    <w:rsid w:val="004E30C9"/>
    <w:rsid w:val="004E693B"/>
    <w:rsid w:val="004E742A"/>
    <w:rsid w:val="004E756F"/>
    <w:rsid w:val="004E767B"/>
    <w:rsid w:val="004E7C5A"/>
    <w:rsid w:val="004F0575"/>
    <w:rsid w:val="004F1A4A"/>
    <w:rsid w:val="004F3094"/>
    <w:rsid w:val="004F35B1"/>
    <w:rsid w:val="004F43C2"/>
    <w:rsid w:val="004F4E17"/>
    <w:rsid w:val="004F6C21"/>
    <w:rsid w:val="004F6DDE"/>
    <w:rsid w:val="004F7EA3"/>
    <w:rsid w:val="004F7F80"/>
    <w:rsid w:val="00500204"/>
    <w:rsid w:val="00500821"/>
    <w:rsid w:val="0050082F"/>
    <w:rsid w:val="00500851"/>
    <w:rsid w:val="00500BAC"/>
    <w:rsid w:val="00500C56"/>
    <w:rsid w:val="00501713"/>
    <w:rsid w:val="00502C72"/>
    <w:rsid w:val="005035FA"/>
    <w:rsid w:val="00503972"/>
    <w:rsid w:val="0050552F"/>
    <w:rsid w:val="00505CB3"/>
    <w:rsid w:val="005060F7"/>
    <w:rsid w:val="005063B0"/>
    <w:rsid w:val="00506568"/>
    <w:rsid w:val="00507080"/>
    <w:rsid w:val="00507E9C"/>
    <w:rsid w:val="00510E26"/>
    <w:rsid w:val="005112CB"/>
    <w:rsid w:val="005123FC"/>
    <w:rsid w:val="00512DBD"/>
    <w:rsid w:val="00513B55"/>
    <w:rsid w:val="0051484B"/>
    <w:rsid w:val="00514A1E"/>
    <w:rsid w:val="0051551B"/>
    <w:rsid w:val="00515A07"/>
    <w:rsid w:val="00516A27"/>
    <w:rsid w:val="00516A67"/>
    <w:rsid w:val="005171A5"/>
    <w:rsid w:val="0051771A"/>
    <w:rsid w:val="00520138"/>
    <w:rsid w:val="005209EA"/>
    <w:rsid w:val="00520C57"/>
    <w:rsid w:val="00520CDB"/>
    <w:rsid w:val="00520D14"/>
    <w:rsid w:val="00521AED"/>
    <w:rsid w:val="00522D94"/>
    <w:rsid w:val="00522DA6"/>
    <w:rsid w:val="0052485B"/>
    <w:rsid w:val="005268E2"/>
    <w:rsid w:val="00527328"/>
    <w:rsid w:val="00527D7C"/>
    <w:rsid w:val="00530A6D"/>
    <w:rsid w:val="0053187B"/>
    <w:rsid w:val="00532A35"/>
    <w:rsid w:val="00533501"/>
    <w:rsid w:val="00533AAB"/>
    <w:rsid w:val="00533B48"/>
    <w:rsid w:val="00533D89"/>
    <w:rsid w:val="0053410F"/>
    <w:rsid w:val="00535391"/>
    <w:rsid w:val="005356C6"/>
    <w:rsid w:val="00536564"/>
    <w:rsid w:val="0053668F"/>
    <w:rsid w:val="00536C3F"/>
    <w:rsid w:val="005401EF"/>
    <w:rsid w:val="00540708"/>
    <w:rsid w:val="00541ABB"/>
    <w:rsid w:val="00541B5F"/>
    <w:rsid w:val="00542D13"/>
    <w:rsid w:val="00544597"/>
    <w:rsid w:val="005449F7"/>
    <w:rsid w:val="00544FFE"/>
    <w:rsid w:val="005473F5"/>
    <w:rsid w:val="005477E7"/>
    <w:rsid w:val="0055004E"/>
    <w:rsid w:val="00550288"/>
    <w:rsid w:val="00551176"/>
    <w:rsid w:val="005516C8"/>
    <w:rsid w:val="00552794"/>
    <w:rsid w:val="00553393"/>
    <w:rsid w:val="0055347A"/>
    <w:rsid w:val="00555EF2"/>
    <w:rsid w:val="005601F4"/>
    <w:rsid w:val="005603E2"/>
    <w:rsid w:val="005608E8"/>
    <w:rsid w:val="00562698"/>
    <w:rsid w:val="00563077"/>
    <w:rsid w:val="00563199"/>
    <w:rsid w:val="00563BA8"/>
    <w:rsid w:val="00564874"/>
    <w:rsid w:val="00565496"/>
    <w:rsid w:val="00565BF4"/>
    <w:rsid w:val="00565F23"/>
    <w:rsid w:val="005669D2"/>
    <w:rsid w:val="00566EAE"/>
    <w:rsid w:val="00567790"/>
    <w:rsid w:val="00567963"/>
    <w:rsid w:val="0057009A"/>
    <w:rsid w:val="00570913"/>
    <w:rsid w:val="00570938"/>
    <w:rsid w:val="00571260"/>
    <w:rsid w:val="0057189C"/>
    <w:rsid w:val="00571E8A"/>
    <w:rsid w:val="0057244F"/>
    <w:rsid w:val="005732B0"/>
    <w:rsid w:val="00573F36"/>
    <w:rsid w:val="00573FC1"/>
    <w:rsid w:val="005741EE"/>
    <w:rsid w:val="0057497B"/>
    <w:rsid w:val="00575ED5"/>
    <w:rsid w:val="0057668E"/>
    <w:rsid w:val="005769FF"/>
    <w:rsid w:val="0057722E"/>
    <w:rsid w:val="00580000"/>
    <w:rsid w:val="00580870"/>
    <w:rsid w:val="00580AE2"/>
    <w:rsid w:val="0058121F"/>
    <w:rsid w:val="00582409"/>
    <w:rsid w:val="00582593"/>
    <w:rsid w:val="0058286C"/>
    <w:rsid w:val="00585EBC"/>
    <w:rsid w:val="00587857"/>
    <w:rsid w:val="00587904"/>
    <w:rsid w:val="00587CCD"/>
    <w:rsid w:val="00590577"/>
    <w:rsid w:val="00590642"/>
    <w:rsid w:val="005906FA"/>
    <w:rsid w:val="0059270F"/>
    <w:rsid w:val="0059338E"/>
    <w:rsid w:val="00593F7D"/>
    <w:rsid w:val="00594F81"/>
    <w:rsid w:val="00595601"/>
    <w:rsid w:val="00595E83"/>
    <w:rsid w:val="00596530"/>
    <w:rsid w:val="005967F3"/>
    <w:rsid w:val="00597DCF"/>
    <w:rsid w:val="005A06DF"/>
    <w:rsid w:val="005A134B"/>
    <w:rsid w:val="005A1A38"/>
    <w:rsid w:val="005A4A5F"/>
    <w:rsid w:val="005A524A"/>
    <w:rsid w:val="005A5527"/>
    <w:rsid w:val="005A5AE6"/>
    <w:rsid w:val="005A6107"/>
    <w:rsid w:val="005A6A66"/>
    <w:rsid w:val="005B04FE"/>
    <w:rsid w:val="005B0D82"/>
    <w:rsid w:val="005B1206"/>
    <w:rsid w:val="005B1590"/>
    <w:rsid w:val="005B37E8"/>
    <w:rsid w:val="005B4375"/>
    <w:rsid w:val="005B47EB"/>
    <w:rsid w:val="005B4B2B"/>
    <w:rsid w:val="005B5CC3"/>
    <w:rsid w:val="005B5E9F"/>
    <w:rsid w:val="005B622E"/>
    <w:rsid w:val="005B7A42"/>
    <w:rsid w:val="005C0056"/>
    <w:rsid w:val="005C1F4B"/>
    <w:rsid w:val="005C4DBE"/>
    <w:rsid w:val="005C512C"/>
    <w:rsid w:val="005D0DCE"/>
    <w:rsid w:val="005D1FA9"/>
    <w:rsid w:val="005D31A4"/>
    <w:rsid w:val="005D35E6"/>
    <w:rsid w:val="005D3BF4"/>
    <w:rsid w:val="005D3FEC"/>
    <w:rsid w:val="005D51B0"/>
    <w:rsid w:val="005D59FA"/>
    <w:rsid w:val="005D61D6"/>
    <w:rsid w:val="005D6AC3"/>
    <w:rsid w:val="005D770B"/>
    <w:rsid w:val="005D7A5A"/>
    <w:rsid w:val="005E045C"/>
    <w:rsid w:val="005E0D13"/>
    <w:rsid w:val="005E1756"/>
    <w:rsid w:val="005E2089"/>
    <w:rsid w:val="005E3172"/>
    <w:rsid w:val="005E35D4"/>
    <w:rsid w:val="005E3664"/>
    <w:rsid w:val="005E5047"/>
    <w:rsid w:val="005E53BC"/>
    <w:rsid w:val="005E556D"/>
    <w:rsid w:val="005E5A0A"/>
    <w:rsid w:val="005E5BBD"/>
    <w:rsid w:val="005E7205"/>
    <w:rsid w:val="005E7371"/>
    <w:rsid w:val="005E755E"/>
    <w:rsid w:val="005E7587"/>
    <w:rsid w:val="005E7BD9"/>
    <w:rsid w:val="005E7F0D"/>
    <w:rsid w:val="005F112E"/>
    <w:rsid w:val="005F116C"/>
    <w:rsid w:val="005F124A"/>
    <w:rsid w:val="005F13B2"/>
    <w:rsid w:val="005F2131"/>
    <w:rsid w:val="005F2DA7"/>
    <w:rsid w:val="005F39EB"/>
    <w:rsid w:val="005F43D3"/>
    <w:rsid w:val="005F4E64"/>
    <w:rsid w:val="005F504D"/>
    <w:rsid w:val="005F5531"/>
    <w:rsid w:val="005F6CD6"/>
    <w:rsid w:val="006005C2"/>
    <w:rsid w:val="0060226A"/>
    <w:rsid w:val="006041B9"/>
    <w:rsid w:val="006045CD"/>
    <w:rsid w:val="00604846"/>
    <w:rsid w:val="00604C68"/>
    <w:rsid w:val="0060532C"/>
    <w:rsid w:val="00605BA1"/>
    <w:rsid w:val="00605EF6"/>
    <w:rsid w:val="00605F57"/>
    <w:rsid w:val="00606455"/>
    <w:rsid w:val="00610900"/>
    <w:rsid w:val="006115CA"/>
    <w:rsid w:val="00612A45"/>
    <w:rsid w:val="00614114"/>
    <w:rsid w:val="00614929"/>
    <w:rsid w:val="00616511"/>
    <w:rsid w:val="006176ED"/>
    <w:rsid w:val="006202F3"/>
    <w:rsid w:val="0062097A"/>
    <w:rsid w:val="00620D81"/>
    <w:rsid w:val="00620FB9"/>
    <w:rsid w:val="00621B12"/>
    <w:rsid w:val="00621B57"/>
    <w:rsid w:val="00621DA6"/>
    <w:rsid w:val="00623AD4"/>
    <w:rsid w:val="00623CFE"/>
    <w:rsid w:val="00625179"/>
    <w:rsid w:val="006252E7"/>
    <w:rsid w:val="00627221"/>
    <w:rsid w:val="0062762C"/>
    <w:rsid w:val="00627999"/>
    <w:rsid w:val="00627EE8"/>
    <w:rsid w:val="0063060B"/>
    <w:rsid w:val="00631130"/>
    <w:rsid w:val="006316FA"/>
    <w:rsid w:val="00632134"/>
    <w:rsid w:val="00632691"/>
    <w:rsid w:val="0063275A"/>
    <w:rsid w:val="00632ABD"/>
    <w:rsid w:val="006330D9"/>
    <w:rsid w:val="006342CA"/>
    <w:rsid w:val="006370D2"/>
    <w:rsid w:val="00637307"/>
    <w:rsid w:val="0064074F"/>
    <w:rsid w:val="00640828"/>
    <w:rsid w:val="00640A28"/>
    <w:rsid w:val="00640CD9"/>
    <w:rsid w:val="00641AC6"/>
    <w:rsid w:val="00641F55"/>
    <w:rsid w:val="006422A5"/>
    <w:rsid w:val="00642825"/>
    <w:rsid w:val="00642F11"/>
    <w:rsid w:val="00645D4F"/>
    <w:rsid w:val="00645E4A"/>
    <w:rsid w:val="00647FCC"/>
    <w:rsid w:val="0065019F"/>
    <w:rsid w:val="00650385"/>
    <w:rsid w:val="00650969"/>
    <w:rsid w:val="00652241"/>
    <w:rsid w:val="00652358"/>
    <w:rsid w:val="00652925"/>
    <w:rsid w:val="00652D00"/>
    <w:rsid w:val="00653616"/>
    <w:rsid w:val="00653688"/>
    <w:rsid w:val="006536CF"/>
    <w:rsid w:val="00654138"/>
    <w:rsid w:val="00654278"/>
    <w:rsid w:val="0065435F"/>
    <w:rsid w:val="00654E24"/>
    <w:rsid w:val="00655B96"/>
    <w:rsid w:val="0066091B"/>
    <w:rsid w:val="00660BF2"/>
    <w:rsid w:val="00660E42"/>
    <w:rsid w:val="006626C5"/>
    <w:rsid w:val="00662AB4"/>
    <w:rsid w:val="00663D60"/>
    <w:rsid w:val="006643CE"/>
    <w:rsid w:val="006647C4"/>
    <w:rsid w:val="0066509E"/>
    <w:rsid w:val="006660E9"/>
    <w:rsid w:val="006662A9"/>
    <w:rsid w:val="006668F5"/>
    <w:rsid w:val="00667249"/>
    <w:rsid w:val="00667558"/>
    <w:rsid w:val="00667BBE"/>
    <w:rsid w:val="00667DD1"/>
    <w:rsid w:val="00670343"/>
    <w:rsid w:val="00671523"/>
    <w:rsid w:val="00671F37"/>
    <w:rsid w:val="006723BF"/>
    <w:rsid w:val="006728D7"/>
    <w:rsid w:val="00674715"/>
    <w:rsid w:val="006754EF"/>
    <w:rsid w:val="00675595"/>
    <w:rsid w:val="00676223"/>
    <w:rsid w:val="00676811"/>
    <w:rsid w:val="00676C8D"/>
    <w:rsid w:val="00676F1F"/>
    <w:rsid w:val="00677381"/>
    <w:rsid w:val="00677414"/>
    <w:rsid w:val="006775E4"/>
    <w:rsid w:val="006777B7"/>
    <w:rsid w:val="00680599"/>
    <w:rsid w:val="00683209"/>
    <w:rsid w:val="006832CF"/>
    <w:rsid w:val="00683859"/>
    <w:rsid w:val="006839F1"/>
    <w:rsid w:val="00684181"/>
    <w:rsid w:val="00684563"/>
    <w:rsid w:val="0068601E"/>
    <w:rsid w:val="0069039A"/>
    <w:rsid w:val="006912EA"/>
    <w:rsid w:val="00691467"/>
    <w:rsid w:val="00691CAA"/>
    <w:rsid w:val="00692107"/>
    <w:rsid w:val="00692E1A"/>
    <w:rsid w:val="00692FA2"/>
    <w:rsid w:val="00693F91"/>
    <w:rsid w:val="0069486B"/>
    <w:rsid w:val="00694AA6"/>
    <w:rsid w:val="00694E44"/>
    <w:rsid w:val="00695F23"/>
    <w:rsid w:val="006964BB"/>
    <w:rsid w:val="0069713D"/>
    <w:rsid w:val="00697BA0"/>
    <w:rsid w:val="006A0678"/>
    <w:rsid w:val="006A07F8"/>
    <w:rsid w:val="006A108C"/>
    <w:rsid w:val="006A1256"/>
    <w:rsid w:val="006A1B2F"/>
    <w:rsid w:val="006A2F05"/>
    <w:rsid w:val="006A47AD"/>
    <w:rsid w:val="006A4904"/>
    <w:rsid w:val="006A548F"/>
    <w:rsid w:val="006A5975"/>
    <w:rsid w:val="006A6CB1"/>
    <w:rsid w:val="006A701A"/>
    <w:rsid w:val="006A7EE9"/>
    <w:rsid w:val="006B0618"/>
    <w:rsid w:val="006B1B93"/>
    <w:rsid w:val="006B3964"/>
    <w:rsid w:val="006B3C5F"/>
    <w:rsid w:val="006B4AC9"/>
    <w:rsid w:val="006B4F92"/>
    <w:rsid w:val="006B5119"/>
    <w:rsid w:val="006B5E77"/>
    <w:rsid w:val="006B64DC"/>
    <w:rsid w:val="006B77F5"/>
    <w:rsid w:val="006B7A91"/>
    <w:rsid w:val="006C1B88"/>
    <w:rsid w:val="006C1C71"/>
    <w:rsid w:val="006C371F"/>
    <w:rsid w:val="006C375C"/>
    <w:rsid w:val="006C4CA4"/>
    <w:rsid w:val="006C62F9"/>
    <w:rsid w:val="006C640E"/>
    <w:rsid w:val="006C66A3"/>
    <w:rsid w:val="006C67BF"/>
    <w:rsid w:val="006C6C28"/>
    <w:rsid w:val="006C7A00"/>
    <w:rsid w:val="006C7AE9"/>
    <w:rsid w:val="006C7CDB"/>
    <w:rsid w:val="006D04F7"/>
    <w:rsid w:val="006D1827"/>
    <w:rsid w:val="006D2486"/>
    <w:rsid w:val="006D32F2"/>
    <w:rsid w:val="006D4233"/>
    <w:rsid w:val="006D4704"/>
    <w:rsid w:val="006D52B3"/>
    <w:rsid w:val="006D5C42"/>
    <w:rsid w:val="006D6A2D"/>
    <w:rsid w:val="006D7EEA"/>
    <w:rsid w:val="006E1E18"/>
    <w:rsid w:val="006E31CE"/>
    <w:rsid w:val="006E34D3"/>
    <w:rsid w:val="006E3A46"/>
    <w:rsid w:val="006E49B9"/>
    <w:rsid w:val="006E69CD"/>
    <w:rsid w:val="006E6B90"/>
    <w:rsid w:val="006E74A2"/>
    <w:rsid w:val="006F0052"/>
    <w:rsid w:val="006F1435"/>
    <w:rsid w:val="006F25EB"/>
    <w:rsid w:val="006F3E6B"/>
    <w:rsid w:val="006F4CE1"/>
    <w:rsid w:val="006F68FC"/>
    <w:rsid w:val="006F6D2E"/>
    <w:rsid w:val="006F78C4"/>
    <w:rsid w:val="007008CD"/>
    <w:rsid w:val="00700C94"/>
    <w:rsid w:val="00700F2A"/>
    <w:rsid w:val="00703161"/>
    <w:rsid w:val="007031A0"/>
    <w:rsid w:val="00705A29"/>
    <w:rsid w:val="00705B58"/>
    <w:rsid w:val="00706B0C"/>
    <w:rsid w:val="007070E6"/>
    <w:rsid w:val="00707498"/>
    <w:rsid w:val="00710516"/>
    <w:rsid w:val="0071054E"/>
    <w:rsid w:val="00710664"/>
    <w:rsid w:val="0071081A"/>
    <w:rsid w:val="00711A65"/>
    <w:rsid w:val="007122D0"/>
    <w:rsid w:val="00712D46"/>
    <w:rsid w:val="00713CBD"/>
    <w:rsid w:val="00714133"/>
    <w:rsid w:val="00714334"/>
    <w:rsid w:val="007145A4"/>
    <w:rsid w:val="00714899"/>
    <w:rsid w:val="00714CBB"/>
    <w:rsid w:val="00714DA4"/>
    <w:rsid w:val="007158B2"/>
    <w:rsid w:val="00715C88"/>
    <w:rsid w:val="00716081"/>
    <w:rsid w:val="00716143"/>
    <w:rsid w:val="00716BAF"/>
    <w:rsid w:val="00717354"/>
    <w:rsid w:val="00722B48"/>
    <w:rsid w:val="00722B52"/>
    <w:rsid w:val="00724027"/>
    <w:rsid w:val="00724164"/>
    <w:rsid w:val="007246AB"/>
    <w:rsid w:val="007248BC"/>
    <w:rsid w:val="00724AD6"/>
    <w:rsid w:val="00725182"/>
    <w:rsid w:val="00725DE7"/>
    <w:rsid w:val="0072636A"/>
    <w:rsid w:val="00726B44"/>
    <w:rsid w:val="00726DA0"/>
    <w:rsid w:val="00726E60"/>
    <w:rsid w:val="0072754A"/>
    <w:rsid w:val="00730E6D"/>
    <w:rsid w:val="00730E88"/>
    <w:rsid w:val="007318DD"/>
    <w:rsid w:val="00732446"/>
    <w:rsid w:val="00732665"/>
    <w:rsid w:val="0073270E"/>
    <w:rsid w:val="0073271A"/>
    <w:rsid w:val="0073273A"/>
    <w:rsid w:val="00733167"/>
    <w:rsid w:val="0073365D"/>
    <w:rsid w:val="007353F7"/>
    <w:rsid w:val="00735A06"/>
    <w:rsid w:val="007377F2"/>
    <w:rsid w:val="0073795C"/>
    <w:rsid w:val="00740619"/>
    <w:rsid w:val="00740D2C"/>
    <w:rsid w:val="007415D0"/>
    <w:rsid w:val="00741607"/>
    <w:rsid w:val="00741A59"/>
    <w:rsid w:val="007421E7"/>
    <w:rsid w:val="00743530"/>
    <w:rsid w:val="007438BE"/>
    <w:rsid w:val="007439FF"/>
    <w:rsid w:val="00743CA8"/>
    <w:rsid w:val="00743D30"/>
    <w:rsid w:val="007442ED"/>
    <w:rsid w:val="00744BF9"/>
    <w:rsid w:val="00744F56"/>
    <w:rsid w:val="00745013"/>
    <w:rsid w:val="00745C90"/>
    <w:rsid w:val="0074648B"/>
    <w:rsid w:val="007465AA"/>
    <w:rsid w:val="00746837"/>
    <w:rsid w:val="0074746E"/>
    <w:rsid w:val="00750547"/>
    <w:rsid w:val="00752623"/>
    <w:rsid w:val="007526A4"/>
    <w:rsid w:val="007526C1"/>
    <w:rsid w:val="007559DC"/>
    <w:rsid w:val="00760A18"/>
    <w:rsid w:val="00760F1F"/>
    <w:rsid w:val="00761FBD"/>
    <w:rsid w:val="00762F32"/>
    <w:rsid w:val="0076397B"/>
    <w:rsid w:val="00763D2A"/>
    <w:rsid w:val="00764117"/>
    <w:rsid w:val="0076423E"/>
    <w:rsid w:val="007646CB"/>
    <w:rsid w:val="0076493C"/>
    <w:rsid w:val="00765494"/>
    <w:rsid w:val="007663A2"/>
    <w:rsid w:val="0076658F"/>
    <w:rsid w:val="00766F20"/>
    <w:rsid w:val="0077040A"/>
    <w:rsid w:val="00770735"/>
    <w:rsid w:val="00770972"/>
    <w:rsid w:val="0077240D"/>
    <w:rsid w:val="007724E7"/>
    <w:rsid w:val="007726BE"/>
    <w:rsid w:val="00772D64"/>
    <w:rsid w:val="00772EDE"/>
    <w:rsid w:val="00772EF7"/>
    <w:rsid w:val="0078092C"/>
    <w:rsid w:val="00781F8D"/>
    <w:rsid w:val="00782218"/>
    <w:rsid w:val="007831FA"/>
    <w:rsid w:val="00783321"/>
    <w:rsid w:val="007838DC"/>
    <w:rsid w:val="00786605"/>
    <w:rsid w:val="00786DE7"/>
    <w:rsid w:val="00787301"/>
    <w:rsid w:val="00787504"/>
    <w:rsid w:val="00787E31"/>
    <w:rsid w:val="0079116C"/>
    <w:rsid w:val="007913EB"/>
    <w:rsid w:val="00791663"/>
    <w:rsid w:val="00792109"/>
    <w:rsid w:val="00792609"/>
    <w:rsid w:val="00792887"/>
    <w:rsid w:val="00792D29"/>
    <w:rsid w:val="007943E2"/>
    <w:rsid w:val="00794C51"/>
    <w:rsid w:val="00794F2C"/>
    <w:rsid w:val="00795DE9"/>
    <w:rsid w:val="0079664B"/>
    <w:rsid w:val="00796701"/>
    <w:rsid w:val="007A2E0F"/>
    <w:rsid w:val="007A3725"/>
    <w:rsid w:val="007A390A"/>
    <w:rsid w:val="007A3BC7"/>
    <w:rsid w:val="007A401A"/>
    <w:rsid w:val="007A4089"/>
    <w:rsid w:val="007A4D03"/>
    <w:rsid w:val="007A5882"/>
    <w:rsid w:val="007A590B"/>
    <w:rsid w:val="007A5AC4"/>
    <w:rsid w:val="007A68FA"/>
    <w:rsid w:val="007A6C6C"/>
    <w:rsid w:val="007A6C6D"/>
    <w:rsid w:val="007B0247"/>
    <w:rsid w:val="007B0319"/>
    <w:rsid w:val="007B0411"/>
    <w:rsid w:val="007B06A9"/>
    <w:rsid w:val="007B080D"/>
    <w:rsid w:val="007B0A54"/>
    <w:rsid w:val="007B0C80"/>
    <w:rsid w:val="007B0FDD"/>
    <w:rsid w:val="007B2800"/>
    <w:rsid w:val="007B3B94"/>
    <w:rsid w:val="007B40D2"/>
    <w:rsid w:val="007B4802"/>
    <w:rsid w:val="007B4922"/>
    <w:rsid w:val="007B517B"/>
    <w:rsid w:val="007B5186"/>
    <w:rsid w:val="007B51E7"/>
    <w:rsid w:val="007B5FCF"/>
    <w:rsid w:val="007B6668"/>
    <w:rsid w:val="007B6B33"/>
    <w:rsid w:val="007C07C2"/>
    <w:rsid w:val="007C0AD4"/>
    <w:rsid w:val="007C22D9"/>
    <w:rsid w:val="007C2701"/>
    <w:rsid w:val="007C36BA"/>
    <w:rsid w:val="007C43A2"/>
    <w:rsid w:val="007C53C0"/>
    <w:rsid w:val="007C5459"/>
    <w:rsid w:val="007C592E"/>
    <w:rsid w:val="007C5C97"/>
    <w:rsid w:val="007C6820"/>
    <w:rsid w:val="007D2192"/>
    <w:rsid w:val="007D309E"/>
    <w:rsid w:val="007D329C"/>
    <w:rsid w:val="007D3984"/>
    <w:rsid w:val="007D4053"/>
    <w:rsid w:val="007D4DA4"/>
    <w:rsid w:val="007D4F96"/>
    <w:rsid w:val="007D57A4"/>
    <w:rsid w:val="007D6516"/>
    <w:rsid w:val="007D69A2"/>
    <w:rsid w:val="007D7154"/>
    <w:rsid w:val="007D7C6A"/>
    <w:rsid w:val="007E0124"/>
    <w:rsid w:val="007E0D3A"/>
    <w:rsid w:val="007E0F2D"/>
    <w:rsid w:val="007E3369"/>
    <w:rsid w:val="007E3C31"/>
    <w:rsid w:val="007E4311"/>
    <w:rsid w:val="007E4DD8"/>
    <w:rsid w:val="007E5155"/>
    <w:rsid w:val="007E5D7F"/>
    <w:rsid w:val="007E6ECA"/>
    <w:rsid w:val="007E7A66"/>
    <w:rsid w:val="007F0021"/>
    <w:rsid w:val="007F0EE5"/>
    <w:rsid w:val="007F1118"/>
    <w:rsid w:val="007F17C5"/>
    <w:rsid w:val="007F2C4B"/>
    <w:rsid w:val="007F2F52"/>
    <w:rsid w:val="007F3B22"/>
    <w:rsid w:val="007F423E"/>
    <w:rsid w:val="007F6063"/>
    <w:rsid w:val="007F6D77"/>
    <w:rsid w:val="007F6E4C"/>
    <w:rsid w:val="0080066C"/>
    <w:rsid w:val="00800A79"/>
    <w:rsid w:val="00800C3E"/>
    <w:rsid w:val="00801F71"/>
    <w:rsid w:val="00802C49"/>
    <w:rsid w:val="008041B9"/>
    <w:rsid w:val="0080544C"/>
    <w:rsid w:val="00805F28"/>
    <w:rsid w:val="00805FFA"/>
    <w:rsid w:val="0080746C"/>
    <w:rsid w:val="0080749F"/>
    <w:rsid w:val="008079B2"/>
    <w:rsid w:val="0081027A"/>
    <w:rsid w:val="00811620"/>
    <w:rsid w:val="008116C3"/>
    <w:rsid w:val="00811D46"/>
    <w:rsid w:val="008125B0"/>
    <w:rsid w:val="008144CB"/>
    <w:rsid w:val="008162FF"/>
    <w:rsid w:val="00820B36"/>
    <w:rsid w:val="0082128C"/>
    <w:rsid w:val="00821717"/>
    <w:rsid w:val="00822F69"/>
    <w:rsid w:val="00824210"/>
    <w:rsid w:val="00824B4E"/>
    <w:rsid w:val="00825392"/>
    <w:rsid w:val="00825732"/>
    <w:rsid w:val="00825D70"/>
    <w:rsid w:val="008263C0"/>
    <w:rsid w:val="008267D9"/>
    <w:rsid w:val="00826BA8"/>
    <w:rsid w:val="00826ED5"/>
    <w:rsid w:val="00827C37"/>
    <w:rsid w:val="0083025B"/>
    <w:rsid w:val="008303F0"/>
    <w:rsid w:val="008304B4"/>
    <w:rsid w:val="00831190"/>
    <w:rsid w:val="0083177C"/>
    <w:rsid w:val="00832602"/>
    <w:rsid w:val="00832706"/>
    <w:rsid w:val="008327A1"/>
    <w:rsid w:val="008329F5"/>
    <w:rsid w:val="00833085"/>
    <w:rsid w:val="008354AD"/>
    <w:rsid w:val="008369BA"/>
    <w:rsid w:val="00836F75"/>
    <w:rsid w:val="00841422"/>
    <w:rsid w:val="00841CE2"/>
    <w:rsid w:val="00841D3B"/>
    <w:rsid w:val="0084258C"/>
    <w:rsid w:val="0084314C"/>
    <w:rsid w:val="00843171"/>
    <w:rsid w:val="00843C43"/>
    <w:rsid w:val="00844D39"/>
    <w:rsid w:val="00844E85"/>
    <w:rsid w:val="008460DF"/>
    <w:rsid w:val="00846178"/>
    <w:rsid w:val="008516CC"/>
    <w:rsid w:val="00851CBC"/>
    <w:rsid w:val="008524EE"/>
    <w:rsid w:val="00854D14"/>
    <w:rsid w:val="00855456"/>
    <w:rsid w:val="00856799"/>
    <w:rsid w:val="00856991"/>
    <w:rsid w:val="008575C3"/>
    <w:rsid w:val="00863D28"/>
    <w:rsid w:val="008648C3"/>
    <w:rsid w:val="0086636F"/>
    <w:rsid w:val="008715D8"/>
    <w:rsid w:val="00871E69"/>
    <w:rsid w:val="00874967"/>
    <w:rsid w:val="00876735"/>
    <w:rsid w:val="00877D8F"/>
    <w:rsid w:val="00880F26"/>
    <w:rsid w:val="008827E5"/>
    <w:rsid w:val="008839AF"/>
    <w:rsid w:val="0088579C"/>
    <w:rsid w:val="008859B0"/>
    <w:rsid w:val="0088742C"/>
    <w:rsid w:val="00890A6B"/>
    <w:rsid w:val="0089144A"/>
    <w:rsid w:val="00891EBB"/>
    <w:rsid w:val="0089281C"/>
    <w:rsid w:val="00893523"/>
    <w:rsid w:val="0089363F"/>
    <w:rsid w:val="008936E8"/>
    <w:rsid w:val="00893873"/>
    <w:rsid w:val="00893BF4"/>
    <w:rsid w:val="00893CA5"/>
    <w:rsid w:val="00893FF1"/>
    <w:rsid w:val="00895935"/>
    <w:rsid w:val="008965C7"/>
    <w:rsid w:val="00896C2E"/>
    <w:rsid w:val="00897873"/>
    <w:rsid w:val="008A0337"/>
    <w:rsid w:val="008A12AF"/>
    <w:rsid w:val="008A14C6"/>
    <w:rsid w:val="008A21B7"/>
    <w:rsid w:val="008A38D4"/>
    <w:rsid w:val="008A5095"/>
    <w:rsid w:val="008A5425"/>
    <w:rsid w:val="008A59ED"/>
    <w:rsid w:val="008A5CF9"/>
    <w:rsid w:val="008A608F"/>
    <w:rsid w:val="008A6878"/>
    <w:rsid w:val="008A7EB3"/>
    <w:rsid w:val="008B1A9A"/>
    <w:rsid w:val="008B3123"/>
    <w:rsid w:val="008B3E7C"/>
    <w:rsid w:val="008B48CE"/>
    <w:rsid w:val="008B4C66"/>
    <w:rsid w:val="008B4FE6"/>
    <w:rsid w:val="008B5617"/>
    <w:rsid w:val="008B5E5F"/>
    <w:rsid w:val="008B63A8"/>
    <w:rsid w:val="008B6636"/>
    <w:rsid w:val="008B6C37"/>
    <w:rsid w:val="008B6D46"/>
    <w:rsid w:val="008B7419"/>
    <w:rsid w:val="008B7F58"/>
    <w:rsid w:val="008C016E"/>
    <w:rsid w:val="008C18FA"/>
    <w:rsid w:val="008C25DB"/>
    <w:rsid w:val="008C2751"/>
    <w:rsid w:val="008C447B"/>
    <w:rsid w:val="008C5F9E"/>
    <w:rsid w:val="008C698E"/>
    <w:rsid w:val="008C7A46"/>
    <w:rsid w:val="008D04F5"/>
    <w:rsid w:val="008D09EF"/>
    <w:rsid w:val="008D0BF1"/>
    <w:rsid w:val="008D2652"/>
    <w:rsid w:val="008D2BF1"/>
    <w:rsid w:val="008D3DF8"/>
    <w:rsid w:val="008D4914"/>
    <w:rsid w:val="008D58AD"/>
    <w:rsid w:val="008D5DCF"/>
    <w:rsid w:val="008D6392"/>
    <w:rsid w:val="008D70DB"/>
    <w:rsid w:val="008D7607"/>
    <w:rsid w:val="008E1441"/>
    <w:rsid w:val="008E163A"/>
    <w:rsid w:val="008E18F7"/>
    <w:rsid w:val="008E1E10"/>
    <w:rsid w:val="008E2015"/>
    <w:rsid w:val="008E26DD"/>
    <w:rsid w:val="008E291B"/>
    <w:rsid w:val="008E2EF6"/>
    <w:rsid w:val="008E367E"/>
    <w:rsid w:val="008E3D6D"/>
    <w:rsid w:val="008E4B14"/>
    <w:rsid w:val="008E4F2F"/>
    <w:rsid w:val="008E502C"/>
    <w:rsid w:val="008E523D"/>
    <w:rsid w:val="008E5727"/>
    <w:rsid w:val="008E5A60"/>
    <w:rsid w:val="008E5B3A"/>
    <w:rsid w:val="008E6B6A"/>
    <w:rsid w:val="008E6D3C"/>
    <w:rsid w:val="008E6ECE"/>
    <w:rsid w:val="008E74B0"/>
    <w:rsid w:val="008E7884"/>
    <w:rsid w:val="008E7949"/>
    <w:rsid w:val="008E7A35"/>
    <w:rsid w:val="008F04C9"/>
    <w:rsid w:val="008F0E20"/>
    <w:rsid w:val="008F0E23"/>
    <w:rsid w:val="008F14BD"/>
    <w:rsid w:val="008F1772"/>
    <w:rsid w:val="008F1E08"/>
    <w:rsid w:val="008F269F"/>
    <w:rsid w:val="008F4ED6"/>
    <w:rsid w:val="008F5B7F"/>
    <w:rsid w:val="008F63AB"/>
    <w:rsid w:val="008F645A"/>
    <w:rsid w:val="009000D3"/>
    <w:rsid w:val="00900831"/>
    <w:rsid w:val="009008A8"/>
    <w:rsid w:val="0090170C"/>
    <w:rsid w:val="009030E9"/>
    <w:rsid w:val="00903FCC"/>
    <w:rsid w:val="0090572D"/>
    <w:rsid w:val="00905DC0"/>
    <w:rsid w:val="009063B0"/>
    <w:rsid w:val="00906C87"/>
    <w:rsid w:val="00907106"/>
    <w:rsid w:val="009107FD"/>
    <w:rsid w:val="00911264"/>
    <w:rsid w:val="0091137C"/>
    <w:rsid w:val="00911567"/>
    <w:rsid w:val="00911C5F"/>
    <w:rsid w:val="009127A4"/>
    <w:rsid w:val="00913797"/>
    <w:rsid w:val="009156D7"/>
    <w:rsid w:val="00915C49"/>
    <w:rsid w:val="00915F60"/>
    <w:rsid w:val="009170C1"/>
    <w:rsid w:val="009172E0"/>
    <w:rsid w:val="00917AAE"/>
    <w:rsid w:val="0092475C"/>
    <w:rsid w:val="009251A9"/>
    <w:rsid w:val="0092671F"/>
    <w:rsid w:val="00927F58"/>
    <w:rsid w:val="00930699"/>
    <w:rsid w:val="00931F69"/>
    <w:rsid w:val="00934123"/>
    <w:rsid w:val="00934BF4"/>
    <w:rsid w:val="00935793"/>
    <w:rsid w:val="00935A74"/>
    <w:rsid w:val="0093665C"/>
    <w:rsid w:val="009441EF"/>
    <w:rsid w:val="00944B37"/>
    <w:rsid w:val="00944FAA"/>
    <w:rsid w:val="00945B5D"/>
    <w:rsid w:val="009462B7"/>
    <w:rsid w:val="009466B6"/>
    <w:rsid w:val="00946C0B"/>
    <w:rsid w:val="00947639"/>
    <w:rsid w:val="009476D3"/>
    <w:rsid w:val="009502B3"/>
    <w:rsid w:val="00950E8B"/>
    <w:rsid w:val="00951384"/>
    <w:rsid w:val="009523A5"/>
    <w:rsid w:val="00952445"/>
    <w:rsid w:val="009527DB"/>
    <w:rsid w:val="00952979"/>
    <w:rsid w:val="00952D93"/>
    <w:rsid w:val="00953210"/>
    <w:rsid w:val="009532F2"/>
    <w:rsid w:val="0095386D"/>
    <w:rsid w:val="00953CFC"/>
    <w:rsid w:val="00954A53"/>
    <w:rsid w:val="00954DB9"/>
    <w:rsid w:val="00955774"/>
    <w:rsid w:val="009560B5"/>
    <w:rsid w:val="00956809"/>
    <w:rsid w:val="009570F1"/>
    <w:rsid w:val="009576EE"/>
    <w:rsid w:val="009603FA"/>
    <w:rsid w:val="009608CD"/>
    <w:rsid w:val="009629BB"/>
    <w:rsid w:val="00962D15"/>
    <w:rsid w:val="009630E2"/>
    <w:rsid w:val="0096310D"/>
    <w:rsid w:val="009640F6"/>
    <w:rsid w:val="0096518B"/>
    <w:rsid w:val="00965195"/>
    <w:rsid w:val="00965740"/>
    <w:rsid w:val="0096594B"/>
    <w:rsid w:val="00965B6C"/>
    <w:rsid w:val="00967368"/>
    <w:rsid w:val="009675BC"/>
    <w:rsid w:val="00967866"/>
    <w:rsid w:val="009703D6"/>
    <w:rsid w:val="009707EE"/>
    <w:rsid w:val="0097181B"/>
    <w:rsid w:val="009718AF"/>
    <w:rsid w:val="009724BD"/>
    <w:rsid w:val="009742BD"/>
    <w:rsid w:val="00975B10"/>
    <w:rsid w:val="009761C4"/>
    <w:rsid w:val="00976DC5"/>
    <w:rsid w:val="0097740F"/>
    <w:rsid w:val="00977590"/>
    <w:rsid w:val="00980333"/>
    <w:rsid w:val="00980614"/>
    <w:rsid w:val="00980D56"/>
    <w:rsid w:val="00981336"/>
    <w:rsid w:val="009818C7"/>
    <w:rsid w:val="00981D07"/>
    <w:rsid w:val="00982DD4"/>
    <w:rsid w:val="009836EE"/>
    <w:rsid w:val="009841E5"/>
    <w:rsid w:val="009846FF"/>
    <w:rsid w:val="0098479F"/>
    <w:rsid w:val="00984A8A"/>
    <w:rsid w:val="009857B6"/>
    <w:rsid w:val="00985A8D"/>
    <w:rsid w:val="00985D24"/>
    <w:rsid w:val="00986610"/>
    <w:rsid w:val="00986797"/>
    <w:rsid w:val="00986839"/>
    <w:rsid w:val="009877DC"/>
    <w:rsid w:val="00990B94"/>
    <w:rsid w:val="009914E8"/>
    <w:rsid w:val="00991751"/>
    <w:rsid w:val="00991E51"/>
    <w:rsid w:val="00991F96"/>
    <w:rsid w:val="00993AE8"/>
    <w:rsid w:val="00994C87"/>
    <w:rsid w:val="00996F0A"/>
    <w:rsid w:val="009A0131"/>
    <w:rsid w:val="009A053E"/>
    <w:rsid w:val="009A0658"/>
    <w:rsid w:val="009A07AB"/>
    <w:rsid w:val="009A12E5"/>
    <w:rsid w:val="009A15A3"/>
    <w:rsid w:val="009A1745"/>
    <w:rsid w:val="009A1D86"/>
    <w:rsid w:val="009A3FE3"/>
    <w:rsid w:val="009A4200"/>
    <w:rsid w:val="009A47B8"/>
    <w:rsid w:val="009A4834"/>
    <w:rsid w:val="009A5582"/>
    <w:rsid w:val="009A60E8"/>
    <w:rsid w:val="009A625D"/>
    <w:rsid w:val="009A6DD3"/>
    <w:rsid w:val="009B049C"/>
    <w:rsid w:val="009B11C8"/>
    <w:rsid w:val="009B1FD8"/>
    <w:rsid w:val="009B2670"/>
    <w:rsid w:val="009B2BCF"/>
    <w:rsid w:val="009B2FF8"/>
    <w:rsid w:val="009B30B9"/>
    <w:rsid w:val="009B3547"/>
    <w:rsid w:val="009B3752"/>
    <w:rsid w:val="009B3B32"/>
    <w:rsid w:val="009B3CAC"/>
    <w:rsid w:val="009B4FA5"/>
    <w:rsid w:val="009B5BA3"/>
    <w:rsid w:val="009B6317"/>
    <w:rsid w:val="009B706A"/>
    <w:rsid w:val="009B75C8"/>
    <w:rsid w:val="009B76B6"/>
    <w:rsid w:val="009B7700"/>
    <w:rsid w:val="009B7860"/>
    <w:rsid w:val="009B79B5"/>
    <w:rsid w:val="009C00DD"/>
    <w:rsid w:val="009C177F"/>
    <w:rsid w:val="009C20AB"/>
    <w:rsid w:val="009C2867"/>
    <w:rsid w:val="009C306E"/>
    <w:rsid w:val="009C32D4"/>
    <w:rsid w:val="009C3604"/>
    <w:rsid w:val="009C48BF"/>
    <w:rsid w:val="009C5174"/>
    <w:rsid w:val="009C52DC"/>
    <w:rsid w:val="009D0027"/>
    <w:rsid w:val="009D0655"/>
    <w:rsid w:val="009D0804"/>
    <w:rsid w:val="009D0900"/>
    <w:rsid w:val="009D1220"/>
    <w:rsid w:val="009D14F0"/>
    <w:rsid w:val="009D1628"/>
    <w:rsid w:val="009D1E5D"/>
    <w:rsid w:val="009D2073"/>
    <w:rsid w:val="009D2438"/>
    <w:rsid w:val="009D671D"/>
    <w:rsid w:val="009D6FC4"/>
    <w:rsid w:val="009D7BCC"/>
    <w:rsid w:val="009E0082"/>
    <w:rsid w:val="009E1E98"/>
    <w:rsid w:val="009E2253"/>
    <w:rsid w:val="009E2694"/>
    <w:rsid w:val="009E345B"/>
    <w:rsid w:val="009E3ABE"/>
    <w:rsid w:val="009E3C4B"/>
    <w:rsid w:val="009E6BC4"/>
    <w:rsid w:val="009E744A"/>
    <w:rsid w:val="009E798C"/>
    <w:rsid w:val="009F0578"/>
    <w:rsid w:val="009F0637"/>
    <w:rsid w:val="009F13E8"/>
    <w:rsid w:val="009F1AB9"/>
    <w:rsid w:val="009F41EE"/>
    <w:rsid w:val="009F4EAC"/>
    <w:rsid w:val="009F51F4"/>
    <w:rsid w:val="009F62A6"/>
    <w:rsid w:val="009F674F"/>
    <w:rsid w:val="009F768F"/>
    <w:rsid w:val="009F799E"/>
    <w:rsid w:val="00A00828"/>
    <w:rsid w:val="00A00DFC"/>
    <w:rsid w:val="00A01232"/>
    <w:rsid w:val="00A02020"/>
    <w:rsid w:val="00A0206A"/>
    <w:rsid w:val="00A026A8"/>
    <w:rsid w:val="00A035A0"/>
    <w:rsid w:val="00A04AFD"/>
    <w:rsid w:val="00A056CB"/>
    <w:rsid w:val="00A05C3C"/>
    <w:rsid w:val="00A06477"/>
    <w:rsid w:val="00A07A29"/>
    <w:rsid w:val="00A10FF1"/>
    <w:rsid w:val="00A11581"/>
    <w:rsid w:val="00A12BC2"/>
    <w:rsid w:val="00A12BE7"/>
    <w:rsid w:val="00A13042"/>
    <w:rsid w:val="00A141B8"/>
    <w:rsid w:val="00A14616"/>
    <w:rsid w:val="00A1506B"/>
    <w:rsid w:val="00A15FAA"/>
    <w:rsid w:val="00A15FC7"/>
    <w:rsid w:val="00A17CB2"/>
    <w:rsid w:val="00A20573"/>
    <w:rsid w:val="00A21A3A"/>
    <w:rsid w:val="00A21C5D"/>
    <w:rsid w:val="00A2278C"/>
    <w:rsid w:val="00A23191"/>
    <w:rsid w:val="00A234F3"/>
    <w:rsid w:val="00A23E22"/>
    <w:rsid w:val="00A23FA4"/>
    <w:rsid w:val="00A27EA5"/>
    <w:rsid w:val="00A30932"/>
    <w:rsid w:val="00A319C0"/>
    <w:rsid w:val="00A31E6C"/>
    <w:rsid w:val="00A33560"/>
    <w:rsid w:val="00A356E2"/>
    <w:rsid w:val="00A35CCE"/>
    <w:rsid w:val="00A35FD5"/>
    <w:rsid w:val="00A364E4"/>
    <w:rsid w:val="00A371A5"/>
    <w:rsid w:val="00A41458"/>
    <w:rsid w:val="00A41DE5"/>
    <w:rsid w:val="00A42CE4"/>
    <w:rsid w:val="00A45CA1"/>
    <w:rsid w:val="00A4628A"/>
    <w:rsid w:val="00A47BDF"/>
    <w:rsid w:val="00A5037A"/>
    <w:rsid w:val="00A512EA"/>
    <w:rsid w:val="00A51394"/>
    <w:rsid w:val="00A51CD7"/>
    <w:rsid w:val="00A5243B"/>
    <w:rsid w:val="00A52ADB"/>
    <w:rsid w:val="00A533E8"/>
    <w:rsid w:val="00A542D9"/>
    <w:rsid w:val="00A54BD4"/>
    <w:rsid w:val="00A54D30"/>
    <w:rsid w:val="00A56605"/>
    <w:rsid w:val="00A56E64"/>
    <w:rsid w:val="00A624C3"/>
    <w:rsid w:val="00A635E6"/>
    <w:rsid w:val="00A648B0"/>
    <w:rsid w:val="00A64ADA"/>
    <w:rsid w:val="00A65799"/>
    <w:rsid w:val="00A6607F"/>
    <w:rsid w:val="00A6610C"/>
    <w:rsid w:val="00A6641C"/>
    <w:rsid w:val="00A7160F"/>
    <w:rsid w:val="00A7165C"/>
    <w:rsid w:val="00A719A6"/>
    <w:rsid w:val="00A72D01"/>
    <w:rsid w:val="00A730C8"/>
    <w:rsid w:val="00A73AAB"/>
    <w:rsid w:val="00A73E87"/>
    <w:rsid w:val="00A74BAE"/>
    <w:rsid w:val="00A74CA6"/>
    <w:rsid w:val="00A76693"/>
    <w:rsid w:val="00A767D2"/>
    <w:rsid w:val="00A77616"/>
    <w:rsid w:val="00A77841"/>
    <w:rsid w:val="00A77D73"/>
    <w:rsid w:val="00A805DA"/>
    <w:rsid w:val="00A807AE"/>
    <w:rsid w:val="00A811B4"/>
    <w:rsid w:val="00A81F36"/>
    <w:rsid w:val="00A82403"/>
    <w:rsid w:val="00A827DD"/>
    <w:rsid w:val="00A8280A"/>
    <w:rsid w:val="00A83D4B"/>
    <w:rsid w:val="00A840A4"/>
    <w:rsid w:val="00A84128"/>
    <w:rsid w:val="00A85170"/>
    <w:rsid w:val="00A8707A"/>
    <w:rsid w:val="00A870F9"/>
    <w:rsid w:val="00A87C3B"/>
    <w:rsid w:val="00A87CDE"/>
    <w:rsid w:val="00A901A0"/>
    <w:rsid w:val="00A90545"/>
    <w:rsid w:val="00A90DA9"/>
    <w:rsid w:val="00A92BAF"/>
    <w:rsid w:val="00A935DF"/>
    <w:rsid w:val="00A93B9B"/>
    <w:rsid w:val="00A94737"/>
    <w:rsid w:val="00A94BA3"/>
    <w:rsid w:val="00A94ED2"/>
    <w:rsid w:val="00A94EE7"/>
    <w:rsid w:val="00A964EC"/>
    <w:rsid w:val="00A96CBA"/>
    <w:rsid w:val="00A96FE5"/>
    <w:rsid w:val="00A97104"/>
    <w:rsid w:val="00A9780F"/>
    <w:rsid w:val="00AA24B7"/>
    <w:rsid w:val="00AA2AB2"/>
    <w:rsid w:val="00AA33EA"/>
    <w:rsid w:val="00AA3AB3"/>
    <w:rsid w:val="00AA5D6A"/>
    <w:rsid w:val="00AA64B4"/>
    <w:rsid w:val="00AA6552"/>
    <w:rsid w:val="00AA73F1"/>
    <w:rsid w:val="00AA756D"/>
    <w:rsid w:val="00AA7709"/>
    <w:rsid w:val="00AA7CAA"/>
    <w:rsid w:val="00AB021A"/>
    <w:rsid w:val="00AB090E"/>
    <w:rsid w:val="00AB0B22"/>
    <w:rsid w:val="00AB0FED"/>
    <w:rsid w:val="00AB1ACD"/>
    <w:rsid w:val="00AB1B36"/>
    <w:rsid w:val="00AB1E76"/>
    <w:rsid w:val="00AB2160"/>
    <w:rsid w:val="00AB2483"/>
    <w:rsid w:val="00AB277F"/>
    <w:rsid w:val="00AB347B"/>
    <w:rsid w:val="00AB3BC3"/>
    <w:rsid w:val="00AB4099"/>
    <w:rsid w:val="00AB449A"/>
    <w:rsid w:val="00AB5E08"/>
    <w:rsid w:val="00AB6E0E"/>
    <w:rsid w:val="00AC082F"/>
    <w:rsid w:val="00AC12BB"/>
    <w:rsid w:val="00AC19EE"/>
    <w:rsid w:val="00AC1BC8"/>
    <w:rsid w:val="00AC2831"/>
    <w:rsid w:val="00AC54A5"/>
    <w:rsid w:val="00AC715C"/>
    <w:rsid w:val="00AC7171"/>
    <w:rsid w:val="00AC74E4"/>
    <w:rsid w:val="00AD02F8"/>
    <w:rsid w:val="00AD099B"/>
    <w:rsid w:val="00AD14F9"/>
    <w:rsid w:val="00AD207F"/>
    <w:rsid w:val="00AD29E7"/>
    <w:rsid w:val="00AD3559"/>
    <w:rsid w:val="00AD35D6"/>
    <w:rsid w:val="00AD58C5"/>
    <w:rsid w:val="00AD684E"/>
    <w:rsid w:val="00AE0F07"/>
    <w:rsid w:val="00AE1EE3"/>
    <w:rsid w:val="00AE36C4"/>
    <w:rsid w:val="00AE472C"/>
    <w:rsid w:val="00AE5375"/>
    <w:rsid w:val="00AE58E0"/>
    <w:rsid w:val="00AE5DEB"/>
    <w:rsid w:val="00AE60F0"/>
    <w:rsid w:val="00AE6903"/>
    <w:rsid w:val="00AE6CF8"/>
    <w:rsid w:val="00AE78F9"/>
    <w:rsid w:val="00AE7C75"/>
    <w:rsid w:val="00AF1AAF"/>
    <w:rsid w:val="00AF21B6"/>
    <w:rsid w:val="00AF255E"/>
    <w:rsid w:val="00AF29B7"/>
    <w:rsid w:val="00AF3216"/>
    <w:rsid w:val="00AF4535"/>
    <w:rsid w:val="00AF475D"/>
    <w:rsid w:val="00AF4CAC"/>
    <w:rsid w:val="00AF56D7"/>
    <w:rsid w:val="00AF65E1"/>
    <w:rsid w:val="00AF7299"/>
    <w:rsid w:val="00AF7C76"/>
    <w:rsid w:val="00B00678"/>
    <w:rsid w:val="00B0267A"/>
    <w:rsid w:val="00B03E0D"/>
    <w:rsid w:val="00B040DB"/>
    <w:rsid w:val="00B054F8"/>
    <w:rsid w:val="00B05794"/>
    <w:rsid w:val="00B05A8A"/>
    <w:rsid w:val="00B05DA5"/>
    <w:rsid w:val="00B07186"/>
    <w:rsid w:val="00B071FE"/>
    <w:rsid w:val="00B075C8"/>
    <w:rsid w:val="00B07F31"/>
    <w:rsid w:val="00B1211D"/>
    <w:rsid w:val="00B1232F"/>
    <w:rsid w:val="00B12F13"/>
    <w:rsid w:val="00B1455E"/>
    <w:rsid w:val="00B14A9D"/>
    <w:rsid w:val="00B15B74"/>
    <w:rsid w:val="00B162CD"/>
    <w:rsid w:val="00B16D35"/>
    <w:rsid w:val="00B177E1"/>
    <w:rsid w:val="00B1794E"/>
    <w:rsid w:val="00B179CE"/>
    <w:rsid w:val="00B2219A"/>
    <w:rsid w:val="00B22AE6"/>
    <w:rsid w:val="00B23A19"/>
    <w:rsid w:val="00B24317"/>
    <w:rsid w:val="00B255FA"/>
    <w:rsid w:val="00B25D8A"/>
    <w:rsid w:val="00B268F4"/>
    <w:rsid w:val="00B27B74"/>
    <w:rsid w:val="00B300C4"/>
    <w:rsid w:val="00B3014E"/>
    <w:rsid w:val="00B326F3"/>
    <w:rsid w:val="00B331E2"/>
    <w:rsid w:val="00B3417F"/>
    <w:rsid w:val="00B34CFD"/>
    <w:rsid w:val="00B34EB1"/>
    <w:rsid w:val="00B3581B"/>
    <w:rsid w:val="00B358B4"/>
    <w:rsid w:val="00B35AA3"/>
    <w:rsid w:val="00B3609E"/>
    <w:rsid w:val="00B36B81"/>
    <w:rsid w:val="00B36FEE"/>
    <w:rsid w:val="00B377DC"/>
    <w:rsid w:val="00B37C80"/>
    <w:rsid w:val="00B37EF0"/>
    <w:rsid w:val="00B40A30"/>
    <w:rsid w:val="00B415A7"/>
    <w:rsid w:val="00B433B7"/>
    <w:rsid w:val="00B433EE"/>
    <w:rsid w:val="00B43C23"/>
    <w:rsid w:val="00B4469E"/>
    <w:rsid w:val="00B44708"/>
    <w:rsid w:val="00B45352"/>
    <w:rsid w:val="00B45FCA"/>
    <w:rsid w:val="00B477F6"/>
    <w:rsid w:val="00B47DBB"/>
    <w:rsid w:val="00B5092B"/>
    <w:rsid w:val="00B509B7"/>
    <w:rsid w:val="00B50BFA"/>
    <w:rsid w:val="00B5194E"/>
    <w:rsid w:val="00B51AF5"/>
    <w:rsid w:val="00B52249"/>
    <w:rsid w:val="00B5249E"/>
    <w:rsid w:val="00B531FC"/>
    <w:rsid w:val="00B5388C"/>
    <w:rsid w:val="00B53B4A"/>
    <w:rsid w:val="00B55347"/>
    <w:rsid w:val="00B555EB"/>
    <w:rsid w:val="00B56BE0"/>
    <w:rsid w:val="00B56E26"/>
    <w:rsid w:val="00B574EB"/>
    <w:rsid w:val="00B57819"/>
    <w:rsid w:val="00B57865"/>
    <w:rsid w:val="00B57E5E"/>
    <w:rsid w:val="00B614AF"/>
    <w:rsid w:val="00B615D7"/>
    <w:rsid w:val="00B61934"/>
    <w:rsid w:val="00B61F37"/>
    <w:rsid w:val="00B623EC"/>
    <w:rsid w:val="00B62D61"/>
    <w:rsid w:val="00B63188"/>
    <w:rsid w:val="00B63FBD"/>
    <w:rsid w:val="00B6484B"/>
    <w:rsid w:val="00B65EBD"/>
    <w:rsid w:val="00B668BF"/>
    <w:rsid w:val="00B66A79"/>
    <w:rsid w:val="00B6727A"/>
    <w:rsid w:val="00B6741F"/>
    <w:rsid w:val="00B67799"/>
    <w:rsid w:val="00B70703"/>
    <w:rsid w:val="00B70928"/>
    <w:rsid w:val="00B71DC1"/>
    <w:rsid w:val="00B724DC"/>
    <w:rsid w:val="00B73837"/>
    <w:rsid w:val="00B741B9"/>
    <w:rsid w:val="00B74736"/>
    <w:rsid w:val="00B75E04"/>
    <w:rsid w:val="00B75EED"/>
    <w:rsid w:val="00B7770F"/>
    <w:rsid w:val="00B77A89"/>
    <w:rsid w:val="00B77B27"/>
    <w:rsid w:val="00B77E24"/>
    <w:rsid w:val="00B80545"/>
    <w:rsid w:val="00B8134E"/>
    <w:rsid w:val="00B81B55"/>
    <w:rsid w:val="00B82282"/>
    <w:rsid w:val="00B82DCD"/>
    <w:rsid w:val="00B84613"/>
    <w:rsid w:val="00B87AF0"/>
    <w:rsid w:val="00B902DC"/>
    <w:rsid w:val="00B9037B"/>
    <w:rsid w:val="00B90D15"/>
    <w:rsid w:val="00B910BD"/>
    <w:rsid w:val="00B9189C"/>
    <w:rsid w:val="00B93834"/>
    <w:rsid w:val="00B93ADC"/>
    <w:rsid w:val="00B9425E"/>
    <w:rsid w:val="00B94858"/>
    <w:rsid w:val="00B956BF"/>
    <w:rsid w:val="00B961E0"/>
    <w:rsid w:val="00B96469"/>
    <w:rsid w:val="00B96558"/>
    <w:rsid w:val="00B9735A"/>
    <w:rsid w:val="00B97589"/>
    <w:rsid w:val="00BA0DA2"/>
    <w:rsid w:val="00BA0FE8"/>
    <w:rsid w:val="00BA12B5"/>
    <w:rsid w:val="00BA1F73"/>
    <w:rsid w:val="00BA2981"/>
    <w:rsid w:val="00BA2BB7"/>
    <w:rsid w:val="00BA42EE"/>
    <w:rsid w:val="00BA48F9"/>
    <w:rsid w:val="00BA6196"/>
    <w:rsid w:val="00BA79A5"/>
    <w:rsid w:val="00BA7AB2"/>
    <w:rsid w:val="00BA7CBD"/>
    <w:rsid w:val="00BA7FA0"/>
    <w:rsid w:val="00BB04E7"/>
    <w:rsid w:val="00BB0DCA"/>
    <w:rsid w:val="00BB2003"/>
    <w:rsid w:val="00BB2666"/>
    <w:rsid w:val="00BB32C9"/>
    <w:rsid w:val="00BB3A88"/>
    <w:rsid w:val="00BB64EB"/>
    <w:rsid w:val="00BB6B80"/>
    <w:rsid w:val="00BB6E40"/>
    <w:rsid w:val="00BB6EC8"/>
    <w:rsid w:val="00BB7688"/>
    <w:rsid w:val="00BC1137"/>
    <w:rsid w:val="00BC22FB"/>
    <w:rsid w:val="00BC2789"/>
    <w:rsid w:val="00BC330F"/>
    <w:rsid w:val="00BC3773"/>
    <w:rsid w:val="00BC381A"/>
    <w:rsid w:val="00BC3A82"/>
    <w:rsid w:val="00BC3C48"/>
    <w:rsid w:val="00BC40B0"/>
    <w:rsid w:val="00BC55D6"/>
    <w:rsid w:val="00BC6470"/>
    <w:rsid w:val="00BC6B89"/>
    <w:rsid w:val="00BC6D69"/>
    <w:rsid w:val="00BC6D6C"/>
    <w:rsid w:val="00BD0962"/>
    <w:rsid w:val="00BD11B6"/>
    <w:rsid w:val="00BD1B73"/>
    <w:rsid w:val="00BD1EED"/>
    <w:rsid w:val="00BD22A0"/>
    <w:rsid w:val="00BD26B5"/>
    <w:rsid w:val="00BD34F9"/>
    <w:rsid w:val="00BD5516"/>
    <w:rsid w:val="00BD5FE3"/>
    <w:rsid w:val="00BD7C65"/>
    <w:rsid w:val="00BE2189"/>
    <w:rsid w:val="00BE4164"/>
    <w:rsid w:val="00BE4B95"/>
    <w:rsid w:val="00BE5F66"/>
    <w:rsid w:val="00BE61BB"/>
    <w:rsid w:val="00BE6D5F"/>
    <w:rsid w:val="00BF0DA2"/>
    <w:rsid w:val="00BF109C"/>
    <w:rsid w:val="00BF16A1"/>
    <w:rsid w:val="00BF34FA"/>
    <w:rsid w:val="00BF3C49"/>
    <w:rsid w:val="00BF4211"/>
    <w:rsid w:val="00BF4E63"/>
    <w:rsid w:val="00BF52B7"/>
    <w:rsid w:val="00BF53E1"/>
    <w:rsid w:val="00BF54E5"/>
    <w:rsid w:val="00BF653B"/>
    <w:rsid w:val="00C004B6"/>
    <w:rsid w:val="00C005D2"/>
    <w:rsid w:val="00C00607"/>
    <w:rsid w:val="00C02223"/>
    <w:rsid w:val="00C0258F"/>
    <w:rsid w:val="00C02A12"/>
    <w:rsid w:val="00C047A7"/>
    <w:rsid w:val="00C05DE5"/>
    <w:rsid w:val="00C05E56"/>
    <w:rsid w:val="00C06E03"/>
    <w:rsid w:val="00C07A73"/>
    <w:rsid w:val="00C13540"/>
    <w:rsid w:val="00C13D20"/>
    <w:rsid w:val="00C14261"/>
    <w:rsid w:val="00C147A3"/>
    <w:rsid w:val="00C14D87"/>
    <w:rsid w:val="00C16161"/>
    <w:rsid w:val="00C173B5"/>
    <w:rsid w:val="00C17880"/>
    <w:rsid w:val="00C17D46"/>
    <w:rsid w:val="00C201BB"/>
    <w:rsid w:val="00C20D05"/>
    <w:rsid w:val="00C2114F"/>
    <w:rsid w:val="00C225E0"/>
    <w:rsid w:val="00C22C00"/>
    <w:rsid w:val="00C23C15"/>
    <w:rsid w:val="00C2486C"/>
    <w:rsid w:val="00C25CE6"/>
    <w:rsid w:val="00C30043"/>
    <w:rsid w:val="00C306ED"/>
    <w:rsid w:val="00C30A17"/>
    <w:rsid w:val="00C3262B"/>
    <w:rsid w:val="00C328D8"/>
    <w:rsid w:val="00C33027"/>
    <w:rsid w:val="00C33149"/>
    <w:rsid w:val="00C360EF"/>
    <w:rsid w:val="00C36575"/>
    <w:rsid w:val="00C36D42"/>
    <w:rsid w:val="00C37667"/>
    <w:rsid w:val="00C40418"/>
    <w:rsid w:val="00C415C3"/>
    <w:rsid w:val="00C43349"/>
    <w:rsid w:val="00C435DB"/>
    <w:rsid w:val="00C44D73"/>
    <w:rsid w:val="00C45074"/>
    <w:rsid w:val="00C50B42"/>
    <w:rsid w:val="00C50F53"/>
    <w:rsid w:val="00C51061"/>
    <w:rsid w:val="00C516FF"/>
    <w:rsid w:val="00C51C28"/>
    <w:rsid w:val="00C51E49"/>
    <w:rsid w:val="00C527FD"/>
    <w:rsid w:val="00C52BFA"/>
    <w:rsid w:val="00C53276"/>
    <w:rsid w:val="00C535EE"/>
    <w:rsid w:val="00C53D1D"/>
    <w:rsid w:val="00C53F26"/>
    <w:rsid w:val="00C540BC"/>
    <w:rsid w:val="00C542C4"/>
    <w:rsid w:val="00C545CB"/>
    <w:rsid w:val="00C548CF"/>
    <w:rsid w:val="00C5499D"/>
    <w:rsid w:val="00C56680"/>
    <w:rsid w:val="00C60D4F"/>
    <w:rsid w:val="00C61CCB"/>
    <w:rsid w:val="00C61D5E"/>
    <w:rsid w:val="00C63C68"/>
    <w:rsid w:val="00C64125"/>
    <w:rsid w:val="00C64F7D"/>
    <w:rsid w:val="00C658B1"/>
    <w:rsid w:val="00C67309"/>
    <w:rsid w:val="00C7030F"/>
    <w:rsid w:val="00C704C2"/>
    <w:rsid w:val="00C721BF"/>
    <w:rsid w:val="00C7281B"/>
    <w:rsid w:val="00C740C6"/>
    <w:rsid w:val="00C74DB1"/>
    <w:rsid w:val="00C75830"/>
    <w:rsid w:val="00C76061"/>
    <w:rsid w:val="00C7614E"/>
    <w:rsid w:val="00C77BF1"/>
    <w:rsid w:val="00C80D60"/>
    <w:rsid w:val="00C81933"/>
    <w:rsid w:val="00C81E0B"/>
    <w:rsid w:val="00C8237D"/>
    <w:rsid w:val="00C82971"/>
    <w:rsid w:val="00C82FBD"/>
    <w:rsid w:val="00C849F3"/>
    <w:rsid w:val="00C84AD7"/>
    <w:rsid w:val="00C85267"/>
    <w:rsid w:val="00C85B9D"/>
    <w:rsid w:val="00C8721B"/>
    <w:rsid w:val="00C87893"/>
    <w:rsid w:val="00C87F7C"/>
    <w:rsid w:val="00C9188F"/>
    <w:rsid w:val="00C91E17"/>
    <w:rsid w:val="00C92A3B"/>
    <w:rsid w:val="00C9372C"/>
    <w:rsid w:val="00C93D5C"/>
    <w:rsid w:val="00C94200"/>
    <w:rsid w:val="00C9470E"/>
    <w:rsid w:val="00C94827"/>
    <w:rsid w:val="00C95313"/>
    <w:rsid w:val="00C954F6"/>
    <w:rsid w:val="00C95CEB"/>
    <w:rsid w:val="00CA00EE"/>
    <w:rsid w:val="00CA063E"/>
    <w:rsid w:val="00CA0E80"/>
    <w:rsid w:val="00CA1054"/>
    <w:rsid w:val="00CA1CE3"/>
    <w:rsid w:val="00CA2F2B"/>
    <w:rsid w:val="00CA3012"/>
    <w:rsid w:val="00CA4C77"/>
    <w:rsid w:val="00CA4DBA"/>
    <w:rsid w:val="00CA5198"/>
    <w:rsid w:val="00CA63EB"/>
    <w:rsid w:val="00CA69F1"/>
    <w:rsid w:val="00CA769D"/>
    <w:rsid w:val="00CA7C59"/>
    <w:rsid w:val="00CB0C97"/>
    <w:rsid w:val="00CB310B"/>
    <w:rsid w:val="00CB4B7F"/>
    <w:rsid w:val="00CB50F6"/>
    <w:rsid w:val="00CB521B"/>
    <w:rsid w:val="00CB563A"/>
    <w:rsid w:val="00CB5A85"/>
    <w:rsid w:val="00CB6991"/>
    <w:rsid w:val="00CB6DE0"/>
    <w:rsid w:val="00CB7396"/>
    <w:rsid w:val="00CB77B0"/>
    <w:rsid w:val="00CC167B"/>
    <w:rsid w:val="00CC1B64"/>
    <w:rsid w:val="00CC24FF"/>
    <w:rsid w:val="00CC3BF6"/>
    <w:rsid w:val="00CC6194"/>
    <w:rsid w:val="00CC6305"/>
    <w:rsid w:val="00CC78A5"/>
    <w:rsid w:val="00CD0516"/>
    <w:rsid w:val="00CD074C"/>
    <w:rsid w:val="00CD1167"/>
    <w:rsid w:val="00CD1F60"/>
    <w:rsid w:val="00CD20B0"/>
    <w:rsid w:val="00CD21C6"/>
    <w:rsid w:val="00CD2D49"/>
    <w:rsid w:val="00CD34C8"/>
    <w:rsid w:val="00CD3B95"/>
    <w:rsid w:val="00CD3C54"/>
    <w:rsid w:val="00CD490B"/>
    <w:rsid w:val="00CD756B"/>
    <w:rsid w:val="00CE0039"/>
    <w:rsid w:val="00CE1B69"/>
    <w:rsid w:val="00CE3799"/>
    <w:rsid w:val="00CE55E7"/>
    <w:rsid w:val="00CE6161"/>
    <w:rsid w:val="00CE61C5"/>
    <w:rsid w:val="00CE69D1"/>
    <w:rsid w:val="00CE734F"/>
    <w:rsid w:val="00CE7757"/>
    <w:rsid w:val="00CF04B0"/>
    <w:rsid w:val="00CF0655"/>
    <w:rsid w:val="00CF0C2A"/>
    <w:rsid w:val="00CF112E"/>
    <w:rsid w:val="00CF2128"/>
    <w:rsid w:val="00CF23E1"/>
    <w:rsid w:val="00CF24D9"/>
    <w:rsid w:val="00CF34AD"/>
    <w:rsid w:val="00CF3A41"/>
    <w:rsid w:val="00CF4A2E"/>
    <w:rsid w:val="00CF4BCD"/>
    <w:rsid w:val="00CF5F4F"/>
    <w:rsid w:val="00D00DD4"/>
    <w:rsid w:val="00D02393"/>
    <w:rsid w:val="00D03361"/>
    <w:rsid w:val="00D03AF6"/>
    <w:rsid w:val="00D047F5"/>
    <w:rsid w:val="00D05B78"/>
    <w:rsid w:val="00D05BD2"/>
    <w:rsid w:val="00D06ADD"/>
    <w:rsid w:val="00D06C3F"/>
    <w:rsid w:val="00D06D12"/>
    <w:rsid w:val="00D11B28"/>
    <w:rsid w:val="00D13D12"/>
    <w:rsid w:val="00D14440"/>
    <w:rsid w:val="00D15579"/>
    <w:rsid w:val="00D15EC7"/>
    <w:rsid w:val="00D16090"/>
    <w:rsid w:val="00D1647C"/>
    <w:rsid w:val="00D165B2"/>
    <w:rsid w:val="00D16D63"/>
    <w:rsid w:val="00D218DC"/>
    <w:rsid w:val="00D22547"/>
    <w:rsid w:val="00D2420C"/>
    <w:rsid w:val="00D245E2"/>
    <w:rsid w:val="00D24E56"/>
    <w:rsid w:val="00D25F3E"/>
    <w:rsid w:val="00D2747B"/>
    <w:rsid w:val="00D27CBC"/>
    <w:rsid w:val="00D27F94"/>
    <w:rsid w:val="00D306C8"/>
    <w:rsid w:val="00D3093F"/>
    <w:rsid w:val="00D30A82"/>
    <w:rsid w:val="00D30CE4"/>
    <w:rsid w:val="00D31643"/>
    <w:rsid w:val="00D31AEB"/>
    <w:rsid w:val="00D3248E"/>
    <w:rsid w:val="00D32ECD"/>
    <w:rsid w:val="00D32EE4"/>
    <w:rsid w:val="00D333E9"/>
    <w:rsid w:val="00D337E5"/>
    <w:rsid w:val="00D34491"/>
    <w:rsid w:val="00D34710"/>
    <w:rsid w:val="00D361E4"/>
    <w:rsid w:val="00D37819"/>
    <w:rsid w:val="00D37FF9"/>
    <w:rsid w:val="00D41320"/>
    <w:rsid w:val="00D4139B"/>
    <w:rsid w:val="00D42089"/>
    <w:rsid w:val="00D42A8F"/>
    <w:rsid w:val="00D42B00"/>
    <w:rsid w:val="00D42C1D"/>
    <w:rsid w:val="00D430A9"/>
    <w:rsid w:val="00D439F6"/>
    <w:rsid w:val="00D44234"/>
    <w:rsid w:val="00D44C5C"/>
    <w:rsid w:val="00D45418"/>
    <w:rsid w:val="00D459C6"/>
    <w:rsid w:val="00D45CD0"/>
    <w:rsid w:val="00D46B86"/>
    <w:rsid w:val="00D47FE1"/>
    <w:rsid w:val="00D505DF"/>
    <w:rsid w:val="00D5061D"/>
    <w:rsid w:val="00D50729"/>
    <w:rsid w:val="00D50C19"/>
    <w:rsid w:val="00D51612"/>
    <w:rsid w:val="00D526C1"/>
    <w:rsid w:val="00D5309E"/>
    <w:rsid w:val="00D5379E"/>
    <w:rsid w:val="00D551F2"/>
    <w:rsid w:val="00D55B34"/>
    <w:rsid w:val="00D56533"/>
    <w:rsid w:val="00D57032"/>
    <w:rsid w:val="00D57250"/>
    <w:rsid w:val="00D573FC"/>
    <w:rsid w:val="00D5790E"/>
    <w:rsid w:val="00D57ED8"/>
    <w:rsid w:val="00D61291"/>
    <w:rsid w:val="00D619FD"/>
    <w:rsid w:val="00D61ACB"/>
    <w:rsid w:val="00D61F64"/>
    <w:rsid w:val="00D62643"/>
    <w:rsid w:val="00D6377B"/>
    <w:rsid w:val="00D63C8A"/>
    <w:rsid w:val="00D63F62"/>
    <w:rsid w:val="00D643EF"/>
    <w:rsid w:val="00D64C0F"/>
    <w:rsid w:val="00D651BB"/>
    <w:rsid w:val="00D65D48"/>
    <w:rsid w:val="00D66183"/>
    <w:rsid w:val="00D6645C"/>
    <w:rsid w:val="00D67E4D"/>
    <w:rsid w:val="00D717DE"/>
    <w:rsid w:val="00D7191F"/>
    <w:rsid w:val="00D72EFE"/>
    <w:rsid w:val="00D73D5E"/>
    <w:rsid w:val="00D741D3"/>
    <w:rsid w:val="00D74A2C"/>
    <w:rsid w:val="00D75F97"/>
    <w:rsid w:val="00D76227"/>
    <w:rsid w:val="00D762F3"/>
    <w:rsid w:val="00D776D4"/>
    <w:rsid w:val="00D77DF1"/>
    <w:rsid w:val="00D815C3"/>
    <w:rsid w:val="00D81765"/>
    <w:rsid w:val="00D819DF"/>
    <w:rsid w:val="00D82C83"/>
    <w:rsid w:val="00D82FA5"/>
    <w:rsid w:val="00D832EC"/>
    <w:rsid w:val="00D83F15"/>
    <w:rsid w:val="00D857D0"/>
    <w:rsid w:val="00D85C31"/>
    <w:rsid w:val="00D85C8D"/>
    <w:rsid w:val="00D86AFF"/>
    <w:rsid w:val="00D87C15"/>
    <w:rsid w:val="00D87F43"/>
    <w:rsid w:val="00D905EB"/>
    <w:rsid w:val="00D9083E"/>
    <w:rsid w:val="00D90891"/>
    <w:rsid w:val="00D92928"/>
    <w:rsid w:val="00D93805"/>
    <w:rsid w:val="00D94591"/>
    <w:rsid w:val="00D94B93"/>
    <w:rsid w:val="00D94EE4"/>
    <w:rsid w:val="00D95464"/>
    <w:rsid w:val="00D95A44"/>
    <w:rsid w:val="00D95D16"/>
    <w:rsid w:val="00D95FC4"/>
    <w:rsid w:val="00D97037"/>
    <w:rsid w:val="00D97C76"/>
    <w:rsid w:val="00DA0317"/>
    <w:rsid w:val="00DA1250"/>
    <w:rsid w:val="00DA429D"/>
    <w:rsid w:val="00DA4AD9"/>
    <w:rsid w:val="00DA5A12"/>
    <w:rsid w:val="00DA7569"/>
    <w:rsid w:val="00DA76FA"/>
    <w:rsid w:val="00DA783F"/>
    <w:rsid w:val="00DB02B4"/>
    <w:rsid w:val="00DB03EE"/>
    <w:rsid w:val="00DB0B7A"/>
    <w:rsid w:val="00DB0BDC"/>
    <w:rsid w:val="00DB1672"/>
    <w:rsid w:val="00DB16ED"/>
    <w:rsid w:val="00DB421A"/>
    <w:rsid w:val="00DB46B6"/>
    <w:rsid w:val="00DB538D"/>
    <w:rsid w:val="00DB5D73"/>
    <w:rsid w:val="00DB6391"/>
    <w:rsid w:val="00DB726F"/>
    <w:rsid w:val="00DB72D9"/>
    <w:rsid w:val="00DB7339"/>
    <w:rsid w:val="00DB764B"/>
    <w:rsid w:val="00DC06A5"/>
    <w:rsid w:val="00DC09BD"/>
    <w:rsid w:val="00DC275C"/>
    <w:rsid w:val="00DC3ED2"/>
    <w:rsid w:val="00DC4B0D"/>
    <w:rsid w:val="00DC7D9E"/>
    <w:rsid w:val="00DC7FE1"/>
    <w:rsid w:val="00DD07D2"/>
    <w:rsid w:val="00DD3F3F"/>
    <w:rsid w:val="00DD53C5"/>
    <w:rsid w:val="00DD5572"/>
    <w:rsid w:val="00DD5C8D"/>
    <w:rsid w:val="00DD6667"/>
    <w:rsid w:val="00DD6F17"/>
    <w:rsid w:val="00DD725E"/>
    <w:rsid w:val="00DD77F7"/>
    <w:rsid w:val="00DE18AC"/>
    <w:rsid w:val="00DE1FE2"/>
    <w:rsid w:val="00DE2B2F"/>
    <w:rsid w:val="00DE4017"/>
    <w:rsid w:val="00DE41F8"/>
    <w:rsid w:val="00DE4FE2"/>
    <w:rsid w:val="00DE5A31"/>
    <w:rsid w:val="00DE5D80"/>
    <w:rsid w:val="00DE5E22"/>
    <w:rsid w:val="00DE6015"/>
    <w:rsid w:val="00DE628A"/>
    <w:rsid w:val="00DE70B9"/>
    <w:rsid w:val="00DE7550"/>
    <w:rsid w:val="00DE77F3"/>
    <w:rsid w:val="00DF2F24"/>
    <w:rsid w:val="00DF3020"/>
    <w:rsid w:val="00DF39BF"/>
    <w:rsid w:val="00DF3D37"/>
    <w:rsid w:val="00DF3ED2"/>
    <w:rsid w:val="00DF4BA2"/>
    <w:rsid w:val="00DF4D80"/>
    <w:rsid w:val="00DF58CD"/>
    <w:rsid w:val="00DF5B5C"/>
    <w:rsid w:val="00DF65DE"/>
    <w:rsid w:val="00DF6610"/>
    <w:rsid w:val="00DF7AFB"/>
    <w:rsid w:val="00DF7BAC"/>
    <w:rsid w:val="00E00C9C"/>
    <w:rsid w:val="00E013FD"/>
    <w:rsid w:val="00E019A5"/>
    <w:rsid w:val="00E028D7"/>
    <w:rsid w:val="00E02EC8"/>
    <w:rsid w:val="00E02F1C"/>
    <w:rsid w:val="00E037F5"/>
    <w:rsid w:val="00E0462F"/>
    <w:rsid w:val="00E04ECB"/>
    <w:rsid w:val="00E05369"/>
    <w:rsid w:val="00E056FF"/>
    <w:rsid w:val="00E058ED"/>
    <w:rsid w:val="00E05A09"/>
    <w:rsid w:val="00E06CA1"/>
    <w:rsid w:val="00E07299"/>
    <w:rsid w:val="00E104A0"/>
    <w:rsid w:val="00E117F9"/>
    <w:rsid w:val="00E11A0B"/>
    <w:rsid w:val="00E11DB3"/>
    <w:rsid w:val="00E125D3"/>
    <w:rsid w:val="00E12B60"/>
    <w:rsid w:val="00E12D87"/>
    <w:rsid w:val="00E13FF2"/>
    <w:rsid w:val="00E15559"/>
    <w:rsid w:val="00E167EA"/>
    <w:rsid w:val="00E16CFD"/>
    <w:rsid w:val="00E172B8"/>
    <w:rsid w:val="00E176B5"/>
    <w:rsid w:val="00E17865"/>
    <w:rsid w:val="00E17FB4"/>
    <w:rsid w:val="00E2005A"/>
    <w:rsid w:val="00E201CF"/>
    <w:rsid w:val="00E20452"/>
    <w:rsid w:val="00E20B75"/>
    <w:rsid w:val="00E21397"/>
    <w:rsid w:val="00E214F2"/>
    <w:rsid w:val="00E22429"/>
    <w:rsid w:val="00E2371E"/>
    <w:rsid w:val="00E24BD7"/>
    <w:rsid w:val="00E24F35"/>
    <w:rsid w:val="00E262A6"/>
    <w:rsid w:val="00E26523"/>
    <w:rsid w:val="00E26809"/>
    <w:rsid w:val="00E27218"/>
    <w:rsid w:val="00E30B29"/>
    <w:rsid w:val="00E3236A"/>
    <w:rsid w:val="00E32D80"/>
    <w:rsid w:val="00E32EB4"/>
    <w:rsid w:val="00E3412D"/>
    <w:rsid w:val="00E343D0"/>
    <w:rsid w:val="00E34CEE"/>
    <w:rsid w:val="00E35DFF"/>
    <w:rsid w:val="00E35ED2"/>
    <w:rsid w:val="00E363AF"/>
    <w:rsid w:val="00E375E4"/>
    <w:rsid w:val="00E37AB5"/>
    <w:rsid w:val="00E37BE7"/>
    <w:rsid w:val="00E40097"/>
    <w:rsid w:val="00E40593"/>
    <w:rsid w:val="00E40DAD"/>
    <w:rsid w:val="00E41BD2"/>
    <w:rsid w:val="00E448BB"/>
    <w:rsid w:val="00E45FC7"/>
    <w:rsid w:val="00E46804"/>
    <w:rsid w:val="00E47452"/>
    <w:rsid w:val="00E515F4"/>
    <w:rsid w:val="00E526B4"/>
    <w:rsid w:val="00E52A9B"/>
    <w:rsid w:val="00E556D8"/>
    <w:rsid w:val="00E56329"/>
    <w:rsid w:val="00E567FB"/>
    <w:rsid w:val="00E56AA7"/>
    <w:rsid w:val="00E57322"/>
    <w:rsid w:val="00E60873"/>
    <w:rsid w:val="00E60DD7"/>
    <w:rsid w:val="00E62748"/>
    <w:rsid w:val="00E628CB"/>
    <w:rsid w:val="00E629FB"/>
    <w:rsid w:val="00E62AD9"/>
    <w:rsid w:val="00E63621"/>
    <w:rsid w:val="00E638C8"/>
    <w:rsid w:val="00E63DDF"/>
    <w:rsid w:val="00E65351"/>
    <w:rsid w:val="00E65EB6"/>
    <w:rsid w:val="00E67640"/>
    <w:rsid w:val="00E70CD4"/>
    <w:rsid w:val="00E70FDE"/>
    <w:rsid w:val="00E72BD1"/>
    <w:rsid w:val="00E7498F"/>
    <w:rsid w:val="00E74B1E"/>
    <w:rsid w:val="00E7509B"/>
    <w:rsid w:val="00E7606F"/>
    <w:rsid w:val="00E76D46"/>
    <w:rsid w:val="00E77888"/>
    <w:rsid w:val="00E80A5A"/>
    <w:rsid w:val="00E814E9"/>
    <w:rsid w:val="00E82BA3"/>
    <w:rsid w:val="00E86590"/>
    <w:rsid w:val="00E86F46"/>
    <w:rsid w:val="00E87188"/>
    <w:rsid w:val="00E871F6"/>
    <w:rsid w:val="00E87A1B"/>
    <w:rsid w:val="00E907FF"/>
    <w:rsid w:val="00E90E7F"/>
    <w:rsid w:val="00E9164E"/>
    <w:rsid w:val="00E9209B"/>
    <w:rsid w:val="00E93239"/>
    <w:rsid w:val="00E9331A"/>
    <w:rsid w:val="00E942D5"/>
    <w:rsid w:val="00E94D63"/>
    <w:rsid w:val="00E94E85"/>
    <w:rsid w:val="00E95B52"/>
    <w:rsid w:val="00E975F0"/>
    <w:rsid w:val="00E97949"/>
    <w:rsid w:val="00E97EE2"/>
    <w:rsid w:val="00EA0481"/>
    <w:rsid w:val="00EA08B5"/>
    <w:rsid w:val="00EA0970"/>
    <w:rsid w:val="00EA0D39"/>
    <w:rsid w:val="00EA1B1F"/>
    <w:rsid w:val="00EA3010"/>
    <w:rsid w:val="00EA340A"/>
    <w:rsid w:val="00EA3532"/>
    <w:rsid w:val="00EA3688"/>
    <w:rsid w:val="00EA37F3"/>
    <w:rsid w:val="00EA3A02"/>
    <w:rsid w:val="00EA42D1"/>
    <w:rsid w:val="00EA42EF"/>
    <w:rsid w:val="00EA50BD"/>
    <w:rsid w:val="00EA55E1"/>
    <w:rsid w:val="00EA7A50"/>
    <w:rsid w:val="00EB0B7D"/>
    <w:rsid w:val="00EB1C29"/>
    <w:rsid w:val="00EB1EC8"/>
    <w:rsid w:val="00EB2DD1"/>
    <w:rsid w:val="00EB2ED4"/>
    <w:rsid w:val="00EB6B37"/>
    <w:rsid w:val="00EC1CEC"/>
    <w:rsid w:val="00EC29FE"/>
    <w:rsid w:val="00EC35D4"/>
    <w:rsid w:val="00EC3964"/>
    <w:rsid w:val="00EC3C70"/>
    <w:rsid w:val="00EC57E7"/>
    <w:rsid w:val="00EC59FC"/>
    <w:rsid w:val="00EC5DED"/>
    <w:rsid w:val="00EC645C"/>
    <w:rsid w:val="00EC71B1"/>
    <w:rsid w:val="00EC7D5E"/>
    <w:rsid w:val="00ED199A"/>
    <w:rsid w:val="00ED1E7B"/>
    <w:rsid w:val="00ED2B3A"/>
    <w:rsid w:val="00ED373D"/>
    <w:rsid w:val="00ED3A3D"/>
    <w:rsid w:val="00ED43ED"/>
    <w:rsid w:val="00ED5011"/>
    <w:rsid w:val="00ED538A"/>
    <w:rsid w:val="00ED6090"/>
    <w:rsid w:val="00ED6C60"/>
    <w:rsid w:val="00ED6CAF"/>
    <w:rsid w:val="00ED6FBC"/>
    <w:rsid w:val="00ED7DB4"/>
    <w:rsid w:val="00ED7DFB"/>
    <w:rsid w:val="00EE0282"/>
    <w:rsid w:val="00EE0530"/>
    <w:rsid w:val="00EE05E3"/>
    <w:rsid w:val="00EE2F16"/>
    <w:rsid w:val="00EE3861"/>
    <w:rsid w:val="00EE47A2"/>
    <w:rsid w:val="00EE4FDB"/>
    <w:rsid w:val="00EE55AD"/>
    <w:rsid w:val="00EE5B68"/>
    <w:rsid w:val="00EE6735"/>
    <w:rsid w:val="00EF0274"/>
    <w:rsid w:val="00EF0530"/>
    <w:rsid w:val="00EF2246"/>
    <w:rsid w:val="00EF25D8"/>
    <w:rsid w:val="00EF290C"/>
    <w:rsid w:val="00EF2E73"/>
    <w:rsid w:val="00EF3D67"/>
    <w:rsid w:val="00EF3DC9"/>
    <w:rsid w:val="00EF4351"/>
    <w:rsid w:val="00EF5D1E"/>
    <w:rsid w:val="00EF68E6"/>
    <w:rsid w:val="00EF7683"/>
    <w:rsid w:val="00EF777D"/>
    <w:rsid w:val="00EF7A2D"/>
    <w:rsid w:val="00F0292F"/>
    <w:rsid w:val="00F03A63"/>
    <w:rsid w:val="00F04808"/>
    <w:rsid w:val="00F0489A"/>
    <w:rsid w:val="00F04F8D"/>
    <w:rsid w:val="00F04FB5"/>
    <w:rsid w:val="00F068F7"/>
    <w:rsid w:val="00F0714C"/>
    <w:rsid w:val="00F0755A"/>
    <w:rsid w:val="00F075DC"/>
    <w:rsid w:val="00F10AD0"/>
    <w:rsid w:val="00F10B7E"/>
    <w:rsid w:val="00F10BE2"/>
    <w:rsid w:val="00F1128F"/>
    <w:rsid w:val="00F116CC"/>
    <w:rsid w:val="00F12BD1"/>
    <w:rsid w:val="00F13B3D"/>
    <w:rsid w:val="00F152D5"/>
    <w:rsid w:val="00F15327"/>
    <w:rsid w:val="00F16069"/>
    <w:rsid w:val="00F163A3"/>
    <w:rsid w:val="00F168CF"/>
    <w:rsid w:val="00F16E87"/>
    <w:rsid w:val="00F174DA"/>
    <w:rsid w:val="00F178BC"/>
    <w:rsid w:val="00F179E4"/>
    <w:rsid w:val="00F17A73"/>
    <w:rsid w:val="00F20F9B"/>
    <w:rsid w:val="00F23A8B"/>
    <w:rsid w:val="00F23EEE"/>
    <w:rsid w:val="00F2555C"/>
    <w:rsid w:val="00F26979"/>
    <w:rsid w:val="00F313CD"/>
    <w:rsid w:val="00F317AC"/>
    <w:rsid w:val="00F318B8"/>
    <w:rsid w:val="00F31A09"/>
    <w:rsid w:val="00F31DF3"/>
    <w:rsid w:val="00F33AE5"/>
    <w:rsid w:val="00F34CFD"/>
    <w:rsid w:val="00F3597D"/>
    <w:rsid w:val="00F36D64"/>
    <w:rsid w:val="00F37238"/>
    <w:rsid w:val="00F37299"/>
    <w:rsid w:val="00F3756F"/>
    <w:rsid w:val="00F40133"/>
    <w:rsid w:val="00F403D4"/>
    <w:rsid w:val="00F40E61"/>
    <w:rsid w:val="00F41485"/>
    <w:rsid w:val="00F4376D"/>
    <w:rsid w:val="00F43C5B"/>
    <w:rsid w:val="00F43E67"/>
    <w:rsid w:val="00F45399"/>
    <w:rsid w:val="00F46210"/>
    <w:rsid w:val="00F465EA"/>
    <w:rsid w:val="00F47910"/>
    <w:rsid w:val="00F47D9F"/>
    <w:rsid w:val="00F51B6F"/>
    <w:rsid w:val="00F5237C"/>
    <w:rsid w:val="00F54E7B"/>
    <w:rsid w:val="00F555CE"/>
    <w:rsid w:val="00F55A88"/>
    <w:rsid w:val="00F57945"/>
    <w:rsid w:val="00F57D54"/>
    <w:rsid w:val="00F61DCA"/>
    <w:rsid w:val="00F623BC"/>
    <w:rsid w:val="00F6313D"/>
    <w:rsid w:val="00F63932"/>
    <w:rsid w:val="00F63C7B"/>
    <w:rsid w:val="00F64EE2"/>
    <w:rsid w:val="00F652CE"/>
    <w:rsid w:val="00F6623D"/>
    <w:rsid w:val="00F66332"/>
    <w:rsid w:val="00F66A52"/>
    <w:rsid w:val="00F67737"/>
    <w:rsid w:val="00F72733"/>
    <w:rsid w:val="00F74005"/>
    <w:rsid w:val="00F74E61"/>
    <w:rsid w:val="00F753FB"/>
    <w:rsid w:val="00F761A6"/>
    <w:rsid w:val="00F76247"/>
    <w:rsid w:val="00F765B3"/>
    <w:rsid w:val="00F76884"/>
    <w:rsid w:val="00F7765D"/>
    <w:rsid w:val="00F80271"/>
    <w:rsid w:val="00F82759"/>
    <w:rsid w:val="00F828F9"/>
    <w:rsid w:val="00F82CCB"/>
    <w:rsid w:val="00F83062"/>
    <w:rsid w:val="00F83701"/>
    <w:rsid w:val="00F83D24"/>
    <w:rsid w:val="00F83DD9"/>
    <w:rsid w:val="00F83F40"/>
    <w:rsid w:val="00F84596"/>
    <w:rsid w:val="00F84C52"/>
    <w:rsid w:val="00F86257"/>
    <w:rsid w:val="00F866E0"/>
    <w:rsid w:val="00F867FD"/>
    <w:rsid w:val="00F86C10"/>
    <w:rsid w:val="00F8746F"/>
    <w:rsid w:val="00F9021B"/>
    <w:rsid w:val="00F908A4"/>
    <w:rsid w:val="00F91CBF"/>
    <w:rsid w:val="00F936F7"/>
    <w:rsid w:val="00F941A0"/>
    <w:rsid w:val="00F944BB"/>
    <w:rsid w:val="00F94AE2"/>
    <w:rsid w:val="00F94F5C"/>
    <w:rsid w:val="00F951A8"/>
    <w:rsid w:val="00F971F7"/>
    <w:rsid w:val="00F97B8A"/>
    <w:rsid w:val="00F97D2A"/>
    <w:rsid w:val="00FA03D6"/>
    <w:rsid w:val="00FA117A"/>
    <w:rsid w:val="00FA1893"/>
    <w:rsid w:val="00FA1B13"/>
    <w:rsid w:val="00FA3179"/>
    <w:rsid w:val="00FA3DC4"/>
    <w:rsid w:val="00FA467C"/>
    <w:rsid w:val="00FB00BE"/>
    <w:rsid w:val="00FB1628"/>
    <w:rsid w:val="00FB1FC1"/>
    <w:rsid w:val="00FB2708"/>
    <w:rsid w:val="00FB386A"/>
    <w:rsid w:val="00FB53AA"/>
    <w:rsid w:val="00FB53C3"/>
    <w:rsid w:val="00FB54AF"/>
    <w:rsid w:val="00FB5D81"/>
    <w:rsid w:val="00FB5EC8"/>
    <w:rsid w:val="00FB7176"/>
    <w:rsid w:val="00FB7861"/>
    <w:rsid w:val="00FB79E0"/>
    <w:rsid w:val="00FB7C9F"/>
    <w:rsid w:val="00FC0786"/>
    <w:rsid w:val="00FC203B"/>
    <w:rsid w:val="00FC2AB1"/>
    <w:rsid w:val="00FC38BB"/>
    <w:rsid w:val="00FC4349"/>
    <w:rsid w:val="00FC49EF"/>
    <w:rsid w:val="00FC5AC4"/>
    <w:rsid w:val="00FC6255"/>
    <w:rsid w:val="00FC6D43"/>
    <w:rsid w:val="00FC743E"/>
    <w:rsid w:val="00FC7B7C"/>
    <w:rsid w:val="00FD0981"/>
    <w:rsid w:val="00FD32C3"/>
    <w:rsid w:val="00FD4AD7"/>
    <w:rsid w:val="00FD4BAF"/>
    <w:rsid w:val="00FD532A"/>
    <w:rsid w:val="00FD59AA"/>
    <w:rsid w:val="00FD5CEA"/>
    <w:rsid w:val="00FD5D4D"/>
    <w:rsid w:val="00FD6036"/>
    <w:rsid w:val="00FD60D1"/>
    <w:rsid w:val="00FE0C7D"/>
    <w:rsid w:val="00FE2CF9"/>
    <w:rsid w:val="00FE3649"/>
    <w:rsid w:val="00FE36E2"/>
    <w:rsid w:val="00FE3B4F"/>
    <w:rsid w:val="00FE4845"/>
    <w:rsid w:val="00FE4FD3"/>
    <w:rsid w:val="00FF01D4"/>
    <w:rsid w:val="00FF11AD"/>
    <w:rsid w:val="00FF2971"/>
    <w:rsid w:val="00FF33F6"/>
    <w:rsid w:val="00FF34D4"/>
    <w:rsid w:val="00FF4679"/>
    <w:rsid w:val="00FF773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80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6A1"/>
    <w:pPr>
      <w:jc w:val="both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E541D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95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E541D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595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aliases w:val="Listaszerű bekezdés1,List Paragraph à moi,Recommendation,List Paragraph11,Kolorowa lista — akcent 11,Numerowanie,Dot pt,F5 List Paragraph,Numbered Para 1,No Spacing1,Indicator Text,Bullet 1,List Paragraph Char Char Char,2,Akapit z list?,3"/>
    <w:basedOn w:val="Normalny"/>
    <w:link w:val="AkapitzlistZnak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7CB2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aliases w:val="Footnote Text Char Char,Footnote,Fußnote,FSR footnote,lábléc Car Car Car,Fodnotetekst Tegn Tegn Tegn Tegn Tegn Tegn Tegn Char Char,Fodnotetekst Tegn Tegn Tegn Tegn Tegn Tegn Tegn Char Char Char Char,fn,lábléc,Znak"/>
    <w:basedOn w:val="Normalny"/>
    <w:link w:val="TekstprzypisudolnegoZnak"/>
    <w:uiPriority w:val="99"/>
    <w:semiHidden/>
    <w:rsid w:val="00C047A7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Footnote Text Char Char Znak,Footnote Znak,Fußnote Znak,FSR footnote Znak,lábléc Car Car Car Znak,Fodnotetekst Tegn Tegn Tegn Tegn Tegn Tegn Tegn Char Char Znak,fn Znak,lábléc Znak,Znak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aliases w:val="Footnote Reference Number,Footnote Reference_LVL6,Footnote Reference_LVL61,Footnote Reference_LVL62,Footnote Reference_LVL63,Footnote Reference_LVL64,Nota,Footnote symbol,Appel note de bas de p,BVI fnr,SUPERS,note TES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rFonts w:cs="Times New Roman"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2B577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B5779"/>
    <w:rPr>
      <w:rFonts w:ascii="Cambria" w:hAnsi="Cambria" w:cs="Times New Roman"/>
      <w:sz w:val="24"/>
      <w:szCs w:val="24"/>
      <w:lang w:eastAsia="en-US"/>
    </w:rPr>
  </w:style>
  <w:style w:type="paragraph" w:styleId="Bezodstpw">
    <w:name w:val="No Spacing"/>
    <w:uiPriority w:val="99"/>
    <w:qFormat/>
    <w:rsid w:val="002B5779"/>
    <w:rPr>
      <w:lang w:eastAsia="en-US"/>
    </w:rPr>
  </w:style>
  <w:style w:type="paragraph" w:styleId="NormalnyWeb">
    <w:name w:val="Normal (Web)"/>
    <w:basedOn w:val="Normalny"/>
    <w:uiPriority w:val="99"/>
    <w:semiHidden/>
    <w:rsid w:val="00A141B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uiPriority w:val="99"/>
    <w:rsid w:val="005601F4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5601F4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F23A8B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6330D9"/>
    <w:rPr>
      <w:rFonts w:cs="Times New Roman"/>
      <w:b/>
      <w:bCs/>
    </w:rPr>
  </w:style>
  <w:style w:type="paragraph" w:customStyle="1" w:styleId="Default">
    <w:name w:val="Default"/>
    <w:rsid w:val="009D24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B5119"/>
    <w:rPr>
      <w:rFonts w:ascii="Times New Roman" w:hAnsi="Times New Roman"/>
      <w:lang w:eastAsia="en-US"/>
    </w:rPr>
  </w:style>
  <w:style w:type="character" w:customStyle="1" w:styleId="Data1">
    <w:name w:val="Data1"/>
    <w:basedOn w:val="Domylnaczcionkaakapitu"/>
    <w:uiPriority w:val="99"/>
    <w:rsid w:val="00B37EF0"/>
    <w:rPr>
      <w:rFonts w:cs="Times New Roman"/>
    </w:rPr>
  </w:style>
  <w:style w:type="character" w:customStyle="1" w:styleId="Bodytext">
    <w:name w:val="Body text_"/>
    <w:link w:val="Tekstpodstawowy1"/>
    <w:uiPriority w:val="99"/>
    <w:locked/>
    <w:rsid w:val="00A73E87"/>
    <w:rPr>
      <w:rFonts w:ascii="Arial" w:eastAsia="Times New Roman" w:hAnsi="Arial"/>
      <w:sz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A73E87"/>
    <w:pPr>
      <w:shd w:val="clear" w:color="auto" w:fill="FFFFFF"/>
      <w:spacing w:before="60" w:after="60" w:line="240" w:lineRule="atLeast"/>
      <w:ind w:hanging="360"/>
      <w:jc w:val="left"/>
    </w:pPr>
    <w:rPr>
      <w:rFonts w:ascii="Arial" w:hAnsi="Arial"/>
      <w:lang w:eastAsia="pl-PL"/>
    </w:rPr>
  </w:style>
  <w:style w:type="character" w:customStyle="1" w:styleId="txt-new">
    <w:name w:val="txt-new"/>
    <w:basedOn w:val="Domylnaczcionkaakapitu"/>
    <w:uiPriority w:val="99"/>
    <w:rsid w:val="00C53276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5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5004E"/>
    <w:rPr>
      <w:rFonts w:ascii="Courier New" w:hAnsi="Courier New" w:cs="Courier New"/>
    </w:rPr>
  </w:style>
  <w:style w:type="paragraph" w:customStyle="1" w:styleId="ZPKTzmpktartykuempunktem">
    <w:name w:val="Z/PKT – zm. pkt artykułem (punktem)"/>
    <w:basedOn w:val="Normalny"/>
    <w:uiPriority w:val="99"/>
    <w:rsid w:val="00F178BC"/>
    <w:pPr>
      <w:spacing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istaszerű bekezdés1 Znak,List Paragraph à moi Znak,Recommendation Znak,List Paragraph11 Znak,Kolorowa lista — akcent 11 Znak,Numerowanie Znak,Dot pt Znak,F5 List Paragraph Znak,Numbered Para 1 Znak,No Spacing1 Znak,Bullet 1 Znak"/>
    <w:link w:val="Akapitzlist"/>
    <w:uiPriority w:val="34"/>
    <w:qFormat/>
    <w:locked/>
    <w:rsid w:val="000670FC"/>
    <w:rPr>
      <w:rFonts w:ascii="Times New Roman" w:hAnsi="Times New Roman"/>
      <w:lang w:eastAsia="en-US"/>
    </w:rPr>
  </w:style>
  <w:style w:type="character" w:customStyle="1" w:styleId="Ppogrubienie">
    <w:name w:val="_P_ – pogrubienie"/>
    <w:basedOn w:val="Domylnaczcionkaakapitu"/>
    <w:uiPriority w:val="1"/>
    <w:qFormat/>
    <w:rsid w:val="00BB32C9"/>
    <w:rPr>
      <w:b/>
    </w:rPr>
  </w:style>
  <w:style w:type="character" w:customStyle="1" w:styleId="tlid-translation">
    <w:name w:val="tlid-translation"/>
    <w:basedOn w:val="Domylnaczcionkaakapitu"/>
    <w:rsid w:val="008859B0"/>
  </w:style>
  <w:style w:type="paragraph" w:customStyle="1" w:styleId="ODNONIKtreodnonika">
    <w:name w:val="ODNOŚNIK – treść odnośnika"/>
    <w:uiPriority w:val="19"/>
    <w:qFormat/>
    <w:rsid w:val="00E24F35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C954F6"/>
    <w:rPr>
      <w:i/>
      <w:iCs/>
    </w:rPr>
  </w:style>
  <w:style w:type="character" w:customStyle="1" w:styleId="markedcontent">
    <w:name w:val="markedcontent"/>
    <w:basedOn w:val="Domylnaczcionkaakapitu"/>
    <w:rsid w:val="0020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687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41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202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73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096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82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9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2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3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69CB90B42314787662249B492C142" ma:contentTypeVersion="" ma:contentTypeDescription="Utwórz nowy dokument." ma:contentTypeScope="" ma:versionID="de4bf11a8fc88fef27a7c88ee272d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2AD2-EA49-4437-AC81-69C4FB30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55B77-5E8D-4BD3-966F-CD4C0D089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407C1-2F5A-4724-BACD-454241712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0DE7C-EF52-4EC5-A116-32ED785E39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BEAA01-E275-4522-A4FC-A9D9CE3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4189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Company/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subject/>
  <dc:creator/>
  <cp:keywords>ocena skutków regulacji</cp:keywords>
  <dc:description/>
  <cp:lastModifiedBy/>
  <cp:revision>1</cp:revision>
  <dcterms:created xsi:type="dcterms:W3CDTF">2023-05-28T15:07:00Z</dcterms:created>
  <dcterms:modified xsi:type="dcterms:W3CDTF">2023-06-16T12:21:00Z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0x01010037869CB90B42314787662249B492C142</vt:lpwstr>
  </property>
  <property fmtid="{D5CDD505-2E9C-101B-9397-08002B2CF9AE}" pid="3" name="_NewReviewCycle">
    <vt:lpwstr/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UxC4dwLulzfINJ8nQH+xvX5LNGipWa4BRSZhPgxsCvmV4DklNrMhSIbCmX9tIyESQtzaQuC2+dtMQ72A4bGXqQ==</vt:lpwstr>
  </property>
  <property fmtid="{D5CDD505-2E9C-101B-9397-08002B2CF9AE}" pid="6" name="MFClassificationDate">
    <vt:lpwstr>2022-10-03T09:53:54.8150411+02:00</vt:lpwstr>
  </property>
  <property fmtid="{D5CDD505-2E9C-101B-9397-08002B2CF9AE}" pid="7" name="MFClassifiedBySID">
    <vt:lpwstr>UxC4dwLulzfINJ8nQH+xvX5LNGipWa4BRSZhPgxsCvm42mrIC/DSDv0ggS+FjUN/2v1BBotkLlY5aAiEhoi6uW0qI3I/XhEBg75mXPYrW5/EbCtFZzm5TkcKaZVGLbI7</vt:lpwstr>
  </property>
  <property fmtid="{D5CDD505-2E9C-101B-9397-08002B2CF9AE}" pid="8" name="MFGRNItemId">
    <vt:lpwstr>GRN-47bf82c8-bc70-4b53-835f-3a6398a8bf6f</vt:lpwstr>
  </property>
  <property fmtid="{D5CDD505-2E9C-101B-9397-08002B2CF9AE}" pid="9" name="MFHash">
    <vt:lpwstr>OcpzkkFL+k/iVZJ0isyVMc1VsnXrcq/B0kKv2d9a0XU=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