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05DE5" w:rsidP="0026405F">
      <w:pPr>
        <w:pStyle w:val="OZNPROJEKTUwskazaniedatylubwersjiprojektu"/>
        <w:keepNext/>
      </w:pPr>
      <w:r w:rsidRPr="00176869">
        <w:t>Projekt</w:t>
      </w:r>
      <w:r>
        <w:t xml:space="preserve"> z dnia</w:t>
      </w:r>
      <w:r w:rsidR="00F706C8">
        <w:t xml:space="preserve"> </w:t>
      </w:r>
      <w:r w:rsidR="00746D06">
        <w:t>5</w:t>
      </w:r>
      <w:r w:rsidR="0026405F">
        <w:t xml:space="preserve"> czerwca 2023 r.</w:t>
      </w:r>
    </w:p>
    <w:p w:rsidR="00F706C8" w:rsidRPr="00F706C8" w:rsidP="00F706C8">
      <w:pPr>
        <w:pStyle w:val="OZNRODZAKTUtznustawalubrozporzdzenieiorganwydajcy"/>
      </w:pPr>
      <w:r w:rsidRPr="00F706C8">
        <w:t>Rozporządzenie</w:t>
      </w:r>
    </w:p>
    <w:p w:rsidR="00F706C8" w:rsidRPr="00F706C8" w:rsidP="00F706C8">
      <w:pPr>
        <w:pStyle w:val="OZNRODZAKTUtznustawalubrozporzdzenieiorganwydajcy"/>
        <w:rPr>
          <w:rStyle w:val="Kkursywa"/>
        </w:rPr>
      </w:pPr>
      <w:r w:rsidRPr="00F706C8">
        <w:t>ministra edukacji i Nauki</w:t>
      </w:r>
      <w:r>
        <w:rPr>
          <w:rStyle w:val="IGPindeksgrnyipogrubienie"/>
        </w:rPr>
        <w:footnoteReference w:id="2"/>
      </w:r>
      <w:r w:rsidRPr="00F706C8">
        <w:rPr>
          <w:rStyle w:val="IGPindeksgrnyipogrubienie"/>
        </w:rPr>
        <w:t>)</w:t>
      </w:r>
    </w:p>
    <w:p w:rsidR="00F706C8" w:rsidRPr="00F706C8" w:rsidP="00F706C8">
      <w:pPr>
        <w:pStyle w:val="DATAAKTUdatauchwalenialubwydaniaaktu"/>
      </w:pPr>
      <w:r>
        <w:t xml:space="preserve">z dnia </w:t>
      </w:r>
      <w:r w:rsidR="007529B9">
        <w:t xml:space="preserve">… </w:t>
      </w:r>
      <w:r w:rsidRPr="00F706C8">
        <w:t xml:space="preserve">2023 r. </w:t>
      </w:r>
    </w:p>
    <w:p w:rsidR="007B59AF" w:rsidP="007B59AF">
      <w:pPr>
        <w:pStyle w:val="TYTUAKTUprzedmiotregulacjiustawylubrozporzdzenia"/>
      </w:pPr>
      <w:r w:rsidRPr="00F706C8">
        <w:t>zmien</w:t>
      </w:r>
      <w:r>
        <w:t xml:space="preserve">iające rozporządzenie w sprawie </w:t>
      </w:r>
      <w:r w:rsidRPr="007B59AF">
        <w:t xml:space="preserve">ramowych planów nauczania </w:t>
      </w:r>
      <w:r w:rsidR="0026405F">
        <w:t>dla publicznych </w:t>
      </w:r>
      <w:r w:rsidR="00AF44D4">
        <w:t>szkół</w:t>
      </w:r>
    </w:p>
    <w:p w:rsidR="00F706C8" w:rsidRPr="00F706C8" w:rsidP="00F706C8">
      <w:pPr>
        <w:pStyle w:val="NIEARTTEKSTtekstnieartykuowanynppodstprawnarozplubpreambua"/>
      </w:pPr>
      <w:r w:rsidRPr="00F706C8">
        <w:t xml:space="preserve">Na podstawie </w:t>
      </w:r>
      <w:r w:rsidRPr="0057099D" w:rsidR="0057099D">
        <w:t>art. 47 ust. 1 pkt 3 i ust. 4 ustawy z dnia 14 grudnia 2016 r. – Prawo oświatowe</w:t>
      </w:r>
      <w:r w:rsidR="0057099D">
        <w:t xml:space="preserve"> (Dz. U. z 2023 r. poz. 900) </w:t>
      </w:r>
      <w:r w:rsidRPr="00F706C8">
        <w:t>zarządza się, co następuje:</w:t>
      </w:r>
    </w:p>
    <w:p w:rsidR="00ED14E2" w:rsidP="007529B9">
      <w:pPr>
        <w:pStyle w:val="ARTartustawynprozporzdzenia"/>
      </w:pPr>
      <w:r w:rsidRPr="00F706C8">
        <w:rPr>
          <w:rStyle w:val="Ppogrubienie"/>
        </w:rPr>
        <w:t>§ 1.</w:t>
      </w:r>
      <w:r w:rsidRPr="00F706C8">
        <w:t xml:space="preserve"> W rozporządzeniu Ministra Edukacji Narodowej z dnia </w:t>
      </w:r>
      <w:r w:rsidRPr="004A7571" w:rsidR="004A7571">
        <w:t>3 kwietnia 2019 r.</w:t>
      </w:r>
      <w:r w:rsidR="004A7571">
        <w:t xml:space="preserve"> </w:t>
      </w:r>
      <w:r w:rsidRPr="004A7571" w:rsidR="004A7571">
        <w:t>w sprawie ramowych planów nauczania dla publicznych szkół</w:t>
      </w:r>
      <w:r w:rsidR="004A7571">
        <w:t xml:space="preserve"> (Dz. U. poz. 639, z </w:t>
      </w:r>
      <w:r w:rsidR="00746D06">
        <w:t>2020 r. poz. 1008, z </w:t>
      </w:r>
      <w:bookmarkStart w:id="0" w:name="_GoBack"/>
      <w:bookmarkEnd w:id="0"/>
      <w:r w:rsidR="0026405F">
        <w:t>2022 r. poz. 658 oraz z 2023 r. poz. 277</w:t>
      </w:r>
      <w:r w:rsidR="004A7571">
        <w:t xml:space="preserve">) </w:t>
      </w:r>
      <w:r w:rsidR="0026405F">
        <w:t xml:space="preserve">w </w:t>
      </w:r>
      <w:r w:rsidRPr="00F706C8" w:rsidR="0026405F">
        <w:t xml:space="preserve">§ </w:t>
      </w:r>
      <w:r w:rsidR="0026405F">
        <w:t>5</w:t>
      </w:r>
      <w:r w:rsidR="00093F87">
        <w:t xml:space="preserve"> </w:t>
      </w:r>
      <w:r w:rsidR="00354EDA">
        <w:t>w</w:t>
      </w:r>
      <w:r w:rsidRPr="004A7571" w:rsidR="00354EDA">
        <w:t xml:space="preserve"> ust. 1 pkt 2 </w:t>
      </w:r>
      <w:r w:rsidRPr="00F706C8" w:rsidR="00354EDA">
        <w:t>otrzymuje brzmienie:</w:t>
      </w:r>
    </w:p>
    <w:p w:rsidR="00555A48" w:rsidP="0026405F">
      <w:pPr>
        <w:pStyle w:val="ZPKTzmpktartykuempunktem"/>
      </w:pPr>
      <w:r>
        <w:t>„2)</w:t>
      </w:r>
      <w:r>
        <w:tab/>
      </w:r>
      <w:r w:rsidRPr="004A7571" w:rsidR="004A7571">
        <w:t>w szkole ponadpodstawowej</w:t>
      </w:r>
      <w:r>
        <w:t>:</w:t>
      </w:r>
    </w:p>
    <w:p w:rsidR="00555A48" w:rsidP="007529B9">
      <w:pPr>
        <w:pStyle w:val="ZLITwPKTzmlitwpktartykuempunktem"/>
      </w:pPr>
      <w:r>
        <w:t>a)</w:t>
      </w:r>
      <w:r>
        <w:tab/>
      </w:r>
      <w:r w:rsidRPr="004A7571" w:rsidR="004A7571">
        <w:t xml:space="preserve">o dwa lata </w:t>
      </w:r>
      <w:r>
        <w:t>– w przypadku gdy</w:t>
      </w:r>
      <w:r w:rsidR="00494F2A">
        <w:t xml:space="preserve"> </w:t>
      </w:r>
      <w:r w:rsidRPr="00494F2A" w:rsidR="00494F2A">
        <w:t>ucznio</w:t>
      </w:r>
      <w:r>
        <w:t>m</w:t>
      </w:r>
      <w:r w:rsidRPr="00494F2A" w:rsidR="00494F2A">
        <w:t xml:space="preserve"> </w:t>
      </w:r>
      <w:r>
        <w:t>tym</w:t>
      </w:r>
      <w:r w:rsidRPr="00494F2A" w:rsidR="00494F2A">
        <w:t xml:space="preserve"> nie </w:t>
      </w:r>
      <w:r>
        <w:t>przedłużono okresu nauki</w:t>
      </w:r>
      <w:r w:rsidRPr="00494F2A" w:rsidR="00494F2A">
        <w:t xml:space="preserve"> w szkole podstawowej na I lub II etapie edukacyjnym</w:t>
      </w:r>
      <w:r>
        <w:t xml:space="preserve">, </w:t>
      </w:r>
      <w:r w:rsidR="00093F87">
        <w:t xml:space="preserve">z tym że </w:t>
      </w:r>
      <w:r w:rsidRPr="00093F87" w:rsidR="00093F87">
        <w:t>uczni</w:t>
      </w:r>
      <w:r w:rsidR="00093F87">
        <w:t>owi</w:t>
      </w:r>
      <w:r w:rsidRPr="00093F87" w:rsidR="00093F87">
        <w:t xml:space="preserve"> posiadające</w:t>
      </w:r>
      <w:r w:rsidR="00093F87">
        <w:t>mu</w:t>
      </w:r>
      <w:r w:rsidRPr="00093F87" w:rsidR="00093F87">
        <w:t xml:space="preserve"> orzeczenie o potrzebie kształcenia specjalnego wydane ze względu na niepełnosprawność okres nauki w tej szkole można przedłużyć nie dłużej niż do końca roku szkolnego w roku kalendarzowym, w którym uczeń kończy 24. rok życia</w:t>
      </w:r>
      <w:r w:rsidR="007529B9">
        <w:t>,</w:t>
      </w:r>
    </w:p>
    <w:p w:rsidR="00FA1023" w:rsidRPr="00FA1023" w:rsidP="007529B9">
      <w:pPr>
        <w:pStyle w:val="ZLITwPKTzmlitwpktartykuempunktem"/>
      </w:pPr>
      <w:r>
        <w:t>b)</w:t>
      </w:r>
      <w:r>
        <w:tab/>
        <w:t xml:space="preserve">o jeden rok – </w:t>
      </w:r>
      <w:r w:rsidRPr="00555A48">
        <w:t>w przypadku gdy uczniom tym przedłużono okres nauki w szkole podstawowej na I lub II etapie edukacyjnym</w:t>
      </w:r>
      <w:r w:rsidRPr="004A7571" w:rsidR="004A7571">
        <w:t>.”</w:t>
      </w:r>
      <w:r w:rsidR="0026405F">
        <w:t>.</w:t>
      </w:r>
    </w:p>
    <w:p w:rsidR="003F778A" w:rsidP="0026405F">
      <w:pPr>
        <w:pStyle w:val="ARTartustawynprozporzdzenia"/>
      </w:pPr>
      <w:r w:rsidRPr="0013797F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13797F">
        <w:rPr>
          <w:rStyle w:val="Ppogrubienie"/>
        </w:rPr>
        <w:t>.</w:t>
      </w:r>
      <w:r>
        <w:t xml:space="preserve"> Rozporządzenie wchodzi</w:t>
      </w:r>
      <w:r w:rsidRPr="0089229B">
        <w:t xml:space="preserve"> w życie z dniem </w:t>
      </w:r>
      <w:r>
        <w:t>1 września 2023 r.</w:t>
      </w:r>
    </w:p>
    <w:p w:rsidR="007529B9" w:rsidP="0026405F">
      <w:pPr>
        <w:pStyle w:val="NAZORGWYDnazwaorganuwydajcegoprojektowanyakt"/>
      </w:pPr>
    </w:p>
    <w:p w:rsidR="007529B9" w:rsidP="0026405F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-82982</wp:posOffset>
                </wp:positionH>
                <wp:positionV relativeFrom="paragraph">
                  <wp:posOffset>267004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6.53pt;margin-top:21.02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797F" w:rsidR="003F778A">
        <w:t>Minister Edukacji i nauki</w:t>
      </w:r>
    </w:p>
    <w:p w:rsidR="007529B9" w:rsidP="0026405F">
      <w:pPr>
        <w:pStyle w:val="NAZORGWYDnazwaorganuwydajcegoprojektowanyakt"/>
      </w:pPr>
    </w:p>
    <w:p w:rsidR="00CC478F" w:rsidRPr="00737F6A" w:rsidP="0026405F">
      <w:pPr>
        <w:pStyle w:val="NAZORGWYDnazwaorganuwydajcegoprojektowanyakt"/>
      </w:pP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C7E86">
      <w:r>
        <w:separator/>
      </w:r>
    </w:p>
  </w:footnote>
  <w:footnote w:type="continuationSeparator" w:id="1">
    <w:p w:rsidR="002C7E86">
      <w:r>
        <w:continuationSeparator/>
      </w:r>
    </w:p>
  </w:footnote>
  <w:footnote w:id="2">
    <w:p w:rsidR="00F706C8" w:rsidP="00F706C8">
      <w:pPr>
        <w:pStyle w:val="ODNONIKtreodnonika"/>
        <w:rPr>
          <w:rStyle w:val="IGindeksgrny"/>
        </w:rPr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Edukacji i Nauki kieruje działem administracji rządowej – oświata i wychowanie, na podstawie § 1 ust. 2 pkt 1 rozporządzenia Prezesa Rady Ministrów z dnia 20</w:t>
      </w:r>
      <w:r w:rsidR="00A7724C">
        <w:t xml:space="preserve"> października 2020 r. w sprawie </w:t>
      </w:r>
      <w:r>
        <w:t>szczegółowego zakresu działania Ministra Edukacji i Nauki (Dz. U. z 2022 r. poz. 18 i 1842).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85CD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C21DAD"/>
    <w:multiLevelType w:val="hybridMultilevel"/>
    <w:tmpl w:val="43BC048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ACADE-B56E-4E2F-9525-7DA70B6D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Mańko-Żabowska Katarzyna</cp:lastModifiedBy>
  <cp:revision>6</cp:revision>
  <dcterms:created xsi:type="dcterms:W3CDTF">2023-06-02T12:06:00Z</dcterms:created>
  <dcterms:modified xsi:type="dcterms:W3CDTF">2023-06-05T12:29:00Z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