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134"/>
        <w:gridCol w:w="1930"/>
        <w:gridCol w:w="53"/>
        <w:gridCol w:w="4265"/>
        <w:gridCol w:w="9"/>
      </w:tblGrid>
      <w:tr w:rsidR="00B717F8" w:rsidRPr="00B717F8" w14:paraId="112D6B77" w14:textId="77777777" w:rsidTr="00D60307">
        <w:trPr>
          <w:gridAfter w:val="1"/>
          <w:wAfter w:w="9" w:type="dxa"/>
          <w:trHeight w:val="1611"/>
        </w:trPr>
        <w:tc>
          <w:tcPr>
            <w:tcW w:w="6750" w:type="dxa"/>
            <w:gridSpan w:val="3"/>
          </w:tcPr>
          <w:p w14:paraId="55AFC809" w14:textId="77777777" w:rsidR="00903749" w:rsidRPr="00B717F8" w:rsidRDefault="00903749" w:rsidP="00D60307">
            <w:pPr>
              <w:spacing w:after="0" w:line="240" w:lineRule="auto"/>
              <w:rPr>
                <w:rFonts w:ascii="Times New Roman" w:eastAsia="Calibri" w:hAnsi="Times New Roman" w:cs="Times New Roman"/>
              </w:rPr>
            </w:pPr>
            <w:bookmarkStart w:id="0" w:name="t1"/>
            <w:bookmarkStart w:id="1" w:name="_GoBack"/>
            <w:bookmarkEnd w:id="1"/>
            <w:r w:rsidRPr="00B717F8">
              <w:rPr>
                <w:rFonts w:ascii="Times New Roman" w:eastAsia="Calibri" w:hAnsi="Times New Roman" w:cs="Times New Roman"/>
                <w:b/>
              </w:rPr>
              <w:t>Nazwa projektu</w:t>
            </w:r>
          </w:p>
          <w:p w14:paraId="5399D8C9"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 xml:space="preserve">Rozporządzenie Ministra Rodziny i Polityki Społecznej zmieniające rozporządzenie w sprawie szczegółowych zasad ustalania podstawy wymiaru składek na ubezpieczenia emerytalne i rentowe </w:t>
            </w:r>
          </w:p>
          <w:p w14:paraId="501E76DA" w14:textId="77777777" w:rsidR="00903749" w:rsidRPr="00B717F8" w:rsidRDefault="00903749" w:rsidP="00D60307">
            <w:pPr>
              <w:spacing w:after="0" w:line="240" w:lineRule="auto"/>
              <w:rPr>
                <w:rFonts w:ascii="Times New Roman" w:eastAsia="Calibri" w:hAnsi="Times New Roman" w:cs="Times New Roman"/>
                <w:b/>
              </w:rPr>
            </w:pPr>
          </w:p>
          <w:p w14:paraId="3BC26F40" w14:textId="77777777" w:rsidR="00903749" w:rsidRPr="00B717F8" w:rsidRDefault="00903749" w:rsidP="00D60307">
            <w:pPr>
              <w:spacing w:after="0" w:line="240" w:lineRule="auto"/>
              <w:rPr>
                <w:rFonts w:ascii="Times New Roman" w:eastAsia="Calibri" w:hAnsi="Times New Roman" w:cs="Times New Roman"/>
                <w:b/>
              </w:rPr>
            </w:pPr>
            <w:r w:rsidRPr="00B717F8">
              <w:rPr>
                <w:rFonts w:ascii="Times New Roman" w:eastAsia="Calibri" w:hAnsi="Times New Roman" w:cs="Times New Roman"/>
                <w:b/>
              </w:rPr>
              <w:t>Ministerstwo wiodące i ministerstwa współpracujące:</w:t>
            </w:r>
          </w:p>
          <w:bookmarkEnd w:id="0"/>
          <w:p w14:paraId="2D32ACDD"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Ministerstwo Rodziny i Polityki Społecznej</w:t>
            </w:r>
          </w:p>
          <w:p w14:paraId="0C1E601F" w14:textId="77777777" w:rsidR="00903749" w:rsidRPr="00B717F8" w:rsidRDefault="00903749" w:rsidP="00D60307">
            <w:pPr>
              <w:spacing w:after="0" w:line="240" w:lineRule="auto"/>
              <w:rPr>
                <w:rFonts w:ascii="Times New Roman" w:eastAsia="Calibri" w:hAnsi="Times New Roman" w:cs="Times New Roman"/>
              </w:rPr>
            </w:pPr>
          </w:p>
          <w:p w14:paraId="045A43D5" w14:textId="77777777" w:rsidR="00903749" w:rsidRPr="00B717F8" w:rsidRDefault="00903749" w:rsidP="00D60307">
            <w:pPr>
              <w:spacing w:after="0" w:line="240" w:lineRule="auto"/>
              <w:rPr>
                <w:rFonts w:ascii="Times New Roman" w:eastAsia="Calibri" w:hAnsi="Times New Roman" w:cs="Times New Roman"/>
                <w:b/>
              </w:rPr>
            </w:pPr>
            <w:r w:rsidRPr="00B717F8">
              <w:rPr>
                <w:rFonts w:ascii="Times New Roman" w:eastAsia="Calibri" w:hAnsi="Times New Roman" w:cs="Times New Roman"/>
                <w:b/>
              </w:rPr>
              <w:t xml:space="preserve">Osoba odpowiedzialna za projekt w randze Ministra, </w:t>
            </w:r>
          </w:p>
          <w:p w14:paraId="15E8E932" w14:textId="77777777" w:rsidR="00903749" w:rsidRPr="00B717F8" w:rsidRDefault="00903749" w:rsidP="00D60307">
            <w:pPr>
              <w:spacing w:after="0" w:line="240" w:lineRule="auto"/>
              <w:rPr>
                <w:rFonts w:ascii="Times New Roman" w:eastAsia="Calibri" w:hAnsi="Times New Roman" w:cs="Times New Roman"/>
                <w:b/>
              </w:rPr>
            </w:pPr>
            <w:r w:rsidRPr="00B717F8">
              <w:rPr>
                <w:rFonts w:ascii="Times New Roman" w:eastAsia="Calibri" w:hAnsi="Times New Roman" w:cs="Times New Roman"/>
                <w:b/>
              </w:rPr>
              <w:t xml:space="preserve">Sekretarza Stanu lub Podsekretarza Stanu: </w:t>
            </w:r>
          </w:p>
          <w:p w14:paraId="2346DA17" w14:textId="190D959F"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Sekretarz Stanu – Stanisław Szwed</w:t>
            </w:r>
          </w:p>
          <w:p w14:paraId="70295D4C" w14:textId="77777777" w:rsidR="00903749" w:rsidRPr="00B717F8" w:rsidRDefault="00903749" w:rsidP="00D60307">
            <w:pPr>
              <w:spacing w:after="0" w:line="240" w:lineRule="auto"/>
              <w:rPr>
                <w:rFonts w:ascii="Times New Roman" w:eastAsia="Calibri" w:hAnsi="Times New Roman" w:cs="Times New Roman"/>
              </w:rPr>
            </w:pPr>
          </w:p>
          <w:p w14:paraId="7DED2E9B" w14:textId="77777777" w:rsidR="00903749" w:rsidRPr="00B717F8" w:rsidRDefault="00903749" w:rsidP="00D60307">
            <w:pPr>
              <w:spacing w:after="0" w:line="240" w:lineRule="auto"/>
              <w:rPr>
                <w:rFonts w:ascii="Times New Roman" w:eastAsia="Calibri" w:hAnsi="Times New Roman" w:cs="Times New Roman"/>
                <w:b/>
              </w:rPr>
            </w:pPr>
            <w:r w:rsidRPr="00B717F8">
              <w:rPr>
                <w:rFonts w:ascii="Times New Roman" w:eastAsia="Calibri" w:hAnsi="Times New Roman" w:cs="Times New Roman"/>
                <w:b/>
              </w:rPr>
              <w:t>Kontakt do opiekuna merytorycznego projektu:</w:t>
            </w:r>
          </w:p>
          <w:p w14:paraId="0F21F635" w14:textId="77777777" w:rsidR="00447191" w:rsidRPr="00B717F8" w:rsidRDefault="00903749" w:rsidP="00447191">
            <w:pPr>
              <w:spacing w:line="240" w:lineRule="auto"/>
              <w:rPr>
                <w:rFonts w:ascii="Times New Roman" w:hAnsi="Times New Roman" w:cs="Times New Roman"/>
              </w:rPr>
            </w:pPr>
            <w:r w:rsidRPr="00B717F8">
              <w:rPr>
                <w:rFonts w:ascii="Times New Roman" w:eastAsia="Calibri" w:hAnsi="Times New Roman" w:cs="Times New Roman"/>
              </w:rPr>
              <w:t xml:space="preserve">Departament Ubezpieczeń Społecznych – tel. </w:t>
            </w:r>
            <w:r w:rsidR="00447191" w:rsidRPr="00B717F8">
              <w:rPr>
                <w:rFonts w:ascii="Times New Roman" w:hAnsi="Times New Roman" w:cs="Times New Roman"/>
              </w:rPr>
              <w:t xml:space="preserve">538 117 390 </w:t>
            </w:r>
          </w:p>
          <w:p w14:paraId="24EF1983" w14:textId="77777777" w:rsidR="00903749" w:rsidRPr="00B717F8" w:rsidRDefault="00903749" w:rsidP="00447191">
            <w:pPr>
              <w:spacing w:after="0" w:line="240" w:lineRule="auto"/>
              <w:rPr>
                <w:rFonts w:ascii="Times New Roman" w:eastAsia="Calibri" w:hAnsi="Times New Roman" w:cs="Times New Roman"/>
                <w:b/>
              </w:rPr>
            </w:pPr>
          </w:p>
        </w:tc>
        <w:tc>
          <w:tcPr>
            <w:tcW w:w="4318" w:type="dxa"/>
            <w:gridSpan w:val="2"/>
            <w:shd w:val="clear" w:color="auto" w:fill="FFFFFF"/>
          </w:tcPr>
          <w:p w14:paraId="03B26A4B" w14:textId="3F5B0C35" w:rsidR="00903749" w:rsidRPr="00B717F8" w:rsidRDefault="00903749" w:rsidP="00D60307">
            <w:pPr>
              <w:spacing w:after="0" w:line="240" w:lineRule="auto"/>
              <w:rPr>
                <w:rFonts w:ascii="Times New Roman" w:eastAsia="Calibri" w:hAnsi="Times New Roman" w:cs="Times New Roman"/>
                <w:b/>
              </w:rPr>
            </w:pPr>
            <w:r w:rsidRPr="00B717F8">
              <w:rPr>
                <w:rFonts w:ascii="Times New Roman" w:eastAsia="Calibri" w:hAnsi="Times New Roman" w:cs="Times New Roman"/>
                <w:b/>
              </w:rPr>
              <w:t xml:space="preserve">Data sporządzenia: </w:t>
            </w:r>
            <w:r w:rsidR="00964899">
              <w:rPr>
                <w:rFonts w:ascii="Times New Roman" w:eastAsia="Calibri" w:hAnsi="Times New Roman" w:cs="Times New Roman"/>
                <w:b/>
              </w:rPr>
              <w:t>26</w:t>
            </w:r>
            <w:r w:rsidR="00F87F5A" w:rsidRPr="00B717F8">
              <w:rPr>
                <w:rFonts w:ascii="Times New Roman" w:eastAsia="Calibri" w:hAnsi="Times New Roman" w:cs="Times New Roman"/>
                <w:b/>
              </w:rPr>
              <w:t>.</w:t>
            </w:r>
            <w:r w:rsidR="00447191" w:rsidRPr="00B717F8">
              <w:rPr>
                <w:rFonts w:ascii="Times New Roman" w:eastAsia="Calibri" w:hAnsi="Times New Roman" w:cs="Times New Roman"/>
                <w:b/>
              </w:rPr>
              <w:t xml:space="preserve">06.2023 </w:t>
            </w:r>
            <w:r w:rsidRPr="00B717F8">
              <w:rPr>
                <w:rFonts w:ascii="Times New Roman" w:eastAsia="Calibri" w:hAnsi="Times New Roman" w:cs="Times New Roman"/>
                <w:b/>
              </w:rPr>
              <w:t>r.</w:t>
            </w:r>
            <w:r w:rsidRPr="00B717F8">
              <w:rPr>
                <w:rFonts w:ascii="Times New Roman" w:eastAsia="Calibri" w:hAnsi="Times New Roman" w:cs="Times New Roman"/>
                <w:b/>
              </w:rPr>
              <w:br/>
            </w:r>
          </w:p>
          <w:p w14:paraId="6EA47F75" w14:textId="77777777" w:rsidR="00903749" w:rsidRPr="00B717F8" w:rsidRDefault="00903749" w:rsidP="00D60307">
            <w:pPr>
              <w:spacing w:after="0" w:line="240" w:lineRule="auto"/>
              <w:rPr>
                <w:rFonts w:ascii="Times New Roman" w:eastAsia="Calibri" w:hAnsi="Times New Roman" w:cs="Times New Roman"/>
                <w:b/>
              </w:rPr>
            </w:pPr>
          </w:p>
          <w:p w14:paraId="37BA9EE5" w14:textId="1687AD3C" w:rsidR="00903749" w:rsidRPr="00B717F8" w:rsidRDefault="00903749" w:rsidP="00D60307">
            <w:pPr>
              <w:spacing w:after="0" w:line="240" w:lineRule="auto"/>
              <w:rPr>
                <w:rFonts w:ascii="Times New Roman" w:eastAsia="Calibri" w:hAnsi="Times New Roman" w:cs="Times New Roman"/>
                <w:b/>
              </w:rPr>
            </w:pPr>
            <w:bookmarkStart w:id="2" w:name="Lista1"/>
            <w:r w:rsidRPr="00B717F8">
              <w:rPr>
                <w:rFonts w:ascii="Times New Roman" w:eastAsia="Calibri" w:hAnsi="Times New Roman" w:cs="Times New Roman"/>
                <w:b/>
              </w:rPr>
              <w:t xml:space="preserve">Źródło: </w:t>
            </w:r>
            <w:r w:rsidRPr="00B717F8">
              <w:rPr>
                <w:rFonts w:ascii="Times New Roman" w:eastAsia="Calibri" w:hAnsi="Times New Roman" w:cs="Times New Roman"/>
              </w:rPr>
              <w:t xml:space="preserve">art. 21 ustawy z dnia </w:t>
            </w:r>
            <w:r w:rsidRPr="00B717F8">
              <w:rPr>
                <w:rFonts w:ascii="Times New Roman" w:eastAsia="Calibri" w:hAnsi="Times New Roman" w:cs="Times New Roman"/>
              </w:rPr>
              <w:br/>
              <w:t>13 października 1998 r. o systemie ubezpi</w:t>
            </w:r>
            <w:r w:rsidR="007356E4">
              <w:rPr>
                <w:rFonts w:ascii="Times New Roman" w:eastAsia="Calibri" w:hAnsi="Times New Roman" w:cs="Times New Roman"/>
              </w:rPr>
              <w:t>eczeń społecznych (Dz. U. z 2022 r. poz. 1009</w:t>
            </w:r>
            <w:r w:rsidRPr="00B717F8">
              <w:rPr>
                <w:rFonts w:ascii="Times New Roman" w:eastAsia="Calibri" w:hAnsi="Times New Roman" w:cs="Times New Roman"/>
              </w:rPr>
              <w:t xml:space="preserve">, z </w:t>
            </w:r>
            <w:proofErr w:type="spellStart"/>
            <w:r w:rsidRPr="00B717F8">
              <w:rPr>
                <w:rFonts w:ascii="Times New Roman" w:eastAsia="Calibri" w:hAnsi="Times New Roman" w:cs="Times New Roman"/>
              </w:rPr>
              <w:t>późn</w:t>
            </w:r>
            <w:proofErr w:type="spellEnd"/>
            <w:r w:rsidRPr="00B717F8">
              <w:rPr>
                <w:rFonts w:ascii="Times New Roman" w:eastAsia="Calibri" w:hAnsi="Times New Roman" w:cs="Times New Roman"/>
              </w:rPr>
              <w:t>. zm.)</w:t>
            </w:r>
          </w:p>
          <w:bookmarkEnd w:id="2"/>
          <w:p w14:paraId="0D6E868B" w14:textId="3DE599BA" w:rsidR="00903749" w:rsidRPr="00B717F8" w:rsidRDefault="00903749" w:rsidP="00D60307">
            <w:pPr>
              <w:spacing w:before="120" w:after="0" w:line="240" w:lineRule="auto"/>
              <w:rPr>
                <w:rFonts w:ascii="Times New Roman" w:eastAsia="Calibri" w:hAnsi="Times New Roman" w:cs="Times New Roman"/>
                <w:b/>
              </w:rPr>
            </w:pPr>
            <w:r w:rsidRPr="00B717F8">
              <w:rPr>
                <w:rFonts w:ascii="Times New Roman" w:eastAsia="Calibri" w:hAnsi="Times New Roman" w:cs="Times New Roman"/>
                <w:b/>
              </w:rPr>
              <w:t>Nr</w:t>
            </w:r>
            <w:r w:rsidR="00447191" w:rsidRPr="00B717F8">
              <w:rPr>
                <w:rFonts w:ascii="Times New Roman" w:eastAsia="Calibri" w:hAnsi="Times New Roman" w:cs="Times New Roman"/>
                <w:b/>
              </w:rPr>
              <w:t xml:space="preserve"> w wykazie prac legislacyjnyc</w:t>
            </w:r>
            <w:r w:rsidR="00964899">
              <w:rPr>
                <w:rFonts w:ascii="Times New Roman" w:eastAsia="Calibri" w:hAnsi="Times New Roman" w:cs="Times New Roman"/>
                <w:b/>
              </w:rPr>
              <w:t>h: 144</w:t>
            </w:r>
          </w:p>
          <w:p w14:paraId="642C43AF" w14:textId="77777777" w:rsidR="00903749" w:rsidRPr="00B717F8" w:rsidRDefault="00903749" w:rsidP="00D60307">
            <w:pPr>
              <w:spacing w:before="120" w:after="0" w:line="240" w:lineRule="auto"/>
              <w:rPr>
                <w:rFonts w:ascii="Times New Roman" w:eastAsia="Calibri" w:hAnsi="Times New Roman" w:cs="Times New Roman"/>
                <w:b/>
              </w:rPr>
            </w:pPr>
          </w:p>
        </w:tc>
      </w:tr>
      <w:tr w:rsidR="00B717F8" w:rsidRPr="00B717F8" w14:paraId="58FD2692" w14:textId="77777777" w:rsidTr="00D60307">
        <w:trPr>
          <w:gridAfter w:val="1"/>
          <w:wAfter w:w="9" w:type="dxa"/>
          <w:trHeight w:val="142"/>
        </w:trPr>
        <w:tc>
          <w:tcPr>
            <w:tcW w:w="11068" w:type="dxa"/>
            <w:gridSpan w:val="5"/>
            <w:shd w:val="clear" w:color="auto" w:fill="99CCFF"/>
          </w:tcPr>
          <w:p w14:paraId="1680745F" w14:textId="77777777" w:rsidR="00903749" w:rsidRPr="00B717F8" w:rsidRDefault="00903749" w:rsidP="00D60307">
            <w:pPr>
              <w:spacing w:after="0" w:line="240" w:lineRule="auto"/>
              <w:ind w:left="57"/>
              <w:jc w:val="center"/>
              <w:rPr>
                <w:rFonts w:ascii="Times New Roman" w:eastAsia="Calibri" w:hAnsi="Times New Roman" w:cs="Times New Roman"/>
                <w:b/>
              </w:rPr>
            </w:pPr>
            <w:r w:rsidRPr="00B717F8">
              <w:rPr>
                <w:rFonts w:ascii="Times New Roman" w:eastAsia="Calibri" w:hAnsi="Times New Roman" w:cs="Times New Roman"/>
                <w:b/>
              </w:rPr>
              <w:t>OCENA SKUTKÓW REGULACJI</w:t>
            </w:r>
          </w:p>
        </w:tc>
      </w:tr>
      <w:tr w:rsidR="00B717F8" w:rsidRPr="00B717F8" w14:paraId="3B449C67" w14:textId="77777777" w:rsidTr="00D60307">
        <w:trPr>
          <w:gridAfter w:val="1"/>
          <w:wAfter w:w="9" w:type="dxa"/>
          <w:trHeight w:val="333"/>
        </w:trPr>
        <w:tc>
          <w:tcPr>
            <w:tcW w:w="11068" w:type="dxa"/>
            <w:gridSpan w:val="5"/>
            <w:shd w:val="clear" w:color="auto" w:fill="99CCFF"/>
            <w:vAlign w:val="center"/>
          </w:tcPr>
          <w:p w14:paraId="02BD8283" w14:textId="77777777" w:rsidR="00903749" w:rsidRPr="00B717F8" w:rsidRDefault="00903749" w:rsidP="00D60307">
            <w:pPr>
              <w:numPr>
                <w:ilvl w:val="0"/>
                <w:numId w:val="1"/>
              </w:numPr>
              <w:spacing w:before="60" w:after="60" w:line="240" w:lineRule="auto"/>
              <w:ind w:left="318" w:hanging="284"/>
              <w:jc w:val="both"/>
              <w:rPr>
                <w:rFonts w:ascii="Times New Roman" w:eastAsia="Calibri" w:hAnsi="Times New Roman" w:cs="Times New Roman"/>
                <w:b/>
              </w:rPr>
            </w:pPr>
            <w:r w:rsidRPr="00B717F8">
              <w:rPr>
                <w:rFonts w:ascii="Times New Roman" w:eastAsia="Calibri" w:hAnsi="Times New Roman" w:cs="Times New Roman"/>
                <w:b/>
              </w:rPr>
              <w:t>Jaki problem jest rozwiązywany?</w:t>
            </w:r>
            <w:bookmarkStart w:id="3" w:name="Wybór1"/>
            <w:bookmarkEnd w:id="3"/>
          </w:p>
        </w:tc>
      </w:tr>
      <w:tr w:rsidR="00B717F8" w:rsidRPr="00B717F8" w14:paraId="73388E15" w14:textId="77777777" w:rsidTr="00D60307">
        <w:trPr>
          <w:gridAfter w:val="1"/>
          <w:wAfter w:w="9" w:type="dxa"/>
          <w:trHeight w:val="142"/>
        </w:trPr>
        <w:tc>
          <w:tcPr>
            <w:tcW w:w="11068" w:type="dxa"/>
            <w:gridSpan w:val="5"/>
            <w:shd w:val="clear" w:color="auto" w:fill="FFFFFF"/>
          </w:tcPr>
          <w:p w14:paraId="5230F9D4" w14:textId="77777777" w:rsidR="00CC3D30" w:rsidRPr="00B717F8" w:rsidRDefault="003C5DD2" w:rsidP="00CC3D30">
            <w:pPr>
              <w:pStyle w:val="Akapitzlist"/>
              <w:spacing w:after="120" w:line="240" w:lineRule="auto"/>
              <w:ind w:left="0"/>
              <w:jc w:val="both"/>
              <w:rPr>
                <w:rFonts w:ascii="Times New Roman" w:hAnsi="Times New Roman" w:cs="Times New Roman"/>
              </w:rPr>
            </w:pPr>
            <w:r w:rsidRPr="00B717F8">
              <w:rPr>
                <w:rFonts w:ascii="Times New Roman" w:hAnsi="Times New Roman" w:cs="Times New Roman"/>
              </w:rPr>
              <w:t xml:space="preserve">Zgodnie z art. 21 ustawy z dnia 13 października 1998 r. o systemie ubezpieczeń społecznych Minister właściwy do spraw zabezpieczenia społecznego określa, w drodze rozporządzenia, szczegółowe zasady ustalania podstawy wymiaru składek, z uwzględnieniem ograniczenia, o którym mowa w </w:t>
            </w:r>
            <w:hyperlink r:id="rId5" w:history="1">
              <w:r w:rsidRPr="00B717F8">
                <w:rPr>
                  <w:rStyle w:val="Hipercze"/>
                  <w:rFonts w:ascii="Times New Roman" w:hAnsi="Times New Roman" w:cs="Times New Roman"/>
                  <w:color w:val="auto"/>
                  <w:u w:val="none"/>
                </w:rPr>
                <w:t>art. 19 ust. 1</w:t>
              </w:r>
            </w:hyperlink>
            <w:r w:rsidRPr="00B717F8">
              <w:rPr>
                <w:rFonts w:ascii="Times New Roman" w:hAnsi="Times New Roman" w:cs="Times New Roman"/>
              </w:rPr>
              <w:t>, oraz wyłączenia z podstawy wymiaru składek niektórych rodzajów przychodów.</w:t>
            </w:r>
          </w:p>
          <w:p w14:paraId="6F119756" w14:textId="5D459185" w:rsidR="00CC3D30" w:rsidRPr="00B717F8" w:rsidRDefault="002F01B7" w:rsidP="000B2321">
            <w:pPr>
              <w:spacing w:after="120" w:line="240" w:lineRule="auto"/>
              <w:jc w:val="both"/>
              <w:rPr>
                <w:rFonts w:ascii="Times New Roman" w:hAnsi="Times New Roman" w:cs="Times New Roman"/>
              </w:rPr>
            </w:pPr>
            <w:r w:rsidRPr="00B717F8">
              <w:rPr>
                <w:rFonts w:ascii="Times New Roman" w:hAnsi="Times New Roman" w:cs="Times New Roman"/>
                <w:bCs/>
              </w:rPr>
              <w:t>W projektowanym roz</w:t>
            </w:r>
            <w:r w:rsidR="00A21D87" w:rsidRPr="00B717F8">
              <w:rPr>
                <w:rFonts w:ascii="Times New Roman" w:hAnsi="Times New Roman" w:cs="Times New Roman"/>
                <w:bCs/>
              </w:rPr>
              <w:t xml:space="preserve">porządzeniu proponuje się </w:t>
            </w:r>
            <w:r w:rsidRPr="00B717F8">
              <w:rPr>
                <w:rFonts w:ascii="Times New Roman" w:hAnsi="Times New Roman" w:cs="Times New Roman"/>
                <w:bCs/>
              </w:rPr>
              <w:t xml:space="preserve">zmianę </w:t>
            </w:r>
            <w:r w:rsidRPr="00B717F8">
              <w:rPr>
                <w:rFonts w:ascii="Times New Roman" w:hAnsi="Times New Roman" w:cs="Times New Roman"/>
              </w:rPr>
              <w:t xml:space="preserve">§ 2 ust. 1 pkt 11 rozporządzenia poprzez </w:t>
            </w:r>
            <w:r w:rsidRPr="00B717F8">
              <w:rPr>
                <w:rFonts w:ascii="Times New Roman" w:hAnsi="Times New Roman" w:cs="Times New Roman"/>
                <w:bCs/>
              </w:rPr>
              <w:t xml:space="preserve">podwyższenie kwoty wyłączenia z podstawy wymiaru składek na ubezpieczenia emerytalne i rentowe kwoty wartości </w:t>
            </w:r>
            <w:r w:rsidRPr="00B717F8">
              <w:rPr>
                <w:rFonts w:ascii="Times New Roman" w:hAnsi="Times New Roman" w:cs="Times New Roman"/>
              </w:rPr>
              <w:t>finansowanych przez pracodawcę</w:t>
            </w:r>
            <w:r w:rsidR="00E40257" w:rsidRPr="00B717F8">
              <w:rPr>
                <w:rFonts w:ascii="Times New Roman" w:hAnsi="Times New Roman" w:cs="Times New Roman"/>
              </w:rPr>
              <w:t xml:space="preserve"> posiłków udostęp</w:t>
            </w:r>
            <w:r w:rsidR="00DC2393" w:rsidRPr="00B717F8">
              <w:rPr>
                <w:rFonts w:ascii="Times New Roman" w:hAnsi="Times New Roman" w:cs="Times New Roman"/>
              </w:rPr>
              <w:t>nianych pracownikom do spożycia bez prawa do ekwiwalentu z tego tytułu</w:t>
            </w:r>
            <w:r w:rsidR="00964899">
              <w:rPr>
                <w:rFonts w:ascii="Times New Roman" w:hAnsi="Times New Roman" w:cs="Times New Roman"/>
              </w:rPr>
              <w:t xml:space="preserve"> </w:t>
            </w:r>
            <w:r w:rsidR="00DC2393" w:rsidRPr="00B717F8">
              <w:rPr>
                <w:rFonts w:ascii="Times New Roman" w:hAnsi="Times New Roman" w:cs="Times New Roman"/>
              </w:rPr>
              <w:t xml:space="preserve">– do wysokości </w:t>
            </w:r>
            <w:r w:rsidR="000F72FF" w:rsidRPr="00B717F8">
              <w:rPr>
                <w:rFonts w:ascii="Times New Roman" w:hAnsi="Times New Roman" w:cs="Times New Roman"/>
              </w:rPr>
              <w:t xml:space="preserve">nieprzekraczającej </w:t>
            </w:r>
            <w:r w:rsidR="003A3BE1" w:rsidRPr="00B717F8">
              <w:rPr>
                <w:rFonts w:ascii="Times New Roman" w:hAnsi="Times New Roman" w:cs="Times New Roman"/>
              </w:rPr>
              <w:t xml:space="preserve">miesięcznie kwoty 450 zł </w:t>
            </w:r>
            <w:r w:rsidR="00E335F9" w:rsidRPr="00B717F8">
              <w:rPr>
                <w:rFonts w:ascii="Times New Roman" w:hAnsi="Times New Roman" w:cs="Times New Roman"/>
              </w:rPr>
              <w:t>oraz rozszerzenie</w:t>
            </w:r>
            <w:r w:rsidR="003A3BE1" w:rsidRPr="00B717F8">
              <w:rPr>
                <w:rFonts w:ascii="Times New Roman" w:hAnsi="Times New Roman" w:cs="Times New Roman"/>
              </w:rPr>
              <w:t xml:space="preserve"> przepisu o wartość otrzymanych przez pracowników bonów, talonów,</w:t>
            </w:r>
            <w:r w:rsidR="000B2321" w:rsidRPr="00B717F8">
              <w:rPr>
                <w:rFonts w:ascii="Times New Roman" w:hAnsi="Times New Roman" w:cs="Times New Roman"/>
              </w:rPr>
              <w:t xml:space="preserve"> kuponów i kart przedpłaconych. </w:t>
            </w:r>
            <w:r w:rsidR="0087177C" w:rsidRPr="00B717F8">
              <w:rPr>
                <w:rFonts w:ascii="Times New Roman" w:eastAsia="Batang" w:hAnsi="Times New Roman" w:cs="Times New Roman"/>
                <w:lang w:eastAsia="pl-PL"/>
              </w:rPr>
              <w:t>W obowiązującym obecnie stanie prawnym wartość finansowanych przez pracodawcę posiłków udostępnianych pracownikom do spożycia bez prawa do ekwiwalentu z tego tytułu jest wyłączona z podstawy wymiaru składek do wysokości nieprzekraczającej miesięcznie kwoty</w:t>
            </w:r>
            <w:r w:rsidR="00A202A6" w:rsidRPr="00B717F8">
              <w:rPr>
                <w:rFonts w:ascii="Times New Roman" w:eastAsia="Batang" w:hAnsi="Times New Roman" w:cs="Times New Roman"/>
                <w:lang w:eastAsia="pl-PL"/>
              </w:rPr>
              <w:t xml:space="preserve"> 300 </w:t>
            </w:r>
            <w:r w:rsidR="000F72FF" w:rsidRPr="00B717F8">
              <w:rPr>
                <w:rFonts w:ascii="Times New Roman" w:eastAsia="Batang" w:hAnsi="Times New Roman" w:cs="Times New Roman"/>
                <w:lang w:eastAsia="pl-PL"/>
              </w:rPr>
              <w:t>zł (od 1 marca 2022 r.)</w:t>
            </w:r>
            <w:r w:rsidR="000F72FF" w:rsidRPr="00B717F8">
              <w:rPr>
                <w:rFonts w:ascii="Times New Roman" w:hAnsi="Times New Roman" w:cs="Times New Roman"/>
              </w:rPr>
              <w:t xml:space="preserve">. </w:t>
            </w:r>
            <w:r w:rsidR="00CC3D30" w:rsidRPr="00B717F8">
              <w:rPr>
                <w:rFonts w:ascii="Times New Roman" w:eastAsia="Batang" w:hAnsi="Times New Roman" w:cs="Times New Roman"/>
                <w:lang w:eastAsia="pl-PL"/>
              </w:rPr>
              <w:t>Projektowana zmiana rozporządzenia w przedmiotowym zakresie ma na celu urealnienie kwoty wyłączenia z podstawy wymiaru składek na ubezpieczenia emerytalne i rentowe określonej w § 2 ust. 1 pkt 11 ww. rozporządzenia.</w:t>
            </w:r>
          </w:p>
          <w:p w14:paraId="23C18156" w14:textId="04156141" w:rsidR="00E40257" w:rsidRPr="00B717F8" w:rsidRDefault="00E40257" w:rsidP="00E40257">
            <w:pPr>
              <w:pStyle w:val="Akapitzlist"/>
              <w:spacing w:after="0" w:line="240" w:lineRule="auto"/>
              <w:ind w:left="0"/>
              <w:jc w:val="both"/>
              <w:rPr>
                <w:rFonts w:ascii="Times New Roman" w:hAnsi="Times New Roman" w:cs="Times New Roman"/>
              </w:rPr>
            </w:pPr>
            <w:r w:rsidRPr="00B717F8">
              <w:rPr>
                <w:rFonts w:ascii="Times New Roman" w:hAnsi="Times New Roman" w:cs="Times New Roman"/>
                <w:bCs/>
              </w:rPr>
              <w:t xml:space="preserve">Ponadto proponuje się zmianę </w:t>
            </w:r>
            <w:r w:rsidRPr="00B717F8">
              <w:rPr>
                <w:rFonts w:ascii="Times New Roman" w:hAnsi="Times New Roman" w:cs="Times New Roman"/>
              </w:rPr>
              <w:t xml:space="preserve">§ 4 powołanego rozporządzenia mającą na celu usankcjonowanie stosowanej przez Zakład Ubezpieczeń Społecznych procedury rozliczeń i przeliczeń walutowych w zakresie składek przekazywanych przez inne </w:t>
            </w:r>
            <w:r w:rsidR="0087177C" w:rsidRPr="00B717F8">
              <w:rPr>
                <w:rFonts w:ascii="Times New Roman" w:hAnsi="Times New Roman" w:cs="Times New Roman"/>
              </w:rPr>
              <w:t xml:space="preserve">podmioty niż płatnik składek. </w:t>
            </w:r>
            <w:r w:rsidRPr="00B717F8">
              <w:rPr>
                <w:rFonts w:ascii="Times New Roman" w:hAnsi="Times New Roman" w:cs="Times New Roman"/>
                <w:bCs/>
              </w:rPr>
              <w:t xml:space="preserve">Zmiana </w:t>
            </w:r>
            <w:r w:rsidRPr="00B717F8">
              <w:rPr>
                <w:rFonts w:ascii="Times New Roman" w:hAnsi="Times New Roman" w:cs="Times New Roman"/>
              </w:rPr>
              <w:t xml:space="preserve">§ 4 rozporządzenia jest wykonaniem zalecenia pokontrolnego NIK dotyczącego rozliczania składek ze środków przekazywanych bezpośrednio do ZUS przez austriacką Kasę Urlopową BAUK i niemiecką Kasę Urlopową SOKA-BAU ULAK. </w:t>
            </w:r>
          </w:p>
          <w:p w14:paraId="2505186E" w14:textId="77777777" w:rsidR="000B2321" w:rsidRPr="00B717F8" w:rsidRDefault="000B2321" w:rsidP="001F5959">
            <w:pPr>
              <w:pStyle w:val="Akapitzlist"/>
              <w:spacing w:after="120" w:line="240" w:lineRule="auto"/>
              <w:ind w:left="0"/>
              <w:jc w:val="both"/>
              <w:rPr>
                <w:rFonts w:ascii="Times New Roman" w:eastAsia="Batang" w:hAnsi="Times New Roman" w:cs="Times New Roman"/>
                <w:lang w:eastAsia="pl-PL"/>
              </w:rPr>
            </w:pPr>
          </w:p>
          <w:p w14:paraId="57526496" w14:textId="77777777" w:rsidR="001F5959" w:rsidRDefault="001F5959" w:rsidP="00964899">
            <w:pPr>
              <w:pStyle w:val="Akapitzlist"/>
              <w:spacing w:after="120" w:line="240" w:lineRule="auto"/>
              <w:ind w:left="0"/>
              <w:jc w:val="both"/>
              <w:rPr>
                <w:rFonts w:ascii="Times New Roman" w:hAnsi="Times New Roman" w:cs="Times New Roman"/>
                <w:bCs/>
              </w:rPr>
            </w:pPr>
            <w:r w:rsidRPr="00B717F8">
              <w:rPr>
                <w:rFonts w:ascii="Times New Roman" w:hAnsi="Times New Roman" w:cs="Times New Roman"/>
                <w:bCs/>
              </w:rPr>
              <w:t xml:space="preserve">Pozostałe zmiany to zmiany porządkujące stan prawny. W projektowanym rozporządzeniu proponuje się zmianę o charakterze porządkującym polegającą na uchyleniu w </w:t>
            </w:r>
            <w:r w:rsidRPr="00B717F8">
              <w:rPr>
                <w:rFonts w:ascii="Times New Roman" w:hAnsi="Times New Roman" w:cs="Times New Roman"/>
              </w:rPr>
              <w:t>§ 2</w:t>
            </w:r>
            <w:r w:rsidRPr="00B717F8">
              <w:rPr>
                <w:rFonts w:ascii="Times New Roman" w:hAnsi="Times New Roman" w:cs="Times New Roman"/>
                <w:bCs/>
              </w:rPr>
              <w:t xml:space="preserve"> ust. </w:t>
            </w:r>
            <w:r w:rsidRPr="00B717F8">
              <w:rPr>
                <w:rFonts w:ascii="Times New Roman" w:hAnsi="Times New Roman" w:cs="Times New Roman"/>
              </w:rPr>
              <w:t xml:space="preserve">1 </w:t>
            </w:r>
            <w:r w:rsidRPr="00B717F8">
              <w:rPr>
                <w:rFonts w:ascii="Times New Roman" w:hAnsi="Times New Roman" w:cs="Times New Roman"/>
                <w:bCs/>
              </w:rPr>
              <w:t xml:space="preserve">punktu 1b, punktu 5, punktu 31-32 oraz dostosowanie pkt 16a rozporządzenia Ministra Pracy i Polityki Socjalnej z dnia 18 grudnia 1998 r. </w:t>
            </w:r>
            <w:r w:rsidRPr="00B717F8">
              <w:rPr>
                <w:rFonts w:ascii="Times New Roman" w:eastAsia="Batang" w:hAnsi="Times New Roman" w:cs="Times New Roman"/>
              </w:rPr>
              <w:t xml:space="preserve">w sprawie szczegółowych zasad ustalania podstawy wymiaru składek na ubezpieczenia emerytalne i rentowe (Dz. U. z 2023 r. poz. 728), </w:t>
            </w:r>
            <w:r w:rsidRPr="00B717F8">
              <w:rPr>
                <w:rFonts w:ascii="Times New Roman" w:hAnsi="Times New Roman" w:cs="Times New Roman"/>
                <w:bCs/>
              </w:rPr>
              <w:t xml:space="preserve">do zmian wynikających ze zmian w zakresie typów szkół. Porządkując stan prawny proponuje się również uchylenie w </w:t>
            </w:r>
            <w:r w:rsidRPr="00B717F8">
              <w:rPr>
                <w:rFonts w:ascii="Times New Roman" w:hAnsi="Times New Roman" w:cs="Times New Roman"/>
              </w:rPr>
              <w:t xml:space="preserve">§ 2 ust. 2-4 powołanego rozporządzenia. </w:t>
            </w:r>
            <w:r w:rsidRPr="00B717F8">
              <w:rPr>
                <w:rFonts w:ascii="Times New Roman" w:hAnsi="Times New Roman" w:cs="Times New Roman"/>
                <w:bCs/>
              </w:rPr>
              <w:t xml:space="preserve"> </w:t>
            </w:r>
          </w:p>
          <w:p w14:paraId="518B974F" w14:textId="1719E427" w:rsidR="00660F80" w:rsidRPr="00660F80" w:rsidRDefault="00660F80" w:rsidP="00964899">
            <w:pPr>
              <w:pStyle w:val="Akapitzlist"/>
              <w:spacing w:after="120" w:line="240" w:lineRule="auto"/>
              <w:ind w:left="0"/>
              <w:jc w:val="both"/>
              <w:rPr>
                <w:rFonts w:ascii="Times New Roman" w:hAnsi="Times New Roman" w:cs="Times New Roman"/>
                <w:bCs/>
              </w:rPr>
            </w:pPr>
          </w:p>
        </w:tc>
      </w:tr>
      <w:tr w:rsidR="00B717F8" w:rsidRPr="00B717F8" w14:paraId="7F8F0E81" w14:textId="77777777" w:rsidTr="00D60307">
        <w:trPr>
          <w:gridAfter w:val="1"/>
          <w:wAfter w:w="9" w:type="dxa"/>
          <w:trHeight w:val="142"/>
        </w:trPr>
        <w:tc>
          <w:tcPr>
            <w:tcW w:w="11068" w:type="dxa"/>
            <w:gridSpan w:val="5"/>
            <w:shd w:val="clear" w:color="auto" w:fill="99CCFF"/>
            <w:vAlign w:val="center"/>
          </w:tcPr>
          <w:p w14:paraId="5BAFBA68" w14:textId="77777777" w:rsidR="00903749" w:rsidRPr="00B717F8" w:rsidRDefault="00903749" w:rsidP="00D60307">
            <w:pPr>
              <w:numPr>
                <w:ilvl w:val="0"/>
                <w:numId w:val="1"/>
              </w:numPr>
              <w:spacing w:before="60" w:after="60" w:line="240" w:lineRule="auto"/>
              <w:ind w:left="318" w:hanging="284"/>
              <w:jc w:val="both"/>
              <w:rPr>
                <w:rFonts w:ascii="Times New Roman" w:eastAsia="Calibri" w:hAnsi="Times New Roman" w:cs="Times New Roman"/>
                <w:b/>
              </w:rPr>
            </w:pPr>
            <w:r w:rsidRPr="00B717F8">
              <w:rPr>
                <w:rFonts w:ascii="Times New Roman" w:eastAsia="Calibri" w:hAnsi="Times New Roman" w:cs="Times New Roman"/>
                <w:b/>
                <w:spacing w:val="-2"/>
              </w:rPr>
              <w:t>Rekomendowane rozwiązanie, w tym planowane narzędzia interwencji, i oczekiwany efekt</w:t>
            </w:r>
          </w:p>
        </w:tc>
      </w:tr>
      <w:tr w:rsidR="00B717F8" w:rsidRPr="00B717F8" w14:paraId="4E96C8BE" w14:textId="77777777" w:rsidTr="00D60307">
        <w:trPr>
          <w:gridAfter w:val="1"/>
          <w:wAfter w:w="9" w:type="dxa"/>
          <w:trHeight w:val="142"/>
        </w:trPr>
        <w:tc>
          <w:tcPr>
            <w:tcW w:w="11068" w:type="dxa"/>
            <w:gridSpan w:val="5"/>
            <w:shd w:val="clear" w:color="auto" w:fill="auto"/>
          </w:tcPr>
          <w:p w14:paraId="0E951E53" w14:textId="5C7D6123" w:rsidR="00903749" w:rsidRPr="00964899" w:rsidRDefault="00903749" w:rsidP="00964899">
            <w:pPr>
              <w:spacing w:after="0" w:line="240" w:lineRule="auto"/>
              <w:jc w:val="both"/>
              <w:rPr>
                <w:rFonts w:ascii="Times New Roman" w:hAnsi="Times New Roman" w:cs="Times New Roman"/>
              </w:rPr>
            </w:pPr>
            <w:r w:rsidRPr="00964899">
              <w:rPr>
                <w:rFonts w:ascii="Times New Roman" w:eastAsia="Calibri" w:hAnsi="Times New Roman" w:cs="Times New Roman"/>
              </w:rPr>
              <w:t>Projekt rozporządzenia wprowadza zmiany polegające na podniesieniu kwoty wartości finansowanych przez pracodawcę posiłków udostępnianych pracownikom do spożycia</w:t>
            </w:r>
            <w:r w:rsidR="00ED5510" w:rsidRPr="00964899">
              <w:rPr>
                <w:rFonts w:ascii="Times New Roman" w:eastAsia="Calibri" w:hAnsi="Times New Roman" w:cs="Times New Roman"/>
              </w:rPr>
              <w:t xml:space="preserve">, jaka jest </w:t>
            </w:r>
            <w:r w:rsidR="00ED5510" w:rsidRPr="00964899">
              <w:rPr>
                <w:rFonts w:ascii="Times New Roman" w:eastAsia="Batang" w:hAnsi="Times New Roman" w:cs="Times New Roman"/>
                <w:lang w:eastAsia="pl-PL"/>
              </w:rPr>
              <w:t>wyłączona z podstawy wymiaru składek,</w:t>
            </w:r>
            <w:r w:rsidRPr="00964899">
              <w:rPr>
                <w:rFonts w:ascii="Times New Roman" w:eastAsia="Calibri" w:hAnsi="Times New Roman" w:cs="Times New Roman"/>
              </w:rPr>
              <w:t xml:space="preserve"> do </w:t>
            </w:r>
            <w:r w:rsidR="002A727E" w:rsidRPr="00964899">
              <w:rPr>
                <w:rFonts w:ascii="Times New Roman" w:eastAsia="Calibri" w:hAnsi="Times New Roman" w:cs="Times New Roman"/>
              </w:rPr>
              <w:t>kwoty 45</w:t>
            </w:r>
            <w:r w:rsidR="00D60307" w:rsidRPr="00964899">
              <w:rPr>
                <w:rFonts w:ascii="Times New Roman" w:eastAsia="Calibri" w:hAnsi="Times New Roman" w:cs="Times New Roman"/>
              </w:rPr>
              <w:t>0 zł</w:t>
            </w:r>
            <w:r w:rsidR="00EA3E6F" w:rsidRPr="00964899">
              <w:rPr>
                <w:rFonts w:ascii="Times New Roman" w:hAnsi="Times New Roman" w:cs="Times New Roman"/>
              </w:rPr>
              <w:t xml:space="preserve"> oraz rozszerza przepis o wartość otrzymanych przez pracowników bonów, talonów, kuponów i kart przedpłaconych. </w:t>
            </w:r>
          </w:p>
          <w:p w14:paraId="502DAF34" w14:textId="77777777" w:rsidR="00660F80" w:rsidRDefault="00660F80" w:rsidP="00964899">
            <w:pPr>
              <w:spacing w:after="0" w:line="240" w:lineRule="auto"/>
              <w:jc w:val="both"/>
              <w:rPr>
                <w:rFonts w:ascii="Times New Roman" w:hAnsi="Times New Roman" w:cs="Times New Roman"/>
              </w:rPr>
            </w:pPr>
          </w:p>
          <w:p w14:paraId="1E568D43" w14:textId="3960C336" w:rsidR="00903749" w:rsidRPr="00964899" w:rsidRDefault="00903749" w:rsidP="00964899">
            <w:pPr>
              <w:spacing w:after="0" w:line="240" w:lineRule="auto"/>
              <w:jc w:val="both"/>
              <w:rPr>
                <w:rFonts w:ascii="Times New Roman" w:eastAsia="Batang" w:hAnsi="Times New Roman" w:cs="Times New Roman"/>
                <w:bCs/>
                <w:lang w:eastAsia="ar-SA"/>
              </w:rPr>
            </w:pPr>
            <w:r w:rsidRPr="00964899">
              <w:rPr>
                <w:rFonts w:ascii="Times New Roman" w:eastAsia="Times New Roman" w:hAnsi="Times New Roman" w:cs="Times New Roman"/>
              </w:rPr>
              <w:t xml:space="preserve">Projekt rozporządzenia przewiduje również </w:t>
            </w:r>
            <w:r w:rsidR="001F596C" w:rsidRPr="00964899">
              <w:rPr>
                <w:rFonts w:ascii="Times New Roman" w:eastAsia="Times New Roman" w:hAnsi="Times New Roman" w:cs="Times New Roman"/>
              </w:rPr>
              <w:t>zmiany w zakresie sposobu przeliczania kwot stanowiących podstawę wymiaru składek z waluty EUR na PL</w:t>
            </w:r>
            <w:r w:rsidR="00191D77" w:rsidRPr="00964899">
              <w:rPr>
                <w:rFonts w:ascii="Times New Roman" w:eastAsia="Times New Roman" w:hAnsi="Times New Roman" w:cs="Times New Roman"/>
              </w:rPr>
              <w:t>N</w:t>
            </w:r>
            <w:r w:rsidR="001F596C" w:rsidRPr="00964899">
              <w:rPr>
                <w:rFonts w:ascii="Times New Roman" w:eastAsia="Times New Roman" w:hAnsi="Times New Roman" w:cs="Times New Roman"/>
              </w:rPr>
              <w:t xml:space="preserve">. </w:t>
            </w:r>
          </w:p>
          <w:p w14:paraId="08A6F98F" w14:textId="77777777" w:rsidR="00660F80" w:rsidRDefault="00660F80" w:rsidP="00964899">
            <w:pPr>
              <w:spacing w:after="0" w:line="240" w:lineRule="auto"/>
              <w:jc w:val="both"/>
              <w:rPr>
                <w:rFonts w:ascii="Times New Roman" w:eastAsia="Batang" w:hAnsi="Times New Roman" w:cs="Times New Roman"/>
                <w:bCs/>
                <w:lang w:eastAsia="ar-SA"/>
              </w:rPr>
            </w:pPr>
          </w:p>
          <w:p w14:paraId="7975FDDB" w14:textId="445EEC95" w:rsidR="00322F09" w:rsidRPr="00964899" w:rsidRDefault="00EA3E6F" w:rsidP="00964899">
            <w:pPr>
              <w:spacing w:after="0" w:line="240" w:lineRule="auto"/>
              <w:jc w:val="both"/>
              <w:rPr>
                <w:rFonts w:ascii="Times New Roman" w:hAnsi="Times New Roman" w:cs="Times New Roman"/>
              </w:rPr>
            </w:pPr>
            <w:r w:rsidRPr="00964899">
              <w:rPr>
                <w:rFonts w:ascii="Times New Roman" w:hAnsi="Times New Roman" w:cs="Times New Roman"/>
              </w:rPr>
              <w:t xml:space="preserve">Projektowane rozporządzenie uchyla w § 2 ust. 1 </w:t>
            </w:r>
            <w:r w:rsidR="00A06C3B" w:rsidRPr="00964899">
              <w:rPr>
                <w:rFonts w:ascii="Times New Roman" w:hAnsi="Times New Roman" w:cs="Times New Roman"/>
              </w:rPr>
              <w:t xml:space="preserve">pkt 1b, </w:t>
            </w:r>
            <w:r w:rsidRPr="00964899">
              <w:rPr>
                <w:rFonts w:ascii="Times New Roman" w:hAnsi="Times New Roman" w:cs="Times New Roman"/>
              </w:rPr>
              <w:t>pkt 5</w:t>
            </w:r>
            <w:r w:rsidR="00A06C3B" w:rsidRPr="00964899">
              <w:rPr>
                <w:rFonts w:ascii="Times New Roman" w:hAnsi="Times New Roman" w:cs="Times New Roman"/>
              </w:rPr>
              <w:t xml:space="preserve">, pkt 31-32 i w § 2 ust. 2-4 </w:t>
            </w:r>
            <w:r w:rsidRPr="00964899">
              <w:rPr>
                <w:rFonts w:ascii="Times New Roman" w:hAnsi="Times New Roman" w:cs="Times New Roman"/>
              </w:rPr>
              <w:t xml:space="preserve">oraz dostosowuje brzmienie pkt 16a do zmian w zakresie typów szkół. </w:t>
            </w:r>
          </w:p>
          <w:p w14:paraId="0DA2B79F" w14:textId="77777777" w:rsidR="00660F80" w:rsidRDefault="00660F80">
            <w:pPr>
              <w:autoSpaceDE w:val="0"/>
              <w:autoSpaceDN w:val="0"/>
              <w:adjustRightInd w:val="0"/>
              <w:spacing w:after="0" w:line="240" w:lineRule="auto"/>
              <w:jc w:val="both"/>
              <w:rPr>
                <w:rFonts w:ascii="Times New Roman" w:hAnsi="Times New Roman" w:cs="Times New Roman"/>
              </w:rPr>
            </w:pPr>
          </w:p>
          <w:p w14:paraId="429166C1" w14:textId="77777777" w:rsidR="00903749" w:rsidRDefault="00903749" w:rsidP="009F70EF">
            <w:pPr>
              <w:autoSpaceDE w:val="0"/>
              <w:autoSpaceDN w:val="0"/>
              <w:adjustRightInd w:val="0"/>
              <w:spacing w:after="0" w:line="240" w:lineRule="auto"/>
              <w:jc w:val="both"/>
              <w:rPr>
                <w:rFonts w:ascii="Times New Roman" w:eastAsia="Calibri" w:hAnsi="Times New Roman" w:cs="Times New Roman"/>
              </w:rPr>
            </w:pPr>
            <w:r w:rsidRPr="00B717F8">
              <w:rPr>
                <w:rFonts w:ascii="Times New Roman" w:eastAsia="Calibri" w:hAnsi="Times New Roman" w:cs="Times New Roman"/>
              </w:rPr>
              <w:t>Nie ma możliwości</w:t>
            </w:r>
            <w:r w:rsidR="00834BC0" w:rsidRPr="00B717F8">
              <w:rPr>
                <w:rFonts w:ascii="Times New Roman" w:eastAsia="Calibri" w:hAnsi="Times New Roman" w:cs="Times New Roman"/>
              </w:rPr>
              <w:t xml:space="preserve"> </w:t>
            </w:r>
            <w:proofErr w:type="spellStart"/>
            <w:r w:rsidR="00834BC0" w:rsidRPr="00B717F8">
              <w:rPr>
                <w:rFonts w:ascii="Times New Roman" w:eastAsia="Batang" w:hAnsi="Times New Roman" w:cs="Times New Roman"/>
                <w:lang w:eastAsia="pl-PL"/>
              </w:rPr>
              <w:t>pozalegislacyjnego</w:t>
            </w:r>
            <w:proofErr w:type="spellEnd"/>
            <w:r w:rsidR="00834BC0" w:rsidRPr="00B717F8">
              <w:rPr>
                <w:rFonts w:ascii="Times New Roman" w:eastAsia="Batang" w:hAnsi="Times New Roman" w:cs="Times New Roman"/>
                <w:lang w:eastAsia="pl-PL"/>
              </w:rPr>
              <w:t xml:space="preserve"> </w:t>
            </w:r>
            <w:r w:rsidRPr="00B717F8">
              <w:rPr>
                <w:rFonts w:ascii="Times New Roman" w:eastAsia="Calibri" w:hAnsi="Times New Roman" w:cs="Times New Roman"/>
              </w:rPr>
              <w:t>rozwiązania proponowanych zmian.</w:t>
            </w:r>
          </w:p>
          <w:p w14:paraId="037585B3" w14:textId="50ED8197" w:rsidR="00660F80" w:rsidRPr="00660F80" w:rsidRDefault="00660F80" w:rsidP="009F70EF">
            <w:pPr>
              <w:autoSpaceDE w:val="0"/>
              <w:autoSpaceDN w:val="0"/>
              <w:adjustRightInd w:val="0"/>
              <w:spacing w:after="0" w:line="240" w:lineRule="auto"/>
              <w:jc w:val="both"/>
              <w:rPr>
                <w:rFonts w:ascii="Times New Roman" w:eastAsia="Calibri" w:hAnsi="Times New Roman" w:cs="Times New Roman"/>
              </w:rPr>
            </w:pPr>
          </w:p>
        </w:tc>
      </w:tr>
      <w:tr w:rsidR="00B717F8" w:rsidRPr="00B717F8" w14:paraId="596D81B2" w14:textId="77777777" w:rsidTr="00D60307">
        <w:trPr>
          <w:gridAfter w:val="1"/>
          <w:wAfter w:w="9" w:type="dxa"/>
          <w:trHeight w:val="307"/>
        </w:trPr>
        <w:tc>
          <w:tcPr>
            <w:tcW w:w="11068" w:type="dxa"/>
            <w:gridSpan w:val="5"/>
            <w:shd w:val="clear" w:color="auto" w:fill="99CCFF"/>
            <w:vAlign w:val="center"/>
          </w:tcPr>
          <w:p w14:paraId="099FFB04" w14:textId="77777777" w:rsidR="00903749" w:rsidRPr="00B717F8" w:rsidRDefault="00903749" w:rsidP="00D60307">
            <w:pPr>
              <w:numPr>
                <w:ilvl w:val="0"/>
                <w:numId w:val="1"/>
              </w:numPr>
              <w:spacing w:before="60" w:after="60" w:line="240" w:lineRule="auto"/>
              <w:ind w:left="318" w:hanging="284"/>
              <w:jc w:val="both"/>
              <w:rPr>
                <w:rFonts w:ascii="Times New Roman" w:eastAsia="Calibri" w:hAnsi="Times New Roman" w:cs="Times New Roman"/>
                <w:b/>
              </w:rPr>
            </w:pPr>
            <w:r w:rsidRPr="00B717F8">
              <w:rPr>
                <w:rFonts w:ascii="Times New Roman" w:eastAsia="Calibri" w:hAnsi="Times New Roman" w:cs="Times New Roman"/>
                <w:b/>
                <w:spacing w:val="-2"/>
              </w:rPr>
              <w:t>Jak problem został rozwiązany w innych krajach, w szczególności krajach członkowskich OECD/UE</w:t>
            </w:r>
            <w:r w:rsidRPr="00B717F8">
              <w:rPr>
                <w:rFonts w:ascii="Times New Roman" w:eastAsia="Calibri" w:hAnsi="Times New Roman" w:cs="Times New Roman"/>
                <w:b/>
              </w:rPr>
              <w:t>?</w:t>
            </w:r>
            <w:r w:rsidRPr="00B717F8">
              <w:rPr>
                <w:rFonts w:ascii="Times New Roman" w:eastAsia="Calibri" w:hAnsi="Times New Roman" w:cs="Times New Roman"/>
                <w:i/>
              </w:rPr>
              <w:t xml:space="preserve"> </w:t>
            </w:r>
          </w:p>
        </w:tc>
      </w:tr>
      <w:tr w:rsidR="00B717F8" w:rsidRPr="00B717F8" w14:paraId="29096A53" w14:textId="77777777" w:rsidTr="00D60307">
        <w:trPr>
          <w:gridAfter w:val="1"/>
          <w:wAfter w:w="9" w:type="dxa"/>
          <w:trHeight w:val="142"/>
        </w:trPr>
        <w:tc>
          <w:tcPr>
            <w:tcW w:w="11068" w:type="dxa"/>
            <w:gridSpan w:val="5"/>
            <w:shd w:val="clear" w:color="auto" w:fill="auto"/>
          </w:tcPr>
          <w:p w14:paraId="5915812C" w14:textId="77777777" w:rsidR="00903749" w:rsidRPr="00B717F8" w:rsidRDefault="00903749" w:rsidP="00D60307">
            <w:pPr>
              <w:spacing w:after="0" w:line="240" w:lineRule="auto"/>
              <w:jc w:val="both"/>
              <w:rPr>
                <w:rFonts w:ascii="Times New Roman" w:eastAsia="Calibri" w:hAnsi="Times New Roman" w:cs="Times New Roman"/>
                <w:spacing w:val="-2"/>
              </w:rPr>
            </w:pPr>
            <w:r w:rsidRPr="00B717F8">
              <w:rPr>
                <w:rFonts w:ascii="Times New Roman" w:eastAsia="Calibri" w:hAnsi="Times New Roman" w:cs="Times New Roman"/>
                <w:spacing w:val="-2"/>
              </w:rPr>
              <w:t>Nie dotyczy.</w:t>
            </w:r>
          </w:p>
        </w:tc>
      </w:tr>
      <w:tr w:rsidR="00B717F8" w:rsidRPr="00B717F8" w14:paraId="72B4056A" w14:textId="77777777" w:rsidTr="00D60307">
        <w:trPr>
          <w:gridAfter w:val="1"/>
          <w:wAfter w:w="9" w:type="dxa"/>
          <w:trHeight w:val="359"/>
        </w:trPr>
        <w:tc>
          <w:tcPr>
            <w:tcW w:w="11068" w:type="dxa"/>
            <w:gridSpan w:val="5"/>
            <w:shd w:val="clear" w:color="auto" w:fill="99CCFF"/>
            <w:vAlign w:val="center"/>
          </w:tcPr>
          <w:p w14:paraId="6940B6DC" w14:textId="77777777" w:rsidR="00903749" w:rsidRPr="00B717F8" w:rsidRDefault="00903749" w:rsidP="00D60307">
            <w:pPr>
              <w:numPr>
                <w:ilvl w:val="0"/>
                <w:numId w:val="1"/>
              </w:numPr>
              <w:spacing w:before="60" w:after="60" w:line="240" w:lineRule="auto"/>
              <w:ind w:left="318" w:hanging="284"/>
              <w:jc w:val="both"/>
              <w:rPr>
                <w:rFonts w:ascii="Times New Roman" w:eastAsia="Calibri" w:hAnsi="Times New Roman" w:cs="Times New Roman"/>
                <w:b/>
              </w:rPr>
            </w:pPr>
            <w:r w:rsidRPr="00B717F8">
              <w:rPr>
                <w:rFonts w:ascii="Times New Roman" w:eastAsia="Calibri" w:hAnsi="Times New Roman" w:cs="Times New Roman"/>
                <w:b/>
              </w:rPr>
              <w:lastRenderedPageBreak/>
              <w:t>Podmioty, na które oddziałuje projekt</w:t>
            </w:r>
          </w:p>
        </w:tc>
      </w:tr>
      <w:tr w:rsidR="00B717F8" w:rsidRPr="00B717F8" w14:paraId="58954275" w14:textId="77777777" w:rsidTr="00D60307">
        <w:trPr>
          <w:trHeight w:val="142"/>
        </w:trPr>
        <w:tc>
          <w:tcPr>
            <w:tcW w:w="3686" w:type="dxa"/>
            <w:shd w:val="clear" w:color="auto" w:fill="auto"/>
          </w:tcPr>
          <w:p w14:paraId="7F409822" w14:textId="77777777" w:rsidR="00903749" w:rsidRPr="00B717F8" w:rsidRDefault="00903749" w:rsidP="00D60307">
            <w:pPr>
              <w:spacing w:before="40" w:after="0" w:line="240" w:lineRule="auto"/>
              <w:jc w:val="center"/>
              <w:rPr>
                <w:rFonts w:ascii="Times New Roman" w:eastAsia="Calibri" w:hAnsi="Times New Roman" w:cs="Times New Roman"/>
                <w:spacing w:val="-2"/>
              </w:rPr>
            </w:pPr>
            <w:r w:rsidRPr="00B717F8">
              <w:rPr>
                <w:rFonts w:ascii="Times New Roman" w:eastAsia="Calibri" w:hAnsi="Times New Roman" w:cs="Times New Roman"/>
                <w:spacing w:val="-2"/>
              </w:rPr>
              <w:t>Grupa</w:t>
            </w:r>
          </w:p>
        </w:tc>
        <w:tc>
          <w:tcPr>
            <w:tcW w:w="1134" w:type="dxa"/>
            <w:shd w:val="clear" w:color="auto" w:fill="auto"/>
          </w:tcPr>
          <w:p w14:paraId="6C194E74" w14:textId="77777777" w:rsidR="00903749" w:rsidRPr="00B717F8" w:rsidRDefault="00903749" w:rsidP="00D60307">
            <w:pPr>
              <w:spacing w:before="40" w:after="0" w:line="240" w:lineRule="auto"/>
              <w:jc w:val="center"/>
              <w:rPr>
                <w:rFonts w:ascii="Times New Roman" w:eastAsia="Calibri" w:hAnsi="Times New Roman" w:cs="Times New Roman"/>
                <w:spacing w:val="-2"/>
              </w:rPr>
            </w:pPr>
            <w:r w:rsidRPr="00B717F8">
              <w:rPr>
                <w:rFonts w:ascii="Times New Roman" w:eastAsia="Calibri" w:hAnsi="Times New Roman" w:cs="Times New Roman"/>
                <w:spacing w:val="-2"/>
              </w:rPr>
              <w:t>Wielkość</w:t>
            </w:r>
          </w:p>
        </w:tc>
        <w:tc>
          <w:tcPr>
            <w:tcW w:w="1983" w:type="dxa"/>
            <w:gridSpan w:val="2"/>
            <w:shd w:val="clear" w:color="auto" w:fill="auto"/>
          </w:tcPr>
          <w:p w14:paraId="21E3ACF5" w14:textId="77777777" w:rsidR="00903749" w:rsidRPr="00B717F8" w:rsidRDefault="00903749" w:rsidP="00D60307">
            <w:pPr>
              <w:spacing w:before="40" w:after="0" w:line="240" w:lineRule="auto"/>
              <w:jc w:val="center"/>
              <w:rPr>
                <w:rFonts w:ascii="Times New Roman" w:eastAsia="Calibri" w:hAnsi="Times New Roman" w:cs="Times New Roman"/>
                <w:spacing w:val="-2"/>
              </w:rPr>
            </w:pPr>
            <w:r w:rsidRPr="00B717F8">
              <w:rPr>
                <w:rFonts w:ascii="Times New Roman" w:eastAsia="Calibri" w:hAnsi="Times New Roman" w:cs="Times New Roman"/>
                <w:spacing w:val="-2"/>
              </w:rPr>
              <w:t>Źródło danych</w:t>
            </w:r>
            <w:r w:rsidRPr="00B717F8" w:rsidDel="00260F33">
              <w:rPr>
                <w:rFonts w:ascii="Times New Roman" w:eastAsia="Calibri" w:hAnsi="Times New Roman" w:cs="Times New Roman"/>
                <w:spacing w:val="-2"/>
              </w:rPr>
              <w:t xml:space="preserve"> </w:t>
            </w:r>
          </w:p>
        </w:tc>
        <w:tc>
          <w:tcPr>
            <w:tcW w:w="4274" w:type="dxa"/>
            <w:gridSpan w:val="2"/>
            <w:shd w:val="clear" w:color="auto" w:fill="auto"/>
          </w:tcPr>
          <w:p w14:paraId="366EED60" w14:textId="77777777" w:rsidR="00903749" w:rsidRPr="00B717F8" w:rsidRDefault="00903749" w:rsidP="00D60307">
            <w:pPr>
              <w:spacing w:before="40" w:after="0" w:line="240" w:lineRule="auto"/>
              <w:jc w:val="center"/>
              <w:rPr>
                <w:rFonts w:ascii="Times New Roman" w:eastAsia="Calibri" w:hAnsi="Times New Roman" w:cs="Times New Roman"/>
                <w:spacing w:val="-2"/>
              </w:rPr>
            </w:pPr>
            <w:r w:rsidRPr="00B717F8">
              <w:rPr>
                <w:rFonts w:ascii="Times New Roman" w:eastAsia="Calibri" w:hAnsi="Times New Roman" w:cs="Times New Roman"/>
                <w:spacing w:val="-2"/>
              </w:rPr>
              <w:t>Oddziaływanie</w:t>
            </w:r>
          </w:p>
        </w:tc>
      </w:tr>
      <w:tr w:rsidR="00B717F8" w:rsidRPr="00B717F8" w14:paraId="154A6857" w14:textId="77777777" w:rsidTr="00D60307">
        <w:trPr>
          <w:trHeight w:val="142"/>
        </w:trPr>
        <w:tc>
          <w:tcPr>
            <w:tcW w:w="3686" w:type="dxa"/>
            <w:shd w:val="clear" w:color="auto" w:fill="auto"/>
          </w:tcPr>
          <w:p w14:paraId="71236063"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spacing w:val="-2"/>
              </w:rPr>
              <w:t>Zakład Ubezpieczeń Społecznych</w:t>
            </w:r>
          </w:p>
        </w:tc>
        <w:tc>
          <w:tcPr>
            <w:tcW w:w="1134" w:type="dxa"/>
            <w:shd w:val="clear" w:color="auto" w:fill="auto"/>
          </w:tcPr>
          <w:p w14:paraId="7535A6A7" w14:textId="77777777" w:rsidR="00903749" w:rsidRPr="00B717F8" w:rsidRDefault="00903749" w:rsidP="00D60307">
            <w:pPr>
              <w:spacing w:after="0" w:line="240" w:lineRule="auto"/>
              <w:jc w:val="center"/>
              <w:rPr>
                <w:rFonts w:ascii="Times New Roman" w:eastAsia="Calibri" w:hAnsi="Times New Roman" w:cs="Times New Roman"/>
                <w:spacing w:val="-2"/>
              </w:rPr>
            </w:pPr>
            <w:r w:rsidRPr="00B717F8">
              <w:rPr>
                <w:rFonts w:ascii="Times New Roman" w:eastAsia="Calibri" w:hAnsi="Times New Roman" w:cs="Times New Roman"/>
                <w:spacing w:val="-2"/>
              </w:rPr>
              <w:t>1</w:t>
            </w:r>
          </w:p>
        </w:tc>
        <w:tc>
          <w:tcPr>
            <w:tcW w:w="1983" w:type="dxa"/>
            <w:gridSpan w:val="2"/>
            <w:shd w:val="clear" w:color="auto" w:fill="auto"/>
          </w:tcPr>
          <w:p w14:paraId="26475C11" w14:textId="77777777" w:rsidR="00903749" w:rsidRPr="00B717F8" w:rsidRDefault="00903749" w:rsidP="00D60307">
            <w:pPr>
              <w:spacing w:after="0" w:line="240" w:lineRule="auto"/>
              <w:jc w:val="center"/>
              <w:rPr>
                <w:rFonts w:ascii="Times New Roman" w:eastAsia="Calibri" w:hAnsi="Times New Roman" w:cs="Times New Roman"/>
                <w:spacing w:val="-2"/>
              </w:rPr>
            </w:pPr>
            <w:r w:rsidRPr="00B717F8">
              <w:rPr>
                <w:rFonts w:ascii="Times New Roman" w:eastAsia="Calibri" w:hAnsi="Times New Roman" w:cs="Times New Roman"/>
                <w:spacing w:val="-2"/>
              </w:rPr>
              <w:t>-</w:t>
            </w:r>
          </w:p>
        </w:tc>
        <w:tc>
          <w:tcPr>
            <w:tcW w:w="4274" w:type="dxa"/>
            <w:gridSpan w:val="2"/>
            <w:shd w:val="clear" w:color="auto" w:fill="auto"/>
          </w:tcPr>
          <w:p w14:paraId="1AA3B459" w14:textId="3F6BF11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spacing w:val="-2"/>
              </w:rPr>
              <w:t xml:space="preserve">Ubytek dochodów </w:t>
            </w:r>
            <w:r w:rsidR="006C3B53" w:rsidRPr="00B717F8">
              <w:rPr>
                <w:rFonts w:ascii="Times New Roman" w:eastAsia="Calibri" w:hAnsi="Times New Roman" w:cs="Times New Roman"/>
                <w:spacing w:val="-2"/>
              </w:rPr>
              <w:t xml:space="preserve">FUS </w:t>
            </w:r>
            <w:r w:rsidRPr="00B717F8">
              <w:rPr>
                <w:rFonts w:ascii="Times New Roman" w:eastAsia="Calibri" w:hAnsi="Times New Roman" w:cs="Times New Roman"/>
                <w:spacing w:val="-2"/>
              </w:rPr>
              <w:t>z tytułu składek na ubezpieczenie społeczne</w:t>
            </w:r>
          </w:p>
        </w:tc>
      </w:tr>
      <w:tr w:rsidR="00B717F8" w:rsidRPr="00B717F8" w14:paraId="48708D79" w14:textId="77777777" w:rsidTr="00D60307">
        <w:trPr>
          <w:trHeight w:val="142"/>
        </w:trPr>
        <w:tc>
          <w:tcPr>
            <w:tcW w:w="3686" w:type="dxa"/>
            <w:shd w:val="clear" w:color="auto" w:fill="auto"/>
          </w:tcPr>
          <w:p w14:paraId="6291994F" w14:textId="77777777" w:rsidR="00903749" w:rsidRPr="00B717F8" w:rsidRDefault="00903749" w:rsidP="00D60307">
            <w:pPr>
              <w:spacing w:after="0" w:line="240" w:lineRule="auto"/>
              <w:rPr>
                <w:rFonts w:ascii="Times New Roman" w:eastAsia="Calibri" w:hAnsi="Times New Roman" w:cs="Times New Roman"/>
                <w:lang w:eastAsia="pl-PL"/>
              </w:rPr>
            </w:pPr>
            <w:r w:rsidRPr="00B717F8">
              <w:rPr>
                <w:rFonts w:ascii="Times New Roman" w:eastAsia="Calibri" w:hAnsi="Times New Roman" w:cs="Times New Roman"/>
                <w:lang w:eastAsia="pl-PL"/>
              </w:rPr>
              <w:t>Pracodawcy, którzy decydują się dofinansować posiłki pracownikom</w:t>
            </w:r>
          </w:p>
        </w:tc>
        <w:tc>
          <w:tcPr>
            <w:tcW w:w="1134" w:type="dxa"/>
            <w:shd w:val="clear" w:color="auto" w:fill="auto"/>
          </w:tcPr>
          <w:p w14:paraId="06B36563" w14:textId="77777777" w:rsidR="00903749" w:rsidRPr="00B717F8" w:rsidRDefault="00903749" w:rsidP="00D60307">
            <w:pPr>
              <w:spacing w:after="0" w:line="240" w:lineRule="auto"/>
              <w:rPr>
                <w:rFonts w:ascii="Times New Roman" w:eastAsia="Calibri" w:hAnsi="Times New Roman" w:cs="Times New Roman"/>
                <w:spacing w:val="-2"/>
              </w:rPr>
            </w:pPr>
          </w:p>
        </w:tc>
        <w:tc>
          <w:tcPr>
            <w:tcW w:w="1983" w:type="dxa"/>
            <w:gridSpan w:val="2"/>
            <w:shd w:val="clear" w:color="auto" w:fill="auto"/>
          </w:tcPr>
          <w:p w14:paraId="2B4539D8" w14:textId="77777777" w:rsidR="00903749" w:rsidRPr="00B717F8" w:rsidRDefault="00903749" w:rsidP="00D60307">
            <w:pPr>
              <w:spacing w:after="0" w:line="240" w:lineRule="auto"/>
              <w:jc w:val="center"/>
              <w:rPr>
                <w:rFonts w:ascii="Times New Roman" w:eastAsia="Calibri" w:hAnsi="Times New Roman" w:cs="Times New Roman"/>
                <w:spacing w:val="-2"/>
              </w:rPr>
            </w:pPr>
          </w:p>
        </w:tc>
        <w:tc>
          <w:tcPr>
            <w:tcW w:w="4274" w:type="dxa"/>
            <w:gridSpan w:val="2"/>
            <w:shd w:val="clear" w:color="auto" w:fill="auto"/>
          </w:tcPr>
          <w:p w14:paraId="19C8D3C3" w14:textId="77777777" w:rsidR="00903749" w:rsidRPr="00B717F8" w:rsidRDefault="00903749" w:rsidP="00D60307">
            <w:pPr>
              <w:spacing w:after="0" w:line="240" w:lineRule="auto"/>
              <w:rPr>
                <w:rFonts w:ascii="Times New Roman" w:eastAsia="Calibri" w:hAnsi="Times New Roman" w:cs="Times New Roman"/>
                <w:lang w:eastAsia="pl-PL"/>
              </w:rPr>
            </w:pPr>
            <w:r w:rsidRPr="00B717F8">
              <w:rPr>
                <w:rFonts w:ascii="Times New Roman" w:eastAsia="Calibri" w:hAnsi="Times New Roman" w:cs="Times New Roman"/>
                <w:lang w:eastAsia="pl-PL"/>
              </w:rPr>
              <w:t xml:space="preserve">Zmniejszenie kosztów z tytułu opłacanych składek do Funduszu Ubezpieczeń Społecznych </w:t>
            </w:r>
          </w:p>
        </w:tc>
      </w:tr>
      <w:tr w:rsidR="00B717F8" w:rsidRPr="00B717F8" w14:paraId="3CA9704B" w14:textId="77777777" w:rsidTr="00D60307">
        <w:trPr>
          <w:trHeight w:val="142"/>
        </w:trPr>
        <w:tc>
          <w:tcPr>
            <w:tcW w:w="3686" w:type="dxa"/>
            <w:shd w:val="clear" w:color="auto" w:fill="auto"/>
          </w:tcPr>
          <w:p w14:paraId="20F02630" w14:textId="77777777" w:rsidR="00903749" w:rsidRPr="00B717F8" w:rsidRDefault="00903749" w:rsidP="00D60307">
            <w:pPr>
              <w:spacing w:after="0" w:line="240" w:lineRule="auto"/>
              <w:rPr>
                <w:rFonts w:ascii="Times New Roman" w:eastAsia="Calibri" w:hAnsi="Times New Roman" w:cs="Times New Roman"/>
                <w:lang w:eastAsia="pl-PL"/>
              </w:rPr>
            </w:pPr>
            <w:r w:rsidRPr="00B717F8">
              <w:rPr>
                <w:rFonts w:ascii="Times New Roman" w:eastAsia="Calibri" w:hAnsi="Times New Roman" w:cs="Times New Roman"/>
                <w:lang w:eastAsia="pl-PL"/>
              </w:rPr>
              <w:t>Pracownicy</w:t>
            </w:r>
          </w:p>
        </w:tc>
        <w:tc>
          <w:tcPr>
            <w:tcW w:w="1134" w:type="dxa"/>
            <w:shd w:val="clear" w:color="auto" w:fill="auto"/>
          </w:tcPr>
          <w:p w14:paraId="37F5C100" w14:textId="517CB3CF"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spacing w:val="-2"/>
              </w:rPr>
              <w:t>Szacunkowo obecnie ok</w:t>
            </w:r>
            <w:r w:rsidR="006C3B53" w:rsidRPr="00B717F8">
              <w:rPr>
                <w:rFonts w:ascii="Times New Roman" w:eastAsia="Calibri" w:hAnsi="Times New Roman" w:cs="Times New Roman"/>
                <w:spacing w:val="-2"/>
              </w:rPr>
              <w:t>.</w:t>
            </w:r>
            <w:r w:rsidR="00EA2671">
              <w:rPr>
                <w:rFonts w:ascii="Times New Roman" w:eastAsia="Calibri" w:hAnsi="Times New Roman" w:cs="Times New Roman"/>
                <w:spacing w:val="-2"/>
              </w:rPr>
              <w:t xml:space="preserve"> </w:t>
            </w:r>
            <w:r w:rsidR="007F63CB" w:rsidRPr="00B717F8">
              <w:rPr>
                <w:rFonts w:ascii="Times New Roman" w:eastAsia="Calibri" w:hAnsi="Times New Roman" w:cs="Times New Roman"/>
                <w:spacing w:val="-2"/>
              </w:rPr>
              <w:t>3</w:t>
            </w:r>
            <w:r w:rsidR="00CE67AB">
              <w:rPr>
                <w:rFonts w:ascii="Times New Roman" w:eastAsia="Calibri" w:hAnsi="Times New Roman" w:cs="Times New Roman"/>
                <w:spacing w:val="-2"/>
              </w:rPr>
              <w:t xml:space="preserve">87 </w:t>
            </w:r>
            <w:r w:rsidRPr="00B717F8">
              <w:rPr>
                <w:rFonts w:ascii="Times New Roman" w:eastAsia="Calibri" w:hAnsi="Times New Roman" w:cs="Times New Roman"/>
                <w:spacing w:val="-2"/>
              </w:rPr>
              <w:t>tys. osób</w:t>
            </w:r>
          </w:p>
        </w:tc>
        <w:tc>
          <w:tcPr>
            <w:tcW w:w="1983" w:type="dxa"/>
            <w:gridSpan w:val="2"/>
            <w:shd w:val="clear" w:color="auto" w:fill="auto"/>
          </w:tcPr>
          <w:p w14:paraId="69F9F45D" w14:textId="77777777" w:rsidR="00903749" w:rsidRPr="00B717F8" w:rsidRDefault="00903749" w:rsidP="00D60307">
            <w:pPr>
              <w:spacing w:after="0" w:line="240" w:lineRule="auto"/>
              <w:jc w:val="center"/>
              <w:rPr>
                <w:rFonts w:ascii="Times New Roman" w:eastAsia="Calibri" w:hAnsi="Times New Roman" w:cs="Times New Roman"/>
                <w:spacing w:val="-2"/>
              </w:rPr>
            </w:pPr>
          </w:p>
        </w:tc>
        <w:tc>
          <w:tcPr>
            <w:tcW w:w="4274" w:type="dxa"/>
            <w:gridSpan w:val="2"/>
            <w:shd w:val="clear" w:color="auto" w:fill="auto"/>
          </w:tcPr>
          <w:p w14:paraId="26CE9E30" w14:textId="77777777" w:rsidR="009D6FD5" w:rsidRDefault="00903749" w:rsidP="003C1E59">
            <w:pPr>
              <w:spacing w:after="0" w:line="240" w:lineRule="auto"/>
              <w:rPr>
                <w:rFonts w:ascii="Times New Roman" w:eastAsia="Calibri" w:hAnsi="Times New Roman" w:cs="Times New Roman"/>
                <w:lang w:eastAsia="pl-PL"/>
              </w:rPr>
            </w:pPr>
            <w:r w:rsidRPr="00B717F8">
              <w:rPr>
                <w:rFonts w:ascii="Times New Roman" w:eastAsia="Calibri" w:hAnsi="Times New Roman" w:cs="Times New Roman"/>
                <w:lang w:eastAsia="pl-PL"/>
              </w:rPr>
              <w:t>Zmniejszenie odprowadzanych składek może wpływać nie tylko na wysokość przyszłej emerytury pracowników, lecz również na wysokość świadczeń krótkoterminowych takich jak zasiłki chorobowe czy macierzyńskie</w:t>
            </w:r>
          </w:p>
          <w:p w14:paraId="35208C0C" w14:textId="6627FAD5" w:rsidR="00660F80" w:rsidRPr="00B717F8" w:rsidRDefault="00660F80" w:rsidP="003C1E59">
            <w:pPr>
              <w:spacing w:after="0" w:line="240" w:lineRule="auto"/>
              <w:rPr>
                <w:rFonts w:ascii="Times New Roman" w:eastAsia="Calibri" w:hAnsi="Times New Roman" w:cs="Times New Roman"/>
                <w:lang w:eastAsia="pl-PL"/>
              </w:rPr>
            </w:pPr>
          </w:p>
        </w:tc>
      </w:tr>
      <w:tr w:rsidR="00B717F8" w:rsidRPr="00B717F8" w14:paraId="4C8124D1" w14:textId="77777777" w:rsidTr="00D60307">
        <w:trPr>
          <w:gridAfter w:val="1"/>
          <w:wAfter w:w="9" w:type="dxa"/>
          <w:trHeight w:val="302"/>
        </w:trPr>
        <w:tc>
          <w:tcPr>
            <w:tcW w:w="11068" w:type="dxa"/>
            <w:gridSpan w:val="5"/>
            <w:shd w:val="clear" w:color="auto" w:fill="99CCFF"/>
            <w:vAlign w:val="center"/>
          </w:tcPr>
          <w:p w14:paraId="53E327F8" w14:textId="77777777" w:rsidR="00903749" w:rsidRPr="00B717F8" w:rsidRDefault="00903749" w:rsidP="00D60307">
            <w:pPr>
              <w:numPr>
                <w:ilvl w:val="0"/>
                <w:numId w:val="1"/>
              </w:numPr>
              <w:spacing w:before="60" w:after="60" w:line="240" w:lineRule="auto"/>
              <w:ind w:left="318" w:hanging="284"/>
              <w:jc w:val="both"/>
              <w:rPr>
                <w:rFonts w:ascii="Times New Roman" w:eastAsia="Calibri" w:hAnsi="Times New Roman" w:cs="Times New Roman"/>
                <w:b/>
              </w:rPr>
            </w:pPr>
            <w:r w:rsidRPr="00B717F8">
              <w:rPr>
                <w:rFonts w:ascii="Times New Roman" w:eastAsia="Calibri" w:hAnsi="Times New Roman" w:cs="Times New Roman"/>
                <w:b/>
              </w:rPr>
              <w:t>Informacje na temat zakresu, czasu trwania i podsumowanie wyników konsultacji</w:t>
            </w:r>
          </w:p>
        </w:tc>
      </w:tr>
      <w:tr w:rsidR="00B717F8" w:rsidRPr="00B717F8" w14:paraId="12397989" w14:textId="77777777" w:rsidTr="00D60307">
        <w:trPr>
          <w:gridAfter w:val="1"/>
          <w:wAfter w:w="9" w:type="dxa"/>
          <w:trHeight w:val="342"/>
        </w:trPr>
        <w:tc>
          <w:tcPr>
            <w:tcW w:w="11068" w:type="dxa"/>
            <w:gridSpan w:val="5"/>
            <w:shd w:val="clear" w:color="auto" w:fill="FFFFFF"/>
          </w:tcPr>
          <w:p w14:paraId="116E49F5" w14:textId="77777777" w:rsidR="0066168A" w:rsidRPr="00B717F8" w:rsidRDefault="0066168A" w:rsidP="0066168A">
            <w:pPr>
              <w:spacing w:line="240" w:lineRule="auto"/>
              <w:jc w:val="both"/>
              <w:rPr>
                <w:rFonts w:ascii="Times New Roman" w:eastAsia="Times New Roman" w:hAnsi="Times New Roman" w:cs="Times New Roman"/>
                <w:bCs/>
                <w:lang w:eastAsia="pl-PL"/>
              </w:rPr>
            </w:pPr>
            <w:r w:rsidRPr="00B717F8">
              <w:rPr>
                <w:rFonts w:ascii="Times New Roman" w:eastAsia="Times New Roman" w:hAnsi="Times New Roman" w:cs="Times New Roman"/>
                <w:bCs/>
                <w:lang w:eastAsia="pl-PL"/>
              </w:rPr>
              <w:t>Projekt zostanie przedstawiony do zaopiniowania:</w:t>
            </w:r>
          </w:p>
          <w:p w14:paraId="4F180249" w14:textId="77777777" w:rsidR="0066168A" w:rsidRPr="00B717F8" w:rsidRDefault="0066168A" w:rsidP="0066168A">
            <w:pPr>
              <w:numPr>
                <w:ilvl w:val="0"/>
                <w:numId w:val="5"/>
              </w:numPr>
              <w:spacing w:after="0" w:line="240" w:lineRule="auto"/>
              <w:jc w:val="both"/>
              <w:rPr>
                <w:rFonts w:ascii="Times New Roman" w:eastAsia="Times New Roman" w:hAnsi="Times New Roman" w:cs="Times New Roman"/>
                <w:bCs/>
                <w:lang w:eastAsia="pl-PL"/>
              </w:rPr>
            </w:pPr>
            <w:r w:rsidRPr="00B717F8">
              <w:rPr>
                <w:rFonts w:ascii="Times New Roman" w:eastAsia="Times New Roman" w:hAnsi="Times New Roman" w:cs="Times New Roman"/>
                <w:bCs/>
                <w:lang w:eastAsia="pl-PL"/>
              </w:rPr>
              <w:t xml:space="preserve">w trybie przepisów ustawy z dnia 23 maja 1991 r. o związkach zawodowych (Dz. U. z 2022 r. poz. 854): Forum Związków Zawodowych, NSZZ „Solidarność”, Ogólnopolskiemu Porozumieniu Związków Zawodowych, </w:t>
            </w:r>
          </w:p>
          <w:p w14:paraId="671C92E5" w14:textId="188ED81F" w:rsidR="0066168A" w:rsidRPr="00B717F8" w:rsidRDefault="0066168A" w:rsidP="0066168A">
            <w:pPr>
              <w:numPr>
                <w:ilvl w:val="0"/>
                <w:numId w:val="5"/>
              </w:numPr>
              <w:spacing w:after="0" w:line="240" w:lineRule="auto"/>
              <w:jc w:val="both"/>
              <w:rPr>
                <w:rFonts w:ascii="Times New Roman" w:eastAsia="Times New Roman" w:hAnsi="Times New Roman" w:cs="Times New Roman"/>
                <w:bCs/>
                <w:lang w:eastAsia="pl-PL"/>
              </w:rPr>
            </w:pPr>
            <w:r w:rsidRPr="00B717F8">
              <w:rPr>
                <w:rFonts w:ascii="Times New Roman" w:eastAsia="Times New Roman" w:hAnsi="Times New Roman" w:cs="Times New Roman"/>
                <w:bCs/>
                <w:lang w:eastAsia="pl-PL"/>
              </w:rPr>
              <w:t>w trybie ustawy z dnia 23 maja 1991 r. o organizacjach pracodawców (Dz. U. z 2022 r. poz. 97): Konfederacji Lewiatan, Pracodawcom RP, Związkowi Pracodawców Business Centre Club, Związkowi Rzemiosła Polskiego, Związkowi Przedsiębiorców i Pracodawców oraz</w:t>
            </w:r>
            <w:r w:rsidRPr="00B717F8">
              <w:rPr>
                <w:rFonts w:ascii="Times New Roman" w:eastAsia="Times New Roman" w:hAnsi="Times New Roman" w:cs="Times New Roman"/>
                <w:lang w:eastAsia="pl-PL"/>
              </w:rPr>
              <w:t xml:space="preserve"> Federacji Przedsiębiorców Polskich</w:t>
            </w:r>
            <w:r w:rsidRPr="00B717F8">
              <w:rPr>
                <w:rFonts w:ascii="Times New Roman" w:eastAsia="Times New Roman" w:hAnsi="Times New Roman" w:cs="Times New Roman"/>
                <w:bCs/>
                <w:lang w:eastAsia="pl-PL"/>
              </w:rPr>
              <w:t xml:space="preserve">. </w:t>
            </w:r>
          </w:p>
          <w:p w14:paraId="4E3C3601" w14:textId="77777777" w:rsidR="0046164D" w:rsidRPr="00B717F8" w:rsidRDefault="0046164D" w:rsidP="0046164D">
            <w:pPr>
              <w:spacing w:after="0" w:line="240" w:lineRule="auto"/>
              <w:ind w:left="720"/>
              <w:jc w:val="both"/>
              <w:rPr>
                <w:rFonts w:ascii="Times New Roman" w:eastAsia="Times New Roman" w:hAnsi="Times New Roman" w:cs="Times New Roman"/>
                <w:bCs/>
                <w:lang w:eastAsia="pl-PL"/>
              </w:rPr>
            </w:pPr>
          </w:p>
          <w:p w14:paraId="76F0A3E5" w14:textId="77777777" w:rsidR="00903749" w:rsidRPr="00B717F8" w:rsidRDefault="0066168A" w:rsidP="008C009A">
            <w:pPr>
              <w:spacing w:line="240" w:lineRule="auto"/>
              <w:jc w:val="both"/>
              <w:rPr>
                <w:rFonts w:ascii="Times New Roman" w:hAnsi="Times New Roman" w:cs="Times New Roman"/>
                <w:lang w:eastAsia="pl-PL"/>
              </w:rPr>
            </w:pPr>
            <w:r w:rsidRPr="00B717F8">
              <w:rPr>
                <w:rFonts w:ascii="Times New Roman" w:eastAsia="Times New Roman" w:hAnsi="Times New Roman" w:cs="Times New Roman"/>
                <w:bCs/>
                <w:lang w:eastAsia="pl-PL"/>
              </w:rPr>
              <w:t xml:space="preserve">Zostanie on również przedstawiony Radzie Dialogu Społecznego na podstawie przepisów </w:t>
            </w:r>
            <w:r w:rsidRPr="00B717F8">
              <w:rPr>
                <w:rFonts w:ascii="Times New Roman" w:hAnsi="Times New Roman" w:cs="Times New Roman"/>
                <w:shd w:val="clear" w:color="auto" w:fill="FFFFFF"/>
              </w:rPr>
              <w:t xml:space="preserve">ustawy z dnia 24 lipca 2015 r. </w:t>
            </w:r>
            <w:r w:rsidRPr="00B717F8">
              <w:rPr>
                <w:rFonts w:ascii="Times New Roman" w:hAnsi="Times New Roman" w:cs="Times New Roman"/>
                <w:shd w:val="clear" w:color="auto" w:fill="FFFFFF"/>
              </w:rPr>
              <w:br/>
              <w:t xml:space="preserve">o Radzie Dialogu Społecznego i innych instytucjach dialogu społecznego (Dz. U. z 2018 r. poz. 2232, z </w:t>
            </w:r>
            <w:proofErr w:type="spellStart"/>
            <w:r w:rsidRPr="00B717F8">
              <w:rPr>
                <w:rFonts w:ascii="Times New Roman" w:hAnsi="Times New Roman" w:cs="Times New Roman"/>
                <w:shd w:val="clear" w:color="auto" w:fill="FFFFFF"/>
              </w:rPr>
              <w:t>późn</w:t>
            </w:r>
            <w:proofErr w:type="spellEnd"/>
            <w:r w:rsidRPr="00B717F8">
              <w:rPr>
                <w:rFonts w:ascii="Times New Roman" w:hAnsi="Times New Roman" w:cs="Times New Roman"/>
                <w:shd w:val="clear" w:color="auto" w:fill="FFFFFF"/>
              </w:rPr>
              <w:t>. zm.). </w:t>
            </w:r>
          </w:p>
          <w:p w14:paraId="08CC78BD" w14:textId="77777777" w:rsidR="00903749" w:rsidRPr="00B717F8" w:rsidRDefault="008C009A" w:rsidP="00D60307">
            <w:pPr>
              <w:spacing w:after="0" w:line="240" w:lineRule="auto"/>
              <w:jc w:val="both"/>
              <w:rPr>
                <w:rFonts w:ascii="Times New Roman" w:eastAsia="Calibri" w:hAnsi="Times New Roman" w:cs="Times New Roman"/>
                <w:spacing w:val="-2"/>
              </w:rPr>
            </w:pPr>
            <w:r w:rsidRPr="00B717F8">
              <w:rPr>
                <w:rFonts w:ascii="Times New Roman" w:eastAsia="Calibri" w:hAnsi="Times New Roman" w:cs="Times New Roman"/>
                <w:spacing w:val="-2"/>
              </w:rPr>
              <w:t xml:space="preserve">Projekt zostanie </w:t>
            </w:r>
            <w:r w:rsidR="00281A8B" w:rsidRPr="00B717F8">
              <w:rPr>
                <w:rFonts w:ascii="Times New Roman" w:eastAsia="Calibri" w:hAnsi="Times New Roman" w:cs="Times New Roman"/>
                <w:spacing w:val="-2"/>
              </w:rPr>
              <w:t xml:space="preserve">także przekazany </w:t>
            </w:r>
            <w:r w:rsidR="00903749" w:rsidRPr="00B717F8">
              <w:rPr>
                <w:rFonts w:ascii="Times New Roman" w:eastAsia="Calibri" w:hAnsi="Times New Roman" w:cs="Times New Roman"/>
                <w:spacing w:val="-2"/>
              </w:rPr>
              <w:t>do zaopiniowania:</w:t>
            </w:r>
          </w:p>
          <w:p w14:paraId="2740978B" w14:textId="265D4A59" w:rsidR="00903749" w:rsidRPr="00B717F8" w:rsidRDefault="00903749" w:rsidP="00EA2671">
            <w:pPr>
              <w:numPr>
                <w:ilvl w:val="0"/>
                <w:numId w:val="5"/>
              </w:numPr>
              <w:spacing w:after="0" w:line="240" w:lineRule="auto"/>
              <w:jc w:val="both"/>
              <w:rPr>
                <w:rFonts w:ascii="Times New Roman" w:eastAsia="Calibri" w:hAnsi="Times New Roman" w:cs="Times New Roman"/>
                <w:spacing w:val="-2"/>
              </w:rPr>
            </w:pPr>
            <w:r w:rsidRPr="00EA2671">
              <w:rPr>
                <w:rFonts w:ascii="Times New Roman" w:eastAsia="Times New Roman" w:hAnsi="Times New Roman" w:cs="Times New Roman"/>
                <w:bCs/>
                <w:lang w:eastAsia="pl-PL"/>
              </w:rPr>
              <w:t>Prezesowi</w:t>
            </w:r>
            <w:r w:rsidRPr="00B717F8">
              <w:rPr>
                <w:rFonts w:ascii="Times New Roman" w:eastAsia="Calibri" w:hAnsi="Times New Roman" w:cs="Times New Roman"/>
                <w:spacing w:val="-2"/>
              </w:rPr>
              <w:t xml:space="preserve"> Zakładu Ubezpieczeń Społecznych,</w:t>
            </w:r>
          </w:p>
          <w:p w14:paraId="740281C4" w14:textId="56377510" w:rsidR="00903749" w:rsidRPr="00B717F8" w:rsidRDefault="00903749" w:rsidP="00EA2671">
            <w:pPr>
              <w:numPr>
                <w:ilvl w:val="0"/>
                <w:numId w:val="5"/>
              </w:numPr>
              <w:spacing w:after="0" w:line="240" w:lineRule="auto"/>
              <w:jc w:val="both"/>
              <w:rPr>
                <w:rFonts w:ascii="Times New Roman" w:eastAsia="Calibri" w:hAnsi="Times New Roman" w:cs="Times New Roman"/>
                <w:spacing w:val="-2"/>
              </w:rPr>
            </w:pPr>
            <w:r w:rsidRPr="00EA2671">
              <w:rPr>
                <w:rFonts w:ascii="Times New Roman" w:eastAsia="Times New Roman" w:hAnsi="Times New Roman" w:cs="Times New Roman"/>
                <w:bCs/>
                <w:lang w:eastAsia="pl-PL"/>
              </w:rPr>
              <w:t>Przewodniczącemu</w:t>
            </w:r>
            <w:r w:rsidRPr="00B717F8">
              <w:rPr>
                <w:rFonts w:ascii="Times New Roman" w:eastAsia="Calibri" w:hAnsi="Times New Roman" w:cs="Times New Roman"/>
                <w:spacing w:val="-2"/>
              </w:rPr>
              <w:t xml:space="preserve"> Rady Nadzorczej Zakładu Ubezpieczeń Społecznych.</w:t>
            </w:r>
          </w:p>
          <w:p w14:paraId="1F3926FA" w14:textId="77777777" w:rsidR="008C009A" w:rsidRPr="00B717F8" w:rsidRDefault="008C009A" w:rsidP="00D60307">
            <w:pPr>
              <w:spacing w:after="0" w:line="240" w:lineRule="auto"/>
              <w:jc w:val="both"/>
              <w:rPr>
                <w:rFonts w:ascii="Times New Roman" w:eastAsia="Calibri" w:hAnsi="Times New Roman" w:cs="Times New Roman"/>
                <w:spacing w:val="-2"/>
              </w:rPr>
            </w:pPr>
          </w:p>
          <w:p w14:paraId="6E991883" w14:textId="77777777" w:rsidR="00CA3E86" w:rsidRPr="00B717F8" w:rsidRDefault="00281A8B" w:rsidP="00BC424B">
            <w:pPr>
              <w:spacing w:after="0" w:line="240" w:lineRule="auto"/>
              <w:jc w:val="both"/>
              <w:rPr>
                <w:rFonts w:ascii="Times New Roman" w:hAnsi="Times New Roman" w:cs="Times New Roman"/>
                <w:spacing w:val="-2"/>
              </w:rPr>
            </w:pPr>
            <w:r w:rsidRPr="00B717F8">
              <w:rPr>
                <w:rFonts w:ascii="Times New Roman" w:hAnsi="Times New Roman" w:cs="Times New Roman"/>
                <w:spacing w:val="-2"/>
              </w:rPr>
              <w:t xml:space="preserve">Projekt rozporządzenia </w:t>
            </w:r>
            <w:r w:rsidRPr="00B717F8">
              <w:rPr>
                <w:rFonts w:ascii="Times New Roman" w:hAnsi="Times New Roman" w:cs="Times New Roman"/>
                <w:lang w:eastAsia="pl-PL"/>
              </w:rPr>
              <w:t>zostanie</w:t>
            </w:r>
            <w:r w:rsidRPr="00B717F8">
              <w:rPr>
                <w:rFonts w:ascii="Times New Roman" w:hAnsi="Times New Roman" w:cs="Times New Roman"/>
                <w:spacing w:val="-2"/>
              </w:rPr>
              <w:t xml:space="preserve"> udostępniony w Biuletynie Informacji Publicznej na stronie podmiotowej Ministra Rodziny </w:t>
            </w:r>
            <w:r w:rsidRPr="00B717F8">
              <w:rPr>
                <w:rFonts w:ascii="Times New Roman" w:hAnsi="Times New Roman" w:cs="Times New Roman"/>
                <w:spacing w:val="-2"/>
              </w:rPr>
              <w:br/>
              <w:t>i Polityki Społecznej, zgodnie z art. 5 ustawy z dnia 7 lipca 2005 r. o działalności lobbingowej w procesie stanowienia prawa (Dz. U. z 2</w:t>
            </w:r>
            <w:r w:rsidR="00CA3E86" w:rsidRPr="00B717F8">
              <w:rPr>
                <w:rFonts w:ascii="Times New Roman" w:hAnsi="Times New Roman" w:cs="Times New Roman"/>
                <w:spacing w:val="-2"/>
              </w:rPr>
              <w:t>017 r. poz. 248).</w:t>
            </w:r>
          </w:p>
          <w:p w14:paraId="59C699D7" w14:textId="77777777" w:rsidR="009D6FD5" w:rsidRDefault="00281A8B" w:rsidP="003C1E59">
            <w:pPr>
              <w:spacing w:after="0" w:line="240" w:lineRule="auto"/>
              <w:jc w:val="both"/>
              <w:rPr>
                <w:rFonts w:ascii="Times New Roman" w:hAnsi="Times New Roman" w:cs="Times New Roman"/>
                <w:spacing w:val="-2"/>
              </w:rPr>
            </w:pPr>
            <w:r w:rsidRPr="00B717F8">
              <w:rPr>
                <w:rFonts w:ascii="Times New Roman" w:hAnsi="Times New Roman" w:cs="Times New Roman"/>
                <w:spacing w:val="-2"/>
              </w:rPr>
              <w:t xml:space="preserve">Projekt rozporządzenia </w:t>
            </w:r>
            <w:r w:rsidRPr="00B717F8">
              <w:rPr>
                <w:rFonts w:ascii="Times New Roman" w:hAnsi="Times New Roman" w:cs="Times New Roman"/>
                <w:lang w:eastAsia="pl-PL"/>
              </w:rPr>
              <w:t>zostanie</w:t>
            </w:r>
            <w:r w:rsidRPr="00B717F8">
              <w:rPr>
                <w:rFonts w:ascii="Times New Roman" w:hAnsi="Times New Roman" w:cs="Times New Roman"/>
                <w:spacing w:val="-2"/>
              </w:rPr>
              <w:t xml:space="preserve"> udostępniony również w Biuletynie Informacji Publicznej na stronie podmiotowej Rządowego Centrum Legislacji w serwisie Rządowy Proces Legislacyjny, zgodnie z § 52 ust. 1 uchwały nr 190 Rady Ministrów z dnia 29 października 2013 r. – Regulamin pracy Rady Ministrów (M.P. z 2022 r. poz. 348).</w:t>
            </w:r>
            <w:r w:rsidRPr="00B717F8" w:rsidDel="00E627CD">
              <w:rPr>
                <w:rFonts w:ascii="Times New Roman" w:hAnsi="Times New Roman" w:cs="Times New Roman"/>
                <w:spacing w:val="-2"/>
              </w:rPr>
              <w:t xml:space="preserve"> </w:t>
            </w:r>
          </w:p>
          <w:p w14:paraId="024E55AD" w14:textId="223EAEDA" w:rsidR="003A1943" w:rsidRPr="00B717F8" w:rsidRDefault="003A1943" w:rsidP="003C1E59">
            <w:pPr>
              <w:spacing w:after="0" w:line="240" w:lineRule="auto"/>
              <w:jc w:val="both"/>
              <w:rPr>
                <w:rFonts w:ascii="Times New Roman" w:hAnsi="Times New Roman" w:cs="Times New Roman"/>
                <w:spacing w:val="-2"/>
              </w:rPr>
            </w:pPr>
          </w:p>
        </w:tc>
      </w:tr>
    </w:tbl>
    <w:p w14:paraId="41F82C47" w14:textId="77777777" w:rsidR="00903749" w:rsidRPr="00B717F8" w:rsidRDefault="00903749" w:rsidP="00903749">
      <w:pPr>
        <w:spacing w:after="0" w:line="276" w:lineRule="auto"/>
        <w:rPr>
          <w:rFonts w:ascii="Times New Roman" w:eastAsia="Calibri" w:hAnsi="Times New Roman" w:cs="Times New Roman"/>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
        <w:gridCol w:w="761"/>
        <w:gridCol w:w="786"/>
        <w:gridCol w:w="441"/>
        <w:gridCol w:w="345"/>
        <w:gridCol w:w="87"/>
        <w:gridCol w:w="699"/>
        <w:gridCol w:w="258"/>
        <w:gridCol w:w="528"/>
        <w:gridCol w:w="395"/>
        <w:gridCol w:w="391"/>
        <w:gridCol w:w="527"/>
        <w:gridCol w:w="20"/>
        <w:gridCol w:w="239"/>
        <w:gridCol w:w="295"/>
        <w:gridCol w:w="403"/>
        <w:gridCol w:w="88"/>
        <w:gridCol w:w="786"/>
        <w:gridCol w:w="64"/>
        <w:gridCol w:w="722"/>
        <w:gridCol w:w="217"/>
        <w:gridCol w:w="570"/>
        <w:gridCol w:w="879"/>
      </w:tblGrid>
      <w:tr w:rsidR="00B717F8" w:rsidRPr="00B717F8" w14:paraId="46307D6E" w14:textId="77777777" w:rsidTr="00CA01A9">
        <w:trPr>
          <w:trHeight w:val="363"/>
        </w:trPr>
        <w:tc>
          <w:tcPr>
            <w:tcW w:w="11086" w:type="dxa"/>
            <w:gridSpan w:val="24"/>
            <w:shd w:val="clear" w:color="auto" w:fill="99CCFF"/>
            <w:vAlign w:val="center"/>
          </w:tcPr>
          <w:p w14:paraId="68C7706A" w14:textId="77777777" w:rsidR="00903749" w:rsidRPr="00B717F8" w:rsidRDefault="00903749" w:rsidP="00D60307">
            <w:pPr>
              <w:numPr>
                <w:ilvl w:val="0"/>
                <w:numId w:val="1"/>
              </w:numPr>
              <w:spacing w:before="60" w:after="60" w:line="240" w:lineRule="auto"/>
              <w:ind w:left="318" w:hanging="284"/>
              <w:jc w:val="both"/>
              <w:rPr>
                <w:rFonts w:ascii="Times New Roman" w:eastAsia="Calibri" w:hAnsi="Times New Roman" w:cs="Times New Roman"/>
                <w:b/>
              </w:rPr>
            </w:pPr>
            <w:r w:rsidRPr="00B717F8">
              <w:rPr>
                <w:rFonts w:ascii="Times New Roman" w:eastAsia="Calibri" w:hAnsi="Times New Roman" w:cs="Times New Roman"/>
                <w:b/>
              </w:rPr>
              <w:t xml:space="preserve"> Wpływ na sektor finansów publicznych</w:t>
            </w:r>
          </w:p>
        </w:tc>
      </w:tr>
      <w:tr w:rsidR="00B717F8" w:rsidRPr="00B717F8" w14:paraId="73174F91" w14:textId="77777777" w:rsidTr="00CA01A9">
        <w:trPr>
          <w:trHeight w:val="142"/>
        </w:trPr>
        <w:tc>
          <w:tcPr>
            <w:tcW w:w="1560" w:type="dxa"/>
            <w:vMerge w:val="restart"/>
            <w:shd w:val="clear" w:color="auto" w:fill="FFFFFF"/>
          </w:tcPr>
          <w:p w14:paraId="4D48C684" w14:textId="77777777" w:rsidR="00903749" w:rsidRPr="00B717F8" w:rsidRDefault="00903749" w:rsidP="00D60307">
            <w:pPr>
              <w:spacing w:before="40" w:after="40" w:line="276" w:lineRule="auto"/>
              <w:rPr>
                <w:rFonts w:ascii="Times New Roman" w:eastAsia="Calibri" w:hAnsi="Times New Roman" w:cs="Times New Roman"/>
                <w:i/>
              </w:rPr>
            </w:pPr>
            <w:r w:rsidRPr="00B717F8">
              <w:rPr>
                <w:rFonts w:ascii="Times New Roman" w:eastAsia="Calibri" w:hAnsi="Times New Roman" w:cs="Times New Roman"/>
              </w:rPr>
              <w:t>(ceny bieżące)</w:t>
            </w:r>
          </w:p>
        </w:tc>
        <w:tc>
          <w:tcPr>
            <w:tcW w:w="9526" w:type="dxa"/>
            <w:gridSpan w:val="23"/>
            <w:shd w:val="clear" w:color="auto" w:fill="FFFFFF"/>
          </w:tcPr>
          <w:p w14:paraId="7BF4A2D2" w14:textId="77777777" w:rsidR="00903749" w:rsidRPr="00B717F8" w:rsidRDefault="00903749" w:rsidP="00D60307">
            <w:pPr>
              <w:spacing w:before="40" w:after="40" w:line="240" w:lineRule="auto"/>
              <w:jc w:val="center"/>
              <w:rPr>
                <w:rFonts w:ascii="Times New Roman" w:eastAsia="Calibri" w:hAnsi="Times New Roman" w:cs="Times New Roman"/>
                <w:i/>
                <w:spacing w:val="-2"/>
              </w:rPr>
            </w:pPr>
            <w:r w:rsidRPr="00B717F8">
              <w:rPr>
                <w:rFonts w:ascii="Times New Roman" w:eastAsia="Calibri" w:hAnsi="Times New Roman" w:cs="Times New Roman"/>
              </w:rPr>
              <w:t>Skutki w okresie 10 lat od wejścia w życie zmian [mln zł]</w:t>
            </w:r>
          </w:p>
        </w:tc>
      </w:tr>
      <w:tr w:rsidR="00B717F8" w:rsidRPr="00B717F8" w14:paraId="1ADE222B" w14:textId="77777777" w:rsidTr="00CA01A9">
        <w:trPr>
          <w:trHeight w:val="142"/>
        </w:trPr>
        <w:tc>
          <w:tcPr>
            <w:tcW w:w="1560" w:type="dxa"/>
            <w:vMerge/>
            <w:shd w:val="clear" w:color="auto" w:fill="FFFFFF"/>
          </w:tcPr>
          <w:p w14:paraId="6054627D" w14:textId="77777777" w:rsidR="00903749" w:rsidRPr="00B717F8" w:rsidRDefault="00903749" w:rsidP="00D60307">
            <w:pPr>
              <w:spacing w:before="40" w:after="40" w:line="240" w:lineRule="auto"/>
              <w:rPr>
                <w:rFonts w:ascii="Times New Roman" w:eastAsia="Calibri" w:hAnsi="Times New Roman" w:cs="Times New Roman"/>
                <w:i/>
              </w:rPr>
            </w:pPr>
          </w:p>
        </w:tc>
        <w:tc>
          <w:tcPr>
            <w:tcW w:w="786" w:type="dxa"/>
            <w:gridSpan w:val="2"/>
            <w:shd w:val="clear" w:color="auto" w:fill="FFFFFF"/>
            <w:vAlign w:val="center"/>
          </w:tcPr>
          <w:p w14:paraId="20533625"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786" w:type="dxa"/>
            <w:shd w:val="clear" w:color="auto" w:fill="FFFFFF"/>
            <w:vAlign w:val="center"/>
          </w:tcPr>
          <w:p w14:paraId="3350F006"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1</w:t>
            </w:r>
          </w:p>
        </w:tc>
        <w:tc>
          <w:tcPr>
            <w:tcW w:w="786" w:type="dxa"/>
            <w:gridSpan w:val="2"/>
            <w:shd w:val="clear" w:color="auto" w:fill="FFFFFF"/>
            <w:vAlign w:val="center"/>
          </w:tcPr>
          <w:p w14:paraId="4314F411"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2</w:t>
            </w:r>
          </w:p>
        </w:tc>
        <w:tc>
          <w:tcPr>
            <w:tcW w:w="786" w:type="dxa"/>
            <w:gridSpan w:val="2"/>
            <w:shd w:val="clear" w:color="auto" w:fill="FFFFFF"/>
            <w:vAlign w:val="center"/>
          </w:tcPr>
          <w:p w14:paraId="15E3FA82"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3</w:t>
            </w:r>
          </w:p>
        </w:tc>
        <w:tc>
          <w:tcPr>
            <w:tcW w:w="786" w:type="dxa"/>
            <w:gridSpan w:val="2"/>
            <w:shd w:val="clear" w:color="auto" w:fill="FFFFFF"/>
            <w:vAlign w:val="center"/>
          </w:tcPr>
          <w:p w14:paraId="660E07E5"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4</w:t>
            </w:r>
          </w:p>
        </w:tc>
        <w:tc>
          <w:tcPr>
            <w:tcW w:w="786" w:type="dxa"/>
            <w:gridSpan w:val="2"/>
            <w:shd w:val="clear" w:color="auto" w:fill="FFFFFF"/>
            <w:vAlign w:val="center"/>
          </w:tcPr>
          <w:p w14:paraId="4351BEA6"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5</w:t>
            </w:r>
          </w:p>
        </w:tc>
        <w:tc>
          <w:tcPr>
            <w:tcW w:w="786" w:type="dxa"/>
            <w:gridSpan w:val="3"/>
            <w:shd w:val="clear" w:color="auto" w:fill="FFFFFF"/>
            <w:vAlign w:val="center"/>
          </w:tcPr>
          <w:p w14:paraId="320BB3B5"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6</w:t>
            </w:r>
          </w:p>
        </w:tc>
        <w:tc>
          <w:tcPr>
            <w:tcW w:w="786" w:type="dxa"/>
            <w:gridSpan w:val="3"/>
            <w:shd w:val="clear" w:color="auto" w:fill="FFFFFF"/>
            <w:vAlign w:val="center"/>
          </w:tcPr>
          <w:p w14:paraId="05F9F296"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7</w:t>
            </w:r>
          </w:p>
        </w:tc>
        <w:tc>
          <w:tcPr>
            <w:tcW w:w="786" w:type="dxa"/>
            <w:shd w:val="clear" w:color="auto" w:fill="FFFFFF"/>
            <w:vAlign w:val="center"/>
          </w:tcPr>
          <w:p w14:paraId="60DC1113"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8</w:t>
            </w:r>
          </w:p>
        </w:tc>
        <w:tc>
          <w:tcPr>
            <w:tcW w:w="786" w:type="dxa"/>
            <w:gridSpan w:val="2"/>
            <w:shd w:val="clear" w:color="auto" w:fill="FFFFFF"/>
            <w:vAlign w:val="center"/>
          </w:tcPr>
          <w:p w14:paraId="7587E2A9"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9</w:t>
            </w:r>
          </w:p>
        </w:tc>
        <w:tc>
          <w:tcPr>
            <w:tcW w:w="787" w:type="dxa"/>
            <w:gridSpan w:val="2"/>
            <w:shd w:val="clear" w:color="auto" w:fill="FFFFFF"/>
            <w:vAlign w:val="center"/>
          </w:tcPr>
          <w:p w14:paraId="790F68A6"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10</w:t>
            </w:r>
          </w:p>
        </w:tc>
        <w:tc>
          <w:tcPr>
            <w:tcW w:w="879" w:type="dxa"/>
            <w:shd w:val="clear" w:color="auto" w:fill="FFFFFF"/>
            <w:vAlign w:val="center"/>
          </w:tcPr>
          <w:p w14:paraId="5F2EA0DD" w14:textId="77777777" w:rsidR="00903749" w:rsidRPr="00B717F8" w:rsidRDefault="00903749" w:rsidP="00D60307">
            <w:pPr>
              <w:spacing w:before="40" w:after="40" w:line="240" w:lineRule="auto"/>
              <w:jc w:val="center"/>
              <w:rPr>
                <w:rFonts w:ascii="Times New Roman" w:eastAsia="Calibri" w:hAnsi="Times New Roman" w:cs="Times New Roman"/>
                <w:i/>
                <w:spacing w:val="-2"/>
              </w:rPr>
            </w:pPr>
            <w:r w:rsidRPr="00B717F8">
              <w:rPr>
                <w:rFonts w:ascii="Times New Roman" w:eastAsia="Calibri" w:hAnsi="Times New Roman" w:cs="Times New Roman"/>
                <w:i/>
                <w:spacing w:val="-2"/>
              </w:rPr>
              <w:t>Łącznie (0-10)</w:t>
            </w:r>
          </w:p>
        </w:tc>
      </w:tr>
      <w:tr w:rsidR="00B717F8" w:rsidRPr="00B717F8" w14:paraId="498A2C18" w14:textId="77777777" w:rsidTr="006C3B53">
        <w:trPr>
          <w:trHeight w:val="321"/>
        </w:trPr>
        <w:tc>
          <w:tcPr>
            <w:tcW w:w="1560" w:type="dxa"/>
            <w:shd w:val="clear" w:color="auto" w:fill="FFFFFF"/>
            <w:vAlign w:val="center"/>
          </w:tcPr>
          <w:p w14:paraId="56D183F7" w14:textId="77777777" w:rsidR="003B2C34" w:rsidRPr="00B717F8" w:rsidRDefault="003B2C34" w:rsidP="003B2C34">
            <w:pPr>
              <w:spacing w:after="0" w:line="240" w:lineRule="auto"/>
              <w:rPr>
                <w:rFonts w:ascii="Times New Roman" w:eastAsia="Calibri" w:hAnsi="Times New Roman" w:cs="Times New Roman"/>
              </w:rPr>
            </w:pPr>
            <w:r w:rsidRPr="00B717F8">
              <w:rPr>
                <w:rFonts w:ascii="Times New Roman" w:eastAsia="Calibri" w:hAnsi="Times New Roman" w:cs="Times New Roman"/>
                <w:b/>
              </w:rPr>
              <w:t>Dochody ogółem (1)(2)</w:t>
            </w:r>
          </w:p>
        </w:tc>
        <w:tc>
          <w:tcPr>
            <w:tcW w:w="786" w:type="dxa"/>
            <w:gridSpan w:val="2"/>
            <w:shd w:val="clear" w:color="auto" w:fill="FFFFFF"/>
            <w:vAlign w:val="center"/>
          </w:tcPr>
          <w:p w14:paraId="3EC08B59" w14:textId="77777777"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0</w:t>
            </w:r>
          </w:p>
        </w:tc>
        <w:tc>
          <w:tcPr>
            <w:tcW w:w="786" w:type="dxa"/>
            <w:shd w:val="clear" w:color="auto" w:fill="FFFFFF"/>
            <w:vAlign w:val="bottom"/>
          </w:tcPr>
          <w:p w14:paraId="7BAEAF64" w14:textId="74E4FD81"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-5</w:t>
            </w:r>
            <w:r w:rsidR="006428B4">
              <w:rPr>
                <w:rFonts w:ascii="Times New Roman" w:hAnsi="Times New Roman" w:cs="Times New Roman"/>
              </w:rPr>
              <w:t>4</w:t>
            </w:r>
          </w:p>
        </w:tc>
        <w:tc>
          <w:tcPr>
            <w:tcW w:w="786" w:type="dxa"/>
            <w:gridSpan w:val="2"/>
            <w:shd w:val="clear" w:color="auto" w:fill="FFFFFF"/>
            <w:vAlign w:val="bottom"/>
          </w:tcPr>
          <w:p w14:paraId="778B9C44" w14:textId="2079F7E3"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-2</w:t>
            </w:r>
            <w:r w:rsidR="006428B4">
              <w:rPr>
                <w:rFonts w:ascii="Times New Roman" w:hAnsi="Times New Roman" w:cs="Times New Roman"/>
              </w:rPr>
              <w:t>17</w:t>
            </w:r>
          </w:p>
        </w:tc>
        <w:tc>
          <w:tcPr>
            <w:tcW w:w="786" w:type="dxa"/>
            <w:gridSpan w:val="2"/>
            <w:shd w:val="clear" w:color="auto" w:fill="FFFFFF"/>
            <w:vAlign w:val="bottom"/>
          </w:tcPr>
          <w:p w14:paraId="41F6D02B" w14:textId="1785D2B2"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-2</w:t>
            </w:r>
            <w:r w:rsidR="006428B4">
              <w:rPr>
                <w:rFonts w:ascii="Times New Roman" w:hAnsi="Times New Roman" w:cs="Times New Roman"/>
              </w:rPr>
              <w:t>17</w:t>
            </w:r>
          </w:p>
        </w:tc>
        <w:tc>
          <w:tcPr>
            <w:tcW w:w="786" w:type="dxa"/>
            <w:gridSpan w:val="2"/>
            <w:shd w:val="clear" w:color="auto" w:fill="FFFFFF"/>
            <w:vAlign w:val="bottom"/>
          </w:tcPr>
          <w:p w14:paraId="349CD804" w14:textId="3A92C36E"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-2</w:t>
            </w:r>
            <w:r w:rsidR="006428B4">
              <w:rPr>
                <w:rFonts w:ascii="Times New Roman" w:hAnsi="Times New Roman" w:cs="Times New Roman"/>
              </w:rPr>
              <w:t>17</w:t>
            </w:r>
          </w:p>
        </w:tc>
        <w:tc>
          <w:tcPr>
            <w:tcW w:w="786" w:type="dxa"/>
            <w:gridSpan w:val="2"/>
            <w:shd w:val="clear" w:color="auto" w:fill="FFFFFF"/>
            <w:vAlign w:val="bottom"/>
          </w:tcPr>
          <w:p w14:paraId="0017D57E" w14:textId="193A3837" w:rsidR="003B2C34" w:rsidRPr="00B717F8" w:rsidRDefault="003B2C34" w:rsidP="003B2C34">
            <w:pPr>
              <w:spacing w:after="0"/>
              <w:jc w:val="center"/>
              <w:rPr>
                <w:rFonts w:ascii="Times New Roman" w:hAnsi="Times New Roman" w:cs="Times New Roman"/>
                <w:highlight w:val="yellow"/>
              </w:rPr>
            </w:pPr>
            <w:r w:rsidRPr="00B717F8">
              <w:rPr>
                <w:rFonts w:ascii="Times New Roman" w:hAnsi="Times New Roman" w:cs="Times New Roman"/>
              </w:rPr>
              <w:t>-2</w:t>
            </w:r>
            <w:r w:rsidR="006428B4">
              <w:rPr>
                <w:rFonts w:ascii="Times New Roman" w:hAnsi="Times New Roman" w:cs="Times New Roman"/>
              </w:rPr>
              <w:t>17</w:t>
            </w:r>
          </w:p>
        </w:tc>
        <w:tc>
          <w:tcPr>
            <w:tcW w:w="786" w:type="dxa"/>
            <w:gridSpan w:val="3"/>
            <w:shd w:val="clear" w:color="auto" w:fill="FFFFFF"/>
            <w:vAlign w:val="bottom"/>
          </w:tcPr>
          <w:p w14:paraId="2D65F38E" w14:textId="130C8FAE"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-2</w:t>
            </w:r>
            <w:r w:rsidR="006428B4">
              <w:rPr>
                <w:rFonts w:ascii="Times New Roman" w:hAnsi="Times New Roman" w:cs="Times New Roman"/>
              </w:rPr>
              <w:t>17</w:t>
            </w:r>
          </w:p>
        </w:tc>
        <w:tc>
          <w:tcPr>
            <w:tcW w:w="786" w:type="dxa"/>
            <w:gridSpan w:val="3"/>
            <w:shd w:val="clear" w:color="auto" w:fill="FFFFFF"/>
            <w:vAlign w:val="bottom"/>
          </w:tcPr>
          <w:p w14:paraId="3B3D4B94" w14:textId="183A3A16"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-2</w:t>
            </w:r>
            <w:r w:rsidR="006428B4">
              <w:rPr>
                <w:rFonts w:ascii="Times New Roman" w:hAnsi="Times New Roman" w:cs="Times New Roman"/>
              </w:rPr>
              <w:t>17</w:t>
            </w:r>
          </w:p>
        </w:tc>
        <w:tc>
          <w:tcPr>
            <w:tcW w:w="786" w:type="dxa"/>
            <w:shd w:val="clear" w:color="auto" w:fill="FFFFFF"/>
            <w:vAlign w:val="bottom"/>
          </w:tcPr>
          <w:p w14:paraId="39894EB3" w14:textId="16B96B51"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-2</w:t>
            </w:r>
            <w:r w:rsidR="006428B4">
              <w:rPr>
                <w:rFonts w:ascii="Times New Roman" w:hAnsi="Times New Roman" w:cs="Times New Roman"/>
              </w:rPr>
              <w:t>17</w:t>
            </w:r>
          </w:p>
        </w:tc>
        <w:tc>
          <w:tcPr>
            <w:tcW w:w="786" w:type="dxa"/>
            <w:gridSpan w:val="2"/>
            <w:shd w:val="clear" w:color="auto" w:fill="FFFFFF"/>
            <w:vAlign w:val="bottom"/>
          </w:tcPr>
          <w:p w14:paraId="639CEC03" w14:textId="00AA6CE0"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-2</w:t>
            </w:r>
            <w:r w:rsidR="006428B4">
              <w:rPr>
                <w:rFonts w:ascii="Times New Roman" w:hAnsi="Times New Roman" w:cs="Times New Roman"/>
              </w:rPr>
              <w:t>17</w:t>
            </w:r>
          </w:p>
        </w:tc>
        <w:tc>
          <w:tcPr>
            <w:tcW w:w="787" w:type="dxa"/>
            <w:gridSpan w:val="2"/>
            <w:shd w:val="clear" w:color="auto" w:fill="FFFFFF"/>
            <w:vAlign w:val="bottom"/>
          </w:tcPr>
          <w:p w14:paraId="161717C4" w14:textId="22F5CC15"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-2</w:t>
            </w:r>
            <w:r w:rsidR="006428B4">
              <w:rPr>
                <w:rFonts w:ascii="Times New Roman" w:hAnsi="Times New Roman" w:cs="Times New Roman"/>
              </w:rPr>
              <w:t>17</w:t>
            </w:r>
          </w:p>
        </w:tc>
        <w:tc>
          <w:tcPr>
            <w:tcW w:w="879" w:type="dxa"/>
            <w:shd w:val="clear" w:color="auto" w:fill="FFFFFF"/>
            <w:vAlign w:val="bottom"/>
          </w:tcPr>
          <w:p w14:paraId="0EF78A88" w14:textId="493EDBE6"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w:t>
            </w:r>
            <w:r w:rsidR="006428B4">
              <w:rPr>
                <w:rFonts w:ascii="Times New Roman" w:hAnsi="Times New Roman" w:cs="Times New Roman"/>
              </w:rPr>
              <w:t>2004</w:t>
            </w:r>
          </w:p>
        </w:tc>
      </w:tr>
      <w:tr w:rsidR="00B717F8" w:rsidRPr="00B717F8" w14:paraId="5FCCE0BD" w14:textId="77777777" w:rsidTr="00CA01A9">
        <w:trPr>
          <w:trHeight w:val="321"/>
        </w:trPr>
        <w:tc>
          <w:tcPr>
            <w:tcW w:w="1560" w:type="dxa"/>
            <w:shd w:val="clear" w:color="auto" w:fill="FFFFFF"/>
            <w:vAlign w:val="center"/>
          </w:tcPr>
          <w:p w14:paraId="54CA6065"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budżet państwa</w:t>
            </w:r>
          </w:p>
        </w:tc>
        <w:tc>
          <w:tcPr>
            <w:tcW w:w="786" w:type="dxa"/>
            <w:gridSpan w:val="2"/>
            <w:shd w:val="clear" w:color="auto" w:fill="FFFFFF"/>
            <w:vAlign w:val="center"/>
          </w:tcPr>
          <w:p w14:paraId="72E0EE10" w14:textId="77777777" w:rsidR="00903749" w:rsidRPr="00B717F8" w:rsidRDefault="00903749" w:rsidP="00D5397E">
            <w:pPr>
              <w:spacing w:after="0"/>
              <w:jc w:val="center"/>
              <w:rPr>
                <w:rFonts w:ascii="Times New Roman" w:hAnsi="Times New Roman" w:cs="Times New Roman"/>
              </w:rPr>
            </w:pPr>
            <w:r w:rsidRPr="00B717F8">
              <w:rPr>
                <w:rFonts w:ascii="Times New Roman" w:hAnsi="Times New Roman" w:cs="Times New Roman"/>
              </w:rPr>
              <w:t>0</w:t>
            </w:r>
          </w:p>
        </w:tc>
        <w:tc>
          <w:tcPr>
            <w:tcW w:w="786" w:type="dxa"/>
            <w:shd w:val="clear" w:color="auto" w:fill="FFFFFF"/>
            <w:vAlign w:val="center"/>
          </w:tcPr>
          <w:p w14:paraId="3A19C0D1" w14:textId="77777777" w:rsidR="00903749" w:rsidRPr="00B717F8" w:rsidRDefault="00903749" w:rsidP="00D5397E">
            <w:pPr>
              <w:spacing w:after="0"/>
              <w:jc w:val="center"/>
              <w:rPr>
                <w:rFonts w:ascii="Times New Roman" w:hAnsi="Times New Roman" w:cs="Times New Roman"/>
              </w:rPr>
            </w:pPr>
            <w:r w:rsidRPr="00B717F8">
              <w:rPr>
                <w:rFonts w:ascii="Times New Roman" w:hAnsi="Times New Roman" w:cs="Times New Roman"/>
              </w:rPr>
              <w:t>0</w:t>
            </w:r>
          </w:p>
        </w:tc>
        <w:tc>
          <w:tcPr>
            <w:tcW w:w="786" w:type="dxa"/>
            <w:gridSpan w:val="2"/>
            <w:shd w:val="clear" w:color="auto" w:fill="FFFFFF"/>
            <w:vAlign w:val="center"/>
          </w:tcPr>
          <w:p w14:paraId="0906E613"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68B519B4"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06A7EE14"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73652704" w14:textId="77777777" w:rsidR="00903749" w:rsidRPr="00B717F8" w:rsidRDefault="00903749"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0A96B5AC" w14:textId="77777777" w:rsidR="00903749" w:rsidRPr="00B717F8" w:rsidRDefault="00903749" w:rsidP="00D5397E">
            <w:pPr>
              <w:spacing w:after="0"/>
              <w:jc w:val="center"/>
              <w:rPr>
                <w:rFonts w:ascii="Times New Roman" w:hAnsi="Times New Roman" w:cs="Times New Roman"/>
              </w:rPr>
            </w:pPr>
          </w:p>
        </w:tc>
        <w:tc>
          <w:tcPr>
            <w:tcW w:w="786" w:type="dxa"/>
            <w:gridSpan w:val="3"/>
            <w:shd w:val="clear" w:color="auto" w:fill="FFFFFF"/>
            <w:vAlign w:val="center"/>
          </w:tcPr>
          <w:p w14:paraId="52C44CA4"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4FBD2284"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25E21438" w14:textId="77777777" w:rsidR="00903749" w:rsidRPr="00B717F8" w:rsidRDefault="00903749" w:rsidP="00D5397E">
            <w:pPr>
              <w:spacing w:after="0"/>
              <w:jc w:val="center"/>
              <w:rPr>
                <w:rFonts w:ascii="Times New Roman" w:hAnsi="Times New Roman" w:cs="Times New Roman"/>
              </w:rPr>
            </w:pPr>
          </w:p>
        </w:tc>
        <w:tc>
          <w:tcPr>
            <w:tcW w:w="787" w:type="dxa"/>
            <w:gridSpan w:val="2"/>
            <w:shd w:val="clear" w:color="auto" w:fill="FFFFFF"/>
            <w:vAlign w:val="center"/>
          </w:tcPr>
          <w:p w14:paraId="6D2E8241" w14:textId="77777777" w:rsidR="00903749" w:rsidRPr="00B717F8" w:rsidRDefault="00903749" w:rsidP="00D5397E">
            <w:pPr>
              <w:spacing w:after="0"/>
              <w:jc w:val="center"/>
              <w:rPr>
                <w:rFonts w:ascii="Times New Roman" w:hAnsi="Times New Roman" w:cs="Times New Roman"/>
              </w:rPr>
            </w:pPr>
          </w:p>
        </w:tc>
        <w:tc>
          <w:tcPr>
            <w:tcW w:w="879" w:type="dxa"/>
            <w:shd w:val="clear" w:color="auto" w:fill="FFFFFF"/>
            <w:vAlign w:val="center"/>
          </w:tcPr>
          <w:p w14:paraId="2C47F69E" w14:textId="77777777" w:rsidR="00903749" w:rsidRPr="00B717F8" w:rsidRDefault="00903749" w:rsidP="00D5397E">
            <w:pPr>
              <w:spacing w:after="0"/>
              <w:jc w:val="center"/>
              <w:rPr>
                <w:rFonts w:ascii="Times New Roman" w:hAnsi="Times New Roman" w:cs="Times New Roman"/>
              </w:rPr>
            </w:pPr>
          </w:p>
        </w:tc>
      </w:tr>
      <w:tr w:rsidR="00B717F8" w:rsidRPr="00B717F8" w14:paraId="45815C53" w14:textId="77777777" w:rsidTr="00CA01A9">
        <w:trPr>
          <w:trHeight w:val="344"/>
        </w:trPr>
        <w:tc>
          <w:tcPr>
            <w:tcW w:w="1560" w:type="dxa"/>
            <w:shd w:val="clear" w:color="auto" w:fill="FFFFFF"/>
            <w:vAlign w:val="center"/>
          </w:tcPr>
          <w:p w14:paraId="51D6AE97"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JST</w:t>
            </w:r>
          </w:p>
        </w:tc>
        <w:tc>
          <w:tcPr>
            <w:tcW w:w="786" w:type="dxa"/>
            <w:gridSpan w:val="2"/>
            <w:shd w:val="clear" w:color="auto" w:fill="FFFFFF"/>
            <w:vAlign w:val="center"/>
          </w:tcPr>
          <w:p w14:paraId="33F4C154" w14:textId="77777777" w:rsidR="00903749" w:rsidRPr="00B717F8" w:rsidRDefault="00903749" w:rsidP="00D5397E">
            <w:pPr>
              <w:spacing w:after="0"/>
              <w:jc w:val="center"/>
              <w:rPr>
                <w:rFonts w:ascii="Times New Roman" w:hAnsi="Times New Roman" w:cs="Times New Roman"/>
              </w:rPr>
            </w:pPr>
            <w:r w:rsidRPr="00B717F8">
              <w:rPr>
                <w:rFonts w:ascii="Times New Roman" w:hAnsi="Times New Roman" w:cs="Times New Roman"/>
              </w:rPr>
              <w:t>0</w:t>
            </w:r>
          </w:p>
        </w:tc>
        <w:tc>
          <w:tcPr>
            <w:tcW w:w="786" w:type="dxa"/>
            <w:shd w:val="clear" w:color="auto" w:fill="FFFFFF"/>
            <w:vAlign w:val="center"/>
          </w:tcPr>
          <w:p w14:paraId="4FA991A0" w14:textId="77777777" w:rsidR="00903749" w:rsidRPr="00B717F8" w:rsidRDefault="00903749" w:rsidP="00D5397E">
            <w:pPr>
              <w:spacing w:after="0"/>
              <w:jc w:val="center"/>
              <w:rPr>
                <w:rFonts w:ascii="Times New Roman" w:hAnsi="Times New Roman" w:cs="Times New Roman"/>
              </w:rPr>
            </w:pPr>
            <w:r w:rsidRPr="00B717F8">
              <w:rPr>
                <w:rFonts w:ascii="Times New Roman" w:hAnsi="Times New Roman" w:cs="Times New Roman"/>
              </w:rPr>
              <w:t>0</w:t>
            </w:r>
          </w:p>
        </w:tc>
        <w:tc>
          <w:tcPr>
            <w:tcW w:w="786" w:type="dxa"/>
            <w:gridSpan w:val="2"/>
            <w:shd w:val="clear" w:color="auto" w:fill="FFFFFF"/>
            <w:vAlign w:val="center"/>
          </w:tcPr>
          <w:p w14:paraId="3744865C"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5AE34C17"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5CEAF1EF"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3C504706" w14:textId="77777777" w:rsidR="00903749" w:rsidRPr="00B717F8" w:rsidRDefault="00903749"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6EC18BEA" w14:textId="77777777" w:rsidR="00903749" w:rsidRPr="00B717F8" w:rsidRDefault="00903749" w:rsidP="00D5397E">
            <w:pPr>
              <w:spacing w:after="0"/>
              <w:jc w:val="center"/>
              <w:rPr>
                <w:rFonts w:ascii="Times New Roman" w:hAnsi="Times New Roman" w:cs="Times New Roman"/>
              </w:rPr>
            </w:pPr>
          </w:p>
        </w:tc>
        <w:tc>
          <w:tcPr>
            <w:tcW w:w="786" w:type="dxa"/>
            <w:gridSpan w:val="3"/>
            <w:shd w:val="clear" w:color="auto" w:fill="FFFFFF"/>
            <w:vAlign w:val="center"/>
          </w:tcPr>
          <w:p w14:paraId="12218EF1"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2C755BA4"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2D495CE0" w14:textId="77777777" w:rsidR="00903749" w:rsidRPr="00B717F8" w:rsidRDefault="00903749" w:rsidP="00D5397E">
            <w:pPr>
              <w:spacing w:after="0"/>
              <w:jc w:val="center"/>
              <w:rPr>
                <w:rFonts w:ascii="Times New Roman" w:hAnsi="Times New Roman" w:cs="Times New Roman"/>
              </w:rPr>
            </w:pPr>
          </w:p>
        </w:tc>
        <w:tc>
          <w:tcPr>
            <w:tcW w:w="787" w:type="dxa"/>
            <w:gridSpan w:val="2"/>
            <w:shd w:val="clear" w:color="auto" w:fill="FFFFFF"/>
            <w:vAlign w:val="center"/>
          </w:tcPr>
          <w:p w14:paraId="727CBCFD" w14:textId="77777777" w:rsidR="00903749" w:rsidRPr="00B717F8" w:rsidRDefault="00903749" w:rsidP="00D5397E">
            <w:pPr>
              <w:spacing w:after="0"/>
              <w:jc w:val="center"/>
              <w:rPr>
                <w:rFonts w:ascii="Times New Roman" w:hAnsi="Times New Roman" w:cs="Times New Roman"/>
              </w:rPr>
            </w:pPr>
          </w:p>
        </w:tc>
        <w:tc>
          <w:tcPr>
            <w:tcW w:w="879" w:type="dxa"/>
            <w:shd w:val="clear" w:color="auto" w:fill="FFFFFF"/>
            <w:vAlign w:val="center"/>
          </w:tcPr>
          <w:p w14:paraId="366B17EB" w14:textId="77777777" w:rsidR="00903749" w:rsidRPr="00B717F8" w:rsidRDefault="00903749" w:rsidP="00D5397E">
            <w:pPr>
              <w:spacing w:after="0"/>
              <w:jc w:val="center"/>
              <w:rPr>
                <w:rFonts w:ascii="Times New Roman" w:hAnsi="Times New Roman" w:cs="Times New Roman"/>
              </w:rPr>
            </w:pPr>
          </w:p>
        </w:tc>
      </w:tr>
      <w:tr w:rsidR="00B717F8" w:rsidRPr="00B717F8" w14:paraId="62C1B42E" w14:textId="77777777" w:rsidTr="00CA01A9">
        <w:trPr>
          <w:trHeight w:val="344"/>
        </w:trPr>
        <w:tc>
          <w:tcPr>
            <w:tcW w:w="1560" w:type="dxa"/>
            <w:shd w:val="clear" w:color="auto" w:fill="FFFFFF"/>
            <w:vAlign w:val="center"/>
          </w:tcPr>
          <w:p w14:paraId="0EBFC0B6" w14:textId="77777777" w:rsidR="00D60307" w:rsidRPr="00B717F8" w:rsidRDefault="00D60307"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pozostałe jednostki:</w:t>
            </w:r>
          </w:p>
        </w:tc>
        <w:tc>
          <w:tcPr>
            <w:tcW w:w="786" w:type="dxa"/>
            <w:gridSpan w:val="2"/>
            <w:shd w:val="clear" w:color="auto" w:fill="FFFFFF"/>
            <w:vAlign w:val="center"/>
          </w:tcPr>
          <w:p w14:paraId="6D50B073" w14:textId="77777777" w:rsidR="00D60307" w:rsidRPr="00B717F8" w:rsidRDefault="00D60307" w:rsidP="00D5397E">
            <w:pPr>
              <w:spacing w:after="0"/>
              <w:jc w:val="center"/>
              <w:rPr>
                <w:rFonts w:ascii="Times New Roman" w:hAnsi="Times New Roman" w:cs="Times New Roman"/>
              </w:rPr>
            </w:pPr>
          </w:p>
        </w:tc>
        <w:tc>
          <w:tcPr>
            <w:tcW w:w="786" w:type="dxa"/>
            <w:shd w:val="clear" w:color="auto" w:fill="FFFFFF"/>
            <w:vAlign w:val="center"/>
          </w:tcPr>
          <w:p w14:paraId="4B8E1DAB" w14:textId="77777777" w:rsidR="00D60307" w:rsidRPr="00B717F8" w:rsidRDefault="00D60307" w:rsidP="00D5397E">
            <w:pPr>
              <w:spacing w:after="0"/>
              <w:jc w:val="center"/>
              <w:rPr>
                <w:rFonts w:ascii="Times New Roman" w:hAnsi="Times New Roman" w:cs="Times New Roman"/>
              </w:rPr>
            </w:pPr>
          </w:p>
        </w:tc>
        <w:tc>
          <w:tcPr>
            <w:tcW w:w="786" w:type="dxa"/>
            <w:gridSpan w:val="2"/>
            <w:shd w:val="clear" w:color="auto" w:fill="FFFFFF"/>
            <w:vAlign w:val="center"/>
          </w:tcPr>
          <w:p w14:paraId="2615068F" w14:textId="77777777" w:rsidR="00D60307" w:rsidRPr="00B717F8" w:rsidRDefault="00D60307" w:rsidP="00D5397E">
            <w:pPr>
              <w:spacing w:after="0"/>
              <w:jc w:val="center"/>
              <w:rPr>
                <w:rFonts w:ascii="Times New Roman" w:hAnsi="Times New Roman" w:cs="Times New Roman"/>
              </w:rPr>
            </w:pPr>
          </w:p>
        </w:tc>
        <w:tc>
          <w:tcPr>
            <w:tcW w:w="786" w:type="dxa"/>
            <w:gridSpan w:val="2"/>
            <w:shd w:val="clear" w:color="auto" w:fill="FFFFFF"/>
            <w:vAlign w:val="center"/>
          </w:tcPr>
          <w:p w14:paraId="0FA962D6" w14:textId="77777777" w:rsidR="00D60307" w:rsidRPr="00B717F8" w:rsidRDefault="00D60307" w:rsidP="00D5397E">
            <w:pPr>
              <w:spacing w:after="0"/>
              <w:jc w:val="center"/>
              <w:rPr>
                <w:rFonts w:ascii="Times New Roman" w:hAnsi="Times New Roman" w:cs="Times New Roman"/>
              </w:rPr>
            </w:pPr>
          </w:p>
        </w:tc>
        <w:tc>
          <w:tcPr>
            <w:tcW w:w="786" w:type="dxa"/>
            <w:gridSpan w:val="2"/>
            <w:shd w:val="clear" w:color="auto" w:fill="FFFFFF"/>
            <w:vAlign w:val="center"/>
          </w:tcPr>
          <w:p w14:paraId="704158C5" w14:textId="77777777" w:rsidR="00D60307" w:rsidRPr="00B717F8" w:rsidRDefault="00D60307" w:rsidP="00D5397E">
            <w:pPr>
              <w:spacing w:after="0"/>
              <w:jc w:val="center"/>
              <w:rPr>
                <w:rFonts w:ascii="Times New Roman" w:hAnsi="Times New Roman" w:cs="Times New Roman"/>
              </w:rPr>
            </w:pPr>
          </w:p>
        </w:tc>
        <w:tc>
          <w:tcPr>
            <w:tcW w:w="786" w:type="dxa"/>
            <w:gridSpan w:val="2"/>
            <w:shd w:val="clear" w:color="auto" w:fill="FFFFFF"/>
            <w:vAlign w:val="center"/>
          </w:tcPr>
          <w:p w14:paraId="15F78424" w14:textId="77777777" w:rsidR="00D60307" w:rsidRPr="00B717F8" w:rsidRDefault="00D60307"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5395153F" w14:textId="77777777" w:rsidR="00D60307" w:rsidRPr="00B717F8" w:rsidRDefault="00D60307" w:rsidP="00D5397E">
            <w:pPr>
              <w:spacing w:after="0"/>
              <w:jc w:val="center"/>
              <w:rPr>
                <w:rFonts w:ascii="Times New Roman" w:hAnsi="Times New Roman" w:cs="Times New Roman"/>
              </w:rPr>
            </w:pPr>
          </w:p>
        </w:tc>
        <w:tc>
          <w:tcPr>
            <w:tcW w:w="786" w:type="dxa"/>
            <w:gridSpan w:val="3"/>
            <w:shd w:val="clear" w:color="auto" w:fill="FFFFFF"/>
            <w:vAlign w:val="center"/>
          </w:tcPr>
          <w:p w14:paraId="195CE642" w14:textId="77777777" w:rsidR="00D60307" w:rsidRPr="00B717F8" w:rsidRDefault="00D60307" w:rsidP="00D5397E">
            <w:pPr>
              <w:spacing w:after="0"/>
              <w:jc w:val="center"/>
              <w:rPr>
                <w:rFonts w:ascii="Times New Roman" w:hAnsi="Times New Roman" w:cs="Times New Roman"/>
              </w:rPr>
            </w:pPr>
          </w:p>
        </w:tc>
        <w:tc>
          <w:tcPr>
            <w:tcW w:w="786" w:type="dxa"/>
            <w:shd w:val="clear" w:color="auto" w:fill="FFFFFF"/>
            <w:vAlign w:val="center"/>
          </w:tcPr>
          <w:p w14:paraId="1BFA39AF" w14:textId="77777777" w:rsidR="00D60307" w:rsidRPr="00B717F8" w:rsidRDefault="00D60307" w:rsidP="00D5397E">
            <w:pPr>
              <w:spacing w:after="0"/>
              <w:jc w:val="center"/>
              <w:rPr>
                <w:rFonts w:ascii="Times New Roman" w:hAnsi="Times New Roman" w:cs="Times New Roman"/>
              </w:rPr>
            </w:pPr>
          </w:p>
        </w:tc>
        <w:tc>
          <w:tcPr>
            <w:tcW w:w="786" w:type="dxa"/>
            <w:gridSpan w:val="2"/>
            <w:shd w:val="clear" w:color="auto" w:fill="FFFFFF"/>
            <w:vAlign w:val="center"/>
          </w:tcPr>
          <w:p w14:paraId="6983C1E4" w14:textId="77777777" w:rsidR="00D60307" w:rsidRPr="00B717F8" w:rsidRDefault="00D60307" w:rsidP="00D5397E">
            <w:pPr>
              <w:spacing w:after="0"/>
              <w:jc w:val="center"/>
              <w:rPr>
                <w:rFonts w:ascii="Times New Roman" w:hAnsi="Times New Roman" w:cs="Times New Roman"/>
              </w:rPr>
            </w:pPr>
          </w:p>
        </w:tc>
        <w:tc>
          <w:tcPr>
            <w:tcW w:w="787" w:type="dxa"/>
            <w:gridSpan w:val="2"/>
            <w:shd w:val="clear" w:color="auto" w:fill="FFFFFF"/>
            <w:vAlign w:val="center"/>
          </w:tcPr>
          <w:p w14:paraId="7EB2476D" w14:textId="77777777" w:rsidR="00D60307" w:rsidRPr="00B717F8" w:rsidRDefault="00D60307" w:rsidP="00D5397E">
            <w:pPr>
              <w:spacing w:after="0"/>
              <w:jc w:val="center"/>
              <w:rPr>
                <w:rFonts w:ascii="Times New Roman" w:hAnsi="Times New Roman" w:cs="Times New Roman"/>
              </w:rPr>
            </w:pPr>
          </w:p>
        </w:tc>
        <w:tc>
          <w:tcPr>
            <w:tcW w:w="879" w:type="dxa"/>
            <w:shd w:val="clear" w:color="auto" w:fill="FFFFFF"/>
            <w:vAlign w:val="center"/>
          </w:tcPr>
          <w:p w14:paraId="186B2D9E" w14:textId="77777777" w:rsidR="00D60307" w:rsidRPr="00B717F8" w:rsidRDefault="00D60307" w:rsidP="00D5397E">
            <w:pPr>
              <w:spacing w:after="0"/>
              <w:jc w:val="center"/>
              <w:rPr>
                <w:rFonts w:ascii="Times New Roman" w:hAnsi="Times New Roman" w:cs="Times New Roman"/>
              </w:rPr>
            </w:pPr>
          </w:p>
        </w:tc>
      </w:tr>
      <w:tr w:rsidR="006428B4" w:rsidRPr="00B717F8" w14:paraId="59779A04" w14:textId="77777777" w:rsidTr="006C3B53">
        <w:trPr>
          <w:trHeight w:val="344"/>
        </w:trPr>
        <w:tc>
          <w:tcPr>
            <w:tcW w:w="1560" w:type="dxa"/>
            <w:shd w:val="clear" w:color="auto" w:fill="FFFFFF"/>
            <w:vAlign w:val="center"/>
          </w:tcPr>
          <w:p w14:paraId="3C2A21E0" w14:textId="77777777" w:rsidR="006428B4" w:rsidRPr="00B717F8" w:rsidRDefault="006428B4" w:rsidP="006428B4">
            <w:pPr>
              <w:spacing w:after="0" w:line="240" w:lineRule="auto"/>
              <w:rPr>
                <w:rFonts w:ascii="Times New Roman" w:eastAsia="Calibri" w:hAnsi="Times New Roman" w:cs="Times New Roman"/>
              </w:rPr>
            </w:pPr>
            <w:r w:rsidRPr="00B717F8">
              <w:rPr>
                <w:rFonts w:ascii="Times New Roman" w:eastAsia="Calibri" w:hAnsi="Times New Roman" w:cs="Times New Roman"/>
              </w:rPr>
              <w:t>- Fundusz Ubezpieczeń Społecznych</w:t>
            </w:r>
          </w:p>
        </w:tc>
        <w:tc>
          <w:tcPr>
            <w:tcW w:w="786" w:type="dxa"/>
            <w:gridSpan w:val="2"/>
            <w:shd w:val="clear" w:color="auto" w:fill="FFFFFF"/>
            <w:vAlign w:val="center"/>
          </w:tcPr>
          <w:p w14:paraId="37626E0F" w14:textId="77777777"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0</w:t>
            </w:r>
          </w:p>
        </w:tc>
        <w:tc>
          <w:tcPr>
            <w:tcW w:w="786" w:type="dxa"/>
            <w:shd w:val="clear" w:color="auto" w:fill="FFFFFF"/>
            <w:vAlign w:val="bottom"/>
          </w:tcPr>
          <w:p w14:paraId="56250D90" w14:textId="05D957E2"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-5</w:t>
            </w:r>
            <w:r>
              <w:rPr>
                <w:rFonts w:ascii="Times New Roman" w:hAnsi="Times New Roman" w:cs="Times New Roman"/>
              </w:rPr>
              <w:t>4</w:t>
            </w:r>
          </w:p>
        </w:tc>
        <w:tc>
          <w:tcPr>
            <w:tcW w:w="786" w:type="dxa"/>
            <w:gridSpan w:val="2"/>
            <w:shd w:val="clear" w:color="auto" w:fill="FFFFFF"/>
            <w:vAlign w:val="bottom"/>
          </w:tcPr>
          <w:p w14:paraId="66863E87" w14:textId="5C4B663A"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4719AC7D" w14:textId="6227DB7C"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3EFB2362" w14:textId="04FE6716"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438936A0" w14:textId="669DCEBF" w:rsidR="006428B4" w:rsidRPr="00B717F8" w:rsidRDefault="006428B4" w:rsidP="006428B4">
            <w:pPr>
              <w:spacing w:after="0"/>
              <w:jc w:val="center"/>
              <w:rPr>
                <w:rFonts w:ascii="Times New Roman" w:hAnsi="Times New Roman" w:cs="Times New Roman"/>
                <w:highlight w:val="yellow"/>
              </w:rPr>
            </w:pPr>
            <w:r w:rsidRPr="00B717F8">
              <w:rPr>
                <w:rFonts w:ascii="Times New Roman" w:hAnsi="Times New Roman" w:cs="Times New Roman"/>
              </w:rPr>
              <w:t>-2</w:t>
            </w:r>
            <w:r>
              <w:rPr>
                <w:rFonts w:ascii="Times New Roman" w:hAnsi="Times New Roman" w:cs="Times New Roman"/>
              </w:rPr>
              <w:t>17</w:t>
            </w:r>
          </w:p>
        </w:tc>
        <w:tc>
          <w:tcPr>
            <w:tcW w:w="786" w:type="dxa"/>
            <w:gridSpan w:val="3"/>
            <w:shd w:val="clear" w:color="auto" w:fill="FFFFFF"/>
            <w:vAlign w:val="bottom"/>
          </w:tcPr>
          <w:p w14:paraId="020171AB" w14:textId="694F50C1"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3"/>
            <w:shd w:val="clear" w:color="auto" w:fill="FFFFFF"/>
            <w:vAlign w:val="bottom"/>
          </w:tcPr>
          <w:p w14:paraId="0C7262EC" w14:textId="1B78B1BA"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shd w:val="clear" w:color="auto" w:fill="FFFFFF"/>
            <w:vAlign w:val="bottom"/>
          </w:tcPr>
          <w:p w14:paraId="1B49BB40" w14:textId="3C3BA4F1"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76A1439B" w14:textId="7051D18E"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7" w:type="dxa"/>
            <w:gridSpan w:val="2"/>
            <w:shd w:val="clear" w:color="auto" w:fill="FFFFFF"/>
            <w:vAlign w:val="bottom"/>
          </w:tcPr>
          <w:p w14:paraId="23AB7933" w14:textId="11F84F0D"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879" w:type="dxa"/>
            <w:shd w:val="clear" w:color="auto" w:fill="FFFFFF"/>
            <w:vAlign w:val="bottom"/>
          </w:tcPr>
          <w:p w14:paraId="04555A58" w14:textId="79AD3E35"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w:t>
            </w:r>
            <w:r>
              <w:rPr>
                <w:rFonts w:ascii="Times New Roman" w:hAnsi="Times New Roman" w:cs="Times New Roman"/>
              </w:rPr>
              <w:t>2004</w:t>
            </w:r>
          </w:p>
        </w:tc>
      </w:tr>
      <w:tr w:rsidR="00B717F8" w:rsidRPr="00B717F8" w14:paraId="4B7A728E" w14:textId="77777777" w:rsidTr="00CA01A9">
        <w:trPr>
          <w:trHeight w:val="330"/>
        </w:trPr>
        <w:tc>
          <w:tcPr>
            <w:tcW w:w="1560" w:type="dxa"/>
            <w:shd w:val="clear" w:color="auto" w:fill="FFFFFF"/>
            <w:vAlign w:val="center"/>
          </w:tcPr>
          <w:p w14:paraId="5C5C6032"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b/>
              </w:rPr>
              <w:t>Wydatki ogółem (3)(4)</w:t>
            </w:r>
          </w:p>
        </w:tc>
        <w:tc>
          <w:tcPr>
            <w:tcW w:w="786" w:type="dxa"/>
            <w:gridSpan w:val="2"/>
            <w:shd w:val="clear" w:color="auto" w:fill="FFFFFF"/>
            <w:vAlign w:val="center"/>
          </w:tcPr>
          <w:p w14:paraId="5EE348B6" w14:textId="77777777" w:rsidR="00903749" w:rsidRPr="00B717F8" w:rsidRDefault="00903749" w:rsidP="00D5397E">
            <w:pPr>
              <w:spacing w:after="0"/>
              <w:jc w:val="center"/>
              <w:rPr>
                <w:rFonts w:ascii="Times New Roman" w:hAnsi="Times New Roman" w:cs="Times New Roman"/>
              </w:rPr>
            </w:pPr>
            <w:r w:rsidRPr="00B717F8">
              <w:rPr>
                <w:rFonts w:ascii="Times New Roman" w:hAnsi="Times New Roman" w:cs="Times New Roman"/>
              </w:rPr>
              <w:t>0</w:t>
            </w:r>
          </w:p>
        </w:tc>
        <w:tc>
          <w:tcPr>
            <w:tcW w:w="786" w:type="dxa"/>
            <w:shd w:val="clear" w:color="auto" w:fill="FFFFFF"/>
            <w:vAlign w:val="center"/>
          </w:tcPr>
          <w:p w14:paraId="50695332" w14:textId="77777777" w:rsidR="00903749" w:rsidRPr="00B717F8" w:rsidRDefault="00903749" w:rsidP="00D5397E">
            <w:pPr>
              <w:spacing w:after="0"/>
              <w:jc w:val="center"/>
              <w:rPr>
                <w:rFonts w:ascii="Times New Roman" w:hAnsi="Times New Roman" w:cs="Times New Roman"/>
              </w:rPr>
            </w:pPr>
            <w:r w:rsidRPr="00B717F8">
              <w:rPr>
                <w:rFonts w:ascii="Times New Roman" w:hAnsi="Times New Roman" w:cs="Times New Roman"/>
              </w:rPr>
              <w:t>0</w:t>
            </w:r>
          </w:p>
        </w:tc>
        <w:tc>
          <w:tcPr>
            <w:tcW w:w="786" w:type="dxa"/>
            <w:gridSpan w:val="2"/>
            <w:shd w:val="clear" w:color="auto" w:fill="FFFFFF"/>
            <w:vAlign w:val="center"/>
          </w:tcPr>
          <w:p w14:paraId="73A98046"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48AAF8D6"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621909E0"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759CB1EF" w14:textId="77777777" w:rsidR="00903749" w:rsidRPr="00B717F8" w:rsidRDefault="00903749"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17631CAE" w14:textId="77777777" w:rsidR="00903749" w:rsidRPr="00B717F8" w:rsidRDefault="00903749" w:rsidP="00D5397E">
            <w:pPr>
              <w:spacing w:after="0"/>
              <w:jc w:val="center"/>
              <w:rPr>
                <w:rFonts w:ascii="Times New Roman" w:hAnsi="Times New Roman" w:cs="Times New Roman"/>
              </w:rPr>
            </w:pPr>
          </w:p>
        </w:tc>
        <w:tc>
          <w:tcPr>
            <w:tcW w:w="786" w:type="dxa"/>
            <w:gridSpan w:val="3"/>
            <w:shd w:val="clear" w:color="auto" w:fill="FFFFFF"/>
            <w:vAlign w:val="center"/>
          </w:tcPr>
          <w:p w14:paraId="5050069E"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291AB936"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01400FFB" w14:textId="77777777" w:rsidR="00903749" w:rsidRPr="00B717F8" w:rsidRDefault="00903749" w:rsidP="00D5397E">
            <w:pPr>
              <w:spacing w:after="0"/>
              <w:jc w:val="center"/>
              <w:rPr>
                <w:rFonts w:ascii="Times New Roman" w:hAnsi="Times New Roman" w:cs="Times New Roman"/>
              </w:rPr>
            </w:pPr>
          </w:p>
        </w:tc>
        <w:tc>
          <w:tcPr>
            <w:tcW w:w="787" w:type="dxa"/>
            <w:gridSpan w:val="2"/>
            <w:shd w:val="clear" w:color="auto" w:fill="FFFFFF"/>
            <w:vAlign w:val="center"/>
          </w:tcPr>
          <w:p w14:paraId="11B1CEFA" w14:textId="77777777" w:rsidR="00903749" w:rsidRPr="00B717F8" w:rsidRDefault="00903749" w:rsidP="00D5397E">
            <w:pPr>
              <w:spacing w:after="0"/>
              <w:jc w:val="center"/>
              <w:rPr>
                <w:rFonts w:ascii="Times New Roman" w:hAnsi="Times New Roman" w:cs="Times New Roman"/>
              </w:rPr>
            </w:pPr>
          </w:p>
        </w:tc>
        <w:tc>
          <w:tcPr>
            <w:tcW w:w="879" w:type="dxa"/>
            <w:shd w:val="clear" w:color="auto" w:fill="FFFFFF"/>
            <w:vAlign w:val="center"/>
          </w:tcPr>
          <w:p w14:paraId="6D5E0889" w14:textId="77777777" w:rsidR="00903749" w:rsidRPr="00B717F8" w:rsidRDefault="00903749" w:rsidP="00D5397E">
            <w:pPr>
              <w:spacing w:after="0"/>
              <w:jc w:val="center"/>
              <w:rPr>
                <w:rFonts w:ascii="Times New Roman" w:hAnsi="Times New Roman" w:cs="Times New Roman"/>
              </w:rPr>
            </w:pPr>
          </w:p>
        </w:tc>
      </w:tr>
      <w:tr w:rsidR="00B717F8" w:rsidRPr="00B717F8" w14:paraId="4DED602F" w14:textId="77777777" w:rsidTr="00CA01A9">
        <w:trPr>
          <w:trHeight w:val="330"/>
        </w:trPr>
        <w:tc>
          <w:tcPr>
            <w:tcW w:w="1560" w:type="dxa"/>
            <w:shd w:val="clear" w:color="auto" w:fill="FFFFFF"/>
            <w:vAlign w:val="center"/>
          </w:tcPr>
          <w:p w14:paraId="3389A0B5"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budżet państwa</w:t>
            </w:r>
          </w:p>
        </w:tc>
        <w:tc>
          <w:tcPr>
            <w:tcW w:w="786" w:type="dxa"/>
            <w:gridSpan w:val="2"/>
            <w:shd w:val="clear" w:color="auto" w:fill="FFFFFF"/>
            <w:vAlign w:val="center"/>
          </w:tcPr>
          <w:p w14:paraId="41E7018B"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5632F767"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7C4A1650"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4146EA7B"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589E4E6B"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4C3341A0" w14:textId="77777777" w:rsidR="00903749" w:rsidRPr="00B717F8" w:rsidRDefault="00903749"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65698066" w14:textId="77777777" w:rsidR="00903749" w:rsidRPr="00B717F8" w:rsidRDefault="00903749" w:rsidP="00D5397E">
            <w:pPr>
              <w:spacing w:after="0"/>
              <w:jc w:val="center"/>
              <w:rPr>
                <w:rFonts w:ascii="Times New Roman" w:hAnsi="Times New Roman" w:cs="Times New Roman"/>
              </w:rPr>
            </w:pPr>
          </w:p>
        </w:tc>
        <w:tc>
          <w:tcPr>
            <w:tcW w:w="786" w:type="dxa"/>
            <w:gridSpan w:val="3"/>
            <w:shd w:val="clear" w:color="auto" w:fill="FFFFFF"/>
            <w:vAlign w:val="center"/>
          </w:tcPr>
          <w:p w14:paraId="1B6FAAC4"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25F6CF49"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087AF233" w14:textId="77777777" w:rsidR="00903749" w:rsidRPr="00B717F8" w:rsidRDefault="00903749" w:rsidP="00D5397E">
            <w:pPr>
              <w:spacing w:after="0"/>
              <w:jc w:val="center"/>
              <w:rPr>
                <w:rFonts w:ascii="Times New Roman" w:hAnsi="Times New Roman" w:cs="Times New Roman"/>
              </w:rPr>
            </w:pPr>
          </w:p>
        </w:tc>
        <w:tc>
          <w:tcPr>
            <w:tcW w:w="787" w:type="dxa"/>
            <w:gridSpan w:val="2"/>
            <w:shd w:val="clear" w:color="auto" w:fill="FFFFFF"/>
            <w:vAlign w:val="center"/>
          </w:tcPr>
          <w:p w14:paraId="6FAA375C" w14:textId="77777777" w:rsidR="00903749" w:rsidRPr="00B717F8" w:rsidRDefault="00903749" w:rsidP="00D5397E">
            <w:pPr>
              <w:spacing w:after="0"/>
              <w:jc w:val="center"/>
              <w:rPr>
                <w:rFonts w:ascii="Times New Roman" w:hAnsi="Times New Roman" w:cs="Times New Roman"/>
              </w:rPr>
            </w:pPr>
          </w:p>
        </w:tc>
        <w:tc>
          <w:tcPr>
            <w:tcW w:w="879" w:type="dxa"/>
            <w:shd w:val="clear" w:color="auto" w:fill="FFFFFF"/>
            <w:vAlign w:val="center"/>
          </w:tcPr>
          <w:p w14:paraId="701AC466" w14:textId="77777777" w:rsidR="00903749" w:rsidRPr="00B717F8" w:rsidRDefault="00903749" w:rsidP="00D5397E">
            <w:pPr>
              <w:spacing w:after="0"/>
              <w:jc w:val="center"/>
              <w:rPr>
                <w:rFonts w:ascii="Times New Roman" w:hAnsi="Times New Roman" w:cs="Times New Roman"/>
              </w:rPr>
            </w:pPr>
          </w:p>
        </w:tc>
      </w:tr>
      <w:tr w:rsidR="00B717F8" w:rsidRPr="00B717F8" w14:paraId="4B70FCF3" w14:textId="77777777" w:rsidTr="00CA01A9">
        <w:trPr>
          <w:trHeight w:val="351"/>
        </w:trPr>
        <w:tc>
          <w:tcPr>
            <w:tcW w:w="1560" w:type="dxa"/>
            <w:shd w:val="clear" w:color="auto" w:fill="FFFFFF"/>
            <w:vAlign w:val="center"/>
          </w:tcPr>
          <w:p w14:paraId="268FD0E7"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JST</w:t>
            </w:r>
          </w:p>
        </w:tc>
        <w:tc>
          <w:tcPr>
            <w:tcW w:w="786" w:type="dxa"/>
            <w:gridSpan w:val="2"/>
            <w:shd w:val="clear" w:color="auto" w:fill="FFFFFF"/>
            <w:vAlign w:val="center"/>
          </w:tcPr>
          <w:p w14:paraId="764E01FC"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29AF191C"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3D6304B0"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1AB7B2A6"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144D5490"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75B1CC03" w14:textId="77777777" w:rsidR="00903749" w:rsidRPr="00B717F8" w:rsidRDefault="00903749"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40EC75AB" w14:textId="77777777" w:rsidR="00903749" w:rsidRPr="00B717F8" w:rsidRDefault="00903749" w:rsidP="00D5397E">
            <w:pPr>
              <w:spacing w:after="0"/>
              <w:jc w:val="center"/>
              <w:rPr>
                <w:rFonts w:ascii="Times New Roman" w:hAnsi="Times New Roman" w:cs="Times New Roman"/>
              </w:rPr>
            </w:pPr>
          </w:p>
        </w:tc>
        <w:tc>
          <w:tcPr>
            <w:tcW w:w="786" w:type="dxa"/>
            <w:gridSpan w:val="3"/>
            <w:shd w:val="clear" w:color="auto" w:fill="FFFFFF"/>
            <w:vAlign w:val="center"/>
          </w:tcPr>
          <w:p w14:paraId="4A6AEE39"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0341D707"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0FE2E49D" w14:textId="77777777" w:rsidR="00903749" w:rsidRPr="00B717F8" w:rsidRDefault="00903749" w:rsidP="00D5397E">
            <w:pPr>
              <w:spacing w:after="0"/>
              <w:jc w:val="center"/>
              <w:rPr>
                <w:rFonts w:ascii="Times New Roman" w:hAnsi="Times New Roman" w:cs="Times New Roman"/>
              </w:rPr>
            </w:pPr>
          </w:p>
        </w:tc>
        <w:tc>
          <w:tcPr>
            <w:tcW w:w="787" w:type="dxa"/>
            <w:gridSpan w:val="2"/>
            <w:shd w:val="clear" w:color="auto" w:fill="FFFFFF"/>
            <w:vAlign w:val="center"/>
          </w:tcPr>
          <w:p w14:paraId="0E690FF1" w14:textId="77777777" w:rsidR="00903749" w:rsidRPr="00B717F8" w:rsidRDefault="00903749" w:rsidP="00D5397E">
            <w:pPr>
              <w:spacing w:after="0"/>
              <w:jc w:val="center"/>
              <w:rPr>
                <w:rFonts w:ascii="Times New Roman" w:hAnsi="Times New Roman" w:cs="Times New Roman"/>
              </w:rPr>
            </w:pPr>
          </w:p>
        </w:tc>
        <w:tc>
          <w:tcPr>
            <w:tcW w:w="879" w:type="dxa"/>
            <w:shd w:val="clear" w:color="auto" w:fill="FFFFFF"/>
            <w:vAlign w:val="center"/>
          </w:tcPr>
          <w:p w14:paraId="6F953DCE" w14:textId="77777777" w:rsidR="00903749" w:rsidRPr="00B717F8" w:rsidRDefault="00903749" w:rsidP="00D5397E">
            <w:pPr>
              <w:spacing w:after="0"/>
              <w:jc w:val="center"/>
              <w:rPr>
                <w:rFonts w:ascii="Times New Roman" w:hAnsi="Times New Roman" w:cs="Times New Roman"/>
              </w:rPr>
            </w:pPr>
          </w:p>
        </w:tc>
      </w:tr>
      <w:tr w:rsidR="00B717F8" w:rsidRPr="00B717F8" w14:paraId="31F1CE88" w14:textId="77777777" w:rsidTr="00CA01A9">
        <w:trPr>
          <w:trHeight w:val="351"/>
        </w:trPr>
        <w:tc>
          <w:tcPr>
            <w:tcW w:w="1560" w:type="dxa"/>
            <w:shd w:val="clear" w:color="auto" w:fill="FFFFFF"/>
            <w:vAlign w:val="center"/>
          </w:tcPr>
          <w:p w14:paraId="48A4CC85"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lastRenderedPageBreak/>
              <w:t>pozostałe jednostki:</w:t>
            </w:r>
          </w:p>
        </w:tc>
        <w:tc>
          <w:tcPr>
            <w:tcW w:w="786" w:type="dxa"/>
            <w:gridSpan w:val="2"/>
            <w:shd w:val="clear" w:color="auto" w:fill="FFFFFF"/>
            <w:vAlign w:val="center"/>
          </w:tcPr>
          <w:p w14:paraId="7546E6C6"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3C103FAD"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5667B287"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6338C759"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1444872A"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240203F7" w14:textId="77777777" w:rsidR="00903749" w:rsidRPr="00B717F8" w:rsidRDefault="00903749"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7C5EECEC" w14:textId="77777777" w:rsidR="00903749" w:rsidRPr="00B717F8" w:rsidRDefault="00903749" w:rsidP="00D5397E">
            <w:pPr>
              <w:spacing w:after="0"/>
              <w:jc w:val="center"/>
              <w:rPr>
                <w:rFonts w:ascii="Times New Roman" w:hAnsi="Times New Roman" w:cs="Times New Roman"/>
              </w:rPr>
            </w:pPr>
          </w:p>
        </w:tc>
        <w:tc>
          <w:tcPr>
            <w:tcW w:w="786" w:type="dxa"/>
            <w:gridSpan w:val="3"/>
            <w:shd w:val="clear" w:color="auto" w:fill="FFFFFF"/>
            <w:vAlign w:val="center"/>
          </w:tcPr>
          <w:p w14:paraId="60B423E7"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79D22CA8"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0F081DC6" w14:textId="77777777" w:rsidR="00903749" w:rsidRPr="00B717F8" w:rsidRDefault="00903749" w:rsidP="00D5397E">
            <w:pPr>
              <w:spacing w:after="0"/>
              <w:jc w:val="center"/>
              <w:rPr>
                <w:rFonts w:ascii="Times New Roman" w:hAnsi="Times New Roman" w:cs="Times New Roman"/>
              </w:rPr>
            </w:pPr>
          </w:p>
        </w:tc>
        <w:tc>
          <w:tcPr>
            <w:tcW w:w="787" w:type="dxa"/>
            <w:gridSpan w:val="2"/>
            <w:shd w:val="clear" w:color="auto" w:fill="FFFFFF"/>
            <w:vAlign w:val="center"/>
          </w:tcPr>
          <w:p w14:paraId="456AE868" w14:textId="77777777" w:rsidR="00903749" w:rsidRPr="00B717F8" w:rsidRDefault="00903749" w:rsidP="00D5397E">
            <w:pPr>
              <w:spacing w:after="0"/>
              <w:jc w:val="center"/>
              <w:rPr>
                <w:rFonts w:ascii="Times New Roman" w:hAnsi="Times New Roman" w:cs="Times New Roman"/>
              </w:rPr>
            </w:pPr>
          </w:p>
        </w:tc>
        <w:tc>
          <w:tcPr>
            <w:tcW w:w="879" w:type="dxa"/>
            <w:shd w:val="clear" w:color="auto" w:fill="FFFFFF"/>
            <w:vAlign w:val="center"/>
          </w:tcPr>
          <w:p w14:paraId="3162AF74" w14:textId="77777777" w:rsidR="00903749" w:rsidRPr="00B717F8" w:rsidRDefault="00903749" w:rsidP="00D5397E">
            <w:pPr>
              <w:spacing w:after="0"/>
              <w:jc w:val="center"/>
              <w:rPr>
                <w:rFonts w:ascii="Times New Roman" w:hAnsi="Times New Roman" w:cs="Times New Roman"/>
              </w:rPr>
            </w:pPr>
          </w:p>
        </w:tc>
      </w:tr>
      <w:tr w:rsidR="00B717F8" w:rsidRPr="00B717F8" w14:paraId="02BA1E2A" w14:textId="77777777" w:rsidTr="00CA01A9">
        <w:trPr>
          <w:trHeight w:val="351"/>
        </w:trPr>
        <w:tc>
          <w:tcPr>
            <w:tcW w:w="1560" w:type="dxa"/>
            <w:shd w:val="clear" w:color="auto" w:fill="FFFFFF"/>
            <w:vAlign w:val="center"/>
          </w:tcPr>
          <w:p w14:paraId="248D05A2"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 Fundusz Ubezpieczeń Społecznych</w:t>
            </w:r>
          </w:p>
        </w:tc>
        <w:tc>
          <w:tcPr>
            <w:tcW w:w="786" w:type="dxa"/>
            <w:gridSpan w:val="2"/>
            <w:shd w:val="clear" w:color="auto" w:fill="FFFFFF"/>
            <w:vAlign w:val="center"/>
          </w:tcPr>
          <w:p w14:paraId="511DE39A"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02B17D4A"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6E203A66"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656D55F0"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2E86C4E9"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033CE7A1" w14:textId="77777777" w:rsidR="00903749" w:rsidRPr="00B717F8" w:rsidRDefault="00903749"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528EBBD1" w14:textId="77777777" w:rsidR="00903749" w:rsidRPr="00B717F8" w:rsidRDefault="00903749" w:rsidP="00D5397E">
            <w:pPr>
              <w:spacing w:after="0"/>
              <w:jc w:val="center"/>
              <w:rPr>
                <w:rFonts w:ascii="Times New Roman" w:hAnsi="Times New Roman" w:cs="Times New Roman"/>
              </w:rPr>
            </w:pPr>
          </w:p>
        </w:tc>
        <w:tc>
          <w:tcPr>
            <w:tcW w:w="786" w:type="dxa"/>
            <w:gridSpan w:val="3"/>
            <w:shd w:val="clear" w:color="auto" w:fill="FFFFFF"/>
            <w:vAlign w:val="center"/>
          </w:tcPr>
          <w:p w14:paraId="48C820D6"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40A08F67"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6AAA3E34" w14:textId="77777777" w:rsidR="00903749" w:rsidRPr="00B717F8" w:rsidRDefault="00903749" w:rsidP="00D5397E">
            <w:pPr>
              <w:spacing w:after="0"/>
              <w:jc w:val="center"/>
              <w:rPr>
                <w:rFonts w:ascii="Times New Roman" w:hAnsi="Times New Roman" w:cs="Times New Roman"/>
              </w:rPr>
            </w:pPr>
          </w:p>
        </w:tc>
        <w:tc>
          <w:tcPr>
            <w:tcW w:w="787" w:type="dxa"/>
            <w:gridSpan w:val="2"/>
            <w:shd w:val="clear" w:color="auto" w:fill="FFFFFF"/>
            <w:vAlign w:val="center"/>
          </w:tcPr>
          <w:p w14:paraId="20213E4A" w14:textId="77777777" w:rsidR="00903749" w:rsidRPr="00B717F8" w:rsidRDefault="00903749" w:rsidP="00D5397E">
            <w:pPr>
              <w:spacing w:after="0"/>
              <w:jc w:val="center"/>
              <w:rPr>
                <w:rFonts w:ascii="Times New Roman" w:hAnsi="Times New Roman" w:cs="Times New Roman"/>
              </w:rPr>
            </w:pPr>
          </w:p>
        </w:tc>
        <w:tc>
          <w:tcPr>
            <w:tcW w:w="879" w:type="dxa"/>
            <w:shd w:val="clear" w:color="auto" w:fill="FFFFFF"/>
            <w:vAlign w:val="center"/>
          </w:tcPr>
          <w:p w14:paraId="365F57DA" w14:textId="77777777" w:rsidR="00903749" w:rsidRPr="00B717F8" w:rsidRDefault="00903749" w:rsidP="00D5397E">
            <w:pPr>
              <w:spacing w:after="0"/>
              <w:jc w:val="center"/>
              <w:rPr>
                <w:rFonts w:ascii="Times New Roman" w:hAnsi="Times New Roman" w:cs="Times New Roman"/>
              </w:rPr>
            </w:pPr>
          </w:p>
        </w:tc>
      </w:tr>
      <w:tr w:rsidR="006428B4" w:rsidRPr="00B717F8" w14:paraId="646F5F5A" w14:textId="77777777" w:rsidTr="006C3B53">
        <w:trPr>
          <w:trHeight w:val="360"/>
        </w:trPr>
        <w:tc>
          <w:tcPr>
            <w:tcW w:w="1560" w:type="dxa"/>
            <w:shd w:val="clear" w:color="auto" w:fill="FFFFFF"/>
            <w:vAlign w:val="center"/>
          </w:tcPr>
          <w:p w14:paraId="3923EE2D" w14:textId="77777777" w:rsidR="006428B4" w:rsidRPr="00B717F8" w:rsidRDefault="006428B4" w:rsidP="006428B4">
            <w:pPr>
              <w:spacing w:after="0" w:line="240" w:lineRule="auto"/>
              <w:rPr>
                <w:rFonts w:ascii="Times New Roman" w:eastAsia="Calibri" w:hAnsi="Times New Roman" w:cs="Times New Roman"/>
              </w:rPr>
            </w:pPr>
            <w:r w:rsidRPr="00B717F8">
              <w:rPr>
                <w:rFonts w:ascii="Times New Roman" w:eastAsia="Calibri" w:hAnsi="Times New Roman" w:cs="Times New Roman"/>
                <w:b/>
              </w:rPr>
              <w:t>Saldo ogółem</w:t>
            </w:r>
          </w:p>
        </w:tc>
        <w:tc>
          <w:tcPr>
            <w:tcW w:w="786" w:type="dxa"/>
            <w:gridSpan w:val="2"/>
            <w:shd w:val="clear" w:color="auto" w:fill="FFFFFF"/>
            <w:vAlign w:val="center"/>
          </w:tcPr>
          <w:p w14:paraId="327501AD" w14:textId="77777777"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0</w:t>
            </w:r>
          </w:p>
        </w:tc>
        <w:tc>
          <w:tcPr>
            <w:tcW w:w="786" w:type="dxa"/>
            <w:shd w:val="clear" w:color="auto" w:fill="FFFFFF"/>
            <w:vAlign w:val="bottom"/>
          </w:tcPr>
          <w:p w14:paraId="4DCE25B6" w14:textId="6380FFC7"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-5</w:t>
            </w:r>
            <w:r>
              <w:rPr>
                <w:rFonts w:ascii="Times New Roman" w:hAnsi="Times New Roman" w:cs="Times New Roman"/>
              </w:rPr>
              <w:t>4</w:t>
            </w:r>
          </w:p>
        </w:tc>
        <w:tc>
          <w:tcPr>
            <w:tcW w:w="786" w:type="dxa"/>
            <w:gridSpan w:val="2"/>
            <w:shd w:val="clear" w:color="auto" w:fill="FFFFFF"/>
            <w:vAlign w:val="bottom"/>
          </w:tcPr>
          <w:p w14:paraId="7889851D" w14:textId="70A7CEDA"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4EC4AD1C" w14:textId="48D82FCD"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6A31E383" w14:textId="505630BB"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16F1F85A" w14:textId="12414DB0" w:rsidR="006428B4" w:rsidRPr="00B717F8" w:rsidRDefault="006428B4" w:rsidP="006428B4">
            <w:pPr>
              <w:spacing w:after="0"/>
              <w:jc w:val="center"/>
              <w:rPr>
                <w:rFonts w:ascii="Times New Roman" w:hAnsi="Times New Roman" w:cs="Times New Roman"/>
                <w:highlight w:val="yellow"/>
              </w:rPr>
            </w:pPr>
            <w:r w:rsidRPr="00B717F8">
              <w:rPr>
                <w:rFonts w:ascii="Times New Roman" w:hAnsi="Times New Roman" w:cs="Times New Roman"/>
              </w:rPr>
              <w:t>-2</w:t>
            </w:r>
            <w:r>
              <w:rPr>
                <w:rFonts w:ascii="Times New Roman" w:hAnsi="Times New Roman" w:cs="Times New Roman"/>
              </w:rPr>
              <w:t>17</w:t>
            </w:r>
          </w:p>
        </w:tc>
        <w:tc>
          <w:tcPr>
            <w:tcW w:w="786" w:type="dxa"/>
            <w:gridSpan w:val="3"/>
            <w:shd w:val="clear" w:color="auto" w:fill="FFFFFF"/>
            <w:vAlign w:val="bottom"/>
          </w:tcPr>
          <w:p w14:paraId="5BD14D6A" w14:textId="43281137"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3"/>
            <w:shd w:val="clear" w:color="auto" w:fill="FFFFFF"/>
            <w:vAlign w:val="bottom"/>
          </w:tcPr>
          <w:p w14:paraId="0793C89B" w14:textId="106787CB"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shd w:val="clear" w:color="auto" w:fill="FFFFFF"/>
            <w:vAlign w:val="bottom"/>
          </w:tcPr>
          <w:p w14:paraId="4B83A7C4" w14:textId="6A339408"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14C7F2A8" w14:textId="6A1966AD"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7" w:type="dxa"/>
            <w:gridSpan w:val="2"/>
            <w:shd w:val="clear" w:color="auto" w:fill="FFFFFF"/>
            <w:vAlign w:val="bottom"/>
          </w:tcPr>
          <w:p w14:paraId="55B4D273" w14:textId="624D70B1"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879" w:type="dxa"/>
            <w:shd w:val="clear" w:color="auto" w:fill="FFFFFF"/>
            <w:vAlign w:val="bottom"/>
          </w:tcPr>
          <w:p w14:paraId="14FA6131" w14:textId="4052CABE"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w:t>
            </w:r>
            <w:r>
              <w:rPr>
                <w:rFonts w:ascii="Times New Roman" w:hAnsi="Times New Roman" w:cs="Times New Roman"/>
              </w:rPr>
              <w:t>2004</w:t>
            </w:r>
          </w:p>
        </w:tc>
      </w:tr>
      <w:tr w:rsidR="00B717F8" w:rsidRPr="00B717F8" w14:paraId="7186797C" w14:textId="77777777" w:rsidTr="00CA01A9">
        <w:trPr>
          <w:trHeight w:val="360"/>
        </w:trPr>
        <w:tc>
          <w:tcPr>
            <w:tcW w:w="1560" w:type="dxa"/>
            <w:shd w:val="clear" w:color="auto" w:fill="FFFFFF"/>
            <w:vAlign w:val="center"/>
          </w:tcPr>
          <w:p w14:paraId="1FA9F5A2"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budżet państwa</w:t>
            </w:r>
          </w:p>
        </w:tc>
        <w:tc>
          <w:tcPr>
            <w:tcW w:w="786" w:type="dxa"/>
            <w:gridSpan w:val="2"/>
            <w:shd w:val="clear" w:color="auto" w:fill="FFFFFF"/>
            <w:vAlign w:val="center"/>
          </w:tcPr>
          <w:p w14:paraId="56411DF1" w14:textId="77777777" w:rsidR="00903749" w:rsidRPr="00B717F8" w:rsidRDefault="00903749" w:rsidP="00D5397E">
            <w:pPr>
              <w:spacing w:after="0"/>
              <w:jc w:val="center"/>
              <w:rPr>
                <w:rFonts w:ascii="Times New Roman" w:hAnsi="Times New Roman" w:cs="Times New Roman"/>
              </w:rPr>
            </w:pPr>
            <w:r w:rsidRPr="00B717F8">
              <w:rPr>
                <w:rFonts w:ascii="Times New Roman" w:hAnsi="Times New Roman" w:cs="Times New Roman"/>
              </w:rPr>
              <w:t>0</w:t>
            </w:r>
          </w:p>
        </w:tc>
        <w:tc>
          <w:tcPr>
            <w:tcW w:w="786" w:type="dxa"/>
            <w:shd w:val="clear" w:color="auto" w:fill="FFFFFF"/>
            <w:vAlign w:val="center"/>
          </w:tcPr>
          <w:p w14:paraId="1B269B71" w14:textId="77777777" w:rsidR="00903749" w:rsidRPr="00B717F8" w:rsidRDefault="00903749" w:rsidP="00D5397E">
            <w:pPr>
              <w:spacing w:after="0"/>
              <w:jc w:val="center"/>
              <w:rPr>
                <w:rFonts w:ascii="Times New Roman" w:hAnsi="Times New Roman" w:cs="Times New Roman"/>
              </w:rPr>
            </w:pPr>
            <w:r w:rsidRPr="00B717F8">
              <w:rPr>
                <w:rFonts w:ascii="Times New Roman" w:hAnsi="Times New Roman" w:cs="Times New Roman"/>
              </w:rPr>
              <w:t>0</w:t>
            </w:r>
          </w:p>
        </w:tc>
        <w:tc>
          <w:tcPr>
            <w:tcW w:w="786" w:type="dxa"/>
            <w:gridSpan w:val="2"/>
            <w:shd w:val="clear" w:color="auto" w:fill="FFFFFF"/>
            <w:vAlign w:val="center"/>
          </w:tcPr>
          <w:p w14:paraId="3325FF50"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53C081EB"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1B44F6C1"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3FBB108C" w14:textId="77777777" w:rsidR="00903749" w:rsidRPr="00B717F8" w:rsidRDefault="00903749"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06769AD0" w14:textId="77777777" w:rsidR="00903749" w:rsidRPr="00B717F8" w:rsidRDefault="00903749" w:rsidP="00D5397E">
            <w:pPr>
              <w:spacing w:after="0"/>
              <w:jc w:val="center"/>
              <w:rPr>
                <w:rFonts w:ascii="Times New Roman" w:hAnsi="Times New Roman" w:cs="Times New Roman"/>
              </w:rPr>
            </w:pPr>
          </w:p>
        </w:tc>
        <w:tc>
          <w:tcPr>
            <w:tcW w:w="786" w:type="dxa"/>
            <w:gridSpan w:val="3"/>
            <w:shd w:val="clear" w:color="auto" w:fill="FFFFFF"/>
            <w:vAlign w:val="center"/>
          </w:tcPr>
          <w:p w14:paraId="0F1DC9C6"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04D26ADA"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1759F055" w14:textId="77777777" w:rsidR="00903749" w:rsidRPr="00B717F8" w:rsidRDefault="00903749" w:rsidP="00D5397E">
            <w:pPr>
              <w:spacing w:after="0"/>
              <w:jc w:val="center"/>
              <w:rPr>
                <w:rFonts w:ascii="Times New Roman" w:hAnsi="Times New Roman" w:cs="Times New Roman"/>
              </w:rPr>
            </w:pPr>
          </w:p>
        </w:tc>
        <w:tc>
          <w:tcPr>
            <w:tcW w:w="787" w:type="dxa"/>
            <w:gridSpan w:val="2"/>
            <w:shd w:val="clear" w:color="auto" w:fill="FFFFFF"/>
            <w:vAlign w:val="center"/>
          </w:tcPr>
          <w:p w14:paraId="7065BD20" w14:textId="77777777" w:rsidR="00903749" w:rsidRPr="00B717F8" w:rsidRDefault="00903749" w:rsidP="00D5397E">
            <w:pPr>
              <w:spacing w:after="0"/>
              <w:jc w:val="center"/>
              <w:rPr>
                <w:rFonts w:ascii="Times New Roman" w:hAnsi="Times New Roman" w:cs="Times New Roman"/>
              </w:rPr>
            </w:pPr>
          </w:p>
        </w:tc>
        <w:tc>
          <w:tcPr>
            <w:tcW w:w="879" w:type="dxa"/>
            <w:shd w:val="clear" w:color="auto" w:fill="FFFFFF"/>
            <w:vAlign w:val="center"/>
          </w:tcPr>
          <w:p w14:paraId="0A156313" w14:textId="77777777" w:rsidR="00903749" w:rsidRPr="00B717F8" w:rsidRDefault="00903749" w:rsidP="00D5397E">
            <w:pPr>
              <w:spacing w:after="0"/>
              <w:jc w:val="center"/>
              <w:rPr>
                <w:rFonts w:ascii="Times New Roman" w:hAnsi="Times New Roman" w:cs="Times New Roman"/>
              </w:rPr>
            </w:pPr>
          </w:p>
        </w:tc>
      </w:tr>
      <w:tr w:rsidR="00B717F8" w:rsidRPr="00B717F8" w14:paraId="1AAA46FB" w14:textId="77777777" w:rsidTr="00CA01A9">
        <w:trPr>
          <w:trHeight w:val="357"/>
        </w:trPr>
        <w:tc>
          <w:tcPr>
            <w:tcW w:w="1560" w:type="dxa"/>
            <w:shd w:val="clear" w:color="auto" w:fill="FFFFFF"/>
            <w:vAlign w:val="center"/>
          </w:tcPr>
          <w:p w14:paraId="4EEF82FB"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JST</w:t>
            </w:r>
          </w:p>
        </w:tc>
        <w:tc>
          <w:tcPr>
            <w:tcW w:w="786" w:type="dxa"/>
            <w:gridSpan w:val="2"/>
            <w:shd w:val="clear" w:color="auto" w:fill="FFFFFF"/>
            <w:vAlign w:val="center"/>
          </w:tcPr>
          <w:p w14:paraId="5580B79E" w14:textId="77777777" w:rsidR="00903749" w:rsidRPr="00B717F8" w:rsidRDefault="00903749" w:rsidP="00D5397E">
            <w:pPr>
              <w:spacing w:after="0"/>
              <w:jc w:val="center"/>
              <w:rPr>
                <w:rFonts w:ascii="Times New Roman" w:hAnsi="Times New Roman" w:cs="Times New Roman"/>
              </w:rPr>
            </w:pPr>
            <w:r w:rsidRPr="00B717F8">
              <w:rPr>
                <w:rFonts w:ascii="Times New Roman" w:eastAsia="Calibri" w:hAnsi="Times New Roman" w:cs="Times New Roman"/>
              </w:rPr>
              <w:t>0</w:t>
            </w:r>
          </w:p>
        </w:tc>
        <w:tc>
          <w:tcPr>
            <w:tcW w:w="786" w:type="dxa"/>
            <w:shd w:val="clear" w:color="auto" w:fill="FFFFFF"/>
            <w:vAlign w:val="center"/>
          </w:tcPr>
          <w:p w14:paraId="4610F979" w14:textId="77777777" w:rsidR="00903749" w:rsidRPr="00B717F8" w:rsidRDefault="00903749" w:rsidP="00D5397E">
            <w:pPr>
              <w:spacing w:after="0"/>
              <w:jc w:val="center"/>
              <w:rPr>
                <w:rFonts w:ascii="Times New Roman" w:hAnsi="Times New Roman" w:cs="Times New Roman"/>
              </w:rPr>
            </w:pPr>
            <w:r w:rsidRPr="00B717F8">
              <w:rPr>
                <w:rFonts w:ascii="Times New Roman" w:hAnsi="Times New Roman" w:cs="Times New Roman"/>
              </w:rPr>
              <w:t>0</w:t>
            </w:r>
          </w:p>
        </w:tc>
        <w:tc>
          <w:tcPr>
            <w:tcW w:w="786" w:type="dxa"/>
            <w:gridSpan w:val="2"/>
            <w:shd w:val="clear" w:color="auto" w:fill="FFFFFF"/>
            <w:vAlign w:val="center"/>
          </w:tcPr>
          <w:p w14:paraId="143F5EF7"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5E2AF28F"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30A84712"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42BB3F54" w14:textId="77777777" w:rsidR="00903749" w:rsidRPr="00B717F8" w:rsidRDefault="00903749"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24793F6D" w14:textId="77777777" w:rsidR="00903749" w:rsidRPr="00B717F8" w:rsidRDefault="00903749" w:rsidP="00D5397E">
            <w:pPr>
              <w:spacing w:after="0"/>
              <w:jc w:val="center"/>
              <w:rPr>
                <w:rFonts w:ascii="Times New Roman" w:hAnsi="Times New Roman" w:cs="Times New Roman"/>
              </w:rPr>
            </w:pPr>
          </w:p>
        </w:tc>
        <w:tc>
          <w:tcPr>
            <w:tcW w:w="786" w:type="dxa"/>
            <w:gridSpan w:val="3"/>
            <w:shd w:val="clear" w:color="auto" w:fill="FFFFFF"/>
            <w:vAlign w:val="center"/>
          </w:tcPr>
          <w:p w14:paraId="5A82FE21" w14:textId="77777777" w:rsidR="00903749" w:rsidRPr="00B717F8" w:rsidRDefault="00903749" w:rsidP="00D5397E">
            <w:pPr>
              <w:spacing w:after="0"/>
              <w:jc w:val="center"/>
              <w:rPr>
                <w:rFonts w:ascii="Times New Roman" w:hAnsi="Times New Roman" w:cs="Times New Roman"/>
              </w:rPr>
            </w:pPr>
          </w:p>
        </w:tc>
        <w:tc>
          <w:tcPr>
            <w:tcW w:w="786" w:type="dxa"/>
            <w:shd w:val="clear" w:color="auto" w:fill="FFFFFF"/>
            <w:vAlign w:val="center"/>
          </w:tcPr>
          <w:p w14:paraId="6E5C2767" w14:textId="77777777" w:rsidR="00903749" w:rsidRPr="00B717F8" w:rsidRDefault="00903749" w:rsidP="00D5397E">
            <w:pPr>
              <w:spacing w:after="0"/>
              <w:jc w:val="center"/>
              <w:rPr>
                <w:rFonts w:ascii="Times New Roman" w:hAnsi="Times New Roman" w:cs="Times New Roman"/>
              </w:rPr>
            </w:pPr>
          </w:p>
        </w:tc>
        <w:tc>
          <w:tcPr>
            <w:tcW w:w="786" w:type="dxa"/>
            <w:gridSpan w:val="2"/>
            <w:shd w:val="clear" w:color="auto" w:fill="FFFFFF"/>
            <w:vAlign w:val="center"/>
          </w:tcPr>
          <w:p w14:paraId="60609E71" w14:textId="77777777" w:rsidR="00903749" w:rsidRPr="00B717F8" w:rsidRDefault="00903749" w:rsidP="00D5397E">
            <w:pPr>
              <w:spacing w:after="0"/>
              <w:jc w:val="center"/>
              <w:rPr>
                <w:rFonts w:ascii="Times New Roman" w:hAnsi="Times New Roman" w:cs="Times New Roman"/>
              </w:rPr>
            </w:pPr>
          </w:p>
        </w:tc>
        <w:tc>
          <w:tcPr>
            <w:tcW w:w="787" w:type="dxa"/>
            <w:gridSpan w:val="2"/>
            <w:shd w:val="clear" w:color="auto" w:fill="FFFFFF"/>
            <w:vAlign w:val="center"/>
          </w:tcPr>
          <w:p w14:paraId="75AB30FC" w14:textId="77777777" w:rsidR="00903749" w:rsidRPr="00B717F8" w:rsidRDefault="00903749" w:rsidP="00D5397E">
            <w:pPr>
              <w:spacing w:after="0"/>
              <w:jc w:val="center"/>
              <w:rPr>
                <w:rFonts w:ascii="Times New Roman" w:hAnsi="Times New Roman" w:cs="Times New Roman"/>
              </w:rPr>
            </w:pPr>
          </w:p>
        </w:tc>
        <w:tc>
          <w:tcPr>
            <w:tcW w:w="879" w:type="dxa"/>
            <w:shd w:val="clear" w:color="auto" w:fill="FFFFFF"/>
            <w:vAlign w:val="center"/>
          </w:tcPr>
          <w:p w14:paraId="43832EE1" w14:textId="77777777" w:rsidR="00903749" w:rsidRPr="00B717F8" w:rsidRDefault="00903749" w:rsidP="00D5397E">
            <w:pPr>
              <w:spacing w:after="0"/>
              <w:jc w:val="center"/>
              <w:rPr>
                <w:rFonts w:ascii="Times New Roman" w:hAnsi="Times New Roman" w:cs="Times New Roman"/>
              </w:rPr>
            </w:pPr>
          </w:p>
        </w:tc>
      </w:tr>
      <w:tr w:rsidR="00B717F8" w:rsidRPr="00B717F8" w14:paraId="0F785627" w14:textId="77777777" w:rsidTr="00CA01A9">
        <w:trPr>
          <w:trHeight w:val="357"/>
        </w:trPr>
        <w:tc>
          <w:tcPr>
            <w:tcW w:w="1560" w:type="dxa"/>
            <w:shd w:val="clear" w:color="auto" w:fill="FFFFFF"/>
            <w:vAlign w:val="center"/>
          </w:tcPr>
          <w:p w14:paraId="1171CB7A" w14:textId="77777777" w:rsidR="00D60307" w:rsidRPr="00B717F8" w:rsidRDefault="00D60307"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pozostałe jednostki:</w:t>
            </w:r>
          </w:p>
        </w:tc>
        <w:tc>
          <w:tcPr>
            <w:tcW w:w="786" w:type="dxa"/>
            <w:gridSpan w:val="2"/>
            <w:shd w:val="clear" w:color="auto" w:fill="FFFFFF"/>
            <w:vAlign w:val="center"/>
          </w:tcPr>
          <w:p w14:paraId="5597B4F3" w14:textId="77777777" w:rsidR="00D60307" w:rsidRPr="00B717F8" w:rsidRDefault="00D60307" w:rsidP="00D5397E">
            <w:pPr>
              <w:spacing w:after="0"/>
              <w:jc w:val="center"/>
              <w:rPr>
                <w:rFonts w:ascii="Times New Roman" w:hAnsi="Times New Roman" w:cs="Times New Roman"/>
              </w:rPr>
            </w:pPr>
          </w:p>
        </w:tc>
        <w:tc>
          <w:tcPr>
            <w:tcW w:w="786" w:type="dxa"/>
            <w:shd w:val="clear" w:color="auto" w:fill="FFFFFF"/>
            <w:vAlign w:val="center"/>
          </w:tcPr>
          <w:p w14:paraId="3805BFDF" w14:textId="77777777" w:rsidR="00D60307" w:rsidRPr="00B717F8" w:rsidRDefault="00D60307" w:rsidP="00D5397E">
            <w:pPr>
              <w:spacing w:after="0"/>
              <w:jc w:val="center"/>
              <w:rPr>
                <w:rFonts w:ascii="Times New Roman" w:hAnsi="Times New Roman" w:cs="Times New Roman"/>
              </w:rPr>
            </w:pPr>
          </w:p>
        </w:tc>
        <w:tc>
          <w:tcPr>
            <w:tcW w:w="786" w:type="dxa"/>
            <w:gridSpan w:val="2"/>
            <w:shd w:val="clear" w:color="auto" w:fill="FFFFFF"/>
            <w:vAlign w:val="center"/>
          </w:tcPr>
          <w:p w14:paraId="4F9E8F93" w14:textId="77777777" w:rsidR="00D60307" w:rsidRPr="00B717F8" w:rsidRDefault="00D60307" w:rsidP="00D5397E">
            <w:pPr>
              <w:spacing w:after="0"/>
              <w:jc w:val="center"/>
              <w:rPr>
                <w:rFonts w:ascii="Times New Roman" w:hAnsi="Times New Roman" w:cs="Times New Roman"/>
              </w:rPr>
            </w:pPr>
          </w:p>
        </w:tc>
        <w:tc>
          <w:tcPr>
            <w:tcW w:w="786" w:type="dxa"/>
            <w:gridSpan w:val="2"/>
            <w:shd w:val="clear" w:color="auto" w:fill="FFFFFF"/>
            <w:vAlign w:val="center"/>
          </w:tcPr>
          <w:p w14:paraId="10F6D1C6" w14:textId="77777777" w:rsidR="00D60307" w:rsidRPr="00B717F8" w:rsidRDefault="00D60307" w:rsidP="00D5397E">
            <w:pPr>
              <w:spacing w:after="0"/>
              <w:jc w:val="center"/>
              <w:rPr>
                <w:rFonts w:ascii="Times New Roman" w:hAnsi="Times New Roman" w:cs="Times New Roman"/>
              </w:rPr>
            </w:pPr>
          </w:p>
        </w:tc>
        <w:tc>
          <w:tcPr>
            <w:tcW w:w="786" w:type="dxa"/>
            <w:gridSpan w:val="2"/>
            <w:shd w:val="clear" w:color="auto" w:fill="FFFFFF"/>
            <w:vAlign w:val="center"/>
          </w:tcPr>
          <w:p w14:paraId="67DA4476" w14:textId="77777777" w:rsidR="00D60307" w:rsidRPr="00B717F8" w:rsidRDefault="00D60307" w:rsidP="00D5397E">
            <w:pPr>
              <w:spacing w:after="0"/>
              <w:jc w:val="center"/>
              <w:rPr>
                <w:rFonts w:ascii="Times New Roman" w:hAnsi="Times New Roman" w:cs="Times New Roman"/>
              </w:rPr>
            </w:pPr>
          </w:p>
        </w:tc>
        <w:tc>
          <w:tcPr>
            <w:tcW w:w="786" w:type="dxa"/>
            <w:gridSpan w:val="2"/>
            <w:shd w:val="clear" w:color="auto" w:fill="FFFFFF"/>
            <w:vAlign w:val="center"/>
          </w:tcPr>
          <w:p w14:paraId="3B81512A" w14:textId="77777777" w:rsidR="00D60307" w:rsidRPr="00B717F8" w:rsidRDefault="00D60307" w:rsidP="00D5397E">
            <w:pPr>
              <w:spacing w:after="0"/>
              <w:jc w:val="center"/>
              <w:rPr>
                <w:rFonts w:ascii="Times New Roman" w:hAnsi="Times New Roman" w:cs="Times New Roman"/>
                <w:highlight w:val="yellow"/>
              </w:rPr>
            </w:pPr>
          </w:p>
        </w:tc>
        <w:tc>
          <w:tcPr>
            <w:tcW w:w="786" w:type="dxa"/>
            <w:gridSpan w:val="3"/>
            <w:shd w:val="clear" w:color="auto" w:fill="FFFFFF"/>
            <w:vAlign w:val="center"/>
          </w:tcPr>
          <w:p w14:paraId="6B137A1E" w14:textId="77777777" w:rsidR="00D60307" w:rsidRPr="00B717F8" w:rsidRDefault="00D60307" w:rsidP="00D5397E">
            <w:pPr>
              <w:spacing w:after="0"/>
              <w:jc w:val="center"/>
              <w:rPr>
                <w:rFonts w:ascii="Times New Roman" w:hAnsi="Times New Roman" w:cs="Times New Roman"/>
              </w:rPr>
            </w:pPr>
          </w:p>
        </w:tc>
        <w:tc>
          <w:tcPr>
            <w:tcW w:w="786" w:type="dxa"/>
            <w:gridSpan w:val="3"/>
            <w:shd w:val="clear" w:color="auto" w:fill="FFFFFF"/>
            <w:vAlign w:val="center"/>
          </w:tcPr>
          <w:p w14:paraId="6540C423" w14:textId="77777777" w:rsidR="00D60307" w:rsidRPr="00B717F8" w:rsidRDefault="00D60307" w:rsidP="00D5397E">
            <w:pPr>
              <w:spacing w:after="0"/>
              <w:jc w:val="center"/>
              <w:rPr>
                <w:rFonts w:ascii="Times New Roman" w:hAnsi="Times New Roman" w:cs="Times New Roman"/>
              </w:rPr>
            </w:pPr>
          </w:p>
        </w:tc>
        <w:tc>
          <w:tcPr>
            <w:tcW w:w="786" w:type="dxa"/>
            <w:shd w:val="clear" w:color="auto" w:fill="FFFFFF"/>
            <w:vAlign w:val="center"/>
          </w:tcPr>
          <w:p w14:paraId="00B15AA5" w14:textId="77777777" w:rsidR="00D60307" w:rsidRPr="00B717F8" w:rsidRDefault="00D60307" w:rsidP="00D5397E">
            <w:pPr>
              <w:spacing w:after="0"/>
              <w:jc w:val="center"/>
              <w:rPr>
                <w:rFonts w:ascii="Times New Roman" w:hAnsi="Times New Roman" w:cs="Times New Roman"/>
              </w:rPr>
            </w:pPr>
          </w:p>
        </w:tc>
        <w:tc>
          <w:tcPr>
            <w:tcW w:w="786" w:type="dxa"/>
            <w:gridSpan w:val="2"/>
            <w:shd w:val="clear" w:color="auto" w:fill="FFFFFF"/>
            <w:vAlign w:val="center"/>
          </w:tcPr>
          <w:p w14:paraId="2EEF1CF2" w14:textId="77777777" w:rsidR="00D60307" w:rsidRPr="00B717F8" w:rsidRDefault="00D60307" w:rsidP="00D5397E">
            <w:pPr>
              <w:spacing w:after="0"/>
              <w:jc w:val="center"/>
              <w:rPr>
                <w:rFonts w:ascii="Times New Roman" w:hAnsi="Times New Roman" w:cs="Times New Roman"/>
              </w:rPr>
            </w:pPr>
          </w:p>
        </w:tc>
        <w:tc>
          <w:tcPr>
            <w:tcW w:w="787" w:type="dxa"/>
            <w:gridSpan w:val="2"/>
            <w:shd w:val="clear" w:color="auto" w:fill="FFFFFF"/>
            <w:vAlign w:val="center"/>
          </w:tcPr>
          <w:p w14:paraId="263641D0" w14:textId="77777777" w:rsidR="00D60307" w:rsidRPr="00B717F8" w:rsidRDefault="00D60307" w:rsidP="00D5397E">
            <w:pPr>
              <w:spacing w:after="0"/>
              <w:jc w:val="center"/>
              <w:rPr>
                <w:rFonts w:ascii="Times New Roman" w:hAnsi="Times New Roman" w:cs="Times New Roman"/>
              </w:rPr>
            </w:pPr>
          </w:p>
        </w:tc>
        <w:tc>
          <w:tcPr>
            <w:tcW w:w="879" w:type="dxa"/>
            <w:shd w:val="clear" w:color="auto" w:fill="FFFFFF"/>
            <w:vAlign w:val="center"/>
          </w:tcPr>
          <w:p w14:paraId="0A879C00" w14:textId="77777777" w:rsidR="00D60307" w:rsidRPr="00B717F8" w:rsidRDefault="00D60307" w:rsidP="00D5397E">
            <w:pPr>
              <w:spacing w:after="0"/>
              <w:jc w:val="center"/>
              <w:rPr>
                <w:rFonts w:ascii="Times New Roman" w:hAnsi="Times New Roman" w:cs="Times New Roman"/>
              </w:rPr>
            </w:pPr>
          </w:p>
        </w:tc>
      </w:tr>
      <w:tr w:rsidR="006428B4" w:rsidRPr="00B717F8" w14:paraId="606AB586" w14:textId="77777777" w:rsidTr="006C3B53">
        <w:trPr>
          <w:trHeight w:val="357"/>
        </w:trPr>
        <w:tc>
          <w:tcPr>
            <w:tcW w:w="1560" w:type="dxa"/>
            <w:shd w:val="clear" w:color="auto" w:fill="FFFFFF"/>
            <w:vAlign w:val="center"/>
          </w:tcPr>
          <w:p w14:paraId="168DBD19" w14:textId="77777777" w:rsidR="006428B4" w:rsidRPr="00B717F8" w:rsidRDefault="006428B4" w:rsidP="006428B4">
            <w:pPr>
              <w:spacing w:after="0" w:line="240" w:lineRule="auto"/>
              <w:rPr>
                <w:rFonts w:ascii="Times New Roman" w:eastAsia="Calibri" w:hAnsi="Times New Roman" w:cs="Times New Roman"/>
              </w:rPr>
            </w:pPr>
            <w:r w:rsidRPr="00B717F8">
              <w:rPr>
                <w:rFonts w:ascii="Times New Roman" w:eastAsia="Calibri" w:hAnsi="Times New Roman" w:cs="Times New Roman"/>
              </w:rPr>
              <w:t>- Fundusz Ubezpieczeń Społecznych</w:t>
            </w:r>
          </w:p>
        </w:tc>
        <w:tc>
          <w:tcPr>
            <w:tcW w:w="786" w:type="dxa"/>
            <w:gridSpan w:val="2"/>
            <w:shd w:val="clear" w:color="auto" w:fill="FFFFFF"/>
            <w:vAlign w:val="center"/>
          </w:tcPr>
          <w:p w14:paraId="569C1646" w14:textId="77777777"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0</w:t>
            </w:r>
          </w:p>
        </w:tc>
        <w:tc>
          <w:tcPr>
            <w:tcW w:w="786" w:type="dxa"/>
            <w:shd w:val="clear" w:color="auto" w:fill="FFFFFF"/>
            <w:vAlign w:val="bottom"/>
          </w:tcPr>
          <w:p w14:paraId="3D0F67BD" w14:textId="24B97292"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-5</w:t>
            </w:r>
            <w:r>
              <w:rPr>
                <w:rFonts w:ascii="Times New Roman" w:hAnsi="Times New Roman" w:cs="Times New Roman"/>
              </w:rPr>
              <w:t>4</w:t>
            </w:r>
          </w:p>
        </w:tc>
        <w:tc>
          <w:tcPr>
            <w:tcW w:w="786" w:type="dxa"/>
            <w:gridSpan w:val="2"/>
            <w:shd w:val="clear" w:color="auto" w:fill="FFFFFF"/>
            <w:vAlign w:val="bottom"/>
          </w:tcPr>
          <w:p w14:paraId="130B99D3" w14:textId="6A12EA15"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3F18F72A" w14:textId="285B0820"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3BCED2FC" w14:textId="694A7837"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0880E764" w14:textId="425E10CE" w:rsidR="006428B4" w:rsidRPr="00B717F8" w:rsidRDefault="006428B4" w:rsidP="006428B4">
            <w:pPr>
              <w:spacing w:after="0"/>
              <w:jc w:val="center"/>
              <w:rPr>
                <w:rFonts w:ascii="Times New Roman" w:hAnsi="Times New Roman" w:cs="Times New Roman"/>
                <w:highlight w:val="yellow"/>
              </w:rPr>
            </w:pPr>
            <w:r w:rsidRPr="00B717F8">
              <w:rPr>
                <w:rFonts w:ascii="Times New Roman" w:hAnsi="Times New Roman" w:cs="Times New Roman"/>
              </w:rPr>
              <w:t>-2</w:t>
            </w:r>
            <w:r>
              <w:rPr>
                <w:rFonts w:ascii="Times New Roman" w:hAnsi="Times New Roman" w:cs="Times New Roman"/>
              </w:rPr>
              <w:t>17</w:t>
            </w:r>
          </w:p>
        </w:tc>
        <w:tc>
          <w:tcPr>
            <w:tcW w:w="786" w:type="dxa"/>
            <w:gridSpan w:val="3"/>
            <w:shd w:val="clear" w:color="auto" w:fill="FFFFFF"/>
            <w:vAlign w:val="bottom"/>
          </w:tcPr>
          <w:p w14:paraId="543992A3" w14:textId="74622DC2"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3"/>
            <w:shd w:val="clear" w:color="auto" w:fill="FFFFFF"/>
            <w:vAlign w:val="bottom"/>
          </w:tcPr>
          <w:p w14:paraId="3FBB509B" w14:textId="276F83B3"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shd w:val="clear" w:color="auto" w:fill="FFFFFF"/>
            <w:vAlign w:val="bottom"/>
          </w:tcPr>
          <w:p w14:paraId="10101889" w14:textId="6325302A"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6" w:type="dxa"/>
            <w:gridSpan w:val="2"/>
            <w:shd w:val="clear" w:color="auto" w:fill="FFFFFF"/>
            <w:vAlign w:val="bottom"/>
          </w:tcPr>
          <w:p w14:paraId="548A0B85" w14:textId="672B1A79"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787" w:type="dxa"/>
            <w:gridSpan w:val="2"/>
            <w:shd w:val="clear" w:color="auto" w:fill="FFFFFF"/>
            <w:vAlign w:val="bottom"/>
          </w:tcPr>
          <w:p w14:paraId="4EE8DFA8" w14:textId="4B781196"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-2</w:t>
            </w:r>
            <w:r>
              <w:rPr>
                <w:rFonts w:ascii="Times New Roman" w:hAnsi="Times New Roman" w:cs="Times New Roman"/>
              </w:rPr>
              <w:t>17</w:t>
            </w:r>
          </w:p>
        </w:tc>
        <w:tc>
          <w:tcPr>
            <w:tcW w:w="879" w:type="dxa"/>
            <w:shd w:val="clear" w:color="auto" w:fill="FFFFFF"/>
            <w:vAlign w:val="bottom"/>
          </w:tcPr>
          <w:p w14:paraId="56D910EA" w14:textId="4ADA644F" w:rsidR="006428B4" w:rsidRPr="00B717F8" w:rsidRDefault="006428B4" w:rsidP="006428B4">
            <w:pPr>
              <w:spacing w:after="0"/>
              <w:jc w:val="center"/>
              <w:rPr>
                <w:rFonts w:ascii="Times New Roman" w:hAnsi="Times New Roman" w:cs="Times New Roman"/>
              </w:rPr>
            </w:pPr>
            <w:r w:rsidRPr="00B717F8">
              <w:rPr>
                <w:rFonts w:ascii="Times New Roman" w:hAnsi="Times New Roman" w:cs="Times New Roman"/>
              </w:rPr>
              <w:t>-</w:t>
            </w:r>
            <w:r>
              <w:rPr>
                <w:rFonts w:ascii="Times New Roman" w:hAnsi="Times New Roman" w:cs="Times New Roman"/>
              </w:rPr>
              <w:t>2004</w:t>
            </w:r>
          </w:p>
        </w:tc>
      </w:tr>
      <w:tr w:rsidR="00B717F8" w:rsidRPr="00B717F8" w14:paraId="5CED2B97" w14:textId="77777777" w:rsidTr="00CA01A9">
        <w:trPr>
          <w:trHeight w:val="348"/>
        </w:trPr>
        <w:tc>
          <w:tcPr>
            <w:tcW w:w="1560" w:type="dxa"/>
            <w:shd w:val="clear" w:color="auto" w:fill="FFFFFF"/>
            <w:vAlign w:val="center"/>
          </w:tcPr>
          <w:p w14:paraId="78C2D1AF"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 xml:space="preserve">Źródła finansowania </w:t>
            </w:r>
          </w:p>
        </w:tc>
        <w:tc>
          <w:tcPr>
            <w:tcW w:w="9526" w:type="dxa"/>
            <w:gridSpan w:val="23"/>
            <w:shd w:val="clear" w:color="auto" w:fill="FFFFFF"/>
            <w:vAlign w:val="center"/>
          </w:tcPr>
          <w:p w14:paraId="64F31804" w14:textId="77777777" w:rsidR="00903749" w:rsidRPr="00B717F8" w:rsidRDefault="00903749" w:rsidP="00D60307">
            <w:pPr>
              <w:spacing w:after="0" w:line="276" w:lineRule="auto"/>
              <w:rPr>
                <w:rFonts w:ascii="Times New Roman" w:eastAsia="Calibri" w:hAnsi="Times New Roman" w:cs="Times New Roman"/>
              </w:rPr>
            </w:pPr>
          </w:p>
        </w:tc>
      </w:tr>
      <w:tr w:rsidR="00B717F8" w:rsidRPr="00B717F8" w14:paraId="7E7F933F" w14:textId="77777777" w:rsidTr="00CA01A9">
        <w:trPr>
          <w:trHeight w:val="1517"/>
        </w:trPr>
        <w:tc>
          <w:tcPr>
            <w:tcW w:w="1560" w:type="dxa"/>
            <w:shd w:val="clear" w:color="auto" w:fill="FFFFFF"/>
          </w:tcPr>
          <w:p w14:paraId="11AE2D67"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Dodatkowe informacje, w tym wskazanie źródeł danych i przyjętych do obliczeń założeń</w:t>
            </w:r>
          </w:p>
        </w:tc>
        <w:tc>
          <w:tcPr>
            <w:tcW w:w="9526" w:type="dxa"/>
            <w:gridSpan w:val="23"/>
            <w:shd w:val="clear" w:color="auto" w:fill="FFFFFF"/>
          </w:tcPr>
          <w:p w14:paraId="62109152" w14:textId="1CDDA067" w:rsidR="002C5810" w:rsidRPr="00B717F8" w:rsidRDefault="002C5810" w:rsidP="002C5810">
            <w:pPr>
              <w:spacing w:after="0" w:line="240" w:lineRule="auto"/>
              <w:rPr>
                <w:rFonts w:ascii="Times New Roman" w:eastAsia="Calibri" w:hAnsi="Times New Roman" w:cs="Times New Roman"/>
              </w:rPr>
            </w:pPr>
            <w:r w:rsidRPr="00B717F8">
              <w:rPr>
                <w:rFonts w:ascii="Times New Roman" w:eastAsia="Calibri" w:hAnsi="Times New Roman" w:cs="Times New Roman"/>
              </w:rPr>
              <w:t xml:space="preserve">Podniesienie kwoty wartości finansowanych przez pracodawcę posiłków udostępnianych pracownikom do spożycia, jaka jest </w:t>
            </w:r>
            <w:r w:rsidRPr="00B717F8">
              <w:rPr>
                <w:rFonts w:ascii="Times New Roman" w:eastAsia="Batang" w:hAnsi="Times New Roman" w:cs="Times New Roman"/>
                <w:lang w:eastAsia="pl-PL"/>
              </w:rPr>
              <w:t>wyłączona z podstawy wymiaru składek,</w:t>
            </w:r>
            <w:r w:rsidRPr="00B717F8">
              <w:rPr>
                <w:rFonts w:ascii="Times New Roman" w:eastAsia="Calibri" w:hAnsi="Times New Roman" w:cs="Times New Roman"/>
              </w:rPr>
              <w:t xml:space="preserve"> do </w:t>
            </w:r>
            <w:r w:rsidR="003D2C92" w:rsidRPr="00B717F8">
              <w:rPr>
                <w:rFonts w:ascii="Times New Roman" w:eastAsia="Calibri" w:hAnsi="Times New Roman" w:cs="Times New Roman"/>
              </w:rPr>
              <w:t xml:space="preserve">kwoty </w:t>
            </w:r>
            <w:r w:rsidR="009E52BC" w:rsidRPr="00B717F8">
              <w:rPr>
                <w:rFonts w:ascii="Times New Roman" w:eastAsia="Calibri" w:hAnsi="Times New Roman" w:cs="Times New Roman"/>
              </w:rPr>
              <w:t>4</w:t>
            </w:r>
            <w:r w:rsidR="003B2C34" w:rsidRPr="00B717F8">
              <w:rPr>
                <w:rFonts w:ascii="Times New Roman" w:eastAsia="Calibri" w:hAnsi="Times New Roman" w:cs="Times New Roman"/>
              </w:rPr>
              <w:t>5</w:t>
            </w:r>
            <w:r w:rsidR="009E52BC" w:rsidRPr="00B717F8">
              <w:rPr>
                <w:rFonts w:ascii="Times New Roman" w:eastAsia="Calibri" w:hAnsi="Times New Roman" w:cs="Times New Roman"/>
              </w:rPr>
              <w:t xml:space="preserve">0 </w:t>
            </w:r>
            <w:r w:rsidRPr="00B717F8">
              <w:rPr>
                <w:rFonts w:ascii="Times New Roman" w:eastAsia="Calibri" w:hAnsi="Times New Roman" w:cs="Times New Roman"/>
              </w:rPr>
              <w:t>zł</w:t>
            </w:r>
            <w:r w:rsidRPr="00B717F8">
              <w:rPr>
                <w:rFonts w:ascii="Times New Roman" w:hAnsi="Times New Roman" w:cs="Times New Roman"/>
              </w:rPr>
              <w:t xml:space="preserve"> </w:t>
            </w:r>
            <w:r w:rsidRPr="00B717F8">
              <w:rPr>
                <w:rFonts w:ascii="Times New Roman" w:eastAsia="Calibri" w:hAnsi="Times New Roman" w:cs="Times New Roman"/>
              </w:rPr>
              <w:t>skutkuje rozszerzeniem zwolnienia ze składek na ubezpieczenia społeczne, a różnica (wzrost kwoty zw</w:t>
            </w:r>
            <w:r w:rsidR="007F7EC4" w:rsidRPr="00B717F8">
              <w:rPr>
                <w:rFonts w:ascii="Times New Roman" w:eastAsia="Calibri" w:hAnsi="Times New Roman" w:cs="Times New Roman"/>
              </w:rPr>
              <w:t xml:space="preserve">olnienia ze składek) wyniesie ok </w:t>
            </w:r>
            <w:r w:rsidR="003B2C34" w:rsidRPr="00B717F8">
              <w:rPr>
                <w:rFonts w:ascii="Times New Roman" w:eastAsia="Calibri" w:hAnsi="Times New Roman" w:cs="Times New Roman"/>
              </w:rPr>
              <w:t>46</w:t>
            </w:r>
            <w:r w:rsidR="009E52BC" w:rsidRPr="00B717F8">
              <w:rPr>
                <w:rFonts w:ascii="Times New Roman" w:eastAsia="Calibri" w:hAnsi="Times New Roman" w:cs="Times New Roman"/>
              </w:rPr>
              <w:t>,</w:t>
            </w:r>
            <w:r w:rsidR="003B2C34" w:rsidRPr="00B717F8">
              <w:rPr>
                <w:rFonts w:ascii="Times New Roman" w:eastAsia="Calibri" w:hAnsi="Times New Roman" w:cs="Times New Roman"/>
              </w:rPr>
              <w:t>65</w:t>
            </w:r>
            <w:r w:rsidR="007F7EC4" w:rsidRPr="00B717F8">
              <w:rPr>
                <w:rFonts w:ascii="Times New Roman" w:eastAsia="Calibri" w:hAnsi="Times New Roman" w:cs="Times New Roman"/>
              </w:rPr>
              <w:t xml:space="preserve"> </w:t>
            </w:r>
            <w:r w:rsidRPr="00B717F8">
              <w:rPr>
                <w:rFonts w:ascii="Times New Roman" w:eastAsia="Calibri" w:hAnsi="Times New Roman" w:cs="Times New Roman"/>
              </w:rPr>
              <w:t>zł.</w:t>
            </w:r>
          </w:p>
          <w:p w14:paraId="30A3ECE1" w14:textId="0E2A1667" w:rsidR="00D60307" w:rsidRPr="00B717F8" w:rsidRDefault="00D63361" w:rsidP="00FB04BF">
            <w:pPr>
              <w:spacing w:after="0" w:line="240" w:lineRule="auto"/>
              <w:jc w:val="both"/>
              <w:rPr>
                <w:rFonts w:ascii="Times New Roman" w:eastAsia="Calibri" w:hAnsi="Times New Roman" w:cs="Times New Roman"/>
              </w:rPr>
            </w:pPr>
            <w:r w:rsidRPr="00B717F8">
              <w:rPr>
                <w:rFonts w:ascii="Times New Roman" w:eastAsia="Calibri" w:hAnsi="Times New Roman" w:cs="Times New Roman"/>
              </w:rPr>
              <w:t xml:space="preserve">Na koniec marca </w:t>
            </w:r>
            <w:r w:rsidR="00393A5C" w:rsidRPr="00B717F8">
              <w:rPr>
                <w:rFonts w:ascii="Times New Roman" w:eastAsia="Calibri" w:hAnsi="Times New Roman" w:cs="Times New Roman"/>
              </w:rPr>
              <w:t>br. w ubezpieczeniu</w:t>
            </w:r>
            <w:r w:rsidRPr="00B717F8">
              <w:rPr>
                <w:rFonts w:ascii="Times New Roman" w:eastAsia="Calibri" w:hAnsi="Times New Roman" w:cs="Times New Roman"/>
              </w:rPr>
              <w:t xml:space="preserve"> emerytalno-rentowym było ok. 16,</w:t>
            </w:r>
            <w:r w:rsidR="00CE67AB">
              <w:rPr>
                <w:rFonts w:ascii="Times New Roman" w:eastAsia="Calibri" w:hAnsi="Times New Roman" w:cs="Times New Roman"/>
              </w:rPr>
              <w:t>3</w:t>
            </w:r>
            <w:r w:rsidR="00393A5C" w:rsidRPr="00B717F8">
              <w:rPr>
                <w:rFonts w:ascii="Times New Roman" w:eastAsia="Calibri" w:hAnsi="Times New Roman" w:cs="Times New Roman"/>
              </w:rPr>
              <w:t xml:space="preserve"> mln osób, w tym ok. </w:t>
            </w:r>
            <w:r w:rsidR="00574F52" w:rsidRPr="00B717F8">
              <w:rPr>
                <w:rFonts w:ascii="Times New Roman" w:eastAsia="Calibri" w:hAnsi="Times New Roman" w:cs="Times New Roman"/>
              </w:rPr>
              <w:t>12,9</w:t>
            </w:r>
            <w:r w:rsidR="00393A5C" w:rsidRPr="00B717F8">
              <w:rPr>
                <w:rFonts w:ascii="Times New Roman" w:eastAsia="Calibri" w:hAnsi="Times New Roman" w:cs="Times New Roman"/>
              </w:rPr>
              <w:t xml:space="preserve"> mln pracowników, osób pracujących na umowy zlecenia i członków rolniczych spółdzielni, którzy mogą korzystać z p</w:t>
            </w:r>
            <w:r w:rsidR="009A76A4" w:rsidRPr="00B717F8">
              <w:rPr>
                <w:rFonts w:ascii="Times New Roman" w:eastAsia="Calibri" w:hAnsi="Times New Roman" w:cs="Times New Roman"/>
              </w:rPr>
              <w:t xml:space="preserve">owyższego rozwiązania. Przyjmując, </w:t>
            </w:r>
            <w:r w:rsidR="00393A5C" w:rsidRPr="00B717F8">
              <w:rPr>
                <w:rFonts w:ascii="Times New Roman" w:eastAsia="Calibri" w:hAnsi="Times New Roman" w:cs="Times New Roman"/>
              </w:rPr>
              <w:t xml:space="preserve">że 3% zatrudnionych pracowników objętych jest dofinansowaniem (szacunki FPP), daje to ok. </w:t>
            </w:r>
            <w:r w:rsidR="00CE67AB">
              <w:rPr>
                <w:rFonts w:ascii="Times New Roman" w:eastAsia="Calibri" w:hAnsi="Times New Roman" w:cs="Times New Roman"/>
              </w:rPr>
              <w:t>387</w:t>
            </w:r>
            <w:r w:rsidR="00393A5C" w:rsidRPr="00B717F8">
              <w:rPr>
                <w:rFonts w:ascii="Times New Roman" w:eastAsia="Calibri" w:hAnsi="Times New Roman" w:cs="Times New Roman"/>
              </w:rPr>
              <w:t xml:space="preserve"> tys. osób. </w:t>
            </w:r>
            <w:r w:rsidR="00D60307" w:rsidRPr="00B717F8">
              <w:rPr>
                <w:rFonts w:ascii="Times New Roman" w:eastAsia="Calibri" w:hAnsi="Times New Roman" w:cs="Times New Roman"/>
              </w:rPr>
              <w:t>Podniesienie dla tej grupy kwoty zwolnienia do</w:t>
            </w:r>
            <w:r w:rsidR="007306DB" w:rsidRPr="00B717F8">
              <w:rPr>
                <w:rFonts w:ascii="Times New Roman" w:eastAsia="Calibri" w:hAnsi="Times New Roman" w:cs="Times New Roman"/>
              </w:rPr>
              <w:t xml:space="preserve"> </w:t>
            </w:r>
            <w:r w:rsidR="009E52BC" w:rsidRPr="00B717F8">
              <w:rPr>
                <w:rFonts w:ascii="Times New Roman" w:eastAsia="Calibri" w:hAnsi="Times New Roman" w:cs="Times New Roman"/>
              </w:rPr>
              <w:t>4</w:t>
            </w:r>
            <w:r w:rsidR="003B2C34" w:rsidRPr="00B717F8">
              <w:rPr>
                <w:rFonts w:ascii="Times New Roman" w:eastAsia="Calibri" w:hAnsi="Times New Roman" w:cs="Times New Roman"/>
              </w:rPr>
              <w:t>5</w:t>
            </w:r>
            <w:r w:rsidR="009E52BC" w:rsidRPr="00B717F8">
              <w:rPr>
                <w:rFonts w:ascii="Times New Roman" w:eastAsia="Calibri" w:hAnsi="Times New Roman" w:cs="Times New Roman"/>
              </w:rPr>
              <w:t xml:space="preserve">0 </w:t>
            </w:r>
            <w:r w:rsidR="007306DB" w:rsidRPr="00B717F8">
              <w:rPr>
                <w:rFonts w:ascii="Times New Roman" w:eastAsia="Calibri" w:hAnsi="Times New Roman" w:cs="Times New Roman"/>
              </w:rPr>
              <w:t xml:space="preserve">zł </w:t>
            </w:r>
            <w:r w:rsidR="00D60307" w:rsidRPr="00B717F8">
              <w:rPr>
                <w:rFonts w:ascii="Times New Roman" w:eastAsia="Calibri" w:hAnsi="Times New Roman" w:cs="Times New Roman"/>
              </w:rPr>
              <w:t>skutkowałoby ubytkiem składek do FUS rzędu ok.</w:t>
            </w:r>
            <w:r w:rsidR="00E85CF0">
              <w:rPr>
                <w:rFonts w:ascii="Times New Roman" w:eastAsia="Calibri" w:hAnsi="Times New Roman" w:cs="Times New Roman"/>
              </w:rPr>
              <w:t xml:space="preserve"> </w:t>
            </w:r>
            <w:r w:rsidR="003B2C34" w:rsidRPr="00B717F8">
              <w:rPr>
                <w:rFonts w:ascii="Times New Roman" w:eastAsia="Calibri" w:hAnsi="Times New Roman" w:cs="Times New Roman"/>
              </w:rPr>
              <w:t>5</w:t>
            </w:r>
            <w:r w:rsidR="006428B4">
              <w:rPr>
                <w:rFonts w:ascii="Times New Roman" w:eastAsia="Calibri" w:hAnsi="Times New Roman" w:cs="Times New Roman"/>
              </w:rPr>
              <w:t>4</w:t>
            </w:r>
            <w:r w:rsidR="009E52BC" w:rsidRPr="00B717F8">
              <w:rPr>
                <w:rFonts w:ascii="Times New Roman" w:eastAsia="Calibri" w:hAnsi="Times New Roman" w:cs="Times New Roman"/>
              </w:rPr>
              <w:t xml:space="preserve"> </w:t>
            </w:r>
            <w:r w:rsidR="00D60307" w:rsidRPr="00B717F8">
              <w:rPr>
                <w:rFonts w:ascii="Times New Roman" w:eastAsia="Calibri" w:hAnsi="Times New Roman" w:cs="Times New Roman"/>
              </w:rPr>
              <w:t xml:space="preserve">mln zł </w:t>
            </w:r>
            <w:r w:rsidR="0009047C" w:rsidRPr="00B717F8">
              <w:rPr>
                <w:rFonts w:ascii="Times New Roman" w:eastAsia="Calibri" w:hAnsi="Times New Roman" w:cs="Times New Roman"/>
              </w:rPr>
              <w:t>w 2023</w:t>
            </w:r>
            <w:r w:rsidR="00475F1B" w:rsidRPr="00B717F8">
              <w:rPr>
                <w:rFonts w:ascii="Times New Roman" w:eastAsia="Calibri" w:hAnsi="Times New Roman" w:cs="Times New Roman"/>
              </w:rPr>
              <w:t xml:space="preserve"> r. </w:t>
            </w:r>
            <w:r w:rsidR="0009047C" w:rsidRPr="00B717F8">
              <w:rPr>
                <w:rFonts w:ascii="Times New Roman" w:eastAsia="Calibri" w:hAnsi="Times New Roman" w:cs="Times New Roman"/>
              </w:rPr>
              <w:t>(</w:t>
            </w:r>
            <w:r w:rsidR="00D60307" w:rsidRPr="00B717F8">
              <w:rPr>
                <w:rFonts w:ascii="Times New Roman" w:eastAsia="Calibri" w:hAnsi="Times New Roman" w:cs="Times New Roman"/>
              </w:rPr>
              <w:t>p</w:t>
            </w:r>
            <w:r w:rsidR="00E85CF0">
              <w:rPr>
                <w:rFonts w:ascii="Times New Roman" w:hAnsi="Times New Roman" w:cs="Times New Roman"/>
              </w:rPr>
              <w:t xml:space="preserve">rzepisy miałyby obowiązywać </w:t>
            </w:r>
            <w:r w:rsidR="00090EC7" w:rsidRPr="00B717F8">
              <w:rPr>
                <w:rFonts w:ascii="Times New Roman" w:hAnsi="Times New Roman" w:cs="Times New Roman"/>
              </w:rPr>
              <w:t>od 1</w:t>
            </w:r>
            <w:r w:rsidR="00E85CF0">
              <w:rPr>
                <w:rFonts w:ascii="Times New Roman" w:hAnsi="Times New Roman" w:cs="Times New Roman"/>
              </w:rPr>
              <w:t xml:space="preserve"> </w:t>
            </w:r>
            <w:r w:rsidR="00090EC7" w:rsidRPr="00B717F8">
              <w:rPr>
                <w:rFonts w:ascii="Times New Roman" w:hAnsi="Times New Roman" w:cs="Times New Roman"/>
              </w:rPr>
              <w:t xml:space="preserve">września </w:t>
            </w:r>
            <w:r w:rsidR="00D60307" w:rsidRPr="00B717F8">
              <w:rPr>
                <w:rFonts w:ascii="Times New Roman" w:hAnsi="Times New Roman" w:cs="Times New Roman"/>
              </w:rPr>
              <w:t>202</w:t>
            </w:r>
            <w:r w:rsidR="0009047C" w:rsidRPr="00B717F8">
              <w:rPr>
                <w:rFonts w:ascii="Times New Roman" w:hAnsi="Times New Roman" w:cs="Times New Roman"/>
              </w:rPr>
              <w:t>3</w:t>
            </w:r>
            <w:r w:rsidR="00D60307" w:rsidRPr="00B717F8">
              <w:rPr>
                <w:rFonts w:ascii="Times New Roman" w:hAnsi="Times New Roman" w:cs="Times New Roman"/>
              </w:rPr>
              <w:t xml:space="preserve"> r., co oznacza, że ubyte</w:t>
            </w:r>
            <w:r w:rsidR="00E85CF0">
              <w:rPr>
                <w:rFonts w:ascii="Times New Roman" w:hAnsi="Times New Roman" w:cs="Times New Roman"/>
              </w:rPr>
              <w:t xml:space="preserve">k składek będzie dotyczył tylko </w:t>
            </w:r>
            <w:r w:rsidR="006C3B53" w:rsidRPr="00B717F8">
              <w:rPr>
                <w:rFonts w:ascii="Times New Roman" w:hAnsi="Times New Roman" w:cs="Times New Roman"/>
              </w:rPr>
              <w:t>3</w:t>
            </w:r>
            <w:r w:rsidR="00E85CF0">
              <w:rPr>
                <w:rFonts w:ascii="Times New Roman" w:hAnsi="Times New Roman" w:cs="Times New Roman"/>
              </w:rPr>
              <w:t xml:space="preserve"> </w:t>
            </w:r>
            <w:r w:rsidR="00D60307" w:rsidRPr="00B717F8">
              <w:rPr>
                <w:rFonts w:ascii="Times New Roman" w:hAnsi="Times New Roman" w:cs="Times New Roman"/>
              </w:rPr>
              <w:t>miesięcy, gdyż płatnicy składek rozliczają je w miesiącu następującym po okresie, którego dotyczą</w:t>
            </w:r>
            <w:r w:rsidR="0009047C" w:rsidRPr="00B717F8">
              <w:rPr>
                <w:rFonts w:ascii="Times New Roman" w:hAnsi="Times New Roman" w:cs="Times New Roman"/>
              </w:rPr>
              <w:t>)</w:t>
            </w:r>
            <w:r w:rsidR="00D60307" w:rsidRPr="00B717F8">
              <w:rPr>
                <w:rFonts w:ascii="Times New Roman" w:hAnsi="Times New Roman" w:cs="Times New Roman"/>
              </w:rPr>
              <w:t>.</w:t>
            </w:r>
          </w:p>
          <w:p w14:paraId="639E2D0C" w14:textId="77777777" w:rsidR="00903749" w:rsidRDefault="00D60307" w:rsidP="00E85CF0">
            <w:pPr>
              <w:spacing w:after="0" w:line="240" w:lineRule="auto"/>
              <w:jc w:val="both"/>
              <w:rPr>
                <w:rFonts w:ascii="Times New Roman" w:eastAsia="Calibri" w:hAnsi="Times New Roman" w:cs="Times New Roman"/>
              </w:rPr>
            </w:pPr>
            <w:r w:rsidRPr="00B717F8">
              <w:rPr>
                <w:rFonts w:ascii="Times New Roman" w:eastAsia="Calibri" w:hAnsi="Times New Roman" w:cs="Times New Roman"/>
              </w:rPr>
              <w:t xml:space="preserve">Ze względu na brak możliwości oceny </w:t>
            </w:r>
            <w:proofErr w:type="spellStart"/>
            <w:r w:rsidRPr="00B717F8">
              <w:rPr>
                <w:rFonts w:ascii="Times New Roman" w:eastAsia="Calibri" w:hAnsi="Times New Roman" w:cs="Times New Roman"/>
              </w:rPr>
              <w:t>zachowań</w:t>
            </w:r>
            <w:proofErr w:type="spellEnd"/>
            <w:r w:rsidRPr="00B717F8">
              <w:rPr>
                <w:rFonts w:ascii="Times New Roman" w:eastAsia="Calibri" w:hAnsi="Times New Roman" w:cs="Times New Roman"/>
              </w:rPr>
              <w:t xml:space="preserve"> pracodawców nie jest możliwy do oszacowania wpływ tego rozwiązania na dochody podatkowe państwa. Podobnie nie ma możliwości oszacowania wpływu na dochody pracowników z tytułu zmniejszenia wysokości pobieranych świadczeń krótkookresowych, jednakże wydaje się, że wpływ ten nie będzie znaczny.</w:t>
            </w:r>
          </w:p>
          <w:p w14:paraId="20733331" w14:textId="543DD842" w:rsidR="00E85CF0" w:rsidRPr="00E85CF0" w:rsidRDefault="00E85CF0" w:rsidP="00E85CF0">
            <w:pPr>
              <w:spacing w:after="0" w:line="240" w:lineRule="auto"/>
              <w:jc w:val="both"/>
              <w:rPr>
                <w:rFonts w:ascii="Times New Roman" w:eastAsia="Calibri" w:hAnsi="Times New Roman" w:cs="Times New Roman"/>
              </w:rPr>
            </w:pPr>
          </w:p>
        </w:tc>
      </w:tr>
      <w:tr w:rsidR="00B717F8" w:rsidRPr="00B717F8" w14:paraId="76893245" w14:textId="77777777" w:rsidTr="00CA01A9">
        <w:trPr>
          <w:trHeight w:val="345"/>
        </w:trPr>
        <w:tc>
          <w:tcPr>
            <w:tcW w:w="11086" w:type="dxa"/>
            <w:gridSpan w:val="24"/>
            <w:shd w:val="clear" w:color="auto" w:fill="99CCFF"/>
          </w:tcPr>
          <w:p w14:paraId="7F40DDC8" w14:textId="77777777" w:rsidR="00903749" w:rsidRPr="00B717F8" w:rsidRDefault="00903749" w:rsidP="00D60307">
            <w:pPr>
              <w:numPr>
                <w:ilvl w:val="0"/>
                <w:numId w:val="1"/>
              </w:numPr>
              <w:spacing w:before="120" w:after="120" w:line="240" w:lineRule="auto"/>
              <w:jc w:val="both"/>
              <w:rPr>
                <w:rFonts w:ascii="Times New Roman" w:eastAsia="Calibri" w:hAnsi="Times New Roman" w:cs="Times New Roman"/>
                <w:b/>
                <w:spacing w:val="-2"/>
              </w:rPr>
            </w:pPr>
            <w:r w:rsidRPr="00B717F8">
              <w:rPr>
                <w:rFonts w:ascii="Times New Roman" w:eastAsia="Calibri" w:hAnsi="Times New Roman" w:cs="Times New Roman"/>
                <w:b/>
                <w:spacing w:val="-2"/>
              </w:rPr>
              <w:t xml:space="preserve">Wpływ na </w:t>
            </w:r>
            <w:r w:rsidRPr="00B717F8">
              <w:rPr>
                <w:rFonts w:ascii="Times New Roman" w:eastAsia="Calibri" w:hAnsi="Times New Roman" w:cs="Times New Roman"/>
                <w:b/>
              </w:rPr>
              <w:t>konkurencyjność gospodarki i przedsiębiorczość, w tym funkcjonowanie przedsiębiorców oraz na rodzinę, obywateli i gospodarstwa domowe, a także na sytuację ekonomiczną osób niepełnosprawnych oraz osób starszych</w:t>
            </w:r>
          </w:p>
        </w:tc>
      </w:tr>
      <w:tr w:rsidR="00B717F8" w:rsidRPr="00B717F8" w14:paraId="1329854D" w14:textId="77777777" w:rsidTr="00CA01A9">
        <w:trPr>
          <w:trHeight w:val="142"/>
        </w:trPr>
        <w:tc>
          <w:tcPr>
            <w:tcW w:w="11086" w:type="dxa"/>
            <w:gridSpan w:val="24"/>
            <w:shd w:val="clear" w:color="auto" w:fill="FFFFFF"/>
          </w:tcPr>
          <w:p w14:paraId="085A8192" w14:textId="77777777" w:rsidR="00903749" w:rsidRPr="00B717F8" w:rsidRDefault="00903749" w:rsidP="00D60307">
            <w:pPr>
              <w:spacing w:after="0" w:line="240" w:lineRule="auto"/>
              <w:jc w:val="center"/>
              <w:rPr>
                <w:rFonts w:ascii="Times New Roman" w:eastAsia="Calibri" w:hAnsi="Times New Roman" w:cs="Times New Roman"/>
                <w:spacing w:val="-2"/>
              </w:rPr>
            </w:pPr>
            <w:r w:rsidRPr="00B717F8">
              <w:rPr>
                <w:rFonts w:ascii="Times New Roman" w:eastAsia="Calibri" w:hAnsi="Times New Roman" w:cs="Times New Roman"/>
                <w:spacing w:val="-2"/>
              </w:rPr>
              <w:t>Skutki</w:t>
            </w:r>
          </w:p>
        </w:tc>
      </w:tr>
      <w:tr w:rsidR="00B717F8" w:rsidRPr="00B717F8" w14:paraId="0717FFA4" w14:textId="77777777" w:rsidTr="00CA01A9">
        <w:trPr>
          <w:trHeight w:val="142"/>
        </w:trPr>
        <w:tc>
          <w:tcPr>
            <w:tcW w:w="4005" w:type="dxa"/>
            <w:gridSpan w:val="7"/>
            <w:shd w:val="clear" w:color="auto" w:fill="FFFFFF"/>
          </w:tcPr>
          <w:p w14:paraId="3AEB847C"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Czas w latach od wejścia w życie zmian</w:t>
            </w:r>
          </w:p>
        </w:tc>
        <w:tc>
          <w:tcPr>
            <w:tcW w:w="957" w:type="dxa"/>
            <w:gridSpan w:val="2"/>
            <w:shd w:val="clear" w:color="auto" w:fill="FFFFFF"/>
          </w:tcPr>
          <w:p w14:paraId="784654A5"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23" w:type="dxa"/>
            <w:gridSpan w:val="2"/>
            <w:shd w:val="clear" w:color="auto" w:fill="FFFFFF"/>
          </w:tcPr>
          <w:p w14:paraId="3D2A48B6"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1</w:t>
            </w:r>
          </w:p>
        </w:tc>
        <w:tc>
          <w:tcPr>
            <w:tcW w:w="938" w:type="dxa"/>
            <w:gridSpan w:val="3"/>
            <w:shd w:val="clear" w:color="auto" w:fill="FFFFFF"/>
          </w:tcPr>
          <w:p w14:paraId="1A3430E2"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2</w:t>
            </w:r>
          </w:p>
        </w:tc>
        <w:tc>
          <w:tcPr>
            <w:tcW w:w="937" w:type="dxa"/>
            <w:gridSpan w:val="3"/>
            <w:shd w:val="clear" w:color="auto" w:fill="FFFFFF"/>
          </w:tcPr>
          <w:p w14:paraId="5F43FB82"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3</w:t>
            </w:r>
          </w:p>
        </w:tc>
        <w:tc>
          <w:tcPr>
            <w:tcW w:w="938" w:type="dxa"/>
            <w:gridSpan w:val="3"/>
            <w:shd w:val="clear" w:color="auto" w:fill="FFFFFF"/>
          </w:tcPr>
          <w:p w14:paraId="4E1486EA"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5</w:t>
            </w:r>
          </w:p>
        </w:tc>
        <w:tc>
          <w:tcPr>
            <w:tcW w:w="939" w:type="dxa"/>
            <w:gridSpan w:val="2"/>
            <w:shd w:val="clear" w:color="auto" w:fill="FFFFFF"/>
          </w:tcPr>
          <w:p w14:paraId="04888CF0" w14:textId="77777777" w:rsidR="00903749" w:rsidRPr="00B717F8" w:rsidRDefault="00903749" w:rsidP="00D60307">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10</w:t>
            </w:r>
          </w:p>
        </w:tc>
        <w:tc>
          <w:tcPr>
            <w:tcW w:w="1449" w:type="dxa"/>
            <w:gridSpan w:val="2"/>
            <w:shd w:val="clear" w:color="auto" w:fill="FFFFFF"/>
          </w:tcPr>
          <w:p w14:paraId="05938312" w14:textId="77777777" w:rsidR="00903749" w:rsidRPr="00B717F8" w:rsidRDefault="00903749" w:rsidP="00D60307">
            <w:pPr>
              <w:spacing w:after="0" w:line="240" w:lineRule="auto"/>
              <w:jc w:val="center"/>
              <w:rPr>
                <w:rFonts w:ascii="Times New Roman" w:eastAsia="Calibri" w:hAnsi="Times New Roman" w:cs="Times New Roman"/>
                <w:i/>
                <w:spacing w:val="-2"/>
              </w:rPr>
            </w:pPr>
            <w:r w:rsidRPr="00B717F8">
              <w:rPr>
                <w:rFonts w:ascii="Times New Roman" w:eastAsia="Calibri" w:hAnsi="Times New Roman" w:cs="Times New Roman"/>
                <w:i/>
                <w:spacing w:val="-2"/>
              </w:rPr>
              <w:t>Łącznie</w:t>
            </w:r>
            <w:r w:rsidRPr="00B717F8" w:rsidDel="0073273A">
              <w:rPr>
                <w:rFonts w:ascii="Times New Roman" w:eastAsia="Calibri" w:hAnsi="Times New Roman" w:cs="Times New Roman"/>
                <w:i/>
                <w:spacing w:val="-2"/>
              </w:rPr>
              <w:t xml:space="preserve"> </w:t>
            </w:r>
            <w:r w:rsidRPr="00B717F8">
              <w:rPr>
                <w:rFonts w:ascii="Times New Roman" w:eastAsia="Calibri" w:hAnsi="Times New Roman" w:cs="Times New Roman"/>
                <w:i/>
                <w:spacing w:val="-2"/>
              </w:rPr>
              <w:t>(0-10)</w:t>
            </w:r>
          </w:p>
        </w:tc>
      </w:tr>
      <w:tr w:rsidR="00B717F8" w:rsidRPr="00B717F8" w14:paraId="21EBD5EA" w14:textId="77777777" w:rsidTr="00D5397E">
        <w:trPr>
          <w:trHeight w:val="142"/>
        </w:trPr>
        <w:tc>
          <w:tcPr>
            <w:tcW w:w="1585" w:type="dxa"/>
            <w:gridSpan w:val="2"/>
            <w:vMerge w:val="restart"/>
            <w:shd w:val="clear" w:color="auto" w:fill="FFFFFF"/>
          </w:tcPr>
          <w:p w14:paraId="3EB6EF99" w14:textId="77777777" w:rsidR="00903749" w:rsidRPr="00B717F8" w:rsidRDefault="00903749" w:rsidP="00D60307">
            <w:pPr>
              <w:spacing w:after="0" w:line="276" w:lineRule="auto"/>
              <w:rPr>
                <w:rFonts w:ascii="Times New Roman" w:eastAsia="Calibri" w:hAnsi="Times New Roman" w:cs="Times New Roman"/>
              </w:rPr>
            </w:pPr>
            <w:r w:rsidRPr="00B717F8">
              <w:rPr>
                <w:rFonts w:ascii="Times New Roman" w:eastAsia="Calibri" w:hAnsi="Times New Roman" w:cs="Times New Roman"/>
              </w:rPr>
              <w:t>W ujęciu pieniężnym</w:t>
            </w:r>
          </w:p>
          <w:p w14:paraId="0B12A331" w14:textId="77777777" w:rsidR="00903749" w:rsidRPr="00B717F8" w:rsidRDefault="00903749" w:rsidP="00D60307">
            <w:pPr>
              <w:spacing w:after="0" w:line="276" w:lineRule="auto"/>
              <w:rPr>
                <w:rFonts w:ascii="Times New Roman" w:eastAsia="Calibri" w:hAnsi="Times New Roman" w:cs="Times New Roman"/>
                <w:spacing w:val="-2"/>
              </w:rPr>
            </w:pPr>
            <w:r w:rsidRPr="00B717F8">
              <w:rPr>
                <w:rFonts w:ascii="Times New Roman" w:eastAsia="Calibri" w:hAnsi="Times New Roman" w:cs="Times New Roman"/>
                <w:spacing w:val="-2"/>
              </w:rPr>
              <w:t xml:space="preserve">(w mln zł, </w:t>
            </w:r>
          </w:p>
          <w:p w14:paraId="650B43C6"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spacing w:val="-2"/>
              </w:rPr>
              <w:t>ceny bieżące)</w:t>
            </w:r>
          </w:p>
        </w:tc>
        <w:tc>
          <w:tcPr>
            <w:tcW w:w="2420" w:type="dxa"/>
            <w:gridSpan w:val="5"/>
            <w:shd w:val="clear" w:color="auto" w:fill="FFFFFF"/>
          </w:tcPr>
          <w:p w14:paraId="7C33ECE0"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duże przedsiębiorstwa (banki)</w:t>
            </w:r>
          </w:p>
        </w:tc>
        <w:tc>
          <w:tcPr>
            <w:tcW w:w="957" w:type="dxa"/>
            <w:gridSpan w:val="2"/>
            <w:shd w:val="clear" w:color="auto" w:fill="FFFFFF"/>
            <w:vAlign w:val="center"/>
          </w:tcPr>
          <w:p w14:paraId="6F13476E" w14:textId="77777777" w:rsidR="00903749" w:rsidRPr="00B717F8" w:rsidRDefault="00903749" w:rsidP="00D5397E">
            <w:pPr>
              <w:spacing w:after="0" w:line="276"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23" w:type="dxa"/>
            <w:gridSpan w:val="2"/>
            <w:shd w:val="clear" w:color="auto" w:fill="FFFFFF"/>
            <w:vAlign w:val="center"/>
          </w:tcPr>
          <w:p w14:paraId="51A8431E" w14:textId="77777777" w:rsidR="00903749" w:rsidRPr="00B717F8" w:rsidRDefault="00903749" w:rsidP="00D5397E">
            <w:pPr>
              <w:spacing w:after="0" w:line="276"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38" w:type="dxa"/>
            <w:gridSpan w:val="3"/>
            <w:shd w:val="clear" w:color="auto" w:fill="FFFFFF"/>
            <w:vAlign w:val="center"/>
          </w:tcPr>
          <w:p w14:paraId="3F23AEFD" w14:textId="77777777" w:rsidR="00903749" w:rsidRPr="00B717F8" w:rsidRDefault="00903749" w:rsidP="00D5397E">
            <w:pPr>
              <w:spacing w:after="0" w:line="276"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37" w:type="dxa"/>
            <w:gridSpan w:val="3"/>
            <w:shd w:val="clear" w:color="auto" w:fill="FFFFFF"/>
            <w:vAlign w:val="center"/>
          </w:tcPr>
          <w:p w14:paraId="56FCF8A0" w14:textId="77777777" w:rsidR="00903749" w:rsidRPr="00B717F8" w:rsidRDefault="00903749" w:rsidP="00D5397E">
            <w:pPr>
              <w:spacing w:after="0" w:line="276"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38" w:type="dxa"/>
            <w:gridSpan w:val="3"/>
            <w:shd w:val="clear" w:color="auto" w:fill="FFFFFF"/>
            <w:vAlign w:val="center"/>
          </w:tcPr>
          <w:p w14:paraId="41DAEE5D" w14:textId="77777777" w:rsidR="00903749" w:rsidRPr="00B717F8" w:rsidRDefault="00903749" w:rsidP="00D5397E">
            <w:pPr>
              <w:spacing w:after="0" w:line="276"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39" w:type="dxa"/>
            <w:gridSpan w:val="2"/>
            <w:shd w:val="clear" w:color="auto" w:fill="FFFFFF"/>
            <w:vAlign w:val="center"/>
          </w:tcPr>
          <w:p w14:paraId="06F73045" w14:textId="77777777" w:rsidR="00903749" w:rsidRPr="00B717F8" w:rsidRDefault="00903749" w:rsidP="00D5397E">
            <w:pPr>
              <w:spacing w:after="0" w:line="276"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1449" w:type="dxa"/>
            <w:gridSpan w:val="2"/>
            <w:shd w:val="clear" w:color="auto" w:fill="FFFFFF"/>
            <w:vAlign w:val="center"/>
          </w:tcPr>
          <w:p w14:paraId="5403694F" w14:textId="77777777" w:rsidR="00903749" w:rsidRPr="00B717F8" w:rsidRDefault="00903749" w:rsidP="00D5397E">
            <w:pPr>
              <w:spacing w:after="0" w:line="276" w:lineRule="auto"/>
              <w:jc w:val="center"/>
              <w:rPr>
                <w:rFonts w:ascii="Times New Roman" w:eastAsia="Calibri" w:hAnsi="Times New Roman" w:cs="Times New Roman"/>
              </w:rPr>
            </w:pPr>
            <w:r w:rsidRPr="00B717F8">
              <w:rPr>
                <w:rFonts w:ascii="Times New Roman" w:eastAsia="Calibri" w:hAnsi="Times New Roman" w:cs="Times New Roman"/>
              </w:rPr>
              <w:t>0</w:t>
            </w:r>
          </w:p>
        </w:tc>
      </w:tr>
      <w:tr w:rsidR="00B717F8" w:rsidRPr="00B717F8" w14:paraId="5A665F34" w14:textId="77777777" w:rsidTr="006C3B53">
        <w:trPr>
          <w:trHeight w:val="142"/>
        </w:trPr>
        <w:tc>
          <w:tcPr>
            <w:tcW w:w="1585" w:type="dxa"/>
            <w:gridSpan w:val="2"/>
            <w:vMerge/>
            <w:shd w:val="clear" w:color="auto" w:fill="FFFFFF"/>
          </w:tcPr>
          <w:p w14:paraId="6F7A4028" w14:textId="77777777" w:rsidR="003B2C34" w:rsidRPr="00B717F8" w:rsidRDefault="003B2C34" w:rsidP="003B2C34">
            <w:pPr>
              <w:spacing w:after="0" w:line="240" w:lineRule="auto"/>
              <w:rPr>
                <w:rFonts w:ascii="Times New Roman" w:eastAsia="Calibri" w:hAnsi="Times New Roman" w:cs="Times New Roman"/>
              </w:rPr>
            </w:pPr>
          </w:p>
        </w:tc>
        <w:tc>
          <w:tcPr>
            <w:tcW w:w="2420" w:type="dxa"/>
            <w:gridSpan w:val="5"/>
            <w:shd w:val="clear" w:color="auto" w:fill="FFFFFF"/>
          </w:tcPr>
          <w:p w14:paraId="3FFC29AE" w14:textId="77777777" w:rsidR="003B2C34" w:rsidRPr="00B717F8" w:rsidRDefault="003B2C34" w:rsidP="003B2C34">
            <w:pPr>
              <w:spacing w:after="0" w:line="240" w:lineRule="auto"/>
              <w:rPr>
                <w:rFonts w:ascii="Times New Roman" w:eastAsia="Calibri" w:hAnsi="Times New Roman" w:cs="Times New Roman"/>
              </w:rPr>
            </w:pPr>
            <w:r w:rsidRPr="00B717F8">
              <w:rPr>
                <w:rFonts w:ascii="Times New Roman" w:eastAsia="Calibri" w:hAnsi="Times New Roman" w:cs="Times New Roman"/>
              </w:rPr>
              <w:t>sektor mikro-, małych i średnich przedsiębiorstw</w:t>
            </w:r>
          </w:p>
        </w:tc>
        <w:tc>
          <w:tcPr>
            <w:tcW w:w="957" w:type="dxa"/>
            <w:gridSpan w:val="2"/>
            <w:shd w:val="clear" w:color="auto" w:fill="FFFFFF"/>
            <w:vAlign w:val="center"/>
          </w:tcPr>
          <w:p w14:paraId="47D7C876" w14:textId="77777777" w:rsidR="003B2C34" w:rsidRPr="00B717F8" w:rsidRDefault="003B2C34" w:rsidP="003B2C34">
            <w:pPr>
              <w:spacing w:after="0" w:line="276"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23" w:type="dxa"/>
            <w:gridSpan w:val="2"/>
            <w:shd w:val="clear" w:color="auto" w:fill="FFFFFF"/>
            <w:vAlign w:val="center"/>
          </w:tcPr>
          <w:p w14:paraId="3C321EF3" w14:textId="6DADBF74" w:rsidR="003B2C34" w:rsidRPr="00B717F8" w:rsidRDefault="003B2C34" w:rsidP="003B2C34">
            <w:pPr>
              <w:spacing w:after="0"/>
              <w:jc w:val="center"/>
              <w:rPr>
                <w:rFonts w:ascii="Times New Roman" w:hAnsi="Times New Roman" w:cs="Times New Roman"/>
              </w:rPr>
            </w:pPr>
            <w:r w:rsidRPr="00B717F8">
              <w:rPr>
                <w:rFonts w:ascii="Times New Roman" w:hAnsi="Times New Roman" w:cs="Times New Roman"/>
              </w:rPr>
              <w:t>-5</w:t>
            </w:r>
            <w:r w:rsidR="006428B4">
              <w:rPr>
                <w:rFonts w:ascii="Times New Roman" w:hAnsi="Times New Roman" w:cs="Times New Roman"/>
              </w:rPr>
              <w:t>4</w:t>
            </w:r>
          </w:p>
        </w:tc>
        <w:tc>
          <w:tcPr>
            <w:tcW w:w="938" w:type="dxa"/>
            <w:gridSpan w:val="3"/>
            <w:shd w:val="clear" w:color="auto" w:fill="FFFFFF"/>
            <w:vAlign w:val="center"/>
          </w:tcPr>
          <w:p w14:paraId="69DA2013" w14:textId="7F9517B1" w:rsidR="003B2C34" w:rsidRPr="00B717F8" w:rsidRDefault="003B2C34" w:rsidP="006C3B53">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-2</w:t>
            </w:r>
            <w:r w:rsidR="006428B4">
              <w:rPr>
                <w:rFonts w:ascii="Times New Roman" w:eastAsia="Calibri" w:hAnsi="Times New Roman" w:cs="Times New Roman"/>
              </w:rPr>
              <w:t>17</w:t>
            </w:r>
          </w:p>
        </w:tc>
        <w:tc>
          <w:tcPr>
            <w:tcW w:w="937" w:type="dxa"/>
            <w:gridSpan w:val="3"/>
            <w:shd w:val="clear" w:color="auto" w:fill="FFFFFF"/>
            <w:vAlign w:val="center"/>
          </w:tcPr>
          <w:p w14:paraId="700D63E6" w14:textId="3943BACA" w:rsidR="003B2C34" w:rsidRPr="00B717F8" w:rsidRDefault="003B2C34" w:rsidP="006C3B53">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-2</w:t>
            </w:r>
            <w:r w:rsidR="006428B4">
              <w:rPr>
                <w:rFonts w:ascii="Times New Roman" w:eastAsia="Calibri" w:hAnsi="Times New Roman" w:cs="Times New Roman"/>
              </w:rPr>
              <w:t>17</w:t>
            </w:r>
          </w:p>
        </w:tc>
        <w:tc>
          <w:tcPr>
            <w:tcW w:w="938" w:type="dxa"/>
            <w:gridSpan w:val="3"/>
            <w:shd w:val="clear" w:color="auto" w:fill="FFFFFF"/>
            <w:vAlign w:val="center"/>
          </w:tcPr>
          <w:p w14:paraId="4CBE5714" w14:textId="5614B343" w:rsidR="003B2C34" w:rsidRPr="00B717F8" w:rsidRDefault="003B2C34" w:rsidP="006C3B53">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-2</w:t>
            </w:r>
            <w:r w:rsidR="006428B4">
              <w:rPr>
                <w:rFonts w:ascii="Times New Roman" w:eastAsia="Calibri" w:hAnsi="Times New Roman" w:cs="Times New Roman"/>
              </w:rPr>
              <w:t>17</w:t>
            </w:r>
          </w:p>
        </w:tc>
        <w:tc>
          <w:tcPr>
            <w:tcW w:w="939" w:type="dxa"/>
            <w:gridSpan w:val="2"/>
            <w:shd w:val="clear" w:color="auto" w:fill="FFFFFF"/>
            <w:vAlign w:val="center"/>
          </w:tcPr>
          <w:p w14:paraId="3D1F8317" w14:textId="64DB6A64" w:rsidR="003B2C34" w:rsidRPr="00B717F8" w:rsidRDefault="003B2C34" w:rsidP="006C3B53">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-2</w:t>
            </w:r>
            <w:r w:rsidR="006428B4">
              <w:rPr>
                <w:rFonts w:ascii="Times New Roman" w:eastAsia="Calibri" w:hAnsi="Times New Roman" w:cs="Times New Roman"/>
              </w:rPr>
              <w:t>17</w:t>
            </w:r>
          </w:p>
        </w:tc>
        <w:tc>
          <w:tcPr>
            <w:tcW w:w="1449" w:type="dxa"/>
            <w:gridSpan w:val="2"/>
            <w:shd w:val="clear" w:color="auto" w:fill="FFFFFF"/>
            <w:vAlign w:val="center"/>
          </w:tcPr>
          <w:p w14:paraId="3FA40A5E" w14:textId="2DAF017B" w:rsidR="003B2C34" w:rsidRPr="00B717F8" w:rsidRDefault="003B2C34" w:rsidP="006C3B53">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w:t>
            </w:r>
            <w:r w:rsidR="006428B4">
              <w:rPr>
                <w:rFonts w:ascii="Times New Roman" w:eastAsia="Calibri" w:hAnsi="Times New Roman" w:cs="Times New Roman"/>
              </w:rPr>
              <w:t>2004</w:t>
            </w:r>
          </w:p>
          <w:p w14:paraId="7CF4E79D" w14:textId="06340975" w:rsidR="003B2C34" w:rsidRPr="00B717F8" w:rsidRDefault="003B2C34" w:rsidP="006C3B53">
            <w:pPr>
              <w:spacing w:after="0" w:line="240" w:lineRule="auto"/>
              <w:jc w:val="center"/>
              <w:rPr>
                <w:rFonts w:ascii="Times New Roman" w:eastAsia="Calibri" w:hAnsi="Times New Roman" w:cs="Times New Roman"/>
              </w:rPr>
            </w:pPr>
          </w:p>
        </w:tc>
      </w:tr>
      <w:tr w:rsidR="00B717F8" w:rsidRPr="00B717F8" w14:paraId="584E4A13" w14:textId="77777777" w:rsidTr="00D5397E">
        <w:trPr>
          <w:trHeight w:val="142"/>
        </w:trPr>
        <w:tc>
          <w:tcPr>
            <w:tcW w:w="1585" w:type="dxa"/>
            <w:gridSpan w:val="2"/>
            <w:vMerge/>
            <w:shd w:val="clear" w:color="auto" w:fill="FFFFFF"/>
          </w:tcPr>
          <w:p w14:paraId="245F40C2" w14:textId="77777777" w:rsidR="00903749" w:rsidRPr="00B717F8" w:rsidRDefault="00903749" w:rsidP="00D60307">
            <w:pPr>
              <w:spacing w:after="0" w:line="240" w:lineRule="auto"/>
              <w:rPr>
                <w:rFonts w:ascii="Times New Roman" w:eastAsia="Calibri" w:hAnsi="Times New Roman" w:cs="Times New Roman"/>
              </w:rPr>
            </w:pPr>
          </w:p>
        </w:tc>
        <w:tc>
          <w:tcPr>
            <w:tcW w:w="2420" w:type="dxa"/>
            <w:gridSpan w:val="5"/>
            <w:shd w:val="clear" w:color="auto" w:fill="FFFFFF"/>
          </w:tcPr>
          <w:p w14:paraId="75441768"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rodzina, obywatele oraz gospodarstwa domowe, osoby niepełnosprawne oraz starsze</w:t>
            </w:r>
          </w:p>
        </w:tc>
        <w:tc>
          <w:tcPr>
            <w:tcW w:w="957" w:type="dxa"/>
            <w:gridSpan w:val="2"/>
            <w:shd w:val="clear" w:color="auto" w:fill="FFFFFF"/>
            <w:vAlign w:val="center"/>
          </w:tcPr>
          <w:p w14:paraId="5042F52E" w14:textId="77777777" w:rsidR="00903749" w:rsidRPr="00B717F8" w:rsidRDefault="00903749" w:rsidP="00D5397E">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23" w:type="dxa"/>
            <w:gridSpan w:val="2"/>
            <w:shd w:val="clear" w:color="auto" w:fill="FFFFFF"/>
            <w:vAlign w:val="center"/>
          </w:tcPr>
          <w:p w14:paraId="33C4BE0D" w14:textId="77777777" w:rsidR="00903749" w:rsidRPr="00B717F8" w:rsidRDefault="00903749" w:rsidP="00D5397E">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38" w:type="dxa"/>
            <w:gridSpan w:val="3"/>
            <w:shd w:val="clear" w:color="auto" w:fill="FFFFFF"/>
            <w:vAlign w:val="center"/>
          </w:tcPr>
          <w:p w14:paraId="1DBBD87C" w14:textId="77777777" w:rsidR="00903749" w:rsidRPr="00B717F8" w:rsidRDefault="00903749" w:rsidP="00D5397E">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37" w:type="dxa"/>
            <w:gridSpan w:val="3"/>
            <w:shd w:val="clear" w:color="auto" w:fill="FFFFFF"/>
            <w:vAlign w:val="center"/>
          </w:tcPr>
          <w:p w14:paraId="4A6CC5C4" w14:textId="77777777" w:rsidR="00903749" w:rsidRPr="00B717F8" w:rsidRDefault="00903749" w:rsidP="00D5397E">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38" w:type="dxa"/>
            <w:gridSpan w:val="3"/>
            <w:shd w:val="clear" w:color="auto" w:fill="FFFFFF"/>
            <w:vAlign w:val="center"/>
          </w:tcPr>
          <w:p w14:paraId="49EBDD4C" w14:textId="77777777" w:rsidR="00903749" w:rsidRPr="00B717F8" w:rsidRDefault="00903749" w:rsidP="00D5397E">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939" w:type="dxa"/>
            <w:gridSpan w:val="2"/>
            <w:shd w:val="clear" w:color="auto" w:fill="FFFFFF"/>
            <w:vAlign w:val="center"/>
          </w:tcPr>
          <w:p w14:paraId="7895986E" w14:textId="77777777" w:rsidR="00903749" w:rsidRPr="00B717F8" w:rsidRDefault="00903749" w:rsidP="00D5397E">
            <w:pPr>
              <w:spacing w:after="0" w:line="240" w:lineRule="auto"/>
              <w:jc w:val="center"/>
              <w:rPr>
                <w:rFonts w:ascii="Times New Roman" w:eastAsia="Calibri" w:hAnsi="Times New Roman" w:cs="Times New Roman"/>
              </w:rPr>
            </w:pPr>
            <w:r w:rsidRPr="00B717F8">
              <w:rPr>
                <w:rFonts w:ascii="Times New Roman" w:eastAsia="Calibri" w:hAnsi="Times New Roman" w:cs="Times New Roman"/>
              </w:rPr>
              <w:t>0</w:t>
            </w:r>
          </w:p>
        </w:tc>
        <w:tc>
          <w:tcPr>
            <w:tcW w:w="1449" w:type="dxa"/>
            <w:gridSpan w:val="2"/>
            <w:shd w:val="clear" w:color="auto" w:fill="FFFFFF"/>
            <w:vAlign w:val="center"/>
          </w:tcPr>
          <w:p w14:paraId="1E059C6A" w14:textId="77777777" w:rsidR="00903749" w:rsidRPr="00B717F8" w:rsidRDefault="00903749" w:rsidP="00D5397E">
            <w:pPr>
              <w:spacing w:after="0" w:line="240" w:lineRule="auto"/>
              <w:jc w:val="center"/>
              <w:rPr>
                <w:rFonts w:ascii="Times New Roman" w:eastAsia="Calibri" w:hAnsi="Times New Roman" w:cs="Times New Roman"/>
                <w:spacing w:val="-2"/>
              </w:rPr>
            </w:pPr>
            <w:r w:rsidRPr="00B717F8">
              <w:rPr>
                <w:rFonts w:ascii="Times New Roman" w:eastAsia="Calibri" w:hAnsi="Times New Roman" w:cs="Times New Roman"/>
                <w:spacing w:val="-2"/>
              </w:rPr>
              <w:t>0</w:t>
            </w:r>
          </w:p>
        </w:tc>
      </w:tr>
      <w:tr w:rsidR="00B717F8" w:rsidRPr="00B717F8" w14:paraId="65C14A89" w14:textId="77777777" w:rsidTr="00CA01A9">
        <w:trPr>
          <w:trHeight w:val="142"/>
        </w:trPr>
        <w:tc>
          <w:tcPr>
            <w:tcW w:w="1585" w:type="dxa"/>
            <w:gridSpan w:val="2"/>
            <w:vMerge w:val="restart"/>
            <w:shd w:val="clear" w:color="auto" w:fill="FFFFFF"/>
          </w:tcPr>
          <w:p w14:paraId="4E7CA440"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W ujęciu niepieniężnym</w:t>
            </w:r>
          </w:p>
          <w:p w14:paraId="1EB613ED" w14:textId="77777777" w:rsidR="00903749" w:rsidRPr="00B717F8" w:rsidRDefault="00903749" w:rsidP="00D60307">
            <w:pPr>
              <w:spacing w:after="0" w:line="240" w:lineRule="auto"/>
              <w:rPr>
                <w:rFonts w:ascii="Times New Roman" w:eastAsia="Calibri" w:hAnsi="Times New Roman" w:cs="Times New Roman"/>
              </w:rPr>
            </w:pPr>
          </w:p>
          <w:p w14:paraId="4A273B6C" w14:textId="77777777" w:rsidR="00903749" w:rsidRPr="00B717F8" w:rsidRDefault="00903749" w:rsidP="00D60307">
            <w:pPr>
              <w:spacing w:after="0" w:line="240" w:lineRule="auto"/>
              <w:rPr>
                <w:rFonts w:ascii="Times New Roman" w:eastAsia="Calibri" w:hAnsi="Times New Roman" w:cs="Times New Roman"/>
              </w:rPr>
            </w:pPr>
          </w:p>
        </w:tc>
        <w:tc>
          <w:tcPr>
            <w:tcW w:w="2420" w:type="dxa"/>
            <w:gridSpan w:val="5"/>
            <w:shd w:val="clear" w:color="auto" w:fill="FFFFFF"/>
          </w:tcPr>
          <w:p w14:paraId="5E1F6D48"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duże przedsiębiorstwa</w:t>
            </w:r>
          </w:p>
        </w:tc>
        <w:tc>
          <w:tcPr>
            <w:tcW w:w="7081" w:type="dxa"/>
            <w:gridSpan w:val="17"/>
            <w:shd w:val="clear" w:color="auto" w:fill="FFFFFF"/>
          </w:tcPr>
          <w:p w14:paraId="76B05532" w14:textId="77777777" w:rsidR="00903749" w:rsidRPr="00B717F8" w:rsidRDefault="00903749" w:rsidP="00D60307">
            <w:pPr>
              <w:spacing w:after="0" w:line="240" w:lineRule="auto"/>
              <w:jc w:val="both"/>
              <w:rPr>
                <w:rFonts w:ascii="Times New Roman" w:eastAsia="Calibri" w:hAnsi="Times New Roman" w:cs="Times New Roman"/>
                <w:spacing w:val="-2"/>
              </w:rPr>
            </w:pPr>
          </w:p>
        </w:tc>
      </w:tr>
      <w:tr w:rsidR="00B717F8" w:rsidRPr="00B717F8" w14:paraId="3BF46C10" w14:textId="77777777" w:rsidTr="00CA01A9">
        <w:trPr>
          <w:trHeight w:val="142"/>
        </w:trPr>
        <w:tc>
          <w:tcPr>
            <w:tcW w:w="1585" w:type="dxa"/>
            <w:gridSpan w:val="2"/>
            <w:vMerge/>
            <w:shd w:val="clear" w:color="auto" w:fill="FFFFFF"/>
          </w:tcPr>
          <w:p w14:paraId="43554ED9" w14:textId="77777777" w:rsidR="00903749" w:rsidRPr="00B717F8" w:rsidRDefault="00903749" w:rsidP="00D60307">
            <w:pPr>
              <w:spacing w:after="0" w:line="240" w:lineRule="auto"/>
              <w:rPr>
                <w:rFonts w:ascii="Times New Roman" w:eastAsia="Calibri" w:hAnsi="Times New Roman" w:cs="Times New Roman"/>
              </w:rPr>
            </w:pPr>
          </w:p>
        </w:tc>
        <w:tc>
          <w:tcPr>
            <w:tcW w:w="2420" w:type="dxa"/>
            <w:gridSpan w:val="5"/>
            <w:shd w:val="clear" w:color="auto" w:fill="FFFFFF"/>
          </w:tcPr>
          <w:p w14:paraId="3ABEB5F2"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sektor mikro-, małych i średnich przedsiębiorstw</w:t>
            </w:r>
          </w:p>
        </w:tc>
        <w:tc>
          <w:tcPr>
            <w:tcW w:w="7081" w:type="dxa"/>
            <w:gridSpan w:val="17"/>
            <w:shd w:val="clear" w:color="auto" w:fill="FFFFFF"/>
          </w:tcPr>
          <w:p w14:paraId="4156D9F5" w14:textId="77777777" w:rsidR="00903749" w:rsidRPr="00B717F8" w:rsidRDefault="00903749" w:rsidP="00D60307">
            <w:pPr>
              <w:spacing w:after="0" w:line="240" w:lineRule="auto"/>
              <w:rPr>
                <w:rFonts w:ascii="Times New Roman" w:eastAsia="Calibri" w:hAnsi="Times New Roman" w:cs="Times New Roman"/>
                <w:spacing w:val="-2"/>
              </w:rPr>
            </w:pPr>
          </w:p>
        </w:tc>
      </w:tr>
      <w:tr w:rsidR="00B717F8" w:rsidRPr="00B717F8" w14:paraId="74FB2FAA" w14:textId="77777777" w:rsidTr="00CA01A9">
        <w:trPr>
          <w:trHeight w:val="596"/>
        </w:trPr>
        <w:tc>
          <w:tcPr>
            <w:tcW w:w="1585" w:type="dxa"/>
            <w:gridSpan w:val="2"/>
            <w:vMerge/>
            <w:shd w:val="clear" w:color="auto" w:fill="FFFFFF"/>
          </w:tcPr>
          <w:p w14:paraId="2AE27668" w14:textId="77777777" w:rsidR="00903749" w:rsidRPr="00B717F8" w:rsidRDefault="00903749" w:rsidP="00D60307">
            <w:pPr>
              <w:spacing w:after="0" w:line="240" w:lineRule="auto"/>
              <w:rPr>
                <w:rFonts w:ascii="Times New Roman" w:eastAsia="Calibri" w:hAnsi="Times New Roman" w:cs="Times New Roman"/>
              </w:rPr>
            </w:pPr>
          </w:p>
        </w:tc>
        <w:tc>
          <w:tcPr>
            <w:tcW w:w="2420" w:type="dxa"/>
            <w:gridSpan w:val="5"/>
            <w:shd w:val="clear" w:color="auto" w:fill="FFFFFF"/>
          </w:tcPr>
          <w:p w14:paraId="4CE55064" w14:textId="77777777" w:rsidR="00903749" w:rsidRPr="00B717F8" w:rsidRDefault="00903749" w:rsidP="00D60307">
            <w:pPr>
              <w:tabs>
                <w:tab w:val="right" w:pos="1936"/>
              </w:tabs>
              <w:spacing w:after="0" w:line="240" w:lineRule="auto"/>
              <w:rPr>
                <w:rFonts w:ascii="Times New Roman" w:eastAsia="Calibri" w:hAnsi="Times New Roman" w:cs="Times New Roman"/>
              </w:rPr>
            </w:pPr>
            <w:r w:rsidRPr="00B717F8">
              <w:rPr>
                <w:rFonts w:ascii="Times New Roman" w:eastAsia="Calibri" w:hAnsi="Times New Roman" w:cs="Times New Roman"/>
              </w:rPr>
              <w:t xml:space="preserve">rodzina, obywatele oraz gospodarstwa domowe </w:t>
            </w:r>
          </w:p>
        </w:tc>
        <w:tc>
          <w:tcPr>
            <w:tcW w:w="7081" w:type="dxa"/>
            <w:gridSpan w:val="17"/>
            <w:shd w:val="clear" w:color="auto" w:fill="FFFFFF"/>
          </w:tcPr>
          <w:p w14:paraId="1449F9A7" w14:textId="77777777" w:rsidR="00903749" w:rsidRPr="00B717F8" w:rsidRDefault="00903749" w:rsidP="00D60307">
            <w:pPr>
              <w:suppressAutoHyphens/>
              <w:spacing w:after="0" w:line="240" w:lineRule="auto"/>
              <w:rPr>
                <w:rFonts w:ascii="Times New Roman" w:eastAsia="Calibri" w:hAnsi="Times New Roman" w:cs="Times New Roman"/>
                <w:bCs/>
                <w:lang w:eastAsia="ar-SA"/>
              </w:rPr>
            </w:pPr>
            <w:r w:rsidRPr="00B717F8">
              <w:rPr>
                <w:rFonts w:ascii="Times New Roman" w:eastAsia="Calibri" w:hAnsi="Times New Roman" w:cs="Times New Roman"/>
                <w:bCs/>
                <w:lang w:eastAsia="ar-SA"/>
              </w:rPr>
              <w:t>Rozporządzenie nie wpłynie na sytuację ekonomiczną i społeczną rodziny.</w:t>
            </w:r>
          </w:p>
        </w:tc>
      </w:tr>
      <w:tr w:rsidR="00B717F8" w:rsidRPr="00B717F8" w14:paraId="3D29FC61" w14:textId="77777777" w:rsidTr="00CA01A9">
        <w:trPr>
          <w:trHeight w:val="596"/>
        </w:trPr>
        <w:tc>
          <w:tcPr>
            <w:tcW w:w="1585" w:type="dxa"/>
            <w:gridSpan w:val="2"/>
            <w:vMerge/>
            <w:shd w:val="clear" w:color="auto" w:fill="FFFFFF"/>
          </w:tcPr>
          <w:p w14:paraId="63608F35" w14:textId="77777777" w:rsidR="00903749" w:rsidRPr="00B717F8" w:rsidRDefault="00903749" w:rsidP="00D60307">
            <w:pPr>
              <w:spacing w:after="0" w:line="240" w:lineRule="auto"/>
              <w:rPr>
                <w:rFonts w:ascii="Times New Roman" w:eastAsia="Calibri" w:hAnsi="Times New Roman" w:cs="Times New Roman"/>
              </w:rPr>
            </w:pPr>
          </w:p>
        </w:tc>
        <w:tc>
          <w:tcPr>
            <w:tcW w:w="2420" w:type="dxa"/>
            <w:gridSpan w:val="5"/>
            <w:shd w:val="clear" w:color="auto" w:fill="FFFFFF"/>
          </w:tcPr>
          <w:p w14:paraId="0A62C73D" w14:textId="77777777" w:rsidR="00903749" w:rsidRPr="00B717F8" w:rsidRDefault="00903749" w:rsidP="00D60307">
            <w:pPr>
              <w:tabs>
                <w:tab w:val="right" w:pos="1936"/>
              </w:tabs>
              <w:spacing w:after="0" w:line="240" w:lineRule="auto"/>
              <w:rPr>
                <w:rFonts w:ascii="Times New Roman" w:eastAsia="Calibri" w:hAnsi="Times New Roman" w:cs="Times New Roman"/>
              </w:rPr>
            </w:pPr>
            <w:r w:rsidRPr="00B717F8">
              <w:rPr>
                <w:rFonts w:ascii="Times New Roman" w:eastAsia="Calibri" w:hAnsi="Times New Roman" w:cs="Times New Roman"/>
              </w:rPr>
              <w:t>osoby niepełnosprawne oraz starsze</w:t>
            </w:r>
          </w:p>
        </w:tc>
        <w:tc>
          <w:tcPr>
            <w:tcW w:w="7081" w:type="dxa"/>
            <w:gridSpan w:val="17"/>
            <w:shd w:val="clear" w:color="auto" w:fill="FFFFFF"/>
          </w:tcPr>
          <w:p w14:paraId="0A82209E" w14:textId="77777777" w:rsidR="00903749" w:rsidRPr="00B717F8" w:rsidRDefault="00903749" w:rsidP="00D60307">
            <w:pPr>
              <w:suppressAutoHyphens/>
              <w:spacing w:after="0" w:line="240" w:lineRule="auto"/>
              <w:jc w:val="both"/>
              <w:rPr>
                <w:rFonts w:ascii="Times New Roman" w:eastAsia="Calibri" w:hAnsi="Times New Roman" w:cs="Times New Roman"/>
                <w:bCs/>
                <w:lang w:eastAsia="ar-SA"/>
              </w:rPr>
            </w:pPr>
            <w:r w:rsidRPr="00B717F8">
              <w:rPr>
                <w:rFonts w:ascii="Times New Roman" w:eastAsia="Calibri" w:hAnsi="Times New Roman" w:cs="Times New Roman"/>
                <w:bCs/>
                <w:lang w:eastAsia="ar-SA"/>
              </w:rPr>
              <w:t>Rozporządzenie nie wpłynie na sytuację ekonomiczną i społeczną osób niepełnosprawnych oraz osób starszych.</w:t>
            </w:r>
          </w:p>
        </w:tc>
      </w:tr>
      <w:tr w:rsidR="00B717F8" w:rsidRPr="00B717F8" w14:paraId="7446AB6E" w14:textId="77777777" w:rsidTr="00CA01A9">
        <w:trPr>
          <w:trHeight w:val="142"/>
        </w:trPr>
        <w:tc>
          <w:tcPr>
            <w:tcW w:w="1585" w:type="dxa"/>
            <w:gridSpan w:val="2"/>
            <w:vMerge w:val="restart"/>
            <w:shd w:val="clear" w:color="auto" w:fill="FFFFFF"/>
          </w:tcPr>
          <w:p w14:paraId="0EC3EACF"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Niemierzalne</w:t>
            </w:r>
          </w:p>
        </w:tc>
        <w:tc>
          <w:tcPr>
            <w:tcW w:w="2420" w:type="dxa"/>
            <w:gridSpan w:val="5"/>
            <w:shd w:val="clear" w:color="auto" w:fill="FFFFFF"/>
          </w:tcPr>
          <w:p w14:paraId="0D13CB50"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 xml:space="preserve">funkcjonowanie  przedsiębiorców </w:t>
            </w:r>
          </w:p>
        </w:tc>
        <w:tc>
          <w:tcPr>
            <w:tcW w:w="7081" w:type="dxa"/>
            <w:gridSpan w:val="17"/>
            <w:shd w:val="clear" w:color="auto" w:fill="FFFFFF"/>
          </w:tcPr>
          <w:p w14:paraId="4B6B73CF" w14:textId="77777777" w:rsidR="00903749" w:rsidRPr="00B717F8" w:rsidRDefault="00903749" w:rsidP="00D60307">
            <w:pPr>
              <w:spacing w:after="0" w:line="240" w:lineRule="auto"/>
              <w:jc w:val="both"/>
              <w:rPr>
                <w:rFonts w:ascii="Times New Roman" w:eastAsia="Calibri" w:hAnsi="Times New Roman" w:cs="Times New Roman"/>
                <w:spacing w:val="-2"/>
              </w:rPr>
            </w:pPr>
            <w:r w:rsidRPr="00B717F8">
              <w:rPr>
                <w:rFonts w:ascii="Times New Roman" w:eastAsia="Calibri" w:hAnsi="Times New Roman" w:cs="Times New Roman"/>
                <w:spacing w:val="-2"/>
              </w:rPr>
              <w:t>Rozwiązania te powinny przynieść pozytywny efekt w przypadku placówek gastronomicznych i cateringowych, zwiększając oferowaną przez nie podaż posiłków, finansowanych przez pracodawców i udostępnianych pracownikom.</w:t>
            </w:r>
          </w:p>
        </w:tc>
      </w:tr>
      <w:tr w:rsidR="00B717F8" w:rsidRPr="00B717F8" w14:paraId="6AD94935" w14:textId="77777777" w:rsidTr="00CA01A9">
        <w:trPr>
          <w:trHeight w:val="142"/>
        </w:trPr>
        <w:tc>
          <w:tcPr>
            <w:tcW w:w="1585" w:type="dxa"/>
            <w:gridSpan w:val="2"/>
            <w:vMerge/>
            <w:shd w:val="clear" w:color="auto" w:fill="FFFFFF"/>
          </w:tcPr>
          <w:p w14:paraId="562B95FE" w14:textId="77777777" w:rsidR="00903749" w:rsidRPr="00B717F8" w:rsidRDefault="00903749" w:rsidP="00D60307">
            <w:pPr>
              <w:spacing w:after="0" w:line="240" w:lineRule="auto"/>
              <w:rPr>
                <w:rFonts w:ascii="Times New Roman" w:eastAsia="Calibri" w:hAnsi="Times New Roman" w:cs="Times New Roman"/>
              </w:rPr>
            </w:pPr>
          </w:p>
        </w:tc>
        <w:tc>
          <w:tcPr>
            <w:tcW w:w="2420" w:type="dxa"/>
            <w:gridSpan w:val="5"/>
            <w:shd w:val="clear" w:color="auto" w:fill="FFFFFF"/>
          </w:tcPr>
          <w:p w14:paraId="61261500"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rodzina, obywatele oraz gospodarstwa domowe</w:t>
            </w:r>
          </w:p>
        </w:tc>
        <w:tc>
          <w:tcPr>
            <w:tcW w:w="7081" w:type="dxa"/>
            <w:gridSpan w:val="17"/>
            <w:shd w:val="clear" w:color="auto" w:fill="FFFFFF"/>
          </w:tcPr>
          <w:p w14:paraId="0D009824" w14:textId="77777777" w:rsidR="00903749" w:rsidRPr="00B717F8" w:rsidRDefault="00903749" w:rsidP="00D60307">
            <w:pPr>
              <w:spacing w:after="0" w:line="240" w:lineRule="auto"/>
              <w:jc w:val="both"/>
              <w:rPr>
                <w:rFonts w:ascii="Times New Roman" w:eastAsia="Calibri" w:hAnsi="Times New Roman" w:cs="Times New Roman"/>
                <w:spacing w:val="-2"/>
              </w:rPr>
            </w:pPr>
          </w:p>
        </w:tc>
      </w:tr>
      <w:tr w:rsidR="00B717F8" w:rsidRPr="00B717F8" w14:paraId="6A55C277" w14:textId="77777777" w:rsidTr="00CA01A9">
        <w:trPr>
          <w:trHeight w:val="142"/>
        </w:trPr>
        <w:tc>
          <w:tcPr>
            <w:tcW w:w="1585" w:type="dxa"/>
            <w:gridSpan w:val="2"/>
            <w:vMerge/>
            <w:shd w:val="clear" w:color="auto" w:fill="FFFFFF"/>
          </w:tcPr>
          <w:p w14:paraId="2CDA75EF" w14:textId="77777777" w:rsidR="00903749" w:rsidRPr="00B717F8" w:rsidRDefault="00903749" w:rsidP="00D60307">
            <w:pPr>
              <w:spacing w:after="0" w:line="240" w:lineRule="auto"/>
              <w:rPr>
                <w:rFonts w:ascii="Times New Roman" w:eastAsia="Calibri" w:hAnsi="Times New Roman" w:cs="Times New Roman"/>
              </w:rPr>
            </w:pPr>
          </w:p>
        </w:tc>
        <w:tc>
          <w:tcPr>
            <w:tcW w:w="2420" w:type="dxa"/>
            <w:gridSpan w:val="5"/>
            <w:shd w:val="clear" w:color="auto" w:fill="FFFFFF"/>
          </w:tcPr>
          <w:p w14:paraId="53EB1915"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osoby niepełnosprawne oraz starsze</w:t>
            </w:r>
          </w:p>
        </w:tc>
        <w:tc>
          <w:tcPr>
            <w:tcW w:w="7081" w:type="dxa"/>
            <w:gridSpan w:val="17"/>
            <w:shd w:val="clear" w:color="auto" w:fill="FFFFFF"/>
          </w:tcPr>
          <w:p w14:paraId="7D2E0A80" w14:textId="77777777" w:rsidR="00903749" w:rsidRPr="00B717F8" w:rsidRDefault="00903749" w:rsidP="00D60307">
            <w:pPr>
              <w:spacing w:after="0" w:line="240" w:lineRule="auto"/>
              <w:jc w:val="both"/>
              <w:rPr>
                <w:rFonts w:ascii="Times New Roman" w:eastAsia="Calibri" w:hAnsi="Times New Roman" w:cs="Times New Roman"/>
                <w:spacing w:val="-2"/>
              </w:rPr>
            </w:pPr>
          </w:p>
        </w:tc>
      </w:tr>
      <w:tr w:rsidR="00B717F8" w:rsidRPr="00B717F8" w14:paraId="5FC895BE" w14:textId="77777777" w:rsidTr="00CA01A9">
        <w:trPr>
          <w:trHeight w:val="1187"/>
        </w:trPr>
        <w:tc>
          <w:tcPr>
            <w:tcW w:w="1560" w:type="dxa"/>
            <w:shd w:val="clear" w:color="auto" w:fill="FFFFFF"/>
          </w:tcPr>
          <w:p w14:paraId="771233B5"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 xml:space="preserve">Dodatkowe informacje, w tym wskazanie źródeł danych i przyjętych do obliczeń założeń </w:t>
            </w:r>
          </w:p>
        </w:tc>
        <w:tc>
          <w:tcPr>
            <w:tcW w:w="9526" w:type="dxa"/>
            <w:gridSpan w:val="23"/>
            <w:shd w:val="clear" w:color="auto" w:fill="FFFFFF"/>
            <w:vAlign w:val="center"/>
          </w:tcPr>
          <w:p w14:paraId="4F42E727" w14:textId="77777777" w:rsidR="00903749" w:rsidRDefault="00914DE3" w:rsidP="007D255B">
            <w:pPr>
              <w:spacing w:after="0" w:line="240" w:lineRule="auto"/>
              <w:jc w:val="both"/>
              <w:rPr>
                <w:rFonts w:ascii="Times New Roman" w:eastAsia="Calibri" w:hAnsi="Times New Roman" w:cs="Times New Roman"/>
                <w:spacing w:val="-2"/>
              </w:rPr>
            </w:pPr>
            <w:r w:rsidRPr="00B717F8">
              <w:rPr>
                <w:rFonts w:ascii="Times New Roman" w:eastAsia="Calibri" w:hAnsi="Times New Roman" w:cs="Times New Roman"/>
                <w:spacing w:val="-2"/>
              </w:rPr>
              <w:t>Proponowane rozwiązanie zmniejszy wysokość odprowadzanych składek na ubezpieczenia społeczne z tytułu dofinansowywania posiłków pracownikom. Należy jednak zaznaczyć, że jest to hipotetyczne założenie, gdyż zakłada, że wszyscy pracodawcy zwiększają dofinansowanie do posiłków – w praktyce zapewne pracodawcy skłonni będą podnieść dofinansowanie, ale kosztem np. innych, benefitów pracowniczych</w:t>
            </w:r>
            <w:r w:rsidR="0044566C" w:rsidRPr="00B717F8">
              <w:rPr>
                <w:rFonts w:ascii="Times New Roman" w:eastAsia="Calibri" w:hAnsi="Times New Roman" w:cs="Times New Roman"/>
                <w:spacing w:val="-2"/>
              </w:rPr>
              <w:t xml:space="preserve">, co zmniejszy powyższe skutki. </w:t>
            </w:r>
            <w:r w:rsidRPr="00B717F8">
              <w:rPr>
                <w:rFonts w:ascii="Times New Roman" w:eastAsia="Calibri" w:hAnsi="Times New Roman" w:cs="Times New Roman"/>
                <w:spacing w:val="-2"/>
              </w:rPr>
              <w:t>Z</w:t>
            </w:r>
            <w:r w:rsidR="0044566C" w:rsidRPr="00B717F8">
              <w:rPr>
                <w:rFonts w:ascii="Times New Roman" w:eastAsia="Calibri" w:hAnsi="Times New Roman" w:cs="Times New Roman"/>
                <w:spacing w:val="-2"/>
              </w:rPr>
              <w:t xml:space="preserve"> </w:t>
            </w:r>
            <w:r w:rsidRPr="00B717F8">
              <w:rPr>
                <w:rFonts w:ascii="Times New Roman" w:eastAsia="Calibri" w:hAnsi="Times New Roman" w:cs="Times New Roman"/>
                <w:spacing w:val="-2"/>
              </w:rPr>
              <w:t xml:space="preserve">drugiej strony w przypadku podniesienia kwoty do </w:t>
            </w:r>
            <w:r w:rsidR="003B2C34" w:rsidRPr="00B717F8">
              <w:rPr>
                <w:rFonts w:ascii="Times New Roman" w:eastAsia="Calibri" w:hAnsi="Times New Roman" w:cs="Times New Roman"/>
                <w:spacing w:val="-2"/>
              </w:rPr>
              <w:t>450</w:t>
            </w:r>
            <w:r w:rsidR="009E52BC" w:rsidRPr="00B717F8">
              <w:rPr>
                <w:rFonts w:ascii="Times New Roman" w:eastAsia="Calibri" w:hAnsi="Times New Roman" w:cs="Times New Roman"/>
                <w:spacing w:val="-2"/>
              </w:rPr>
              <w:t xml:space="preserve"> </w:t>
            </w:r>
            <w:r w:rsidRPr="00B717F8">
              <w:rPr>
                <w:rFonts w:ascii="Times New Roman" w:eastAsia="Calibri" w:hAnsi="Times New Roman" w:cs="Times New Roman"/>
                <w:spacing w:val="-2"/>
              </w:rPr>
              <w:t>zł należy liczyć się z szerszym wykorzystywaniem przez pracodawców tego instrumentu jako elementu optymalizacji składkowej, co oznacza zwiększenie dofinansowania do posiłków lub wprowadzenie takiego benefitu kosztem podwyżek wynagrodzenia pracowników, co wpłynie na istotny wzrost przedstawionych skutków finansowych.</w:t>
            </w:r>
          </w:p>
          <w:p w14:paraId="64E5D27B" w14:textId="07B1E8F6" w:rsidR="00E85CF0" w:rsidRPr="00B717F8" w:rsidRDefault="00E85CF0" w:rsidP="007D255B">
            <w:pPr>
              <w:spacing w:after="0" w:line="240" w:lineRule="auto"/>
              <w:jc w:val="both"/>
              <w:rPr>
                <w:rFonts w:ascii="Times New Roman" w:eastAsia="Calibri" w:hAnsi="Times New Roman" w:cs="Times New Roman"/>
                <w:spacing w:val="-2"/>
              </w:rPr>
            </w:pPr>
          </w:p>
        </w:tc>
      </w:tr>
      <w:tr w:rsidR="00B717F8" w:rsidRPr="00B717F8" w14:paraId="144A4F63" w14:textId="77777777" w:rsidTr="00CA01A9">
        <w:trPr>
          <w:trHeight w:val="342"/>
        </w:trPr>
        <w:tc>
          <w:tcPr>
            <w:tcW w:w="11086" w:type="dxa"/>
            <w:gridSpan w:val="24"/>
            <w:shd w:val="clear" w:color="auto" w:fill="99CCFF"/>
            <w:vAlign w:val="center"/>
          </w:tcPr>
          <w:p w14:paraId="2D258ACB" w14:textId="77777777" w:rsidR="00903749" w:rsidRPr="00B717F8" w:rsidRDefault="00903749" w:rsidP="00D60307">
            <w:pPr>
              <w:numPr>
                <w:ilvl w:val="0"/>
                <w:numId w:val="1"/>
              </w:numPr>
              <w:spacing w:before="60" w:after="60" w:line="240" w:lineRule="auto"/>
              <w:ind w:left="318" w:hanging="284"/>
              <w:jc w:val="both"/>
              <w:rPr>
                <w:rFonts w:ascii="Times New Roman" w:eastAsia="Calibri" w:hAnsi="Times New Roman" w:cs="Times New Roman"/>
                <w:b/>
              </w:rPr>
            </w:pPr>
            <w:r w:rsidRPr="00B717F8">
              <w:rPr>
                <w:rFonts w:ascii="Times New Roman" w:eastAsia="Calibri" w:hAnsi="Times New Roman" w:cs="Times New Roman"/>
                <w:b/>
              </w:rPr>
              <w:t xml:space="preserve"> Zmiana obciążeń regulacyjnych (w tym obowiązków informacyjnych) wynikających z projektu</w:t>
            </w:r>
          </w:p>
        </w:tc>
      </w:tr>
      <w:tr w:rsidR="00B717F8" w:rsidRPr="00B717F8" w14:paraId="46CC04F7" w14:textId="77777777" w:rsidTr="00CA01A9">
        <w:trPr>
          <w:trHeight w:val="151"/>
        </w:trPr>
        <w:tc>
          <w:tcPr>
            <w:tcW w:w="11086" w:type="dxa"/>
            <w:gridSpan w:val="24"/>
            <w:shd w:val="clear" w:color="auto" w:fill="FFFFFF"/>
          </w:tcPr>
          <w:p w14:paraId="01D440F1"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
                  <w:enabled/>
                  <w:calcOnExit w:val="0"/>
                  <w:checkBox>
                    <w:sizeAuto/>
                    <w:default w:val="1"/>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nie dotyczy</w:t>
            </w:r>
          </w:p>
        </w:tc>
      </w:tr>
      <w:tr w:rsidR="00B717F8" w:rsidRPr="00B717F8" w14:paraId="0ABEF6E0" w14:textId="77777777" w:rsidTr="00CA01A9">
        <w:trPr>
          <w:trHeight w:val="946"/>
        </w:trPr>
        <w:tc>
          <w:tcPr>
            <w:tcW w:w="6803" w:type="dxa"/>
            <w:gridSpan w:val="13"/>
            <w:shd w:val="clear" w:color="auto" w:fill="FFFFFF"/>
          </w:tcPr>
          <w:p w14:paraId="1BE7400B" w14:textId="77777777" w:rsidR="00903749" w:rsidRPr="00B717F8" w:rsidRDefault="00903749" w:rsidP="00D60307">
            <w:pPr>
              <w:spacing w:after="0" w:line="276" w:lineRule="auto"/>
              <w:rPr>
                <w:rFonts w:ascii="Times New Roman" w:eastAsia="Calibri" w:hAnsi="Times New Roman" w:cs="Times New Roman"/>
                <w:spacing w:val="-2"/>
              </w:rPr>
            </w:pPr>
            <w:r w:rsidRPr="00B717F8">
              <w:rPr>
                <w:rFonts w:ascii="Times New Roman" w:eastAsia="Calibri" w:hAnsi="Times New Roman" w:cs="Times New Roman"/>
                <w:spacing w:val="-2"/>
              </w:rPr>
              <w:t xml:space="preserve">Wprowadzane są obciążenia poza bezwzględnie wymaganymi przez UE </w:t>
            </w:r>
            <w:r w:rsidRPr="00B717F8">
              <w:rPr>
                <w:rFonts w:ascii="Times New Roman" w:eastAsia="Calibri" w:hAnsi="Times New Roman" w:cs="Times New Roman"/>
              </w:rPr>
              <w:t>(szczegóły w odwróconej tabeli zgodności).</w:t>
            </w:r>
          </w:p>
        </w:tc>
        <w:tc>
          <w:tcPr>
            <w:tcW w:w="4283" w:type="dxa"/>
            <w:gridSpan w:val="11"/>
            <w:shd w:val="clear" w:color="auto" w:fill="FFFFFF"/>
          </w:tcPr>
          <w:p w14:paraId="119094FB"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tak</w:t>
            </w:r>
          </w:p>
          <w:p w14:paraId="72B01063"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nie</w:t>
            </w:r>
          </w:p>
          <w:p w14:paraId="67719070"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
                  <w:enabled/>
                  <w:calcOnExit w:val="0"/>
                  <w:checkBox>
                    <w:sizeAuto/>
                    <w:default w:val="1"/>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nie dotyczy</w:t>
            </w:r>
          </w:p>
        </w:tc>
      </w:tr>
      <w:tr w:rsidR="00B717F8" w:rsidRPr="00B717F8" w14:paraId="67F51390" w14:textId="77777777" w:rsidTr="00CA01A9">
        <w:trPr>
          <w:trHeight w:val="1245"/>
        </w:trPr>
        <w:tc>
          <w:tcPr>
            <w:tcW w:w="6803" w:type="dxa"/>
            <w:gridSpan w:val="13"/>
            <w:shd w:val="clear" w:color="auto" w:fill="FFFFFF"/>
          </w:tcPr>
          <w:p w14:paraId="5B11AF36"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rPr>
              <w:fldChar w:fldCharType="begin">
                <w:ffData>
                  <w:name w:val=""/>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 xml:space="preserve">zmniejszenie liczby dokumentów </w:t>
            </w:r>
          </w:p>
          <w:p w14:paraId="507BA187"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rPr>
              <w:fldChar w:fldCharType="begin">
                <w:ffData>
                  <w:name w:val=""/>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00ED5510" w:rsidRPr="00B717F8">
              <w:rPr>
                <w:rFonts w:ascii="Times New Roman" w:eastAsia="Calibri" w:hAnsi="Times New Roman" w:cs="Times New Roman"/>
                <w:spacing w:val="-2"/>
              </w:rPr>
              <w:t xml:space="preserve"> zmniejszenie liczby procedur</w:t>
            </w:r>
          </w:p>
          <w:p w14:paraId="31F09C00"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rPr>
              <w:fldChar w:fldCharType="begin">
                <w:ffData>
                  <w:name w:val=""/>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skrócenie czasu na załatwienie sprawy</w:t>
            </w:r>
          </w:p>
          <w:p w14:paraId="769D6B50" w14:textId="77777777" w:rsidR="00903749" w:rsidRPr="00B717F8" w:rsidRDefault="00903749" w:rsidP="00D60307">
            <w:pPr>
              <w:spacing w:after="0" w:line="240" w:lineRule="auto"/>
              <w:rPr>
                <w:rFonts w:ascii="Times New Roman" w:eastAsia="Calibri" w:hAnsi="Times New Roman" w:cs="Times New Roman"/>
                <w:b/>
                <w:spacing w:val="-2"/>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inne:</w:t>
            </w:r>
            <w:r w:rsidRPr="00B717F8">
              <w:rPr>
                <w:rFonts w:ascii="Times New Roman" w:eastAsia="Calibri" w:hAnsi="Times New Roman" w:cs="Times New Roman"/>
              </w:rPr>
              <w:t xml:space="preserve"> </w:t>
            </w:r>
            <w:r w:rsidRPr="00B717F8">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717F8">
              <w:rPr>
                <w:rFonts w:ascii="Times New Roman" w:eastAsia="Calibri" w:hAnsi="Times New Roman" w:cs="Times New Roman"/>
              </w:rPr>
              <w:instrText xml:space="preserve"> FORMTEXT </w:instrText>
            </w:r>
            <w:r w:rsidRPr="00B717F8">
              <w:rPr>
                <w:rFonts w:ascii="Times New Roman" w:eastAsia="Calibri" w:hAnsi="Times New Roman" w:cs="Times New Roman"/>
              </w:rPr>
            </w:r>
            <w:r w:rsidRPr="00B717F8">
              <w:rPr>
                <w:rFonts w:ascii="Times New Roman" w:eastAsia="Calibri" w:hAnsi="Times New Roman" w:cs="Times New Roman"/>
              </w:rPr>
              <w:fldChar w:fldCharType="separate"/>
            </w:r>
            <w:r w:rsidRPr="00B717F8">
              <w:rPr>
                <w:rFonts w:ascii="Times New Roman" w:eastAsia="Calibri" w:hAnsi="Times New Roman" w:cs="Times New Roman"/>
                <w:noProof/>
              </w:rPr>
              <w:t> </w:t>
            </w:r>
            <w:r w:rsidRPr="00B717F8">
              <w:rPr>
                <w:rFonts w:ascii="Times New Roman" w:eastAsia="Calibri" w:hAnsi="Times New Roman" w:cs="Times New Roman"/>
                <w:noProof/>
              </w:rPr>
              <w:t> </w:t>
            </w:r>
            <w:r w:rsidRPr="00B717F8">
              <w:rPr>
                <w:rFonts w:ascii="Times New Roman" w:eastAsia="Calibri" w:hAnsi="Times New Roman" w:cs="Times New Roman"/>
                <w:noProof/>
              </w:rPr>
              <w:t> </w:t>
            </w:r>
            <w:r w:rsidRPr="00B717F8">
              <w:rPr>
                <w:rFonts w:ascii="Times New Roman" w:eastAsia="Calibri" w:hAnsi="Times New Roman" w:cs="Times New Roman"/>
                <w:noProof/>
              </w:rPr>
              <w:t> </w:t>
            </w:r>
            <w:r w:rsidRPr="00B717F8">
              <w:rPr>
                <w:rFonts w:ascii="Times New Roman" w:eastAsia="Calibri" w:hAnsi="Times New Roman" w:cs="Times New Roman"/>
                <w:noProof/>
              </w:rPr>
              <w:t> </w:t>
            </w:r>
            <w:r w:rsidRPr="00B717F8">
              <w:rPr>
                <w:rFonts w:ascii="Times New Roman" w:eastAsia="Calibri" w:hAnsi="Times New Roman" w:cs="Times New Roman"/>
              </w:rPr>
              <w:fldChar w:fldCharType="end"/>
            </w:r>
          </w:p>
        </w:tc>
        <w:tc>
          <w:tcPr>
            <w:tcW w:w="4283" w:type="dxa"/>
            <w:gridSpan w:val="11"/>
            <w:shd w:val="clear" w:color="auto" w:fill="FFFFFF"/>
          </w:tcPr>
          <w:p w14:paraId="102AC890"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zwiększenie liczby dokumentów</w:t>
            </w:r>
          </w:p>
          <w:p w14:paraId="545CF063"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zwiększenie liczby procedur</w:t>
            </w:r>
          </w:p>
          <w:p w14:paraId="0C7EE906"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wydłużenie czasu na załatwienie sprawy</w:t>
            </w:r>
          </w:p>
          <w:p w14:paraId="7BBE4399"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inne:</w:t>
            </w:r>
            <w:r w:rsidRPr="00B717F8">
              <w:rPr>
                <w:rFonts w:ascii="Times New Roman" w:eastAsia="Calibri" w:hAnsi="Times New Roman" w:cs="Times New Roman"/>
              </w:rPr>
              <w:t xml:space="preserve"> </w:t>
            </w:r>
            <w:r w:rsidRPr="00B717F8">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717F8">
              <w:rPr>
                <w:rFonts w:ascii="Times New Roman" w:eastAsia="Calibri" w:hAnsi="Times New Roman" w:cs="Times New Roman"/>
              </w:rPr>
              <w:instrText xml:space="preserve"> FORMTEXT </w:instrText>
            </w:r>
            <w:r w:rsidRPr="00B717F8">
              <w:rPr>
                <w:rFonts w:ascii="Times New Roman" w:eastAsia="Calibri" w:hAnsi="Times New Roman" w:cs="Times New Roman"/>
              </w:rPr>
            </w:r>
            <w:r w:rsidRPr="00B717F8">
              <w:rPr>
                <w:rFonts w:ascii="Times New Roman" w:eastAsia="Calibri" w:hAnsi="Times New Roman" w:cs="Times New Roman"/>
              </w:rPr>
              <w:fldChar w:fldCharType="separate"/>
            </w:r>
            <w:r w:rsidRPr="00B717F8">
              <w:rPr>
                <w:rFonts w:ascii="Times New Roman" w:eastAsia="Calibri" w:hAnsi="Times New Roman" w:cs="Times New Roman"/>
                <w:noProof/>
              </w:rPr>
              <w:t> </w:t>
            </w:r>
            <w:r w:rsidRPr="00B717F8">
              <w:rPr>
                <w:rFonts w:ascii="Times New Roman" w:eastAsia="Calibri" w:hAnsi="Times New Roman" w:cs="Times New Roman"/>
                <w:noProof/>
              </w:rPr>
              <w:t> </w:t>
            </w:r>
            <w:r w:rsidRPr="00B717F8">
              <w:rPr>
                <w:rFonts w:ascii="Times New Roman" w:eastAsia="Calibri" w:hAnsi="Times New Roman" w:cs="Times New Roman"/>
                <w:noProof/>
              </w:rPr>
              <w:t> </w:t>
            </w:r>
            <w:r w:rsidRPr="00B717F8">
              <w:rPr>
                <w:rFonts w:ascii="Times New Roman" w:eastAsia="Calibri" w:hAnsi="Times New Roman" w:cs="Times New Roman"/>
                <w:noProof/>
              </w:rPr>
              <w:t> </w:t>
            </w:r>
            <w:r w:rsidRPr="00B717F8">
              <w:rPr>
                <w:rFonts w:ascii="Times New Roman" w:eastAsia="Calibri" w:hAnsi="Times New Roman" w:cs="Times New Roman"/>
                <w:noProof/>
              </w:rPr>
              <w:t> </w:t>
            </w:r>
            <w:r w:rsidRPr="00B717F8">
              <w:rPr>
                <w:rFonts w:ascii="Times New Roman" w:eastAsia="Calibri" w:hAnsi="Times New Roman" w:cs="Times New Roman"/>
              </w:rPr>
              <w:fldChar w:fldCharType="end"/>
            </w:r>
          </w:p>
          <w:p w14:paraId="4D343C2B" w14:textId="77777777" w:rsidR="00903749" w:rsidRPr="00B717F8" w:rsidRDefault="00903749" w:rsidP="00D60307">
            <w:pPr>
              <w:spacing w:after="0" w:line="240" w:lineRule="auto"/>
              <w:rPr>
                <w:rFonts w:ascii="Times New Roman" w:eastAsia="Calibri" w:hAnsi="Times New Roman" w:cs="Times New Roman"/>
              </w:rPr>
            </w:pPr>
          </w:p>
        </w:tc>
      </w:tr>
      <w:tr w:rsidR="00B717F8" w:rsidRPr="00B717F8" w14:paraId="4BEBBE1D" w14:textId="77777777" w:rsidTr="00CA01A9">
        <w:trPr>
          <w:trHeight w:val="722"/>
        </w:trPr>
        <w:tc>
          <w:tcPr>
            <w:tcW w:w="6803" w:type="dxa"/>
            <w:gridSpan w:val="13"/>
            <w:shd w:val="clear" w:color="auto" w:fill="FFFFFF"/>
          </w:tcPr>
          <w:p w14:paraId="3FFC6244" w14:textId="77777777" w:rsidR="00903749" w:rsidRPr="00B717F8" w:rsidRDefault="00903749" w:rsidP="00D60307">
            <w:pPr>
              <w:spacing w:after="0" w:line="240" w:lineRule="auto"/>
              <w:rPr>
                <w:rFonts w:ascii="Times New Roman" w:eastAsia="Calibri" w:hAnsi="Times New Roman" w:cs="Times New Roman"/>
                <w:strike/>
              </w:rPr>
            </w:pPr>
            <w:r w:rsidRPr="00B717F8">
              <w:rPr>
                <w:rFonts w:ascii="Times New Roman" w:eastAsia="Calibri" w:hAnsi="Times New Roman" w:cs="Times New Roman"/>
              </w:rPr>
              <w:t>Wprowadzane obciążenia są przystosowane do ich elektronizacji.</w:t>
            </w:r>
          </w:p>
        </w:tc>
        <w:tc>
          <w:tcPr>
            <w:tcW w:w="4283" w:type="dxa"/>
            <w:gridSpan w:val="11"/>
            <w:shd w:val="clear" w:color="auto" w:fill="FFFFFF"/>
          </w:tcPr>
          <w:p w14:paraId="50529435"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tak</w:t>
            </w:r>
          </w:p>
          <w:p w14:paraId="0B0C965D"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nie</w:t>
            </w:r>
          </w:p>
          <w:p w14:paraId="7CF130D8"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
                  <w:enabled/>
                  <w:calcOnExit w:val="0"/>
                  <w:checkBox>
                    <w:sizeAuto/>
                    <w:default w:val="1"/>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nie dotyczy</w:t>
            </w:r>
            <w:r w:rsidRPr="00B717F8" w:rsidDel="00497C6F">
              <w:rPr>
                <w:rFonts w:ascii="Times New Roman" w:eastAsia="Calibri" w:hAnsi="Times New Roman" w:cs="Times New Roman"/>
              </w:rPr>
              <w:t xml:space="preserve"> </w:t>
            </w:r>
          </w:p>
        </w:tc>
      </w:tr>
      <w:tr w:rsidR="00B717F8" w:rsidRPr="00B717F8" w14:paraId="651F23D3" w14:textId="77777777" w:rsidTr="00CA01A9">
        <w:trPr>
          <w:trHeight w:val="142"/>
        </w:trPr>
        <w:tc>
          <w:tcPr>
            <w:tcW w:w="11086" w:type="dxa"/>
            <w:gridSpan w:val="24"/>
            <w:shd w:val="clear" w:color="auto" w:fill="99CCFF"/>
          </w:tcPr>
          <w:p w14:paraId="2DE92AE3" w14:textId="77777777" w:rsidR="00903749" w:rsidRPr="00B717F8" w:rsidRDefault="00903749" w:rsidP="00D60307">
            <w:pPr>
              <w:numPr>
                <w:ilvl w:val="0"/>
                <w:numId w:val="1"/>
              </w:numPr>
              <w:spacing w:before="60" w:after="60" w:line="240" w:lineRule="auto"/>
              <w:jc w:val="both"/>
              <w:rPr>
                <w:rFonts w:ascii="Times New Roman" w:eastAsia="Calibri" w:hAnsi="Times New Roman" w:cs="Times New Roman"/>
                <w:b/>
              </w:rPr>
            </w:pPr>
            <w:r w:rsidRPr="00B717F8">
              <w:rPr>
                <w:rFonts w:ascii="Times New Roman" w:eastAsia="Calibri" w:hAnsi="Times New Roman" w:cs="Times New Roman"/>
                <w:b/>
              </w:rPr>
              <w:t xml:space="preserve">Wpływ na rynek pracy </w:t>
            </w:r>
          </w:p>
        </w:tc>
      </w:tr>
      <w:tr w:rsidR="00B717F8" w:rsidRPr="00B717F8" w14:paraId="045286A8" w14:textId="77777777" w:rsidTr="00CA01A9">
        <w:trPr>
          <w:trHeight w:val="142"/>
        </w:trPr>
        <w:tc>
          <w:tcPr>
            <w:tcW w:w="11086" w:type="dxa"/>
            <w:gridSpan w:val="24"/>
            <w:shd w:val="clear" w:color="auto" w:fill="auto"/>
          </w:tcPr>
          <w:p w14:paraId="76AE3BED"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Brak wpływu na rynek pracy.</w:t>
            </w:r>
          </w:p>
          <w:p w14:paraId="153DF0FB" w14:textId="77777777" w:rsidR="00903749" w:rsidRPr="00B717F8" w:rsidRDefault="00903749" w:rsidP="00D60307">
            <w:pPr>
              <w:spacing w:after="0" w:line="240" w:lineRule="auto"/>
              <w:rPr>
                <w:rFonts w:ascii="Times New Roman" w:eastAsia="Calibri" w:hAnsi="Times New Roman" w:cs="Times New Roman"/>
              </w:rPr>
            </w:pPr>
          </w:p>
        </w:tc>
      </w:tr>
      <w:tr w:rsidR="00B717F8" w:rsidRPr="00B717F8" w14:paraId="64B06DD1" w14:textId="77777777" w:rsidTr="00CA01A9">
        <w:trPr>
          <w:trHeight w:val="142"/>
        </w:trPr>
        <w:tc>
          <w:tcPr>
            <w:tcW w:w="11086" w:type="dxa"/>
            <w:gridSpan w:val="24"/>
            <w:shd w:val="clear" w:color="auto" w:fill="99CCFF"/>
          </w:tcPr>
          <w:p w14:paraId="6D049AB8" w14:textId="77777777" w:rsidR="00903749" w:rsidRPr="00B717F8" w:rsidRDefault="00903749" w:rsidP="00D60307">
            <w:pPr>
              <w:numPr>
                <w:ilvl w:val="0"/>
                <w:numId w:val="1"/>
              </w:numPr>
              <w:spacing w:before="60" w:after="60" w:line="240" w:lineRule="auto"/>
              <w:jc w:val="both"/>
              <w:rPr>
                <w:rFonts w:ascii="Times New Roman" w:eastAsia="Calibri" w:hAnsi="Times New Roman" w:cs="Times New Roman"/>
                <w:b/>
              </w:rPr>
            </w:pPr>
            <w:r w:rsidRPr="00B717F8">
              <w:rPr>
                <w:rFonts w:ascii="Times New Roman" w:eastAsia="Calibri" w:hAnsi="Times New Roman" w:cs="Times New Roman"/>
                <w:b/>
              </w:rPr>
              <w:t>Wpływ na pozostałe obszary</w:t>
            </w:r>
          </w:p>
        </w:tc>
      </w:tr>
      <w:tr w:rsidR="00B717F8" w:rsidRPr="00B717F8" w14:paraId="0005B5F6" w14:textId="77777777" w:rsidTr="00CA01A9">
        <w:trPr>
          <w:trHeight w:val="1031"/>
        </w:trPr>
        <w:tc>
          <w:tcPr>
            <w:tcW w:w="3573" w:type="dxa"/>
            <w:gridSpan w:val="5"/>
            <w:shd w:val="clear" w:color="auto" w:fill="FFFFFF"/>
          </w:tcPr>
          <w:p w14:paraId="5F71D732"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środowisko naturalne</w:t>
            </w:r>
          </w:p>
          <w:p w14:paraId="2D598510"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sytuacja i rozwój regionalny</w:t>
            </w:r>
          </w:p>
          <w:p w14:paraId="5E527FDE"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sądy powszechne, administracyjne lub wojskowe</w:t>
            </w:r>
          </w:p>
        </w:tc>
        <w:tc>
          <w:tcPr>
            <w:tcW w:w="3784" w:type="dxa"/>
            <w:gridSpan w:val="11"/>
            <w:shd w:val="clear" w:color="auto" w:fill="FFFFFF"/>
          </w:tcPr>
          <w:p w14:paraId="1E004550"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demografia</w:t>
            </w:r>
          </w:p>
          <w:p w14:paraId="0B6FC37D"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mienie państwowe</w:t>
            </w:r>
          </w:p>
          <w:p w14:paraId="59AB5971"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inne: </w:t>
            </w:r>
            <w:r w:rsidRPr="00B717F8">
              <w:rPr>
                <w:rFonts w:ascii="Times New Roman" w:eastAsia="Calibri"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717F8">
              <w:rPr>
                <w:rFonts w:ascii="Times New Roman" w:eastAsia="Calibri" w:hAnsi="Times New Roman" w:cs="Times New Roman"/>
              </w:rPr>
              <w:instrText xml:space="preserve"> FORMTEXT </w:instrText>
            </w:r>
            <w:r w:rsidRPr="00B717F8">
              <w:rPr>
                <w:rFonts w:ascii="Times New Roman" w:eastAsia="Calibri" w:hAnsi="Times New Roman" w:cs="Times New Roman"/>
              </w:rPr>
            </w:r>
            <w:r w:rsidRPr="00B717F8">
              <w:rPr>
                <w:rFonts w:ascii="Times New Roman" w:eastAsia="Calibri" w:hAnsi="Times New Roman" w:cs="Times New Roman"/>
              </w:rPr>
              <w:fldChar w:fldCharType="separate"/>
            </w:r>
            <w:r w:rsidRPr="00B717F8">
              <w:rPr>
                <w:rFonts w:ascii="Times New Roman" w:eastAsia="Calibri" w:hAnsi="Times New Roman" w:cs="Times New Roman"/>
              </w:rPr>
              <w:t> </w:t>
            </w:r>
            <w:r w:rsidRPr="00B717F8">
              <w:rPr>
                <w:rFonts w:ascii="Times New Roman" w:eastAsia="Calibri" w:hAnsi="Times New Roman" w:cs="Times New Roman"/>
              </w:rPr>
              <w:t> </w:t>
            </w:r>
            <w:r w:rsidRPr="00B717F8">
              <w:rPr>
                <w:rFonts w:ascii="Times New Roman" w:eastAsia="Calibri" w:hAnsi="Times New Roman" w:cs="Times New Roman"/>
              </w:rPr>
              <w:t> </w:t>
            </w:r>
            <w:r w:rsidRPr="00B717F8">
              <w:rPr>
                <w:rFonts w:ascii="Times New Roman" w:eastAsia="Calibri" w:hAnsi="Times New Roman" w:cs="Times New Roman"/>
              </w:rPr>
              <w:t> </w:t>
            </w:r>
            <w:r w:rsidRPr="00B717F8">
              <w:rPr>
                <w:rFonts w:ascii="Times New Roman" w:eastAsia="Calibri" w:hAnsi="Times New Roman" w:cs="Times New Roman"/>
              </w:rPr>
              <w:t> </w:t>
            </w:r>
            <w:r w:rsidRPr="00B717F8">
              <w:rPr>
                <w:rFonts w:ascii="Times New Roman" w:eastAsia="Calibri" w:hAnsi="Times New Roman" w:cs="Times New Roman"/>
              </w:rPr>
              <w:fldChar w:fldCharType="end"/>
            </w:r>
          </w:p>
        </w:tc>
        <w:tc>
          <w:tcPr>
            <w:tcW w:w="3729" w:type="dxa"/>
            <w:gridSpan w:val="8"/>
            <w:shd w:val="clear" w:color="auto" w:fill="FFFFFF"/>
          </w:tcPr>
          <w:p w14:paraId="1D932563" w14:textId="77777777" w:rsidR="00903749" w:rsidRPr="00B717F8" w:rsidRDefault="00903749" w:rsidP="00D60307">
            <w:pPr>
              <w:spacing w:after="0" w:line="240" w:lineRule="auto"/>
              <w:rPr>
                <w:rFonts w:ascii="Times New Roman" w:eastAsia="Calibri" w:hAnsi="Times New Roman" w:cs="Times New Roman"/>
                <w:spacing w:val="-2"/>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informatyzacja</w:t>
            </w:r>
          </w:p>
          <w:p w14:paraId="310DF892"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fldChar w:fldCharType="begin">
                <w:ffData>
                  <w:name w:val="Wybór1"/>
                  <w:enabled/>
                  <w:calcOnExit w:val="0"/>
                  <w:checkBox>
                    <w:sizeAuto/>
                    <w:default w:val="0"/>
                  </w:checkBox>
                </w:ffData>
              </w:fldChar>
            </w:r>
            <w:r w:rsidRPr="00B717F8">
              <w:rPr>
                <w:rFonts w:ascii="Times New Roman" w:eastAsia="Calibri" w:hAnsi="Times New Roman" w:cs="Times New Roman"/>
              </w:rPr>
              <w:instrText xml:space="preserve"> FORMCHECKBOX </w:instrText>
            </w:r>
            <w:r w:rsidR="0008106F">
              <w:rPr>
                <w:rFonts w:ascii="Times New Roman" w:eastAsia="Calibri" w:hAnsi="Times New Roman" w:cs="Times New Roman"/>
              </w:rPr>
            </w:r>
            <w:r w:rsidR="0008106F">
              <w:rPr>
                <w:rFonts w:ascii="Times New Roman" w:eastAsia="Calibri" w:hAnsi="Times New Roman" w:cs="Times New Roman"/>
              </w:rPr>
              <w:fldChar w:fldCharType="separate"/>
            </w:r>
            <w:r w:rsidRPr="00B717F8">
              <w:rPr>
                <w:rFonts w:ascii="Times New Roman" w:eastAsia="Calibri" w:hAnsi="Times New Roman" w:cs="Times New Roman"/>
              </w:rPr>
              <w:fldChar w:fldCharType="end"/>
            </w:r>
            <w:r w:rsidRPr="00B717F8">
              <w:rPr>
                <w:rFonts w:ascii="Times New Roman" w:eastAsia="Calibri" w:hAnsi="Times New Roman" w:cs="Times New Roman"/>
              </w:rPr>
              <w:t xml:space="preserve"> </w:t>
            </w:r>
            <w:r w:rsidRPr="00B717F8">
              <w:rPr>
                <w:rFonts w:ascii="Times New Roman" w:eastAsia="Calibri" w:hAnsi="Times New Roman" w:cs="Times New Roman"/>
                <w:spacing w:val="-2"/>
              </w:rPr>
              <w:t>zdrowie</w:t>
            </w:r>
          </w:p>
        </w:tc>
      </w:tr>
      <w:tr w:rsidR="00B717F8" w:rsidRPr="00B717F8" w14:paraId="456C4197" w14:textId="77777777" w:rsidTr="00CA01A9">
        <w:trPr>
          <w:trHeight w:val="409"/>
        </w:trPr>
        <w:tc>
          <w:tcPr>
            <w:tcW w:w="1560" w:type="dxa"/>
            <w:shd w:val="clear" w:color="auto" w:fill="FFFFFF"/>
            <w:vAlign w:val="center"/>
          </w:tcPr>
          <w:p w14:paraId="76224554" w14:textId="77777777" w:rsidR="00903749" w:rsidRPr="00B717F8" w:rsidRDefault="00903749" w:rsidP="00D60307">
            <w:pPr>
              <w:spacing w:after="0" w:line="240" w:lineRule="auto"/>
              <w:rPr>
                <w:rFonts w:ascii="Times New Roman" w:eastAsia="Calibri" w:hAnsi="Times New Roman" w:cs="Times New Roman"/>
              </w:rPr>
            </w:pPr>
            <w:r w:rsidRPr="00B717F8">
              <w:rPr>
                <w:rFonts w:ascii="Times New Roman" w:eastAsia="Calibri" w:hAnsi="Times New Roman" w:cs="Times New Roman"/>
              </w:rPr>
              <w:t>Omówienie wpływu</w:t>
            </w:r>
          </w:p>
        </w:tc>
        <w:tc>
          <w:tcPr>
            <w:tcW w:w="9526" w:type="dxa"/>
            <w:gridSpan w:val="23"/>
            <w:shd w:val="clear" w:color="auto" w:fill="FFFFFF"/>
            <w:vAlign w:val="center"/>
          </w:tcPr>
          <w:p w14:paraId="1BCA92BE" w14:textId="77777777" w:rsidR="00903749" w:rsidRPr="00B717F8" w:rsidRDefault="00903749" w:rsidP="00D60307">
            <w:pPr>
              <w:spacing w:after="0" w:line="240" w:lineRule="auto"/>
              <w:jc w:val="both"/>
              <w:rPr>
                <w:rFonts w:ascii="Times New Roman" w:eastAsia="Calibri" w:hAnsi="Times New Roman" w:cs="Times New Roman"/>
                <w:spacing w:val="-2"/>
              </w:rPr>
            </w:pPr>
            <w:r w:rsidRPr="00B717F8">
              <w:rPr>
                <w:rFonts w:ascii="Times New Roman" w:eastAsia="Calibri" w:hAnsi="Times New Roman" w:cs="Times New Roman"/>
              </w:rPr>
              <w:t xml:space="preserve">Zmiana nie ma wpływu na wskazane obszary. </w:t>
            </w:r>
          </w:p>
        </w:tc>
      </w:tr>
      <w:tr w:rsidR="00B717F8" w:rsidRPr="00B717F8" w14:paraId="263D0F32" w14:textId="77777777" w:rsidTr="00CA01A9">
        <w:trPr>
          <w:trHeight w:val="142"/>
        </w:trPr>
        <w:tc>
          <w:tcPr>
            <w:tcW w:w="11086" w:type="dxa"/>
            <w:gridSpan w:val="24"/>
            <w:shd w:val="clear" w:color="auto" w:fill="99CCFF"/>
          </w:tcPr>
          <w:p w14:paraId="651D0B08" w14:textId="77777777" w:rsidR="00903749" w:rsidRPr="00B717F8" w:rsidRDefault="00903749" w:rsidP="00D60307">
            <w:pPr>
              <w:numPr>
                <w:ilvl w:val="0"/>
                <w:numId w:val="1"/>
              </w:numPr>
              <w:spacing w:before="60" w:after="60" w:line="240" w:lineRule="auto"/>
              <w:ind w:left="318" w:hanging="284"/>
              <w:jc w:val="both"/>
              <w:rPr>
                <w:rFonts w:ascii="Times New Roman" w:eastAsia="Calibri" w:hAnsi="Times New Roman" w:cs="Times New Roman"/>
                <w:b/>
              </w:rPr>
            </w:pPr>
            <w:r w:rsidRPr="00B717F8">
              <w:rPr>
                <w:rFonts w:ascii="Times New Roman" w:eastAsia="Calibri" w:hAnsi="Times New Roman" w:cs="Times New Roman"/>
                <w:b/>
                <w:spacing w:val="-2"/>
              </w:rPr>
              <w:t>Planowane wykonanie przepisów aktu prawnego</w:t>
            </w:r>
          </w:p>
        </w:tc>
      </w:tr>
      <w:tr w:rsidR="00B717F8" w:rsidRPr="00B717F8" w14:paraId="3C96CFCF" w14:textId="77777777" w:rsidTr="00CA01A9">
        <w:trPr>
          <w:trHeight w:val="142"/>
        </w:trPr>
        <w:tc>
          <w:tcPr>
            <w:tcW w:w="11086" w:type="dxa"/>
            <w:gridSpan w:val="24"/>
            <w:shd w:val="clear" w:color="auto" w:fill="FFFFFF"/>
          </w:tcPr>
          <w:p w14:paraId="0F7CAA1D" w14:textId="77777777" w:rsidR="00903749" w:rsidRPr="00B717F8" w:rsidRDefault="00903749" w:rsidP="0005395A">
            <w:pPr>
              <w:suppressAutoHyphens/>
              <w:autoSpaceDE w:val="0"/>
              <w:autoSpaceDN w:val="0"/>
              <w:adjustRightInd w:val="0"/>
              <w:spacing w:before="120" w:after="0" w:line="240" w:lineRule="auto"/>
              <w:jc w:val="both"/>
              <w:rPr>
                <w:rFonts w:ascii="Times New Roman" w:eastAsia="Times New Roman" w:hAnsi="Times New Roman" w:cs="Times New Roman"/>
                <w:lang w:eastAsia="pl-PL"/>
              </w:rPr>
            </w:pPr>
            <w:r w:rsidRPr="00B717F8">
              <w:rPr>
                <w:rFonts w:ascii="Times New Roman" w:eastAsia="Times New Roman" w:hAnsi="Times New Roman" w:cs="Times New Roman"/>
                <w:lang w:eastAsia="pl-PL"/>
              </w:rPr>
              <w:t xml:space="preserve">Proponuje się, by rozporządzenie weszło w życie z dniem </w:t>
            </w:r>
            <w:r w:rsidR="002418D5" w:rsidRPr="00B717F8">
              <w:rPr>
                <w:rFonts w:ascii="Times New Roman" w:eastAsia="Times New Roman" w:hAnsi="Times New Roman" w:cs="Times New Roman"/>
                <w:lang w:eastAsia="pl-PL"/>
              </w:rPr>
              <w:t xml:space="preserve">1 września 2023 r. </w:t>
            </w:r>
          </w:p>
        </w:tc>
      </w:tr>
      <w:tr w:rsidR="00B717F8" w:rsidRPr="00B717F8" w14:paraId="582B719B" w14:textId="77777777" w:rsidTr="00CA01A9">
        <w:trPr>
          <w:trHeight w:val="142"/>
        </w:trPr>
        <w:tc>
          <w:tcPr>
            <w:tcW w:w="11086" w:type="dxa"/>
            <w:gridSpan w:val="24"/>
            <w:shd w:val="clear" w:color="auto" w:fill="99CCFF"/>
          </w:tcPr>
          <w:p w14:paraId="00AF17A9" w14:textId="77777777" w:rsidR="00903749" w:rsidRPr="00B717F8" w:rsidRDefault="00903749" w:rsidP="00D60307">
            <w:pPr>
              <w:numPr>
                <w:ilvl w:val="0"/>
                <w:numId w:val="1"/>
              </w:numPr>
              <w:spacing w:before="60" w:after="60" w:line="240" w:lineRule="auto"/>
              <w:ind w:left="318" w:hanging="284"/>
              <w:jc w:val="both"/>
              <w:rPr>
                <w:rFonts w:ascii="Times New Roman" w:eastAsia="Calibri" w:hAnsi="Times New Roman" w:cs="Times New Roman"/>
                <w:b/>
              </w:rPr>
            </w:pPr>
            <w:r w:rsidRPr="00B717F8">
              <w:rPr>
                <w:rFonts w:ascii="Times New Roman" w:eastAsia="Calibri" w:hAnsi="Times New Roman" w:cs="Times New Roman"/>
                <w:b/>
              </w:rPr>
              <w:t xml:space="preserve"> </w:t>
            </w:r>
            <w:r w:rsidRPr="00B717F8">
              <w:rPr>
                <w:rFonts w:ascii="Times New Roman" w:eastAsia="Calibri" w:hAnsi="Times New Roman" w:cs="Times New Roman"/>
                <w:b/>
                <w:spacing w:val="-2"/>
              </w:rPr>
              <w:t>W jaki sposób i kiedy nastąpi ewaluacja efektów projektu oraz jakie mierniki zostaną zastosowane?</w:t>
            </w:r>
          </w:p>
        </w:tc>
      </w:tr>
      <w:tr w:rsidR="00B717F8" w:rsidRPr="00B717F8" w14:paraId="489AF3C0" w14:textId="77777777" w:rsidTr="00CA01A9">
        <w:trPr>
          <w:trHeight w:val="142"/>
        </w:trPr>
        <w:tc>
          <w:tcPr>
            <w:tcW w:w="11086" w:type="dxa"/>
            <w:gridSpan w:val="24"/>
            <w:shd w:val="clear" w:color="auto" w:fill="FFFFFF"/>
          </w:tcPr>
          <w:p w14:paraId="7426EE84" w14:textId="77777777" w:rsidR="00903749" w:rsidRDefault="00903749" w:rsidP="007D255B">
            <w:pPr>
              <w:spacing w:after="0" w:line="240" w:lineRule="auto"/>
              <w:jc w:val="both"/>
              <w:rPr>
                <w:rFonts w:ascii="Times New Roman" w:eastAsia="Calibri" w:hAnsi="Times New Roman" w:cs="Times New Roman"/>
                <w:spacing w:val="-2"/>
              </w:rPr>
            </w:pPr>
            <w:r w:rsidRPr="00B717F8">
              <w:rPr>
                <w:rFonts w:ascii="Times New Roman" w:eastAsia="Calibri" w:hAnsi="Times New Roman" w:cs="Times New Roman"/>
                <w:spacing w:val="-2"/>
              </w:rPr>
              <w:t>Nie dotyczy.</w:t>
            </w:r>
          </w:p>
          <w:p w14:paraId="6D49F077" w14:textId="6BDC0E8C" w:rsidR="00E85CF0" w:rsidRPr="00B717F8" w:rsidRDefault="00E85CF0" w:rsidP="007D255B">
            <w:pPr>
              <w:spacing w:after="0" w:line="240" w:lineRule="auto"/>
              <w:jc w:val="both"/>
              <w:rPr>
                <w:rFonts w:ascii="Times New Roman" w:eastAsia="Calibri" w:hAnsi="Times New Roman" w:cs="Times New Roman"/>
                <w:spacing w:val="-2"/>
              </w:rPr>
            </w:pPr>
          </w:p>
        </w:tc>
      </w:tr>
      <w:tr w:rsidR="00B717F8" w:rsidRPr="00B717F8" w14:paraId="5A7905B3" w14:textId="77777777" w:rsidTr="00CA01A9">
        <w:trPr>
          <w:trHeight w:val="142"/>
        </w:trPr>
        <w:tc>
          <w:tcPr>
            <w:tcW w:w="11086" w:type="dxa"/>
            <w:gridSpan w:val="24"/>
            <w:shd w:val="clear" w:color="auto" w:fill="99CCFF"/>
          </w:tcPr>
          <w:p w14:paraId="7B85E397" w14:textId="77777777" w:rsidR="00903749" w:rsidRPr="00B717F8" w:rsidRDefault="00903749" w:rsidP="00D60307">
            <w:pPr>
              <w:numPr>
                <w:ilvl w:val="0"/>
                <w:numId w:val="1"/>
              </w:numPr>
              <w:spacing w:before="60" w:after="60" w:line="240" w:lineRule="auto"/>
              <w:ind w:left="318" w:hanging="284"/>
              <w:jc w:val="both"/>
              <w:rPr>
                <w:rFonts w:ascii="Times New Roman" w:eastAsia="Calibri" w:hAnsi="Times New Roman" w:cs="Times New Roman"/>
                <w:b/>
                <w:spacing w:val="-2"/>
              </w:rPr>
            </w:pPr>
            <w:r w:rsidRPr="00B717F8">
              <w:rPr>
                <w:rFonts w:ascii="Times New Roman" w:eastAsia="Calibri" w:hAnsi="Times New Roman" w:cs="Times New Roman"/>
                <w:b/>
                <w:spacing w:val="-2"/>
              </w:rPr>
              <w:t xml:space="preserve">Załączniki (istotne dokumenty źródłowe, badania, analizy itp.) </w:t>
            </w:r>
          </w:p>
        </w:tc>
      </w:tr>
      <w:tr w:rsidR="00B717F8" w:rsidRPr="00B717F8" w14:paraId="7A7EEC2D" w14:textId="77777777" w:rsidTr="00CA01A9">
        <w:trPr>
          <w:trHeight w:val="142"/>
        </w:trPr>
        <w:tc>
          <w:tcPr>
            <w:tcW w:w="11086" w:type="dxa"/>
            <w:gridSpan w:val="24"/>
            <w:shd w:val="clear" w:color="auto" w:fill="FFFFFF"/>
          </w:tcPr>
          <w:p w14:paraId="6FDC88F4" w14:textId="77777777" w:rsidR="00903749" w:rsidRPr="00B717F8" w:rsidRDefault="00903749" w:rsidP="00D60307">
            <w:pPr>
              <w:spacing w:after="0" w:line="240" w:lineRule="auto"/>
              <w:jc w:val="both"/>
              <w:rPr>
                <w:rFonts w:ascii="Times New Roman" w:eastAsia="Calibri" w:hAnsi="Times New Roman" w:cs="Times New Roman"/>
                <w:spacing w:val="-2"/>
              </w:rPr>
            </w:pPr>
          </w:p>
        </w:tc>
      </w:tr>
    </w:tbl>
    <w:p w14:paraId="72377E25" w14:textId="77777777" w:rsidR="00903749" w:rsidRPr="00B717F8" w:rsidRDefault="00903749" w:rsidP="00903749">
      <w:pPr>
        <w:rPr>
          <w:rFonts w:ascii="Times New Roman" w:hAnsi="Times New Roman" w:cs="Times New Roman"/>
        </w:rPr>
      </w:pPr>
    </w:p>
    <w:p w14:paraId="55EF3EC3" w14:textId="77777777" w:rsidR="00477A37" w:rsidRPr="00B717F8" w:rsidRDefault="00477A37">
      <w:pPr>
        <w:rPr>
          <w:rFonts w:ascii="Times New Roman" w:hAnsi="Times New Roman" w:cs="Times New Roman"/>
        </w:rPr>
      </w:pPr>
    </w:p>
    <w:sectPr w:rsidR="00477A37" w:rsidRPr="00B717F8" w:rsidSect="00D60307">
      <w:pgSz w:w="11906" w:h="16838"/>
      <w:pgMar w:top="567" w:right="709" w:bottom="567" w:left="720" w:header="709" w:footer="2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D35A" w16cex:dateUtc="2023-06-22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67D9C" w16cid:durableId="283ED3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4131"/>
    <w:multiLevelType w:val="hybridMultilevel"/>
    <w:tmpl w:val="18724D38"/>
    <w:lvl w:ilvl="0" w:tplc="3A22ADC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3E4074"/>
    <w:multiLevelType w:val="hybridMultilevel"/>
    <w:tmpl w:val="DA466E32"/>
    <w:lvl w:ilvl="0" w:tplc="F64C7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3762CA"/>
    <w:multiLevelType w:val="hybridMultilevel"/>
    <w:tmpl w:val="3482EABA"/>
    <w:lvl w:ilvl="0" w:tplc="EFD67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ECF5135"/>
    <w:multiLevelType w:val="hybridMultilevel"/>
    <w:tmpl w:val="869ED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2B"/>
    <w:rsid w:val="000044EF"/>
    <w:rsid w:val="00013F57"/>
    <w:rsid w:val="00027780"/>
    <w:rsid w:val="0005395A"/>
    <w:rsid w:val="0008106F"/>
    <w:rsid w:val="0009047C"/>
    <w:rsid w:val="00090EC7"/>
    <w:rsid w:val="0009572B"/>
    <w:rsid w:val="000B2321"/>
    <w:rsid w:val="000F72FF"/>
    <w:rsid w:val="00146E6A"/>
    <w:rsid w:val="00185369"/>
    <w:rsid w:val="00191D77"/>
    <w:rsid w:val="001D0552"/>
    <w:rsid w:val="001F5959"/>
    <w:rsid w:val="001F596C"/>
    <w:rsid w:val="0022769B"/>
    <w:rsid w:val="002418D5"/>
    <w:rsid w:val="00260DF3"/>
    <w:rsid w:val="00263D27"/>
    <w:rsid w:val="00281A8B"/>
    <w:rsid w:val="00292C64"/>
    <w:rsid w:val="002A727E"/>
    <w:rsid w:val="002C5810"/>
    <w:rsid w:val="002D137C"/>
    <w:rsid w:val="002F01B7"/>
    <w:rsid w:val="00316051"/>
    <w:rsid w:val="00322F09"/>
    <w:rsid w:val="00341CC2"/>
    <w:rsid w:val="00372A30"/>
    <w:rsid w:val="00393A5C"/>
    <w:rsid w:val="003A1943"/>
    <w:rsid w:val="003A3BE1"/>
    <w:rsid w:val="003A7BDB"/>
    <w:rsid w:val="003B2C34"/>
    <w:rsid w:val="003B3236"/>
    <w:rsid w:val="003C1E59"/>
    <w:rsid w:val="003C5DD2"/>
    <w:rsid w:val="003D2C92"/>
    <w:rsid w:val="00427D7E"/>
    <w:rsid w:val="0044566C"/>
    <w:rsid w:val="00447191"/>
    <w:rsid w:val="004517FA"/>
    <w:rsid w:val="0046164D"/>
    <w:rsid w:val="00475F1B"/>
    <w:rsid w:val="00477A37"/>
    <w:rsid w:val="004B70DC"/>
    <w:rsid w:val="00513A00"/>
    <w:rsid w:val="005222FF"/>
    <w:rsid w:val="00531A71"/>
    <w:rsid w:val="00550195"/>
    <w:rsid w:val="00555546"/>
    <w:rsid w:val="00574F52"/>
    <w:rsid w:val="00591363"/>
    <w:rsid w:val="005C0AA8"/>
    <w:rsid w:val="005C4006"/>
    <w:rsid w:val="00625313"/>
    <w:rsid w:val="006348D6"/>
    <w:rsid w:val="00635C5E"/>
    <w:rsid w:val="006428B4"/>
    <w:rsid w:val="00660F80"/>
    <w:rsid w:val="0066168A"/>
    <w:rsid w:val="00662502"/>
    <w:rsid w:val="0067348A"/>
    <w:rsid w:val="006C3B53"/>
    <w:rsid w:val="006E7325"/>
    <w:rsid w:val="00714551"/>
    <w:rsid w:val="007306DB"/>
    <w:rsid w:val="007356E4"/>
    <w:rsid w:val="007831CE"/>
    <w:rsid w:val="007D255B"/>
    <w:rsid w:val="007D3F85"/>
    <w:rsid w:val="007F63CB"/>
    <w:rsid w:val="007F7EC4"/>
    <w:rsid w:val="00804F33"/>
    <w:rsid w:val="00834BC0"/>
    <w:rsid w:val="008413F2"/>
    <w:rsid w:val="00870430"/>
    <w:rsid w:val="0087177C"/>
    <w:rsid w:val="00894505"/>
    <w:rsid w:val="008C009A"/>
    <w:rsid w:val="00903749"/>
    <w:rsid w:val="00914DE3"/>
    <w:rsid w:val="00925D09"/>
    <w:rsid w:val="00964899"/>
    <w:rsid w:val="009A731B"/>
    <w:rsid w:val="009A76A4"/>
    <w:rsid w:val="009C7806"/>
    <w:rsid w:val="009D6FD5"/>
    <w:rsid w:val="009E52BC"/>
    <w:rsid w:val="009F70EF"/>
    <w:rsid w:val="00A06C3B"/>
    <w:rsid w:val="00A202A6"/>
    <w:rsid w:val="00A21D87"/>
    <w:rsid w:val="00A4775A"/>
    <w:rsid w:val="00AC359D"/>
    <w:rsid w:val="00AD6296"/>
    <w:rsid w:val="00B039AF"/>
    <w:rsid w:val="00B04F7C"/>
    <w:rsid w:val="00B27F3A"/>
    <w:rsid w:val="00B547A3"/>
    <w:rsid w:val="00B63600"/>
    <w:rsid w:val="00B67318"/>
    <w:rsid w:val="00B717F8"/>
    <w:rsid w:val="00B949C0"/>
    <w:rsid w:val="00BB2EFC"/>
    <w:rsid w:val="00BC424B"/>
    <w:rsid w:val="00C83FFE"/>
    <w:rsid w:val="00C87FC1"/>
    <w:rsid w:val="00CA01A9"/>
    <w:rsid w:val="00CA3E86"/>
    <w:rsid w:val="00CA5AB9"/>
    <w:rsid w:val="00CB1323"/>
    <w:rsid w:val="00CC35D8"/>
    <w:rsid w:val="00CC3D30"/>
    <w:rsid w:val="00CE67AB"/>
    <w:rsid w:val="00CF6828"/>
    <w:rsid w:val="00D34F42"/>
    <w:rsid w:val="00D42F99"/>
    <w:rsid w:val="00D5397E"/>
    <w:rsid w:val="00D60307"/>
    <w:rsid w:val="00D63361"/>
    <w:rsid w:val="00DC2393"/>
    <w:rsid w:val="00E13022"/>
    <w:rsid w:val="00E335F9"/>
    <w:rsid w:val="00E40257"/>
    <w:rsid w:val="00E834FA"/>
    <w:rsid w:val="00E85CF0"/>
    <w:rsid w:val="00EA2671"/>
    <w:rsid w:val="00EA3E6F"/>
    <w:rsid w:val="00EB14AB"/>
    <w:rsid w:val="00EC22DE"/>
    <w:rsid w:val="00EC33F1"/>
    <w:rsid w:val="00EC5FCF"/>
    <w:rsid w:val="00ED5510"/>
    <w:rsid w:val="00EE3152"/>
    <w:rsid w:val="00F14A2A"/>
    <w:rsid w:val="00F328E3"/>
    <w:rsid w:val="00F7492B"/>
    <w:rsid w:val="00F87F5A"/>
    <w:rsid w:val="00FB04BF"/>
    <w:rsid w:val="00FB0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1BDA"/>
  <w15:chartTrackingRefBased/>
  <w15:docId w15:val="{64720A47-4632-4303-B06A-014C348A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7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90374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03749"/>
    <w:rPr>
      <w:bCs/>
    </w:rPr>
  </w:style>
  <w:style w:type="paragraph" w:styleId="Akapitzlist">
    <w:name w:val="List Paragraph"/>
    <w:basedOn w:val="Normalny"/>
    <w:uiPriority w:val="34"/>
    <w:qFormat/>
    <w:rsid w:val="00903749"/>
    <w:pPr>
      <w:ind w:left="720"/>
      <w:contextualSpacing/>
    </w:pPr>
  </w:style>
  <w:style w:type="paragraph" w:styleId="Tekstdymka">
    <w:name w:val="Balloon Text"/>
    <w:basedOn w:val="Normalny"/>
    <w:link w:val="TekstdymkaZnak"/>
    <w:uiPriority w:val="99"/>
    <w:semiHidden/>
    <w:unhideWhenUsed/>
    <w:rsid w:val="00D603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307"/>
    <w:rPr>
      <w:rFonts w:ascii="Segoe UI" w:hAnsi="Segoe UI" w:cs="Segoe UI"/>
      <w:sz w:val="18"/>
      <w:szCs w:val="18"/>
    </w:rPr>
  </w:style>
  <w:style w:type="paragraph" w:customStyle="1" w:styleId="Default">
    <w:name w:val="Default"/>
    <w:rsid w:val="0009047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3C5DD2"/>
    <w:rPr>
      <w:color w:val="0000FF"/>
      <w:u w:val="single"/>
    </w:rPr>
  </w:style>
  <w:style w:type="character" w:styleId="Odwoaniedokomentarza">
    <w:name w:val="annotation reference"/>
    <w:basedOn w:val="Domylnaczcionkaakapitu"/>
    <w:uiPriority w:val="99"/>
    <w:semiHidden/>
    <w:unhideWhenUsed/>
    <w:rsid w:val="007D255B"/>
    <w:rPr>
      <w:sz w:val="16"/>
      <w:szCs w:val="16"/>
    </w:rPr>
  </w:style>
  <w:style w:type="paragraph" w:styleId="Tekstkomentarza">
    <w:name w:val="annotation text"/>
    <w:basedOn w:val="Normalny"/>
    <w:link w:val="TekstkomentarzaZnak"/>
    <w:uiPriority w:val="99"/>
    <w:semiHidden/>
    <w:unhideWhenUsed/>
    <w:rsid w:val="007D2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255B"/>
    <w:rPr>
      <w:sz w:val="20"/>
      <w:szCs w:val="20"/>
    </w:rPr>
  </w:style>
  <w:style w:type="paragraph" w:styleId="Tematkomentarza">
    <w:name w:val="annotation subject"/>
    <w:basedOn w:val="Tekstkomentarza"/>
    <w:next w:val="Tekstkomentarza"/>
    <w:link w:val="TematkomentarzaZnak"/>
    <w:uiPriority w:val="99"/>
    <w:semiHidden/>
    <w:unhideWhenUsed/>
    <w:rsid w:val="007D255B"/>
    <w:rPr>
      <w:b/>
      <w:bCs/>
    </w:rPr>
  </w:style>
  <w:style w:type="character" w:customStyle="1" w:styleId="TematkomentarzaZnak">
    <w:name w:val="Temat komentarza Znak"/>
    <w:basedOn w:val="TekstkomentarzaZnak"/>
    <w:link w:val="Tematkomentarza"/>
    <w:uiPriority w:val="99"/>
    <w:semiHidden/>
    <w:rsid w:val="007D2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0090">
      <w:bodyDiv w:val="1"/>
      <w:marLeft w:val="0"/>
      <w:marRight w:val="0"/>
      <w:marTop w:val="0"/>
      <w:marBottom w:val="0"/>
      <w:divBdr>
        <w:top w:val="none" w:sz="0" w:space="0" w:color="auto"/>
        <w:left w:val="none" w:sz="0" w:space="0" w:color="auto"/>
        <w:bottom w:val="none" w:sz="0" w:space="0" w:color="auto"/>
        <w:right w:val="none" w:sz="0" w:space="0" w:color="auto"/>
      </w:divBdr>
    </w:div>
    <w:div w:id="17517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https://sip.legalis.pl/document-view.seam?documentId=mfrxilrtg4ytgmzsge2diltqmfyc4nbxgqytamjvg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1789</Words>
  <Characters>10734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Kownacka Kacperska</dc:creator>
  <cp:keywords/>
  <dc:description/>
  <cp:lastModifiedBy>Anna Jarzynska</cp:lastModifiedBy>
  <cp:revision>2</cp:revision>
  <cp:lastPrinted>2023-06-13T08:30:00Z</cp:lastPrinted>
  <dcterms:created xsi:type="dcterms:W3CDTF">2023-07-03T05:58:00Z</dcterms:created>
  <dcterms:modified xsi:type="dcterms:W3CDTF">2023-07-03T05:58:00Z</dcterms:modified>
</cp:coreProperties>
</file>