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14:paraId="5B469AA5" w14:textId="77777777" w:rsidTr="51301FF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1BBA2AFD" w14:textId="77777777" w:rsidR="006A701A" w:rsidRPr="003C08CC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3C08CC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3C08CC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500FDF29" w14:textId="06308CC7" w:rsidR="006A701A" w:rsidRPr="003C08CC" w:rsidRDefault="00BA26DD" w:rsidP="00B76C54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="002C74F7" w:rsidRPr="003C08CC">
              <w:rPr>
                <w:rFonts w:ascii="Times New Roman" w:hAnsi="Times New Roman"/>
                <w:color w:val="000000"/>
              </w:rPr>
              <w:t>ozporządzeni</w:t>
            </w:r>
            <w:r>
              <w:rPr>
                <w:rFonts w:ascii="Times New Roman" w:hAnsi="Times New Roman"/>
                <w:color w:val="000000"/>
              </w:rPr>
              <w:t>e</w:t>
            </w:r>
            <w:r w:rsidR="002C74F7" w:rsidRPr="003C08CC">
              <w:rPr>
                <w:rFonts w:ascii="Times New Roman" w:hAnsi="Times New Roman"/>
                <w:color w:val="000000"/>
              </w:rPr>
              <w:t xml:space="preserve"> Ministra Zdrowia zmieniające rozporządzenie w</w:t>
            </w:r>
            <w:r w:rsidR="007145BC" w:rsidRPr="003C08CC">
              <w:rPr>
                <w:rFonts w:ascii="Times New Roman" w:hAnsi="Times New Roman"/>
                <w:color w:val="000000"/>
              </w:rPr>
              <w:t> </w:t>
            </w:r>
            <w:r w:rsidR="002C74F7" w:rsidRPr="003C08CC">
              <w:rPr>
                <w:rFonts w:ascii="Times New Roman" w:hAnsi="Times New Roman"/>
                <w:color w:val="000000"/>
              </w:rPr>
              <w:t>sprawie świadczeń gwarantowanych z zakresu leczenia szpitalnego</w:t>
            </w:r>
          </w:p>
          <w:p w14:paraId="0BF10B07" w14:textId="77777777" w:rsidR="006A701A" w:rsidRPr="003C08CC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3C08CC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p w14:paraId="3940CAEF" w14:textId="21DB27DE" w:rsidR="006A701A" w:rsidRPr="003C08CC" w:rsidRDefault="002C74F7" w:rsidP="00765E31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3C08CC">
              <w:rPr>
                <w:rFonts w:ascii="Times New Roman" w:hAnsi="Times New Roman"/>
                <w:color w:val="000000"/>
              </w:rPr>
              <w:t>Ministerstwo Zdrowia</w:t>
            </w:r>
            <w:bookmarkEnd w:id="0"/>
          </w:p>
          <w:p w14:paraId="6F9545BD" w14:textId="77777777" w:rsidR="007145BC" w:rsidRPr="003C08CC" w:rsidRDefault="007145BC" w:rsidP="00765E31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05B5FFEE" w14:textId="77777777" w:rsidR="001B3460" w:rsidRPr="003C08CC" w:rsidRDefault="001B3460" w:rsidP="00765E3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C08CC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3227FD6B" w14:textId="4B67FEAD" w:rsidR="001B3460" w:rsidRPr="003C08CC" w:rsidRDefault="00765E31" w:rsidP="00765E31">
            <w:pPr>
              <w:spacing w:line="240" w:lineRule="auto"/>
              <w:rPr>
                <w:rFonts w:ascii="Times New Roman" w:hAnsi="Times New Roman"/>
              </w:rPr>
            </w:pPr>
            <w:r w:rsidRPr="003C08CC">
              <w:rPr>
                <w:rFonts w:ascii="Times New Roman" w:hAnsi="Times New Roman"/>
              </w:rPr>
              <w:t xml:space="preserve">Adam Niedzielski – Minister Zdrowia </w:t>
            </w:r>
          </w:p>
          <w:p w14:paraId="6FA20B8F" w14:textId="77777777" w:rsidR="007145BC" w:rsidRPr="003C08CC" w:rsidRDefault="007145BC" w:rsidP="00765E31">
            <w:pPr>
              <w:spacing w:line="240" w:lineRule="auto"/>
              <w:rPr>
                <w:rFonts w:ascii="Times New Roman" w:hAnsi="Times New Roman"/>
              </w:rPr>
            </w:pPr>
          </w:p>
          <w:p w14:paraId="4331AEF0" w14:textId="5578662F" w:rsidR="006A701A" w:rsidRPr="003C08CC" w:rsidRDefault="006A701A" w:rsidP="00F37AE6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3C08CC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64110873" w14:textId="2FA1EA34" w:rsidR="006A701A" w:rsidRPr="00581D69" w:rsidRDefault="00765E31" w:rsidP="004A0B05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 w:rsidRPr="003C08CC">
              <w:rPr>
                <w:rFonts w:ascii="Times New Roman" w:hAnsi="Times New Roman"/>
                <w:bCs/>
                <w:color w:val="000000"/>
              </w:rPr>
              <w:t>Piotr Węcławik – Dyrektor Departamentu Innowacji w Ministerstwie Zdrowia</w:t>
            </w:r>
            <w:r w:rsidR="0036684B">
              <w:rPr>
                <w:rFonts w:ascii="Times New Roman" w:hAnsi="Times New Roman"/>
                <w:bCs/>
                <w:color w:val="000000"/>
              </w:rPr>
              <w:t>, dep-di@mz.gov.pl</w:t>
            </w:r>
            <w:r w:rsidRPr="003C08CC">
              <w:rPr>
                <w:rFonts w:ascii="Times New Roman" w:hAnsi="Times New Roman"/>
                <w:bCs/>
                <w:color w:val="000000"/>
              </w:rPr>
              <w:t xml:space="preserve">. </w:t>
            </w:r>
          </w:p>
        </w:tc>
        <w:tc>
          <w:tcPr>
            <w:tcW w:w="4306" w:type="dxa"/>
            <w:gridSpan w:val="12"/>
            <w:shd w:val="clear" w:color="auto" w:fill="FFFFFF" w:themeFill="background1"/>
          </w:tcPr>
          <w:p w14:paraId="7C7E06C1" w14:textId="4FACB3CD" w:rsidR="001B3460" w:rsidRPr="003C08CC" w:rsidRDefault="001B3460" w:rsidP="001B346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C08CC">
              <w:rPr>
                <w:rFonts w:ascii="Times New Roman" w:hAnsi="Times New Roman"/>
                <w:b/>
              </w:rPr>
              <w:t>Data sporządzenia</w:t>
            </w:r>
            <w:r w:rsidRPr="003C08CC">
              <w:rPr>
                <w:rFonts w:ascii="Times New Roman" w:hAnsi="Times New Roman"/>
                <w:b/>
              </w:rPr>
              <w:br/>
            </w:r>
            <w:r w:rsidR="008C3830">
              <w:rPr>
                <w:rFonts w:ascii="Times New Roman" w:hAnsi="Times New Roman"/>
              </w:rPr>
              <w:t>7</w:t>
            </w:r>
            <w:r w:rsidR="003C08CC">
              <w:rPr>
                <w:rFonts w:ascii="Times New Roman" w:hAnsi="Times New Roman"/>
              </w:rPr>
              <w:t xml:space="preserve"> lipca</w:t>
            </w:r>
            <w:r w:rsidR="00596976" w:rsidRPr="003C08CC">
              <w:rPr>
                <w:rFonts w:ascii="Times New Roman" w:hAnsi="Times New Roman"/>
              </w:rPr>
              <w:t xml:space="preserve"> 2023 r. </w:t>
            </w:r>
          </w:p>
          <w:p w14:paraId="09D6184C" w14:textId="77777777" w:rsidR="00F76884" w:rsidRPr="00581D69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756ECA96" w14:textId="77777777" w:rsidR="00F76884" w:rsidRPr="00581D69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81D69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/>
          <w:p w14:paraId="365ED86D" w14:textId="7B70C8C7" w:rsidR="00F76884" w:rsidRPr="00581D69" w:rsidRDefault="007145BC" w:rsidP="00B76C5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a</w:t>
            </w:r>
            <w:r w:rsidR="002C74F7" w:rsidRPr="00581D69">
              <w:rPr>
                <w:rFonts w:ascii="Times New Roman" w:hAnsi="Times New Roman"/>
              </w:rPr>
              <w:t>rt. 31d ustawy z dnia 27 sierpnia 2004 r. o</w:t>
            </w:r>
            <w:r w:rsidRPr="00581D69">
              <w:rPr>
                <w:rFonts w:ascii="Times New Roman" w:hAnsi="Times New Roman"/>
              </w:rPr>
              <w:t> </w:t>
            </w:r>
            <w:r w:rsidR="002C74F7" w:rsidRPr="00581D69">
              <w:rPr>
                <w:rFonts w:ascii="Times New Roman" w:hAnsi="Times New Roman"/>
              </w:rPr>
              <w:t>świadczeniach opieki zdrowotnej</w:t>
            </w:r>
            <w:r w:rsidRPr="00581D69">
              <w:rPr>
                <w:rFonts w:ascii="Times New Roman" w:hAnsi="Times New Roman"/>
              </w:rPr>
              <w:t xml:space="preserve"> </w:t>
            </w:r>
            <w:r w:rsidR="002C74F7" w:rsidRPr="00581D69">
              <w:rPr>
                <w:rFonts w:ascii="Times New Roman" w:hAnsi="Times New Roman"/>
              </w:rPr>
              <w:t xml:space="preserve">finansowanych ze środków publicznych </w:t>
            </w:r>
            <w:r w:rsidR="008C7705" w:rsidRPr="00581D69">
              <w:rPr>
                <w:rFonts w:ascii="Times New Roman" w:hAnsi="Times New Roman"/>
              </w:rPr>
              <w:t>(Dz. U. z 2022 r. poz. 2561</w:t>
            </w:r>
            <w:r w:rsidR="001B5F3C" w:rsidRPr="00581D69">
              <w:rPr>
                <w:rFonts w:ascii="Times New Roman" w:hAnsi="Times New Roman"/>
              </w:rPr>
              <w:t>, z późn. zm.</w:t>
            </w:r>
            <w:r w:rsidR="008C7705" w:rsidRPr="00581D69">
              <w:rPr>
                <w:rFonts w:ascii="Times New Roman" w:hAnsi="Times New Roman"/>
              </w:rPr>
              <w:t xml:space="preserve">). </w:t>
            </w:r>
          </w:p>
          <w:p w14:paraId="6FA191DB" w14:textId="77777777" w:rsidR="00F76884" w:rsidRPr="00581D69" w:rsidRDefault="00F76884" w:rsidP="00F76884">
            <w:pPr>
              <w:spacing w:line="240" w:lineRule="auto"/>
              <w:rPr>
                <w:rFonts w:ascii="Times New Roman" w:hAnsi="Times New Roman"/>
              </w:rPr>
            </w:pPr>
          </w:p>
          <w:p w14:paraId="012DA6CB" w14:textId="77777777" w:rsidR="007145BC" w:rsidRPr="00581D69" w:rsidRDefault="006A701A" w:rsidP="00FA07CA">
            <w:pPr>
              <w:spacing w:before="12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81D69">
              <w:rPr>
                <w:rFonts w:ascii="Times New Roman" w:hAnsi="Times New Roman"/>
                <w:b/>
                <w:bCs/>
                <w:color w:val="000000" w:themeColor="text1"/>
              </w:rPr>
              <w:t xml:space="preserve">Nr </w:t>
            </w:r>
            <w:r w:rsidR="0057668E" w:rsidRPr="00581D69">
              <w:rPr>
                <w:rFonts w:ascii="Times New Roman" w:hAnsi="Times New Roman"/>
                <w:b/>
                <w:bCs/>
                <w:color w:val="000000" w:themeColor="text1"/>
              </w:rPr>
              <w:t>w</w:t>
            </w:r>
            <w:r w:rsidRPr="00581D69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wykaz</w:t>
            </w:r>
            <w:r w:rsidR="0057668E" w:rsidRPr="00581D69">
              <w:rPr>
                <w:rFonts w:ascii="Times New Roman" w:hAnsi="Times New Roman"/>
                <w:b/>
                <w:bCs/>
                <w:color w:val="000000" w:themeColor="text1"/>
              </w:rPr>
              <w:t>ie</w:t>
            </w:r>
            <w:r w:rsidRPr="00581D69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prac</w:t>
            </w:r>
            <w:r w:rsidR="7DFF0451" w:rsidRPr="00581D69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Ministra Zdrowia</w:t>
            </w:r>
            <w:r w:rsidR="002C74F7" w:rsidRPr="00581D69">
              <w:rPr>
                <w:rFonts w:ascii="Times New Roman" w:hAnsi="Times New Roman"/>
                <w:b/>
                <w:bCs/>
                <w:color w:val="000000" w:themeColor="text1"/>
              </w:rPr>
              <w:t>:</w:t>
            </w:r>
          </w:p>
          <w:p w14:paraId="285B7052" w14:textId="0D627730" w:rsidR="007145BC" w:rsidRPr="00581D69" w:rsidRDefault="00581D69" w:rsidP="00B76C54">
            <w:pPr>
              <w:spacing w:after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3C08CC">
              <w:rPr>
                <w:rFonts w:ascii="Times New Roman" w:hAnsi="Times New Roman"/>
                <w:bCs/>
                <w:color w:val="000000"/>
              </w:rPr>
              <w:t>MZ 1550</w:t>
            </w:r>
          </w:p>
          <w:p w14:paraId="5AA08622" w14:textId="56F0AF70" w:rsidR="006A701A" w:rsidRPr="008B4FE6" w:rsidRDefault="006A701A" w:rsidP="00FA07CA">
            <w:pPr>
              <w:spacing w:before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01A" w:rsidRPr="0022687A" w14:paraId="3DC0E470" w14:textId="77777777" w:rsidTr="51301FF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EA7930B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5B928C65" w14:textId="77777777" w:rsidTr="51301FF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C08758E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2" w:name="Wybór1"/>
            <w:bookmarkEnd w:id="2"/>
          </w:p>
        </w:tc>
      </w:tr>
      <w:tr w:rsidR="006A701A" w:rsidRPr="008B4FE6" w14:paraId="1496A2F6" w14:textId="77777777" w:rsidTr="51301FF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 w:themeFill="background1"/>
          </w:tcPr>
          <w:p w14:paraId="25E9C77C" w14:textId="44CD4FCB" w:rsidR="006A701A" w:rsidRPr="00B37C80" w:rsidRDefault="008F5D6E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</w:t>
            </w:r>
            <w:r w:rsidR="00FD3CCF">
              <w:rPr>
                <w:rFonts w:ascii="Times New Roman" w:hAnsi="Times New Roman"/>
                <w:color w:val="000000"/>
              </w:rPr>
              <w:t xml:space="preserve">otychczas </w:t>
            </w:r>
            <w:r>
              <w:rPr>
                <w:rFonts w:ascii="Times New Roman" w:hAnsi="Times New Roman"/>
                <w:color w:val="000000"/>
              </w:rPr>
              <w:t xml:space="preserve">świadczenia </w:t>
            </w:r>
            <w:r w:rsidRPr="008F5D6E">
              <w:rPr>
                <w:rFonts w:ascii="Times New Roman" w:hAnsi="Times New Roman"/>
                <w:color w:val="000000"/>
              </w:rPr>
              <w:t>leczenia nowotworów błony śluzowej macicy oraz jelita grubego z wykorzystaniem systemu robotowego.</w:t>
            </w:r>
            <w:r w:rsidR="00FD3CCF">
              <w:rPr>
                <w:rFonts w:ascii="Times New Roman" w:hAnsi="Times New Roman"/>
                <w:color w:val="000000"/>
              </w:rPr>
              <w:t>nie były dostępne dla pacjentów w ramach świadczeń opieki zdrowotnej finansowych ze środków publicznych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E41AF4" w:rsidRPr="001F11B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6A701A" w:rsidRPr="008B4FE6" w14:paraId="169B8490" w14:textId="77777777" w:rsidTr="51301FF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1F672B5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7618872B" w14:textId="77777777" w:rsidTr="51301FF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617B51BF" w14:textId="505DDB89" w:rsidR="001F11BB" w:rsidRPr="00C02C43" w:rsidRDefault="001F11BB" w:rsidP="001F11B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02C43">
              <w:rPr>
                <w:rFonts w:ascii="Times New Roman" w:hAnsi="Times New Roman"/>
                <w:color w:val="000000"/>
                <w:spacing w:val="-2"/>
              </w:rPr>
              <w:t>Wprowadzenie do rozporządzenia Ministra Zdrowia z dnia 22 listopada 2013 r. w sprawie świadczeń gwarantowanych z</w:t>
            </w:r>
            <w:r w:rsidR="007145BC" w:rsidRPr="00C02C43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C02C43">
              <w:rPr>
                <w:rFonts w:ascii="Times New Roman" w:hAnsi="Times New Roman"/>
                <w:color w:val="000000"/>
                <w:spacing w:val="-2"/>
              </w:rPr>
              <w:t xml:space="preserve">zakresu leczenia szpitalnego </w:t>
            </w:r>
            <w:r w:rsidR="007145BC" w:rsidRPr="00C02C43">
              <w:rPr>
                <w:rFonts w:ascii="Times New Roman" w:hAnsi="Times New Roman"/>
                <w:color w:val="000000"/>
                <w:spacing w:val="-2"/>
              </w:rPr>
              <w:t>(Dz. U. z 202</w:t>
            </w:r>
            <w:r w:rsidR="001B5F3C" w:rsidRPr="00C02C43">
              <w:rPr>
                <w:rFonts w:ascii="Times New Roman" w:hAnsi="Times New Roman"/>
                <w:color w:val="000000"/>
                <w:spacing w:val="-2"/>
              </w:rPr>
              <w:t>3</w:t>
            </w:r>
            <w:r w:rsidR="007145BC" w:rsidRPr="00C02C43">
              <w:rPr>
                <w:rFonts w:ascii="Times New Roman" w:hAnsi="Times New Roman"/>
                <w:color w:val="000000"/>
                <w:spacing w:val="-2"/>
              </w:rPr>
              <w:t xml:space="preserve"> r. poz. </w:t>
            </w:r>
            <w:r w:rsidR="001B5F3C" w:rsidRPr="00C02C43">
              <w:rPr>
                <w:rFonts w:ascii="Times New Roman" w:hAnsi="Times New Roman"/>
                <w:color w:val="000000"/>
                <w:spacing w:val="-2"/>
              </w:rPr>
              <w:t>870</w:t>
            </w:r>
            <w:r w:rsidR="00942AEF" w:rsidRPr="00C02C43">
              <w:rPr>
                <w:rFonts w:ascii="Times New Roman" w:hAnsi="Times New Roman"/>
                <w:color w:val="000000"/>
                <w:spacing w:val="-2"/>
              </w:rPr>
              <w:t xml:space="preserve"> i 978</w:t>
            </w:r>
            <w:r w:rsidR="007145BC" w:rsidRPr="00C02C43">
              <w:rPr>
                <w:rFonts w:ascii="Times New Roman" w:hAnsi="Times New Roman"/>
                <w:color w:val="000000"/>
                <w:spacing w:val="-2"/>
              </w:rPr>
              <w:t xml:space="preserve">) </w:t>
            </w:r>
            <w:r w:rsidRPr="00C02C43">
              <w:rPr>
                <w:rFonts w:ascii="Times New Roman" w:hAnsi="Times New Roman"/>
                <w:color w:val="000000"/>
                <w:spacing w:val="-2"/>
              </w:rPr>
              <w:t>przepisów dotyczących now</w:t>
            </w:r>
            <w:r w:rsidR="00FB6F04" w:rsidRPr="00C02C43"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C02C43">
              <w:rPr>
                <w:rFonts w:ascii="Times New Roman" w:hAnsi="Times New Roman"/>
                <w:color w:val="000000"/>
                <w:spacing w:val="-2"/>
              </w:rPr>
              <w:t xml:space="preserve"> świadcze</w:t>
            </w:r>
            <w:r w:rsidR="00FB6F04" w:rsidRPr="00C02C43">
              <w:rPr>
                <w:rFonts w:ascii="Times New Roman" w:hAnsi="Times New Roman"/>
                <w:color w:val="000000"/>
                <w:spacing w:val="-2"/>
              </w:rPr>
              <w:t>nia</w:t>
            </w:r>
            <w:r w:rsidRPr="00C02C43">
              <w:rPr>
                <w:rFonts w:ascii="Times New Roman" w:hAnsi="Times New Roman"/>
                <w:color w:val="000000"/>
                <w:spacing w:val="-2"/>
              </w:rPr>
              <w:t xml:space="preserve"> gwarantowan</w:t>
            </w:r>
            <w:r w:rsidR="00FB6F04" w:rsidRPr="00C02C43"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C02C43">
              <w:rPr>
                <w:rFonts w:ascii="Times New Roman" w:hAnsi="Times New Roman"/>
                <w:color w:val="000000"/>
                <w:spacing w:val="-2"/>
              </w:rPr>
              <w:t xml:space="preserve"> zostało oparte na procesie kwalifikacji świadczeń opieki zdrowotnej jako świadczeń gwarantowanych i</w:t>
            </w:r>
            <w:r w:rsidR="007145BC" w:rsidRPr="00C02C43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C02C43">
              <w:rPr>
                <w:rFonts w:ascii="Times New Roman" w:hAnsi="Times New Roman"/>
                <w:color w:val="000000"/>
                <w:spacing w:val="-2"/>
              </w:rPr>
              <w:t xml:space="preserve">implementuje propozycje rozwiązań </w:t>
            </w:r>
            <w:r w:rsidR="003B7E67" w:rsidRPr="00C02C43">
              <w:rPr>
                <w:rFonts w:ascii="Times New Roman" w:hAnsi="Times New Roman"/>
                <w:color w:val="000000"/>
                <w:spacing w:val="-2"/>
              </w:rPr>
              <w:t>zawart</w:t>
            </w:r>
            <w:r w:rsidR="003B7E67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="003B7E67" w:rsidRPr="00C02C4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C02C43">
              <w:rPr>
                <w:rFonts w:ascii="Times New Roman" w:hAnsi="Times New Roman"/>
                <w:color w:val="000000"/>
                <w:spacing w:val="-2"/>
              </w:rPr>
              <w:t>w rekomendacj</w:t>
            </w:r>
            <w:r w:rsidR="00EC655F" w:rsidRPr="00C02C43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C02C43">
              <w:rPr>
                <w:rFonts w:ascii="Times New Roman" w:hAnsi="Times New Roman"/>
                <w:color w:val="000000"/>
                <w:spacing w:val="-2"/>
              </w:rPr>
              <w:t xml:space="preserve"> Prezesa Agencji Oceny Technologii Medycznych i</w:t>
            </w:r>
            <w:r w:rsidR="007145BC" w:rsidRPr="00C02C43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C02C43">
              <w:rPr>
                <w:rFonts w:ascii="Times New Roman" w:hAnsi="Times New Roman"/>
                <w:color w:val="000000"/>
                <w:spacing w:val="-2"/>
              </w:rPr>
              <w:t xml:space="preserve">Taryfikacji. </w:t>
            </w:r>
          </w:p>
          <w:p w14:paraId="5DC97F8B" w14:textId="7C4B5AF0" w:rsidR="001B5F3C" w:rsidRPr="00C02C43" w:rsidRDefault="00B22EAA" w:rsidP="001B5F3C">
            <w:pPr>
              <w:pStyle w:val="Default"/>
              <w:jc w:val="both"/>
              <w:rPr>
                <w:sz w:val="22"/>
                <w:szCs w:val="22"/>
              </w:rPr>
            </w:pPr>
            <w:r w:rsidRPr="00C02C43">
              <w:rPr>
                <w:spacing w:val="-2"/>
                <w:sz w:val="22"/>
                <w:szCs w:val="22"/>
              </w:rPr>
              <w:t xml:space="preserve">Projektowane rozporządzenie ma na celu poprawę wyników leczenia i jakości życia pacjentów z nowotworem złośliwym błony śluzowej macicy oraz nowotworem złośliwym jelita grubego przez zapewnienie pacjentom dostępu do postępowania chirurgicznego z wykorzystaniem systemu robotowego w leczeniu tych nowotworów.  </w:t>
            </w:r>
            <w:r w:rsidR="001B5F3C" w:rsidRPr="00C02C43">
              <w:rPr>
                <w:sz w:val="22"/>
                <w:szCs w:val="22"/>
              </w:rPr>
              <w:t xml:space="preserve">Zakładając, że </w:t>
            </w:r>
            <w:r w:rsidRPr="00C02C43">
              <w:rPr>
                <w:sz w:val="22"/>
                <w:szCs w:val="22"/>
              </w:rPr>
              <w:t>świadczenia</w:t>
            </w:r>
            <w:r w:rsidR="00C02C43" w:rsidRPr="00C02C43">
              <w:rPr>
                <w:sz w:val="22"/>
                <w:szCs w:val="22"/>
              </w:rPr>
              <w:t>:</w:t>
            </w:r>
            <w:r w:rsidRPr="00C02C43">
              <w:rPr>
                <w:sz w:val="22"/>
                <w:szCs w:val="22"/>
              </w:rPr>
              <w:t xml:space="preserve"> leczenie chirurgiczne raka błony śluzowej macicy z zastosowaniem systemu robotowego oraz leczenie chirurgiczne raka jelita grubego z zastosowaniem systemu robotowego</w:t>
            </w:r>
            <w:r w:rsidR="001B5F3C" w:rsidRPr="00C02C43">
              <w:rPr>
                <w:sz w:val="22"/>
                <w:szCs w:val="22"/>
              </w:rPr>
              <w:t xml:space="preserve"> był</w:t>
            </w:r>
            <w:r w:rsidRPr="00C02C43">
              <w:rPr>
                <w:sz w:val="22"/>
                <w:szCs w:val="22"/>
              </w:rPr>
              <w:t>y</w:t>
            </w:r>
            <w:r w:rsidR="001B5F3C" w:rsidRPr="00C02C43">
              <w:rPr>
                <w:sz w:val="22"/>
                <w:szCs w:val="22"/>
              </w:rPr>
              <w:t xml:space="preserve">by realizowane głównie w ośrodkach, które aktualnie posiadają system robotowy i/lub sprawozdają procedury w ramach </w:t>
            </w:r>
            <w:r w:rsidR="001B5F3C" w:rsidRPr="00C02C43">
              <w:rPr>
                <w:i/>
                <w:iCs/>
                <w:sz w:val="22"/>
                <w:szCs w:val="22"/>
              </w:rPr>
              <w:t>L31R Prostatektomia radykalna z zastosowaniem systemu robotowego</w:t>
            </w:r>
            <w:r w:rsidR="001B5F3C" w:rsidRPr="00C02C43">
              <w:rPr>
                <w:sz w:val="22"/>
                <w:szCs w:val="22"/>
              </w:rPr>
              <w:t>* szacuje się, że wykonywanie świadczenia byłoby możliwe do realizacji (w zależności od kryterium wolumenowego wymaganego od ośrodków)</w:t>
            </w:r>
            <w:r w:rsidR="003B7E67">
              <w:rPr>
                <w:sz w:val="22"/>
                <w:szCs w:val="22"/>
              </w:rPr>
              <w:t xml:space="preserve"> w</w:t>
            </w:r>
            <w:r w:rsidR="001B5F3C" w:rsidRPr="00C02C43">
              <w:rPr>
                <w:sz w:val="22"/>
                <w:szCs w:val="22"/>
              </w:rPr>
              <w:t xml:space="preserve">: </w:t>
            </w:r>
          </w:p>
          <w:p w14:paraId="1EC54F09" w14:textId="07F14D5C" w:rsidR="001B5F3C" w:rsidRPr="00C02C43" w:rsidRDefault="001B5F3C" w:rsidP="008C3830">
            <w:pPr>
              <w:pStyle w:val="Default"/>
              <w:numPr>
                <w:ilvl w:val="0"/>
                <w:numId w:val="35"/>
              </w:numPr>
              <w:spacing w:after="74"/>
              <w:jc w:val="both"/>
              <w:rPr>
                <w:sz w:val="22"/>
                <w:szCs w:val="22"/>
              </w:rPr>
            </w:pPr>
            <w:r w:rsidRPr="00C02C43">
              <w:rPr>
                <w:sz w:val="22"/>
                <w:szCs w:val="22"/>
              </w:rPr>
              <w:t xml:space="preserve">11-19 ośrodkach w ramach rozpoznań C18-C20, </w:t>
            </w:r>
          </w:p>
          <w:p w14:paraId="4C0A3FE2" w14:textId="2D398521" w:rsidR="001B5F3C" w:rsidRPr="00C02C43" w:rsidRDefault="001B5F3C" w:rsidP="008C3830">
            <w:pPr>
              <w:pStyle w:val="Default"/>
              <w:numPr>
                <w:ilvl w:val="0"/>
                <w:numId w:val="35"/>
              </w:numPr>
              <w:jc w:val="both"/>
              <w:rPr>
                <w:sz w:val="22"/>
                <w:szCs w:val="22"/>
              </w:rPr>
            </w:pPr>
            <w:r w:rsidRPr="00C02C43">
              <w:rPr>
                <w:sz w:val="22"/>
                <w:szCs w:val="22"/>
              </w:rPr>
              <w:t xml:space="preserve">2-6 ośrodkach w ramach rozpoznań C53-C55. </w:t>
            </w:r>
          </w:p>
          <w:p w14:paraId="2772575E" w14:textId="319C4085" w:rsidR="00B22EAA" w:rsidRPr="00C02C43" w:rsidRDefault="00B22EAA" w:rsidP="001B5F3C">
            <w:pPr>
              <w:pStyle w:val="Default"/>
              <w:jc w:val="both"/>
              <w:rPr>
                <w:sz w:val="22"/>
                <w:szCs w:val="22"/>
              </w:rPr>
            </w:pPr>
            <w:r w:rsidRPr="00C02C43">
              <w:rPr>
                <w:sz w:val="22"/>
                <w:szCs w:val="22"/>
              </w:rPr>
              <w:t>Wprowadzenie wyżej wymienionych świadczeń do wykazu świadczeń gwarantowanych stanowi realizację postulatów zawartych w opinii Prezesa Agencji Oceny Technologii Medycznych i Taryfikacji z dnia 23 maja 2017 r., w której wskazano na zasadność finansowania ww. metod leczenia ze środków publicznych. W ślad za rekomendacjami Prezesa Agencji nr 254/2014 i 256/2014 z dnia 15 grudnia 2014 r., na podstawie zlecenia Ministra Zdrowia dokonano ponownego przeglądu dowodów naukowych. Analiza doniesień naukowych opublikowanych po dacie wydania rekomendacji wskazała, że przeprowadzenie zabiegów z zastosowaniem systemu robotowego w porównaniu do operacji klasycznych prowadzi do istotnych statystycznie różnic w odniesieniu do części pierwszorzędowych punktów końcowych. Ponadto odnotowano istotne statystycznie różnice na korzyść operacji z zastosowaniem systemu robotowego w odniesieniu do parametrów związanych z czasem trwania operacji, długością pobytu pacjenta w szpitalu oraz występowania śródoperacyjnych zdarzeń niepożądanych.</w:t>
            </w:r>
          </w:p>
          <w:p w14:paraId="4A12EE88" w14:textId="5D9635E6" w:rsidR="00B22EAA" w:rsidRPr="00C02C43" w:rsidRDefault="00C02C43" w:rsidP="00B22EAA">
            <w:pPr>
              <w:pStyle w:val="Default"/>
              <w:jc w:val="both"/>
              <w:rPr>
                <w:sz w:val="22"/>
                <w:szCs w:val="22"/>
              </w:rPr>
            </w:pPr>
            <w:r w:rsidRPr="00C02C43">
              <w:rPr>
                <w:sz w:val="22"/>
                <w:szCs w:val="22"/>
              </w:rPr>
              <w:t xml:space="preserve">W </w:t>
            </w:r>
            <w:r w:rsidR="00B22EAA" w:rsidRPr="00C02C43">
              <w:rPr>
                <w:sz w:val="22"/>
                <w:szCs w:val="22"/>
              </w:rPr>
              <w:t xml:space="preserve">§ 2 projektu rozporządzenia ustanowiono okres przejściowy dla świadczeniodawców, którzy zamierzają realizować świadczenie gwarantowane „Leczenie chirurgiczne z zastosowaniem systemu robotowego nowotworu złośliwego gruczołu krokowego”, niespełniających wymagań określonych w lp. 58 załącznika nr 4 do rozporządzenia zmienianego w § 1, w części: </w:t>
            </w:r>
          </w:p>
          <w:p w14:paraId="5355AFE5" w14:textId="44AC62E5" w:rsidR="00B22EAA" w:rsidRPr="00C02C43" w:rsidRDefault="00B22EAA" w:rsidP="00642431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C02C43">
              <w:rPr>
                <w:sz w:val="22"/>
                <w:szCs w:val="22"/>
              </w:rPr>
              <w:t>„Personel” w kolumnie 4 w pkt 1 w zakresie dotyczącym minimalnych kryteriów jakościowych dla personelu medycznego;</w:t>
            </w:r>
          </w:p>
          <w:p w14:paraId="1949D1E4" w14:textId="262AD2F0" w:rsidR="00B22EAA" w:rsidRPr="00C02C43" w:rsidRDefault="00B22EAA" w:rsidP="00642431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C02C43">
              <w:rPr>
                <w:sz w:val="22"/>
                <w:szCs w:val="22"/>
              </w:rPr>
              <w:t>„Organizacja udzielania świadczeń” w kolumnie 4 w pkt 1 w zakresie dotyczącym minimalnego doświadczenia ośrodka.</w:t>
            </w:r>
          </w:p>
          <w:p w14:paraId="4A7142B2" w14:textId="0BB0029D" w:rsidR="006A701A" w:rsidRPr="008C3830" w:rsidRDefault="00B22EAA" w:rsidP="008C3830">
            <w:pPr>
              <w:pStyle w:val="Default"/>
              <w:jc w:val="both"/>
              <w:rPr>
                <w:spacing w:val="-2"/>
                <w:sz w:val="22"/>
                <w:szCs w:val="22"/>
              </w:rPr>
            </w:pPr>
            <w:r w:rsidRPr="00C02C43">
              <w:rPr>
                <w:sz w:val="22"/>
                <w:szCs w:val="22"/>
              </w:rPr>
              <w:t>W dotychczasowym stanie prawnym świadczeniodawcy mieli termin na dostosowanie się do wymagań do dnia 1 stycznia 2023 r., jednak zasadne jest wydłużenie tego terminu z uwagi na konieczność dostosowania go do istniejących warunków faktycznych. Świadczeniodawcy są w okresie dostosowywania się do tych warunków, natomiast termin 1 stycznia 2023 r. okazał się zbyt krótki, w związku z czym wydłużono termin na dostosowanie się do wymagań do dnia 31 grudnia 2023 r.</w:t>
            </w:r>
          </w:p>
        </w:tc>
      </w:tr>
      <w:tr w:rsidR="006A701A" w:rsidRPr="008B4FE6" w14:paraId="61AA7F80" w14:textId="77777777" w:rsidTr="51301FF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6067B07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3D0C042F" w14:textId="77777777" w:rsidTr="51301FF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3BA7F40D" w14:textId="152DFE61" w:rsidR="004D7F9D" w:rsidRDefault="004D7F9D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Zgodnie z uzyskanymi danymi, robotowy system da Vinci objęty jest finansowaniem we wskazaniach urologicznych w 6 krajach. Systemy robotowe są dostępne w Grecji (10 systemów) oraz Portugalii (1 system) bez dedykowanego finansowania.</w:t>
            </w:r>
          </w:p>
          <w:p w14:paraId="346FB8A9" w14:textId="6606EA7A" w:rsidR="006A701A" w:rsidRPr="00B37C80" w:rsidRDefault="004D7F9D" w:rsidP="00B76C54">
            <w:pPr>
              <w:spacing w:before="6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>Pełna refundacja systemu robotowego w urologii jest we Włoszech, Wielkiej Brytanii, Belgii, Danii, Czechach, Japonii, do</w:t>
            </w:r>
            <w:r w:rsidR="007145BC">
              <w:rPr>
                <w:rFonts w:ascii="Times New Roman" w:hAnsi="Times New Roman"/>
                <w:color w:val="000000"/>
                <w:spacing w:val="-2"/>
              </w:rPr>
              <w:t> </w:t>
            </w:r>
            <w:r>
              <w:rPr>
                <w:rFonts w:ascii="Times New Roman" w:hAnsi="Times New Roman"/>
                <w:color w:val="000000"/>
                <w:spacing w:val="-2"/>
              </w:rPr>
              <w:t>wysokości kosztów laparoskopii we Francji, Włoszech, Niemczech, USA, Szwajcarii, Holandii, Norwegii.</w:t>
            </w:r>
          </w:p>
        </w:tc>
      </w:tr>
      <w:tr w:rsidR="006A701A" w:rsidRPr="008B4FE6" w14:paraId="300C2A84" w14:textId="77777777" w:rsidTr="51301FF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1096248" w14:textId="77777777"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>Podmioty, na które oddziałuje projekt</w:t>
            </w:r>
          </w:p>
        </w:tc>
      </w:tr>
      <w:tr w:rsidR="00260F33" w:rsidRPr="008B4FE6" w14:paraId="30AEAA68" w14:textId="77777777" w:rsidTr="51301FF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DC7D2EF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55F3F184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A8534DD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349C8F2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60F33" w:rsidRPr="008B4FE6" w14:paraId="78C35FD4" w14:textId="77777777" w:rsidTr="51301FF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7CC1DFD" w14:textId="36C209EF" w:rsidR="00260F33" w:rsidRPr="005B118A" w:rsidRDefault="00FE0784" w:rsidP="228D15ED">
            <w:pPr>
              <w:spacing w:line="240" w:lineRule="auto"/>
              <w:rPr>
                <w:rFonts w:ascii="Times New Roman" w:hAnsi="Times New Roman"/>
                <w:noProof/>
                <w:color w:val="000000"/>
                <w:spacing w:val="-2"/>
              </w:rPr>
            </w:pPr>
            <w:r w:rsidRPr="005B118A">
              <w:rPr>
                <w:rFonts w:ascii="Times New Roman" w:hAnsi="Times New Roman"/>
                <w:color w:val="000000"/>
              </w:rPr>
              <w:t>Narodowy Fundusz Zdrowia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2CA75452" w14:textId="30330CCB" w:rsidR="00260F33" w:rsidRPr="005B118A" w:rsidRDefault="00EF16F5" w:rsidP="00B76C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A07CA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A5A865D" w14:textId="3AF79A88" w:rsidR="00260F33" w:rsidRPr="005B118A" w:rsidRDefault="007145BC" w:rsidP="00B76C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 w:themeColor="text1"/>
              </w:rPr>
              <w:t>u</w:t>
            </w:r>
            <w:r w:rsidR="10CD40E4" w:rsidRPr="005B118A">
              <w:rPr>
                <w:rFonts w:ascii="Times New Roman" w:hAnsi="Times New Roman"/>
                <w:color w:val="000000" w:themeColor="text1"/>
              </w:rPr>
              <w:t xml:space="preserve">stawa z dnia 27 sierpnia </w:t>
            </w:r>
            <w:r w:rsidR="00703EC5">
              <w:rPr>
                <w:rFonts w:ascii="Times New Roman" w:hAnsi="Times New Roman"/>
                <w:color w:val="000000" w:themeColor="text1"/>
              </w:rPr>
              <w:br/>
            </w:r>
            <w:r w:rsidR="10CD40E4" w:rsidRPr="005B118A">
              <w:rPr>
                <w:rFonts w:ascii="Times New Roman" w:hAnsi="Times New Roman"/>
                <w:color w:val="000000" w:themeColor="text1"/>
              </w:rPr>
              <w:t>2004 r. o świadczeniach opieki zdrowotnej finansowanych ze środków publicznych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41D8ECDB" w14:textId="16E8ACC8" w:rsidR="0036684B" w:rsidRDefault="0036684B" w:rsidP="00B76C5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6684B">
              <w:rPr>
                <w:rFonts w:ascii="Times New Roman" w:hAnsi="Times New Roman"/>
                <w:color w:val="000000" w:themeColor="text1"/>
              </w:rPr>
              <w:t>Zapewnienie finansowania, nadzoru i kontroli nad realizacją świadcze</w:t>
            </w:r>
            <w:r>
              <w:rPr>
                <w:rFonts w:ascii="Times New Roman" w:hAnsi="Times New Roman"/>
                <w:color w:val="000000" w:themeColor="text1"/>
              </w:rPr>
              <w:t xml:space="preserve">ń: </w:t>
            </w:r>
            <w:r w:rsidRPr="0036684B">
              <w:rPr>
                <w:rFonts w:ascii="Times New Roman" w:hAnsi="Times New Roman"/>
                <w:color w:val="000000" w:themeColor="text1"/>
              </w:rPr>
              <w:t>leczenie chirurgiczne raka błony śluzowej macicy z zastosowaniem systemu robotowego oraz leczenie chirurgiczne raka jelita grubego z zastosowaniem systemu robotowego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314B377C" w14:textId="56061177" w:rsidR="00260F33" w:rsidRPr="005B118A" w:rsidRDefault="00C772AD" w:rsidP="00B76C5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6C50A72D" w:rsidRPr="005B118A">
              <w:rPr>
                <w:rFonts w:ascii="Times New Roman" w:hAnsi="Times New Roman"/>
                <w:color w:val="000000" w:themeColor="text1"/>
              </w:rPr>
              <w:t>ostosowani</w:t>
            </w:r>
            <w:r w:rsidR="005B118A">
              <w:rPr>
                <w:rFonts w:ascii="Times New Roman" w:hAnsi="Times New Roman"/>
                <w:color w:val="000000" w:themeColor="text1"/>
              </w:rPr>
              <w:t>e</w:t>
            </w:r>
            <w:r w:rsidR="6C50A72D" w:rsidRPr="005B118A">
              <w:rPr>
                <w:rFonts w:ascii="Times New Roman" w:hAnsi="Times New Roman"/>
                <w:color w:val="000000" w:themeColor="text1"/>
              </w:rPr>
              <w:t>:</w:t>
            </w:r>
          </w:p>
          <w:p w14:paraId="3863472F" w14:textId="49C48FF5" w:rsidR="00260F33" w:rsidRPr="00B76C54" w:rsidRDefault="6C50A72D" w:rsidP="00B76C54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76C54">
              <w:rPr>
                <w:rFonts w:ascii="Times New Roman" w:hAnsi="Times New Roman"/>
                <w:color w:val="000000" w:themeColor="text1"/>
              </w:rPr>
              <w:t>zarządzeń Prezesa N</w:t>
            </w:r>
            <w:r w:rsidR="007145BC">
              <w:rPr>
                <w:rFonts w:ascii="Times New Roman" w:hAnsi="Times New Roman"/>
                <w:color w:val="000000" w:themeColor="text1"/>
              </w:rPr>
              <w:t>arodowego Funduszu Zdrowia</w:t>
            </w:r>
            <w:r w:rsidRPr="00B76C54">
              <w:rPr>
                <w:rFonts w:ascii="Times New Roman" w:hAnsi="Times New Roman"/>
                <w:color w:val="000000" w:themeColor="text1"/>
              </w:rPr>
              <w:t xml:space="preserve">;  </w:t>
            </w:r>
          </w:p>
          <w:p w14:paraId="6DE15694" w14:textId="134D31EF" w:rsidR="00260F33" w:rsidRPr="00B76C54" w:rsidRDefault="6C50A72D" w:rsidP="00B76C54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76C54">
              <w:rPr>
                <w:rFonts w:ascii="Times New Roman" w:hAnsi="Times New Roman"/>
                <w:color w:val="000000" w:themeColor="text1"/>
              </w:rPr>
              <w:t>systemów sprawozdawczo- rozliczeniowych.</w:t>
            </w:r>
          </w:p>
        </w:tc>
      </w:tr>
      <w:tr w:rsidR="00260F33" w:rsidRPr="008B4FE6" w14:paraId="2F9E4438" w14:textId="77777777" w:rsidTr="51301FF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A402FCA" w14:textId="32B7D1EF" w:rsidR="00260F33" w:rsidRPr="008B4FE6" w:rsidRDefault="00FB4017" w:rsidP="228D15ED">
            <w:pPr>
              <w:spacing w:line="240" w:lineRule="auto"/>
              <w:rPr>
                <w:rFonts w:ascii="Times New Roman" w:hAnsi="Times New Roman"/>
                <w:noProof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Świadczeniodawcy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0B764841" w14:textId="297227C4" w:rsidR="00260F33" w:rsidRPr="00B37C80" w:rsidRDefault="005B118A" w:rsidP="00B76C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703EC5">
              <w:rPr>
                <w:rFonts w:ascii="Times New Roman" w:hAnsi="Times New Roman"/>
              </w:rPr>
              <w:t>ok.</w:t>
            </w:r>
            <w:r w:rsidR="00AA120A" w:rsidRPr="00703EC5">
              <w:rPr>
                <w:rFonts w:ascii="Times New Roman" w:hAnsi="Times New Roman"/>
              </w:rPr>
              <w:t xml:space="preserve"> </w:t>
            </w:r>
            <w:r w:rsidR="00703EC5" w:rsidRPr="00703EC5">
              <w:rPr>
                <w:rFonts w:ascii="Times New Roman" w:hAnsi="Times New Roman"/>
              </w:rPr>
              <w:t>19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53BEA06E" w14:textId="12367ACB" w:rsidR="00260F33" w:rsidRPr="00B37C80" w:rsidRDefault="00703EC5" w:rsidP="00B76C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 xml:space="preserve">Agencja Oceny </w:t>
            </w:r>
            <w:r w:rsidR="00C772AD">
              <w:rPr>
                <w:rFonts w:ascii="Times New Roman" w:hAnsi="Times New Roman"/>
                <w:color w:val="000000"/>
              </w:rPr>
              <w:t xml:space="preserve">Technologii Medycznych i Taryfikacji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4203D106" w14:textId="3A5BDA0F" w:rsidR="00F05AB9" w:rsidRDefault="00C772AD" w:rsidP="00F05AB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</w:t>
            </w:r>
            <w:r w:rsidR="00BC6430" w:rsidRPr="00BC6430">
              <w:rPr>
                <w:rFonts w:ascii="Times New Roman" w:hAnsi="Times New Roman"/>
                <w:color w:val="000000"/>
                <w:spacing w:val="-2"/>
              </w:rPr>
              <w:t>większenie</w:t>
            </w:r>
            <w:r w:rsidR="00F05AB9">
              <w:rPr>
                <w:rFonts w:ascii="Times New Roman" w:hAnsi="Times New Roman"/>
                <w:color w:val="000000"/>
                <w:spacing w:val="-2"/>
              </w:rPr>
              <w:t>:</w:t>
            </w:r>
          </w:p>
          <w:p w14:paraId="4A1CFB17" w14:textId="2118D28F" w:rsidR="00BC6430" w:rsidRPr="00B76C54" w:rsidRDefault="00BC6430" w:rsidP="00B76C54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76C54">
              <w:rPr>
                <w:rFonts w:ascii="Times New Roman" w:hAnsi="Times New Roman"/>
                <w:color w:val="000000"/>
                <w:spacing w:val="-2"/>
              </w:rPr>
              <w:t>dostępu do metod terapeutycznych</w:t>
            </w:r>
            <w:r w:rsidR="00F05AB9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B76C5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531D8C5A" w14:textId="505280A1" w:rsidR="00260F33" w:rsidRPr="00B76C54" w:rsidRDefault="00BC6430" w:rsidP="00B76C54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76C54">
              <w:rPr>
                <w:rFonts w:ascii="Times New Roman" w:hAnsi="Times New Roman"/>
                <w:color w:val="000000"/>
                <w:spacing w:val="-2"/>
              </w:rPr>
              <w:t>kompetencji personelu medycznego w</w:t>
            </w:r>
            <w:r w:rsidR="00163FB2" w:rsidRPr="00B76C54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B76C54">
              <w:rPr>
                <w:rFonts w:ascii="Times New Roman" w:hAnsi="Times New Roman"/>
                <w:color w:val="000000"/>
                <w:spacing w:val="-2"/>
              </w:rPr>
              <w:t>zakresie stosowania nowych metod terapeutycznych.</w:t>
            </w:r>
          </w:p>
        </w:tc>
      </w:tr>
      <w:tr w:rsidR="00260F33" w:rsidRPr="008B4FE6" w14:paraId="005107D6" w14:textId="77777777" w:rsidTr="51301FF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65ABE4EB" w14:textId="2658FF0D" w:rsidR="00260F33" w:rsidRPr="0011520B" w:rsidRDefault="00FB4017" w:rsidP="228D15ED">
            <w:pPr>
              <w:spacing w:line="240" w:lineRule="auto"/>
              <w:rPr>
                <w:rFonts w:ascii="Times New Roman" w:hAnsi="Times New Roman"/>
                <w:noProof/>
                <w:color w:val="000000"/>
                <w:spacing w:val="-2"/>
              </w:rPr>
            </w:pPr>
            <w:r w:rsidRPr="0011520B">
              <w:rPr>
                <w:rFonts w:ascii="Times New Roman" w:hAnsi="Times New Roman"/>
                <w:color w:val="000000"/>
              </w:rPr>
              <w:t>Świadczeniobiorcy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0E79FDA4" w14:textId="13BDF687" w:rsidR="00260F33" w:rsidRPr="0011520B" w:rsidRDefault="0CE210A9" w:rsidP="00B76C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772AD">
              <w:rPr>
                <w:rFonts w:ascii="Times New Roman" w:hAnsi="Times New Roman"/>
              </w:rPr>
              <w:t xml:space="preserve">ok. </w:t>
            </w:r>
            <w:r w:rsidR="00C772AD" w:rsidRPr="00C772AD">
              <w:rPr>
                <w:rFonts w:ascii="Times New Roman" w:hAnsi="Times New Roman"/>
              </w:rPr>
              <w:t>3949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79043020" w14:textId="357C6FE9" w:rsidR="00260F33" w:rsidRPr="0011520B" w:rsidRDefault="0000068D" w:rsidP="00B76C5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A07CA">
              <w:rPr>
                <w:rFonts w:ascii="Times New Roman" w:hAnsi="Times New Roman"/>
                <w:color w:val="000000"/>
              </w:rPr>
              <w:t>Agencja Oceny Technologii Medycznych i Taryfikacji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0B73AA1" w14:textId="7E97D883" w:rsidR="00260F33" w:rsidRPr="0011520B" w:rsidRDefault="00E41AF4" w:rsidP="00B76C5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</w:t>
            </w:r>
            <w:r w:rsidRPr="0011520B">
              <w:rPr>
                <w:rFonts w:ascii="Times New Roman" w:hAnsi="Times New Roman"/>
                <w:color w:val="000000"/>
                <w:spacing w:val="-2"/>
              </w:rPr>
              <w:t xml:space="preserve">większenie </w:t>
            </w:r>
            <w:r w:rsidR="003520C3" w:rsidRPr="0011520B">
              <w:rPr>
                <w:rFonts w:ascii="Times New Roman" w:hAnsi="Times New Roman"/>
                <w:color w:val="000000"/>
                <w:spacing w:val="-2"/>
              </w:rPr>
              <w:t>dostępu do metod terapeutycznych i poprawa leczenia pacjentów z</w:t>
            </w:r>
            <w:r w:rsidR="00163FB2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3520C3" w:rsidRPr="0011520B">
              <w:rPr>
                <w:rFonts w:ascii="Times New Roman" w:hAnsi="Times New Roman"/>
                <w:color w:val="000000"/>
                <w:spacing w:val="-2"/>
              </w:rPr>
              <w:t xml:space="preserve">nowotworem </w:t>
            </w:r>
            <w:r w:rsidR="008C7705">
              <w:rPr>
                <w:rFonts w:ascii="Times New Roman" w:hAnsi="Times New Roman"/>
                <w:color w:val="000000"/>
                <w:spacing w:val="-2"/>
              </w:rPr>
              <w:t>raka błony śluzowej macicy</w:t>
            </w:r>
            <w:r w:rsidR="00237661">
              <w:rPr>
                <w:rFonts w:ascii="Times New Roman" w:hAnsi="Times New Roman"/>
                <w:color w:val="000000"/>
                <w:spacing w:val="-2"/>
              </w:rPr>
              <w:t xml:space="preserve"> oraz raka jelita grubego</w:t>
            </w:r>
            <w:r w:rsidR="008C7705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6A701A" w:rsidRPr="008B4FE6" w14:paraId="3EF8C090" w14:textId="77777777" w:rsidTr="51301FF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591A1CC" w14:textId="77777777" w:rsidR="006A701A" w:rsidRPr="008B4FE6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</w:t>
            </w:r>
            <w:r w:rsidR="0076658F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8B4FE6" w14:paraId="2E6C32B5" w14:textId="77777777" w:rsidTr="51301FF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 w:themeFill="background1"/>
          </w:tcPr>
          <w:p w14:paraId="619979A8" w14:textId="77777777" w:rsidR="00765E31" w:rsidRDefault="00765E31" w:rsidP="00B76C54">
            <w:pPr>
              <w:pStyle w:val="NormalnyWeb"/>
              <w:spacing w:before="6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37AE6">
              <w:rPr>
                <w:color w:val="000000"/>
                <w:sz w:val="22"/>
                <w:szCs w:val="22"/>
              </w:rPr>
              <w:t>Nie prowadzono konsultacji poprzedzających przygotowanie projektu (tzw. pre-konsultacji).</w:t>
            </w:r>
          </w:p>
          <w:p w14:paraId="7A2C0DCE" w14:textId="67326C23" w:rsidR="0036684B" w:rsidRDefault="0036684B" w:rsidP="00B76C54">
            <w:pPr>
              <w:pStyle w:val="NormalnyWeb"/>
              <w:spacing w:before="60" w:beforeAutospacing="0" w:after="0" w:afterAutospacing="0"/>
              <w:jc w:val="both"/>
              <w:rPr>
                <w:sz w:val="22"/>
                <w:szCs w:val="22"/>
              </w:rPr>
            </w:pPr>
            <w:r w:rsidRPr="0036684B">
              <w:rPr>
                <w:sz w:val="22"/>
                <w:szCs w:val="22"/>
              </w:rPr>
              <w:t>W ramach konsultacji publicznych i opiniowania projekt</w:t>
            </w:r>
            <w:r w:rsidR="00725762">
              <w:rPr>
                <w:sz w:val="22"/>
                <w:szCs w:val="22"/>
              </w:rPr>
              <w:t xml:space="preserve"> otrzymały</w:t>
            </w:r>
            <w:r w:rsidRPr="0036684B">
              <w:rPr>
                <w:sz w:val="22"/>
                <w:szCs w:val="22"/>
              </w:rPr>
              <w:t xml:space="preserve"> </w:t>
            </w:r>
            <w:r w:rsidR="00725762">
              <w:rPr>
                <w:sz w:val="22"/>
                <w:szCs w:val="22"/>
              </w:rPr>
              <w:t>następujące podmioty</w:t>
            </w:r>
            <w:r w:rsidRPr="0036684B">
              <w:rPr>
                <w:sz w:val="22"/>
                <w:szCs w:val="22"/>
              </w:rPr>
              <w:t>:</w:t>
            </w:r>
          </w:p>
          <w:p w14:paraId="63C28F8D" w14:textId="77777777" w:rsidR="00725762" w:rsidRPr="00725762" w:rsidRDefault="00725762" w:rsidP="00725762">
            <w:pPr>
              <w:pStyle w:val="NormalnyWeb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725762">
              <w:rPr>
                <w:sz w:val="22"/>
                <w:szCs w:val="22"/>
              </w:rPr>
              <w:t>Konsultant krajowy w dziedzinie pielęgniarstwa onkologicznego;</w:t>
            </w:r>
          </w:p>
          <w:p w14:paraId="3A0A0F55" w14:textId="77777777" w:rsidR="00725762" w:rsidRPr="00725762" w:rsidRDefault="00725762" w:rsidP="00725762">
            <w:pPr>
              <w:pStyle w:val="NormalnyWeb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725762">
              <w:rPr>
                <w:sz w:val="22"/>
                <w:szCs w:val="22"/>
              </w:rPr>
              <w:t>Konsultant krajowy w dziedzinie pielęgniarstwa chirurgicznego i operacyjnego;</w:t>
            </w:r>
          </w:p>
          <w:p w14:paraId="2EFAF411" w14:textId="77777777" w:rsidR="00725762" w:rsidRPr="00725762" w:rsidRDefault="00725762" w:rsidP="00725762">
            <w:pPr>
              <w:pStyle w:val="NormalnyWeb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725762">
              <w:rPr>
                <w:sz w:val="22"/>
                <w:szCs w:val="22"/>
              </w:rPr>
              <w:t xml:space="preserve">Konsultant krajowy w dziedzinie chirurgii ogólnej; </w:t>
            </w:r>
          </w:p>
          <w:p w14:paraId="6C71EEE3" w14:textId="77777777" w:rsidR="00725762" w:rsidRPr="00725762" w:rsidRDefault="00725762" w:rsidP="00725762">
            <w:pPr>
              <w:pStyle w:val="NormalnyWeb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725762">
              <w:rPr>
                <w:sz w:val="22"/>
                <w:szCs w:val="22"/>
              </w:rPr>
              <w:t xml:space="preserve">Konsultant krajowy w dziedzinie chirurgii onkologicznej; </w:t>
            </w:r>
          </w:p>
          <w:p w14:paraId="69E67BF0" w14:textId="77777777" w:rsidR="00725762" w:rsidRPr="00725762" w:rsidRDefault="00725762" w:rsidP="00725762">
            <w:pPr>
              <w:pStyle w:val="NormalnyWeb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725762">
              <w:rPr>
                <w:sz w:val="22"/>
                <w:szCs w:val="22"/>
              </w:rPr>
              <w:t xml:space="preserve">Konsultant krajowy w dziedzinie chirurgii plastycznej; </w:t>
            </w:r>
          </w:p>
          <w:p w14:paraId="4A2DA198" w14:textId="77777777" w:rsidR="00725762" w:rsidRPr="00725762" w:rsidRDefault="00725762" w:rsidP="00725762">
            <w:pPr>
              <w:pStyle w:val="NormalnyWeb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725762">
              <w:rPr>
                <w:sz w:val="22"/>
                <w:szCs w:val="22"/>
              </w:rPr>
              <w:t xml:space="preserve">Konsultant krajowy w dziedzinie ginekologii onkologicznej; </w:t>
            </w:r>
          </w:p>
          <w:p w14:paraId="539D2447" w14:textId="77777777" w:rsidR="00725762" w:rsidRPr="00725762" w:rsidRDefault="00725762" w:rsidP="00725762">
            <w:pPr>
              <w:pStyle w:val="NormalnyWeb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725762">
              <w:rPr>
                <w:sz w:val="22"/>
                <w:szCs w:val="22"/>
              </w:rPr>
              <w:t xml:space="preserve">Konsultant krajowy w dziedzinie onkologii klinicznej; </w:t>
            </w:r>
          </w:p>
          <w:p w14:paraId="4E858C63" w14:textId="77777777" w:rsidR="00725762" w:rsidRPr="00725762" w:rsidRDefault="00725762" w:rsidP="00725762">
            <w:pPr>
              <w:pStyle w:val="NormalnyWeb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725762">
              <w:rPr>
                <w:sz w:val="22"/>
                <w:szCs w:val="22"/>
              </w:rPr>
              <w:t xml:space="preserve">Konsultant krajowy w dziedzinie gastroenterologii; </w:t>
            </w:r>
          </w:p>
          <w:p w14:paraId="74678E93" w14:textId="77777777" w:rsidR="00725762" w:rsidRPr="00725762" w:rsidRDefault="00725762" w:rsidP="00725762">
            <w:pPr>
              <w:pStyle w:val="NormalnyWeb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725762">
              <w:rPr>
                <w:sz w:val="22"/>
                <w:szCs w:val="22"/>
              </w:rPr>
              <w:t>Konsultant krajowy w dziedzinie pielęgniarstwa ginekologiczno-położniczego;</w:t>
            </w:r>
          </w:p>
          <w:p w14:paraId="43D58AB9" w14:textId="77777777" w:rsidR="00725762" w:rsidRPr="00725762" w:rsidRDefault="00725762" w:rsidP="00725762">
            <w:pPr>
              <w:pStyle w:val="NormalnyWeb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725762">
              <w:rPr>
                <w:sz w:val="22"/>
                <w:szCs w:val="22"/>
              </w:rPr>
              <w:t xml:space="preserve"> Konsultant krajowy w dziedzinie położnictwa i ginekologii;</w:t>
            </w:r>
          </w:p>
          <w:p w14:paraId="7237B5A5" w14:textId="77777777" w:rsidR="00725762" w:rsidRPr="00725762" w:rsidRDefault="00725762" w:rsidP="00725762">
            <w:pPr>
              <w:pStyle w:val="NormalnyWeb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725762">
              <w:rPr>
                <w:sz w:val="22"/>
                <w:szCs w:val="22"/>
              </w:rPr>
              <w:t xml:space="preserve">Naczelna Izba Lekarska; </w:t>
            </w:r>
          </w:p>
          <w:p w14:paraId="5E405DFF" w14:textId="77777777" w:rsidR="00725762" w:rsidRPr="00725762" w:rsidRDefault="00725762" w:rsidP="00725762">
            <w:pPr>
              <w:pStyle w:val="NormalnyWeb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725762">
              <w:rPr>
                <w:sz w:val="22"/>
                <w:szCs w:val="22"/>
              </w:rPr>
              <w:t>Naczelna Izba Aptekarska;</w:t>
            </w:r>
          </w:p>
          <w:p w14:paraId="6662DE92" w14:textId="77777777" w:rsidR="00725762" w:rsidRPr="00725762" w:rsidRDefault="00725762" w:rsidP="00725762">
            <w:pPr>
              <w:pStyle w:val="NormalnyWeb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725762">
              <w:rPr>
                <w:sz w:val="22"/>
                <w:szCs w:val="22"/>
              </w:rPr>
              <w:t xml:space="preserve">Krajowa Izba Diagnostów Laboratoryjnych; </w:t>
            </w:r>
          </w:p>
          <w:p w14:paraId="7A016632" w14:textId="77777777" w:rsidR="00725762" w:rsidRPr="00725762" w:rsidRDefault="00725762" w:rsidP="00725762">
            <w:pPr>
              <w:pStyle w:val="NormalnyWeb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725762">
              <w:rPr>
                <w:sz w:val="22"/>
                <w:szCs w:val="22"/>
              </w:rPr>
              <w:t>Naczelna Izba Pielęgniarek i Położnych;</w:t>
            </w:r>
          </w:p>
          <w:p w14:paraId="22BA803B" w14:textId="77777777" w:rsidR="00725762" w:rsidRPr="00725762" w:rsidRDefault="00725762" w:rsidP="00725762">
            <w:pPr>
              <w:pStyle w:val="NormalnyWeb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725762">
              <w:rPr>
                <w:sz w:val="22"/>
                <w:szCs w:val="22"/>
              </w:rPr>
              <w:t>Krajowa Izba Fizjoterapeutów;</w:t>
            </w:r>
          </w:p>
          <w:p w14:paraId="67D618D8" w14:textId="77777777" w:rsidR="00725762" w:rsidRPr="00725762" w:rsidRDefault="00725762" w:rsidP="00725762">
            <w:pPr>
              <w:pStyle w:val="NormalnyWeb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725762">
              <w:rPr>
                <w:sz w:val="22"/>
                <w:szCs w:val="22"/>
              </w:rPr>
              <w:t xml:space="preserve">Ogólnopolskie Porozumienie Związków Zawodowych; </w:t>
            </w:r>
          </w:p>
          <w:p w14:paraId="1B840644" w14:textId="77777777" w:rsidR="00725762" w:rsidRPr="00725762" w:rsidRDefault="00725762" w:rsidP="00725762">
            <w:pPr>
              <w:pStyle w:val="NormalnyWeb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725762">
              <w:rPr>
                <w:sz w:val="22"/>
                <w:szCs w:val="22"/>
              </w:rPr>
              <w:t>Ogólnopolski Związek Zawodowy Lekarzy;</w:t>
            </w:r>
          </w:p>
          <w:p w14:paraId="32F1127B" w14:textId="77777777" w:rsidR="00725762" w:rsidRPr="00725762" w:rsidRDefault="00725762" w:rsidP="00725762">
            <w:pPr>
              <w:pStyle w:val="NormalnyWeb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725762">
              <w:rPr>
                <w:sz w:val="22"/>
                <w:szCs w:val="22"/>
              </w:rPr>
              <w:t>Ogólnopolski Związek Zawodowy Pielęgniarek i Położnych;</w:t>
            </w:r>
          </w:p>
          <w:p w14:paraId="655EBFDD" w14:textId="77777777" w:rsidR="00725762" w:rsidRPr="00725762" w:rsidRDefault="00725762" w:rsidP="00725762">
            <w:pPr>
              <w:pStyle w:val="NormalnyWeb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725762">
              <w:rPr>
                <w:sz w:val="22"/>
                <w:szCs w:val="22"/>
              </w:rPr>
              <w:t xml:space="preserve">Forum Związków Zawodowych; </w:t>
            </w:r>
          </w:p>
          <w:p w14:paraId="7EF3708D" w14:textId="77777777" w:rsidR="00725762" w:rsidRPr="00725762" w:rsidRDefault="00725762" w:rsidP="00725762">
            <w:pPr>
              <w:pStyle w:val="NormalnyWeb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725762">
              <w:rPr>
                <w:sz w:val="22"/>
                <w:szCs w:val="22"/>
              </w:rPr>
              <w:t xml:space="preserve">Związek Przedsiębiorców i Pracodawców; </w:t>
            </w:r>
          </w:p>
          <w:p w14:paraId="5C31C74F" w14:textId="77777777" w:rsidR="00725762" w:rsidRPr="00725762" w:rsidRDefault="00725762" w:rsidP="00725762">
            <w:pPr>
              <w:pStyle w:val="NormalnyWeb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725762">
              <w:rPr>
                <w:sz w:val="22"/>
                <w:szCs w:val="22"/>
              </w:rPr>
              <w:t xml:space="preserve">Związek Rzemiosła Polskiego; </w:t>
            </w:r>
          </w:p>
          <w:p w14:paraId="7CB805BA" w14:textId="77777777" w:rsidR="00725762" w:rsidRPr="00725762" w:rsidRDefault="00725762" w:rsidP="00725762">
            <w:pPr>
              <w:pStyle w:val="NormalnyWeb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725762">
              <w:rPr>
                <w:sz w:val="22"/>
                <w:szCs w:val="22"/>
              </w:rPr>
              <w:t xml:space="preserve">Krajowy Sekretariat Ochrony Zdrowia NSZZ „Solidarność 80”; </w:t>
            </w:r>
          </w:p>
          <w:p w14:paraId="3AC09D38" w14:textId="77777777" w:rsidR="00725762" w:rsidRPr="00725762" w:rsidRDefault="00725762" w:rsidP="00725762">
            <w:pPr>
              <w:pStyle w:val="NormalnyWeb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725762">
              <w:rPr>
                <w:sz w:val="22"/>
                <w:szCs w:val="22"/>
              </w:rPr>
              <w:t xml:space="preserve">NSZZ Solidarność; </w:t>
            </w:r>
          </w:p>
          <w:p w14:paraId="0A5C2F82" w14:textId="77777777" w:rsidR="00725762" w:rsidRPr="00725762" w:rsidRDefault="00725762" w:rsidP="00725762">
            <w:pPr>
              <w:pStyle w:val="NormalnyWeb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725762">
              <w:rPr>
                <w:sz w:val="22"/>
                <w:szCs w:val="22"/>
              </w:rPr>
              <w:t xml:space="preserve">Porozumienie Pracodawców Ochrony Zdrowia; </w:t>
            </w:r>
          </w:p>
          <w:p w14:paraId="0D97509E" w14:textId="77777777" w:rsidR="00725762" w:rsidRPr="00725762" w:rsidRDefault="00725762" w:rsidP="00725762">
            <w:pPr>
              <w:pStyle w:val="NormalnyWeb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725762">
              <w:rPr>
                <w:sz w:val="22"/>
                <w:szCs w:val="22"/>
              </w:rPr>
              <w:t>Federacja Związków Pracodawców Ochrony Zdrowia „Porozumienie Zielonogórskie”;</w:t>
            </w:r>
          </w:p>
          <w:p w14:paraId="00FC6E55" w14:textId="77777777" w:rsidR="00725762" w:rsidRPr="00725762" w:rsidRDefault="00725762" w:rsidP="00725762">
            <w:pPr>
              <w:pStyle w:val="NormalnyWeb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725762">
              <w:rPr>
                <w:sz w:val="22"/>
                <w:szCs w:val="22"/>
              </w:rPr>
              <w:t>Stowarzyszenie Primum Non Nocere;</w:t>
            </w:r>
          </w:p>
          <w:p w14:paraId="6F215771" w14:textId="77777777" w:rsidR="00725762" w:rsidRPr="00725762" w:rsidRDefault="00725762" w:rsidP="00725762">
            <w:pPr>
              <w:pStyle w:val="NormalnyWeb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725762">
              <w:rPr>
                <w:sz w:val="22"/>
                <w:szCs w:val="22"/>
              </w:rPr>
              <w:t xml:space="preserve">Federacja Pacjentów Polskich; </w:t>
            </w:r>
          </w:p>
          <w:p w14:paraId="6D247C77" w14:textId="77777777" w:rsidR="00725762" w:rsidRPr="00725762" w:rsidRDefault="00725762" w:rsidP="00725762">
            <w:pPr>
              <w:pStyle w:val="NormalnyWeb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725762">
              <w:rPr>
                <w:sz w:val="22"/>
                <w:szCs w:val="22"/>
              </w:rPr>
              <w:t xml:space="preserve">Federacja Przedsiębiorców Polskich; </w:t>
            </w:r>
          </w:p>
          <w:p w14:paraId="2BC7D4B2" w14:textId="77777777" w:rsidR="00725762" w:rsidRPr="00725762" w:rsidRDefault="00725762" w:rsidP="00725762">
            <w:pPr>
              <w:pStyle w:val="NormalnyWeb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725762">
              <w:rPr>
                <w:sz w:val="22"/>
                <w:szCs w:val="22"/>
              </w:rPr>
              <w:t xml:space="preserve">Instytut Praw Pacjenta i Edukacji Zdrowotnej; </w:t>
            </w:r>
          </w:p>
          <w:p w14:paraId="2C37870F" w14:textId="77777777" w:rsidR="00725762" w:rsidRPr="00725762" w:rsidRDefault="00725762" w:rsidP="00725762">
            <w:pPr>
              <w:pStyle w:val="NormalnyWeb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725762">
              <w:rPr>
                <w:sz w:val="22"/>
                <w:szCs w:val="22"/>
              </w:rPr>
              <w:t>Obywatelskie Stowarzyszenie – Dla Dobra Pacjenta;</w:t>
            </w:r>
          </w:p>
          <w:p w14:paraId="69450E7B" w14:textId="77777777" w:rsidR="00725762" w:rsidRPr="00725762" w:rsidRDefault="00725762" w:rsidP="00725762">
            <w:pPr>
              <w:pStyle w:val="NormalnyWeb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725762">
              <w:rPr>
                <w:sz w:val="22"/>
                <w:szCs w:val="22"/>
              </w:rPr>
              <w:t xml:space="preserve">Związek Pracodawców– Business Centre Club; </w:t>
            </w:r>
          </w:p>
          <w:p w14:paraId="19498231" w14:textId="77777777" w:rsidR="00725762" w:rsidRPr="00725762" w:rsidRDefault="00725762" w:rsidP="00725762">
            <w:pPr>
              <w:pStyle w:val="NormalnyWeb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725762">
              <w:rPr>
                <w:sz w:val="22"/>
                <w:szCs w:val="22"/>
              </w:rPr>
              <w:t>Konfederacja Lewiatan;</w:t>
            </w:r>
          </w:p>
          <w:p w14:paraId="34144ECB" w14:textId="77777777" w:rsidR="00725762" w:rsidRPr="00725762" w:rsidRDefault="00725762" w:rsidP="00725762">
            <w:pPr>
              <w:pStyle w:val="NormalnyWeb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725762">
              <w:rPr>
                <w:sz w:val="22"/>
                <w:szCs w:val="22"/>
              </w:rPr>
              <w:t xml:space="preserve">Pracodawcy RP; </w:t>
            </w:r>
          </w:p>
          <w:p w14:paraId="0A1F960B" w14:textId="77777777" w:rsidR="00725762" w:rsidRPr="00725762" w:rsidRDefault="00725762" w:rsidP="00725762">
            <w:pPr>
              <w:pStyle w:val="NormalnyWeb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725762">
              <w:rPr>
                <w:sz w:val="22"/>
                <w:szCs w:val="22"/>
              </w:rPr>
              <w:t xml:space="preserve">Towarzystwo Chirurgów Polskich; </w:t>
            </w:r>
          </w:p>
          <w:p w14:paraId="78CBE4BB" w14:textId="77777777" w:rsidR="00725762" w:rsidRPr="00725762" w:rsidRDefault="00725762" w:rsidP="00725762">
            <w:pPr>
              <w:pStyle w:val="NormalnyWeb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725762">
              <w:rPr>
                <w:sz w:val="22"/>
                <w:szCs w:val="22"/>
              </w:rPr>
              <w:t xml:space="preserve">Polskie Towarzystwo Chirurgii Onkologicznej; </w:t>
            </w:r>
          </w:p>
          <w:p w14:paraId="4112D7BD" w14:textId="77777777" w:rsidR="00725762" w:rsidRPr="00725762" w:rsidRDefault="00725762" w:rsidP="00725762">
            <w:pPr>
              <w:pStyle w:val="NormalnyWeb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725762">
              <w:rPr>
                <w:sz w:val="22"/>
                <w:szCs w:val="22"/>
              </w:rPr>
              <w:t xml:space="preserve">Polskie Towarzystwo Ginekologów i Położników; </w:t>
            </w:r>
          </w:p>
          <w:p w14:paraId="0AEB469B" w14:textId="77777777" w:rsidR="00725762" w:rsidRDefault="00725762" w:rsidP="00725762">
            <w:pPr>
              <w:pStyle w:val="NormalnyWeb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725762">
              <w:rPr>
                <w:sz w:val="22"/>
                <w:szCs w:val="22"/>
              </w:rPr>
              <w:t xml:space="preserve">Polskie Towarzystwo Onkologiczne; </w:t>
            </w:r>
          </w:p>
          <w:p w14:paraId="10E3EBF9" w14:textId="263F4C07" w:rsidR="00725762" w:rsidRPr="00725762" w:rsidRDefault="00725762" w:rsidP="00725762">
            <w:pPr>
              <w:pStyle w:val="NormalnyWeb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725762">
              <w:rPr>
                <w:sz w:val="22"/>
                <w:szCs w:val="22"/>
              </w:rPr>
              <w:t>Polskie Towarzystwo Ginekologii Onkologicznej</w:t>
            </w:r>
            <w:r>
              <w:rPr>
                <w:sz w:val="22"/>
                <w:szCs w:val="22"/>
              </w:rPr>
              <w:t>;</w:t>
            </w:r>
          </w:p>
          <w:p w14:paraId="7F004CB8" w14:textId="77777777" w:rsidR="00725762" w:rsidRPr="00725762" w:rsidRDefault="00725762" w:rsidP="00725762">
            <w:pPr>
              <w:pStyle w:val="NormalnyWeb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725762">
              <w:rPr>
                <w:sz w:val="22"/>
                <w:szCs w:val="22"/>
              </w:rPr>
              <w:t xml:space="preserve">Polskie Towarzystwo Onkologii Klinicznej; </w:t>
            </w:r>
          </w:p>
          <w:p w14:paraId="498C39B0" w14:textId="77777777" w:rsidR="00725762" w:rsidRPr="00725762" w:rsidRDefault="00725762" w:rsidP="00725762">
            <w:pPr>
              <w:pStyle w:val="NormalnyWeb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725762">
              <w:rPr>
                <w:sz w:val="22"/>
                <w:szCs w:val="22"/>
              </w:rPr>
              <w:t xml:space="preserve">Narodowy Instytut Onkologii im. Marii Skłodowskiej-Curie – Państwowy Instytut Badawczy; </w:t>
            </w:r>
          </w:p>
          <w:p w14:paraId="238DDEBE" w14:textId="6A631C1F" w:rsidR="00725762" w:rsidRPr="00725762" w:rsidRDefault="00725762" w:rsidP="00725762">
            <w:pPr>
              <w:pStyle w:val="NormalnyWeb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725762">
              <w:rPr>
                <w:sz w:val="22"/>
                <w:szCs w:val="22"/>
              </w:rPr>
              <w:t>Polskie Towarzystwo Gastroenterologi</w:t>
            </w:r>
            <w:r>
              <w:rPr>
                <w:sz w:val="22"/>
                <w:szCs w:val="22"/>
              </w:rPr>
              <w:t>i</w:t>
            </w:r>
            <w:r w:rsidRPr="00725762">
              <w:rPr>
                <w:sz w:val="22"/>
                <w:szCs w:val="22"/>
              </w:rPr>
              <w:t>;</w:t>
            </w:r>
          </w:p>
          <w:p w14:paraId="14A6F5A5" w14:textId="77777777" w:rsidR="00725762" w:rsidRPr="00725762" w:rsidRDefault="00725762" w:rsidP="00725762">
            <w:pPr>
              <w:pStyle w:val="NormalnyWeb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725762">
              <w:rPr>
                <w:sz w:val="22"/>
                <w:szCs w:val="22"/>
              </w:rPr>
              <w:t xml:space="preserve">Prokuratoria Generalna Rzeczypospolitej Polskiej; </w:t>
            </w:r>
          </w:p>
          <w:p w14:paraId="642A6D84" w14:textId="77777777" w:rsidR="00725762" w:rsidRPr="00725762" w:rsidRDefault="00725762" w:rsidP="00725762">
            <w:pPr>
              <w:pStyle w:val="NormalnyWeb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725762">
              <w:rPr>
                <w:sz w:val="22"/>
                <w:szCs w:val="22"/>
              </w:rPr>
              <w:t xml:space="preserve">Narodowy Fundusz Zdrowia; </w:t>
            </w:r>
          </w:p>
          <w:p w14:paraId="4AB85218" w14:textId="77777777" w:rsidR="00725762" w:rsidRPr="00725762" w:rsidRDefault="00725762" w:rsidP="00725762">
            <w:pPr>
              <w:pStyle w:val="NormalnyWeb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725762">
              <w:rPr>
                <w:sz w:val="22"/>
                <w:szCs w:val="22"/>
              </w:rPr>
              <w:t>Prezes Agencji Oceny Technologii Medycznych i Taryfikacji;</w:t>
            </w:r>
          </w:p>
          <w:p w14:paraId="1C324733" w14:textId="77777777" w:rsidR="00725762" w:rsidRPr="00725762" w:rsidRDefault="00725762" w:rsidP="00725762">
            <w:pPr>
              <w:pStyle w:val="NormalnyWeb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725762">
              <w:rPr>
                <w:sz w:val="22"/>
                <w:szCs w:val="22"/>
              </w:rPr>
              <w:t>Prezes Urzędu Rejestracji Produktów Leczniczych, Wyrobów Medycznych i Produktów Biobójczych;</w:t>
            </w:r>
          </w:p>
          <w:p w14:paraId="4FE23942" w14:textId="77777777" w:rsidR="00725762" w:rsidRPr="00725762" w:rsidRDefault="00725762" w:rsidP="00725762">
            <w:pPr>
              <w:pStyle w:val="NormalnyWeb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725762">
              <w:rPr>
                <w:sz w:val="22"/>
                <w:szCs w:val="22"/>
              </w:rPr>
              <w:t>Rzecznik Praw Pacjenta;</w:t>
            </w:r>
          </w:p>
          <w:p w14:paraId="34BB68A0" w14:textId="77777777" w:rsidR="00725762" w:rsidRPr="00725762" w:rsidRDefault="00725762" w:rsidP="00725762">
            <w:pPr>
              <w:pStyle w:val="NormalnyWeb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725762">
              <w:rPr>
                <w:sz w:val="22"/>
                <w:szCs w:val="22"/>
              </w:rPr>
              <w:t xml:space="preserve">Prezes Urzędu Ochrony Konkurencji i Konsumentów; </w:t>
            </w:r>
          </w:p>
          <w:p w14:paraId="14A99F30" w14:textId="77777777" w:rsidR="00725762" w:rsidRPr="00725762" w:rsidRDefault="00725762" w:rsidP="00725762">
            <w:pPr>
              <w:pStyle w:val="NormalnyWeb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725762">
              <w:rPr>
                <w:sz w:val="22"/>
                <w:szCs w:val="22"/>
              </w:rPr>
              <w:t xml:space="preserve">Prezes Urzędu Ochrony Danych Osobowych; </w:t>
            </w:r>
          </w:p>
          <w:p w14:paraId="4A4CBED7" w14:textId="77777777" w:rsidR="00725762" w:rsidRPr="00725762" w:rsidRDefault="00725762" w:rsidP="00725762">
            <w:pPr>
              <w:pStyle w:val="NormalnyWeb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725762">
              <w:rPr>
                <w:sz w:val="22"/>
                <w:szCs w:val="22"/>
              </w:rPr>
              <w:t>Narodowy Instytut Zdrowia Publicznego PZH – Państwowy Instytut Badawczy;</w:t>
            </w:r>
          </w:p>
          <w:p w14:paraId="7D42261A" w14:textId="77777777" w:rsidR="00725762" w:rsidRPr="00725762" w:rsidRDefault="00725762" w:rsidP="00725762">
            <w:pPr>
              <w:pStyle w:val="NormalnyWeb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725762">
              <w:rPr>
                <w:sz w:val="22"/>
                <w:szCs w:val="22"/>
              </w:rPr>
              <w:t xml:space="preserve">Rada Działalności Pożytku Publicznego; </w:t>
            </w:r>
          </w:p>
          <w:p w14:paraId="6DBCB824" w14:textId="77777777" w:rsidR="00725762" w:rsidRPr="00725762" w:rsidRDefault="00725762" w:rsidP="00725762">
            <w:pPr>
              <w:pStyle w:val="NormalnyWeb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725762">
              <w:rPr>
                <w:sz w:val="22"/>
                <w:szCs w:val="22"/>
              </w:rPr>
              <w:t>Rada Dialogu Społecznego;</w:t>
            </w:r>
          </w:p>
          <w:p w14:paraId="7BF1314A" w14:textId="77777777" w:rsidR="00725762" w:rsidRPr="00725762" w:rsidRDefault="00725762" w:rsidP="00725762">
            <w:pPr>
              <w:pStyle w:val="NormalnyWeb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725762">
              <w:rPr>
                <w:sz w:val="22"/>
                <w:szCs w:val="22"/>
              </w:rPr>
              <w:t>Centrum e-Zdrowia.</w:t>
            </w:r>
          </w:p>
          <w:p w14:paraId="559774E4" w14:textId="05554630" w:rsidR="006A701A" w:rsidRPr="00B37C80" w:rsidRDefault="00765E31" w:rsidP="00B63852">
            <w:pPr>
              <w:pStyle w:val="NormalnyWeb"/>
              <w:spacing w:before="60" w:beforeAutospacing="0" w:after="0" w:afterAutospacing="0"/>
              <w:jc w:val="both"/>
              <w:rPr>
                <w:color w:val="000000"/>
                <w:spacing w:val="-2"/>
              </w:rPr>
            </w:pPr>
            <w:r w:rsidRPr="00F37AE6">
              <w:rPr>
                <w:color w:val="000000"/>
                <w:sz w:val="22"/>
                <w:szCs w:val="22"/>
              </w:rPr>
              <w:t>Projekt rozporządzenia został udostępniony w Biuletynie Informacji Publicznej Ministerstwa Zdrowia zgodnie z art. 5 ustawy z dnia 7 lipca 2005 r. o działalności lobbingowej w procesie stanowienia prawa (Dz. U. z 2017 r. poz. 248) oraz w</w:t>
            </w:r>
            <w:r w:rsidR="00F05AB9">
              <w:rPr>
                <w:color w:val="000000"/>
                <w:sz w:val="22"/>
                <w:szCs w:val="22"/>
              </w:rPr>
              <w:t> </w:t>
            </w:r>
            <w:r w:rsidRPr="00F37AE6">
              <w:rPr>
                <w:color w:val="000000"/>
                <w:sz w:val="22"/>
                <w:szCs w:val="22"/>
              </w:rPr>
              <w:t xml:space="preserve">Biuletynie Informacji Publicznej Rządowego Centrum Legislacji, </w:t>
            </w:r>
            <w:r w:rsidR="00552C19">
              <w:rPr>
                <w:color w:val="000000"/>
                <w:sz w:val="22"/>
                <w:szCs w:val="22"/>
              </w:rPr>
              <w:t xml:space="preserve">w serwisie Rządowy Proces Legislacyjny, </w:t>
            </w:r>
            <w:r w:rsidRPr="00F37AE6">
              <w:rPr>
                <w:color w:val="000000"/>
                <w:sz w:val="22"/>
                <w:szCs w:val="22"/>
              </w:rPr>
              <w:t>zgodnie z § 52 uchwały nr 190 Rady Ministrów z</w:t>
            </w:r>
            <w:r w:rsidR="00F05AB9">
              <w:rPr>
                <w:color w:val="000000"/>
                <w:sz w:val="22"/>
                <w:szCs w:val="22"/>
              </w:rPr>
              <w:t> </w:t>
            </w:r>
            <w:r w:rsidRPr="00F37AE6">
              <w:rPr>
                <w:color w:val="000000"/>
                <w:sz w:val="22"/>
                <w:szCs w:val="22"/>
              </w:rPr>
              <w:t xml:space="preserve">dnia 29 października 2013 r. – Regulamin pracy Rady Ministrów (M.P. </w:t>
            </w:r>
            <w:r w:rsidR="00552C19" w:rsidRPr="00552C19">
              <w:rPr>
                <w:color w:val="000000"/>
                <w:sz w:val="22"/>
                <w:szCs w:val="22"/>
              </w:rPr>
              <w:t>z 2022 r. poz. 348</w:t>
            </w:r>
            <w:r w:rsidRPr="00F37AE6">
              <w:rPr>
                <w:color w:val="000000"/>
                <w:sz w:val="22"/>
                <w:szCs w:val="22"/>
              </w:rPr>
              <w:t xml:space="preserve">). </w:t>
            </w:r>
          </w:p>
        </w:tc>
      </w:tr>
      <w:tr w:rsidR="006A701A" w:rsidRPr="008B4FE6" w14:paraId="0A37277D" w14:textId="77777777" w:rsidTr="51301FF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7E22878" w14:textId="77777777" w:rsidR="006A701A" w:rsidRPr="008B4FE6" w:rsidRDefault="006A701A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260F33" w:rsidRPr="008B4FE6" w14:paraId="3A1C34C7" w14:textId="77777777" w:rsidTr="51301FF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 w:themeFill="background1"/>
          </w:tcPr>
          <w:p w14:paraId="00F29A1D" w14:textId="79A76624" w:rsidR="00260F33" w:rsidRPr="00C53F26" w:rsidRDefault="00260F33" w:rsidP="00821717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7804" w:type="dxa"/>
            <w:gridSpan w:val="25"/>
            <w:shd w:val="clear" w:color="auto" w:fill="FFFFFF" w:themeFill="background1"/>
          </w:tcPr>
          <w:p w14:paraId="760F0ABF" w14:textId="77777777" w:rsidR="00260F33" w:rsidRPr="00C53F26" w:rsidRDefault="00260F33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 w:rsidR="00A056C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B34696" w:rsidRPr="008B4FE6" w14:paraId="6914D6F1" w14:textId="77777777" w:rsidTr="51301FF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</w:tcPr>
          <w:p w14:paraId="6721912E" w14:textId="77777777" w:rsidR="0057668E" w:rsidRPr="00C53F26" w:rsidRDefault="0057668E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 w:themeFill="background1"/>
          </w:tcPr>
          <w:p w14:paraId="0DCB7837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51CF9C0A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24A1FF1B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 w:themeFill="background1"/>
          </w:tcPr>
          <w:p w14:paraId="75C46F9E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0BFB052D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 w:themeFill="background1"/>
          </w:tcPr>
          <w:p w14:paraId="38023DBB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 w:themeFill="background1"/>
          </w:tcPr>
          <w:p w14:paraId="4906F31E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 w:themeFill="background1"/>
          </w:tcPr>
          <w:p w14:paraId="2AA9AAFA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4A1113EF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0C368CDF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 w:themeFill="background1"/>
          </w:tcPr>
          <w:p w14:paraId="23C700B5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 w:themeFill="background1"/>
          </w:tcPr>
          <w:p w14:paraId="2472F45A" w14:textId="77777777" w:rsidR="0057668E" w:rsidRPr="00C53F26" w:rsidRDefault="0057668E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="00CF5F4F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C41362" w:rsidRPr="008B4FE6" w14:paraId="33D2C96D" w14:textId="77777777" w:rsidTr="51301FFD">
        <w:trPr>
          <w:trHeight w:val="321"/>
        </w:trPr>
        <w:tc>
          <w:tcPr>
            <w:tcW w:w="3133" w:type="dxa"/>
            <w:gridSpan w:val="4"/>
            <w:shd w:val="clear" w:color="auto" w:fill="FFFFFF" w:themeFill="background1"/>
            <w:vAlign w:val="center"/>
          </w:tcPr>
          <w:p w14:paraId="5F86C8DF" w14:textId="77777777" w:rsidR="00C41362" w:rsidRPr="00C53F26" w:rsidRDefault="00C41362" w:rsidP="00C413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 w:themeFill="background1"/>
          </w:tcPr>
          <w:p w14:paraId="50D4ED60" w14:textId="13D767CC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13A357F7" w14:textId="5B527002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7C725B45" w14:textId="02565198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 w:themeFill="background1"/>
          </w:tcPr>
          <w:p w14:paraId="4A245D47" w14:textId="39BF2915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C3F9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701B4654" w14:textId="5B89EAC7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D7C8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 w:themeFill="background1"/>
          </w:tcPr>
          <w:p w14:paraId="6166070A" w14:textId="18DCC0BB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D7C8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 w:themeFill="background1"/>
          </w:tcPr>
          <w:p w14:paraId="2228F4A9" w14:textId="43650355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 w:themeFill="background1"/>
          </w:tcPr>
          <w:p w14:paraId="183EABB2" w14:textId="7CA561D6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374D9D43" w14:textId="008C6BAA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3796E5C3" w14:textId="11DE2018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 w:themeFill="background1"/>
          </w:tcPr>
          <w:p w14:paraId="32F93C30" w14:textId="3F5C26C4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 w:themeFill="background1"/>
          </w:tcPr>
          <w:p w14:paraId="1E86C8D1" w14:textId="5CC36F7B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C41362" w:rsidRPr="008B4FE6" w14:paraId="5B10C860" w14:textId="77777777" w:rsidTr="51301FFD">
        <w:trPr>
          <w:trHeight w:val="321"/>
        </w:trPr>
        <w:tc>
          <w:tcPr>
            <w:tcW w:w="3133" w:type="dxa"/>
            <w:gridSpan w:val="4"/>
            <w:shd w:val="clear" w:color="auto" w:fill="FFFFFF" w:themeFill="background1"/>
            <w:vAlign w:val="center"/>
          </w:tcPr>
          <w:p w14:paraId="388629B9" w14:textId="77777777" w:rsidR="00C41362" w:rsidRPr="00C53F26" w:rsidRDefault="00C41362" w:rsidP="00C413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 w:themeFill="background1"/>
          </w:tcPr>
          <w:p w14:paraId="0DFB70DB" w14:textId="097676A6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02254273" w14:textId="791FD330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6A72F4CA" w14:textId="73EFBB11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 w:themeFill="background1"/>
          </w:tcPr>
          <w:p w14:paraId="5725E05F" w14:textId="471CF20F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C3F9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631D7813" w14:textId="6E46AFB8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D7C8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 w:themeFill="background1"/>
          </w:tcPr>
          <w:p w14:paraId="7C944964" w14:textId="50F4F2B3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D7C8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 w:themeFill="background1"/>
          </w:tcPr>
          <w:p w14:paraId="5FD06F06" w14:textId="51B9AD35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 w:themeFill="background1"/>
          </w:tcPr>
          <w:p w14:paraId="5A401005" w14:textId="5AB7D916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66B37DA9" w14:textId="35720862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0EE8A12D" w14:textId="28243664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 w:themeFill="background1"/>
          </w:tcPr>
          <w:p w14:paraId="0D7BFA97" w14:textId="1B949D18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 w:themeFill="background1"/>
          </w:tcPr>
          <w:p w14:paraId="68493205" w14:textId="61C2C416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C41362" w:rsidRPr="008B4FE6" w14:paraId="030AF015" w14:textId="77777777" w:rsidTr="51301FFD">
        <w:trPr>
          <w:trHeight w:val="344"/>
        </w:trPr>
        <w:tc>
          <w:tcPr>
            <w:tcW w:w="3133" w:type="dxa"/>
            <w:gridSpan w:val="4"/>
            <w:shd w:val="clear" w:color="auto" w:fill="FFFFFF" w:themeFill="background1"/>
            <w:vAlign w:val="center"/>
          </w:tcPr>
          <w:p w14:paraId="2DE3ED8F" w14:textId="77777777" w:rsidR="00C41362" w:rsidRPr="00C53F26" w:rsidRDefault="00C41362" w:rsidP="00C413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 w:themeFill="background1"/>
          </w:tcPr>
          <w:p w14:paraId="1C1D42E5" w14:textId="22DF5BBC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299C0AA8" w14:textId="3BACF9EC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6251A319" w14:textId="79E84FE6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 w:themeFill="background1"/>
          </w:tcPr>
          <w:p w14:paraId="70EAEEA4" w14:textId="300ABA66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C3F9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7FD1ED61" w14:textId="0AC72BA7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D7C8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 w:themeFill="background1"/>
          </w:tcPr>
          <w:p w14:paraId="338CA058" w14:textId="274C1493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D7C8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 w:themeFill="background1"/>
          </w:tcPr>
          <w:p w14:paraId="34F01E6B" w14:textId="1012ED79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 w:themeFill="background1"/>
          </w:tcPr>
          <w:p w14:paraId="7ACBCF86" w14:textId="75EEB108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77E55404" w14:textId="6C5A130D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33D525E6" w14:textId="63257AA4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 w:themeFill="background1"/>
          </w:tcPr>
          <w:p w14:paraId="131BB98E" w14:textId="0F53DE31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 w:themeFill="background1"/>
          </w:tcPr>
          <w:p w14:paraId="29AA3DA0" w14:textId="03C5FFAE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C41362" w:rsidRPr="008B4FE6" w14:paraId="3552BA5A" w14:textId="77777777" w:rsidTr="51301FFD">
        <w:trPr>
          <w:trHeight w:val="344"/>
        </w:trPr>
        <w:tc>
          <w:tcPr>
            <w:tcW w:w="3133" w:type="dxa"/>
            <w:gridSpan w:val="4"/>
            <w:shd w:val="clear" w:color="auto" w:fill="FFFFFF" w:themeFill="background1"/>
            <w:vAlign w:val="center"/>
          </w:tcPr>
          <w:p w14:paraId="55A8F7A5" w14:textId="3B5542E6" w:rsidR="00C41362" w:rsidRPr="00C53F26" w:rsidRDefault="00C41362" w:rsidP="00C413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51301FF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 w:themeFill="background1"/>
          </w:tcPr>
          <w:p w14:paraId="4E31609D" w14:textId="1EE07089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5754588D" w14:textId="65798591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59D5FA2E" w14:textId="3917558C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 w:themeFill="background1"/>
          </w:tcPr>
          <w:p w14:paraId="00EB9234" w14:textId="70FCFF3B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C3F9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6854800C" w14:textId="6CA3F677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D7C8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 w:themeFill="background1"/>
          </w:tcPr>
          <w:p w14:paraId="0CC13E2E" w14:textId="686387DF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D7C8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 w:themeFill="background1"/>
          </w:tcPr>
          <w:p w14:paraId="6C7B2647" w14:textId="04683E6A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 w:themeFill="background1"/>
          </w:tcPr>
          <w:p w14:paraId="4B785B24" w14:textId="5D5D663B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634D5CE7" w14:textId="08434233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29F1E82E" w14:textId="57BF30E8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 w:themeFill="background1"/>
          </w:tcPr>
          <w:p w14:paraId="4064F385" w14:textId="6A55964D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 w:themeFill="background1"/>
          </w:tcPr>
          <w:p w14:paraId="7BDF01BD" w14:textId="29C18DB1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C41362" w:rsidRPr="008B4FE6" w14:paraId="0E3F3F98" w14:textId="77777777" w:rsidTr="51301FFD">
        <w:trPr>
          <w:trHeight w:val="330"/>
        </w:trPr>
        <w:tc>
          <w:tcPr>
            <w:tcW w:w="3133" w:type="dxa"/>
            <w:gridSpan w:val="4"/>
            <w:shd w:val="clear" w:color="auto" w:fill="FFFFFF" w:themeFill="background1"/>
            <w:vAlign w:val="center"/>
          </w:tcPr>
          <w:p w14:paraId="41C3F0ED" w14:textId="77777777" w:rsidR="00C41362" w:rsidRPr="00C53F26" w:rsidRDefault="00C41362" w:rsidP="00C413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 w:themeFill="background1"/>
          </w:tcPr>
          <w:p w14:paraId="14FE92F6" w14:textId="2F386834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05589933" w14:textId="4FE47832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32F9E4FD" w14:textId="66B02A2B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 w:themeFill="background1"/>
          </w:tcPr>
          <w:p w14:paraId="37D27EE0" w14:textId="56A3965D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C3F9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215A1D5C" w14:textId="2291660F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D7C8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 w:themeFill="background1"/>
          </w:tcPr>
          <w:p w14:paraId="19251EED" w14:textId="41D2A9CD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D7C8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 w:themeFill="background1"/>
          </w:tcPr>
          <w:p w14:paraId="40202F08" w14:textId="3AB0ED2C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 w:themeFill="background1"/>
          </w:tcPr>
          <w:p w14:paraId="2DB923F1" w14:textId="5792B89B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32A4ACD1" w14:textId="2CF40DB4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7286A6B7" w14:textId="0CF7120B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 w:themeFill="background1"/>
          </w:tcPr>
          <w:p w14:paraId="32B69DB0" w14:textId="1345BC7B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 w:themeFill="background1"/>
          </w:tcPr>
          <w:p w14:paraId="22CC2F4C" w14:textId="74E6F8FB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C41362" w:rsidRPr="008B4FE6" w14:paraId="6B73361B" w14:textId="77777777" w:rsidTr="51301FFD">
        <w:trPr>
          <w:trHeight w:val="330"/>
        </w:trPr>
        <w:tc>
          <w:tcPr>
            <w:tcW w:w="3133" w:type="dxa"/>
            <w:gridSpan w:val="4"/>
            <w:shd w:val="clear" w:color="auto" w:fill="FFFFFF" w:themeFill="background1"/>
            <w:vAlign w:val="center"/>
          </w:tcPr>
          <w:p w14:paraId="2B775A8D" w14:textId="77777777" w:rsidR="00C41362" w:rsidRPr="00C53F26" w:rsidRDefault="00C41362" w:rsidP="00C413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 w:themeFill="background1"/>
          </w:tcPr>
          <w:p w14:paraId="1CD98CC5" w14:textId="523E16C0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60FA2839" w14:textId="7C38003C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77E5F78F" w14:textId="17906256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 w:themeFill="background1"/>
          </w:tcPr>
          <w:p w14:paraId="4C571585" w14:textId="77F2E30E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C3F9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43E170CC" w14:textId="06A13A92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D7C8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 w:themeFill="background1"/>
          </w:tcPr>
          <w:p w14:paraId="3AB12803" w14:textId="1C7277B8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D7C8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 w:themeFill="background1"/>
          </w:tcPr>
          <w:p w14:paraId="3958D621" w14:textId="185104FE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 w:themeFill="background1"/>
          </w:tcPr>
          <w:p w14:paraId="201B7E11" w14:textId="6A7582E7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59C00FFE" w14:textId="5CE4AA6C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3832577E" w14:textId="5D4D8EEE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 w:themeFill="background1"/>
          </w:tcPr>
          <w:p w14:paraId="7E535CE7" w14:textId="29FB94BE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 w:themeFill="background1"/>
          </w:tcPr>
          <w:p w14:paraId="5F200BD8" w14:textId="388FC052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C41362" w:rsidRPr="008B4FE6" w14:paraId="0B27E65F" w14:textId="77777777" w:rsidTr="51301FFD">
        <w:trPr>
          <w:trHeight w:val="351"/>
        </w:trPr>
        <w:tc>
          <w:tcPr>
            <w:tcW w:w="3133" w:type="dxa"/>
            <w:gridSpan w:val="4"/>
            <w:shd w:val="clear" w:color="auto" w:fill="FFFFFF" w:themeFill="background1"/>
            <w:vAlign w:val="center"/>
          </w:tcPr>
          <w:p w14:paraId="3DEFA571" w14:textId="77777777" w:rsidR="00C41362" w:rsidRPr="00C53F26" w:rsidRDefault="00C41362" w:rsidP="00C413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 w:themeFill="background1"/>
          </w:tcPr>
          <w:p w14:paraId="2DAAAECD" w14:textId="797AD91F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0800C4A5" w14:textId="07CC0EB5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20849D13" w14:textId="1AAE3FA0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 w:themeFill="background1"/>
          </w:tcPr>
          <w:p w14:paraId="1A8A9F0C" w14:textId="0137F877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C3F9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53044B3A" w14:textId="4E7E7A26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D7C8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 w:themeFill="background1"/>
          </w:tcPr>
          <w:p w14:paraId="66C6CEED" w14:textId="389BF7D9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D7C8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 w:themeFill="background1"/>
          </w:tcPr>
          <w:p w14:paraId="73FD58A6" w14:textId="1585A2C2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 w:themeFill="background1"/>
          </w:tcPr>
          <w:p w14:paraId="593ED07D" w14:textId="18B7CA1A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59D132BC" w14:textId="350063DD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499442A5" w14:textId="11248E5C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 w:themeFill="background1"/>
          </w:tcPr>
          <w:p w14:paraId="57CD8071" w14:textId="48ED7A23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 w:themeFill="background1"/>
          </w:tcPr>
          <w:p w14:paraId="01C55A5A" w14:textId="3CA6116E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C41362" w:rsidRPr="008B4FE6" w14:paraId="3E7FFB28" w14:textId="77777777" w:rsidTr="51301FFD">
        <w:trPr>
          <w:trHeight w:val="351"/>
        </w:trPr>
        <w:tc>
          <w:tcPr>
            <w:tcW w:w="3133" w:type="dxa"/>
            <w:gridSpan w:val="4"/>
            <w:shd w:val="clear" w:color="auto" w:fill="FFFFFF" w:themeFill="background1"/>
            <w:vAlign w:val="center"/>
          </w:tcPr>
          <w:p w14:paraId="14BD7C6B" w14:textId="49F77C0E" w:rsidR="00C41362" w:rsidRPr="00C53F26" w:rsidRDefault="00C41362" w:rsidP="00C41362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51301FF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Narodowy Fundusz Zdrowia</w:t>
            </w:r>
          </w:p>
        </w:tc>
        <w:tc>
          <w:tcPr>
            <w:tcW w:w="569" w:type="dxa"/>
            <w:gridSpan w:val="2"/>
            <w:shd w:val="clear" w:color="auto" w:fill="FFFFFF" w:themeFill="background1"/>
          </w:tcPr>
          <w:p w14:paraId="445ADE4B" w14:textId="77ED5EAB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6D0EAE22" w14:textId="3C9ADC00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673B506D" w14:textId="6707A425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 w:themeFill="background1"/>
          </w:tcPr>
          <w:p w14:paraId="69894C06" w14:textId="11EEE449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C3F9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533667A2" w14:textId="0724BDAE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D7C8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 w:themeFill="background1"/>
          </w:tcPr>
          <w:p w14:paraId="69328971" w14:textId="7672F695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D7C8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 w:themeFill="background1"/>
          </w:tcPr>
          <w:p w14:paraId="52CF9ADA" w14:textId="1ED25E01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 w:themeFill="background1"/>
          </w:tcPr>
          <w:p w14:paraId="01747F21" w14:textId="7FF81ABA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6D3DD7F9" w14:textId="11C07146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78935421" w14:textId="36E2B7B6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 w:themeFill="background1"/>
          </w:tcPr>
          <w:p w14:paraId="470F784A" w14:textId="6F533C7C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 w:themeFill="background1"/>
          </w:tcPr>
          <w:p w14:paraId="378683ED" w14:textId="4268479F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C41362" w:rsidRPr="008B4FE6" w14:paraId="5BEBBF79" w14:textId="77777777" w:rsidTr="51301FFD">
        <w:trPr>
          <w:trHeight w:val="360"/>
        </w:trPr>
        <w:tc>
          <w:tcPr>
            <w:tcW w:w="3133" w:type="dxa"/>
            <w:gridSpan w:val="4"/>
            <w:shd w:val="clear" w:color="auto" w:fill="FFFFFF" w:themeFill="background1"/>
            <w:vAlign w:val="center"/>
          </w:tcPr>
          <w:p w14:paraId="4ED30220" w14:textId="77777777" w:rsidR="00C41362" w:rsidRPr="00C53F26" w:rsidRDefault="00C41362" w:rsidP="00C413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 w:themeFill="background1"/>
          </w:tcPr>
          <w:p w14:paraId="1005623D" w14:textId="03021707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3996851E" w14:textId="0759E0F5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5E7DAA43" w14:textId="0F2A521E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 w:themeFill="background1"/>
          </w:tcPr>
          <w:p w14:paraId="15F9A86E" w14:textId="52542301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C3F9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25BF4081" w14:textId="3BDF35A0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D7C8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 w:themeFill="background1"/>
          </w:tcPr>
          <w:p w14:paraId="351A65B6" w14:textId="42B12E1F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D7C8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 w:themeFill="background1"/>
          </w:tcPr>
          <w:p w14:paraId="50BCD095" w14:textId="079DF504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 w:themeFill="background1"/>
          </w:tcPr>
          <w:p w14:paraId="769AB952" w14:textId="4E8F19F9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28C46CC9" w14:textId="6BD57BD4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128E2760" w14:textId="274EC4C5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 w:themeFill="background1"/>
          </w:tcPr>
          <w:p w14:paraId="728944DF" w14:textId="00F9278C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 w:themeFill="background1"/>
          </w:tcPr>
          <w:p w14:paraId="1724054B" w14:textId="4397954C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C41362" w:rsidRPr="008B4FE6" w14:paraId="17E80753" w14:textId="77777777" w:rsidTr="51301FFD">
        <w:trPr>
          <w:trHeight w:val="360"/>
        </w:trPr>
        <w:tc>
          <w:tcPr>
            <w:tcW w:w="3133" w:type="dxa"/>
            <w:gridSpan w:val="4"/>
            <w:shd w:val="clear" w:color="auto" w:fill="FFFFFF" w:themeFill="background1"/>
            <w:vAlign w:val="center"/>
          </w:tcPr>
          <w:p w14:paraId="7E1D6BC1" w14:textId="77777777" w:rsidR="00C41362" w:rsidRPr="00C53F26" w:rsidRDefault="00C41362" w:rsidP="00C413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 w:themeFill="background1"/>
          </w:tcPr>
          <w:p w14:paraId="49BBD368" w14:textId="3083C485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45AA2635" w14:textId="6FCB9114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2B888889" w14:textId="0E3A59E6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 w:themeFill="background1"/>
          </w:tcPr>
          <w:p w14:paraId="2FEABBF9" w14:textId="21A489C1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C3F9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5B3A0EE1" w14:textId="42DA3363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D7C8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 w:themeFill="background1"/>
          </w:tcPr>
          <w:p w14:paraId="5D59BC42" w14:textId="32B1888F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D7C8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 w:themeFill="background1"/>
          </w:tcPr>
          <w:p w14:paraId="569806BE" w14:textId="6439A6F3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 w:themeFill="background1"/>
          </w:tcPr>
          <w:p w14:paraId="21478DE7" w14:textId="693BFF69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511B9974" w14:textId="618950C4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2ADADC5F" w14:textId="64C62521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 w:themeFill="background1"/>
          </w:tcPr>
          <w:p w14:paraId="2944EB33" w14:textId="1B2D45B9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 w:themeFill="background1"/>
          </w:tcPr>
          <w:p w14:paraId="53FFD054" w14:textId="35ED3929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C41362" w:rsidRPr="008B4FE6" w14:paraId="4B4572E8" w14:textId="77777777" w:rsidTr="51301FFD">
        <w:trPr>
          <w:trHeight w:val="357"/>
        </w:trPr>
        <w:tc>
          <w:tcPr>
            <w:tcW w:w="3133" w:type="dxa"/>
            <w:gridSpan w:val="4"/>
            <w:shd w:val="clear" w:color="auto" w:fill="FFFFFF" w:themeFill="background1"/>
            <w:vAlign w:val="center"/>
          </w:tcPr>
          <w:p w14:paraId="3B6DC8B4" w14:textId="77777777" w:rsidR="00C41362" w:rsidRPr="00C53F26" w:rsidRDefault="00C41362" w:rsidP="00C413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 w:themeFill="background1"/>
          </w:tcPr>
          <w:p w14:paraId="7DB97B27" w14:textId="44818050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4FB6783C" w14:textId="08D8E593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262F7362" w14:textId="0EA7D2B0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 w:themeFill="background1"/>
          </w:tcPr>
          <w:p w14:paraId="056A4B6D" w14:textId="5A98410F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C3F9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59DC3963" w14:textId="37087897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D7C8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 w:themeFill="background1"/>
          </w:tcPr>
          <w:p w14:paraId="70926BEB" w14:textId="35DE70F2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D7C8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 w:themeFill="background1"/>
          </w:tcPr>
          <w:p w14:paraId="3C431839" w14:textId="59074968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 w:themeFill="background1"/>
          </w:tcPr>
          <w:p w14:paraId="7505144D" w14:textId="6E30EB2B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5EE8C6C1" w14:textId="4A0F8A3A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231DD2D3" w14:textId="3B7FC234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 w:themeFill="background1"/>
          </w:tcPr>
          <w:p w14:paraId="4A2DB408" w14:textId="475936D3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 w:themeFill="background1"/>
          </w:tcPr>
          <w:p w14:paraId="56606667" w14:textId="3FA1D5B7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C41362" w:rsidRPr="008B4FE6" w14:paraId="05A89CC8" w14:textId="77777777" w:rsidTr="51301FFD">
        <w:trPr>
          <w:trHeight w:val="357"/>
        </w:trPr>
        <w:tc>
          <w:tcPr>
            <w:tcW w:w="3133" w:type="dxa"/>
            <w:gridSpan w:val="4"/>
            <w:shd w:val="clear" w:color="auto" w:fill="FFFFFF" w:themeFill="background1"/>
            <w:vAlign w:val="center"/>
          </w:tcPr>
          <w:p w14:paraId="425600ED" w14:textId="3E909569" w:rsidR="00C41362" w:rsidRPr="00C53F26" w:rsidRDefault="00C41362" w:rsidP="00C41362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51301FF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Narodowy Fundusz Zdrowia</w:t>
            </w:r>
          </w:p>
        </w:tc>
        <w:tc>
          <w:tcPr>
            <w:tcW w:w="569" w:type="dxa"/>
            <w:gridSpan w:val="2"/>
            <w:shd w:val="clear" w:color="auto" w:fill="FFFFFF" w:themeFill="background1"/>
          </w:tcPr>
          <w:p w14:paraId="786E6B59" w14:textId="3D609A63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3F191AB6" w14:textId="7AD5D573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412288D1" w14:textId="2D209A6A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 w:themeFill="background1"/>
          </w:tcPr>
          <w:p w14:paraId="64E78574" w14:textId="1D41EF14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C3F9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20F79094" w14:textId="3C77D093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D7C8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 w:themeFill="background1"/>
          </w:tcPr>
          <w:p w14:paraId="547244A6" w14:textId="415A39C0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D7C8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 w:themeFill="background1"/>
          </w:tcPr>
          <w:p w14:paraId="3EC067B3" w14:textId="1846C7DC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 w:themeFill="background1"/>
          </w:tcPr>
          <w:p w14:paraId="76571E3B" w14:textId="7B1763AD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072FC655" w14:textId="05AF3A3B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4ED858F6" w14:textId="3D729900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 w:themeFill="background1"/>
          </w:tcPr>
          <w:p w14:paraId="5CD9A40A" w14:textId="5719E9FE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 w:themeFill="background1"/>
          </w:tcPr>
          <w:p w14:paraId="24770933" w14:textId="69667DA6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941C60" w:rsidRPr="008B4FE6" w14:paraId="0C3D4237" w14:textId="77777777" w:rsidTr="51301FF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 w:themeFill="background1"/>
            <w:vAlign w:val="center"/>
          </w:tcPr>
          <w:p w14:paraId="3093616D" w14:textId="77777777" w:rsidR="006A701A" w:rsidRPr="00C53F26" w:rsidRDefault="006A701A" w:rsidP="005741E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 w:themeFill="background1"/>
            <w:vAlign w:val="center"/>
          </w:tcPr>
          <w:p w14:paraId="170F2404" w14:textId="06E1F449" w:rsidR="006A701A" w:rsidRDefault="204FA687" w:rsidP="003454D9">
            <w:pPr>
              <w:spacing w:before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08CC">
              <w:rPr>
                <w:rFonts w:ascii="Times New Roman" w:hAnsi="Times New Roman"/>
                <w:color w:val="000000" w:themeColor="text1"/>
              </w:rPr>
              <w:t>Projektowana zmiana nie będzie miała wpływu na budżet państwa i budżety jednostek samorządu terytorialnego</w:t>
            </w:r>
            <w:r w:rsidR="00227E7D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38752F10" w14:textId="1656254C" w:rsidR="00227E7D" w:rsidRPr="00227E7D" w:rsidRDefault="00227E7D" w:rsidP="00227E7D">
            <w:pPr>
              <w:spacing w:before="6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27E7D">
              <w:rPr>
                <w:rFonts w:ascii="Times New Roman" w:hAnsi="Times New Roman"/>
                <w:color w:val="000000"/>
              </w:rPr>
              <w:t xml:space="preserve">Środki na finansowanie realizacji projektowanej zmiany na rok 2023 </w:t>
            </w:r>
            <w:r w:rsidR="009B7ED5">
              <w:rPr>
                <w:rFonts w:ascii="Times New Roman" w:hAnsi="Times New Roman"/>
                <w:color w:val="000000"/>
              </w:rPr>
              <w:t>zabezpieczone zostaną w ramach</w:t>
            </w:r>
            <w:r w:rsidRPr="00227E7D">
              <w:rPr>
                <w:rFonts w:ascii="Times New Roman" w:hAnsi="Times New Roman"/>
                <w:color w:val="000000"/>
              </w:rPr>
              <w:t xml:space="preserve"> dodatkowych środków</w:t>
            </w:r>
            <w:r w:rsidR="009B7ED5">
              <w:rPr>
                <w:rFonts w:ascii="Times New Roman" w:hAnsi="Times New Roman"/>
                <w:color w:val="000000"/>
              </w:rPr>
              <w:t xml:space="preserve"> z budżetu NFZ</w:t>
            </w:r>
            <w:r w:rsidRPr="00227E7D">
              <w:rPr>
                <w:rFonts w:ascii="Times New Roman" w:hAnsi="Times New Roman"/>
                <w:color w:val="000000"/>
              </w:rPr>
              <w:t>, np. z funduszu zapasowego, rezerwy ogólnej lub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27E7D">
              <w:rPr>
                <w:rFonts w:ascii="Times New Roman" w:hAnsi="Times New Roman"/>
                <w:color w:val="000000"/>
              </w:rPr>
              <w:t>innych źródeł.</w:t>
            </w:r>
          </w:p>
          <w:p w14:paraId="3AE55D68" w14:textId="585A1DF5" w:rsidR="006A701A" w:rsidRPr="00B37C80" w:rsidRDefault="00227E7D" w:rsidP="009B7ED5">
            <w:pPr>
              <w:spacing w:before="6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27E7D">
              <w:rPr>
                <w:rFonts w:ascii="Times New Roman" w:hAnsi="Times New Roman"/>
                <w:color w:val="000000"/>
              </w:rPr>
              <w:t>Środki na finansowanie realizacji projektowanej zmiany w 2024 r. i latach następnych zostaną</w:t>
            </w:r>
            <w:r w:rsidR="009B7ED5">
              <w:rPr>
                <w:rFonts w:ascii="Times New Roman" w:hAnsi="Times New Roman"/>
                <w:color w:val="000000"/>
              </w:rPr>
              <w:t xml:space="preserve"> </w:t>
            </w:r>
            <w:r w:rsidRPr="00227E7D">
              <w:rPr>
                <w:rFonts w:ascii="Times New Roman" w:hAnsi="Times New Roman"/>
                <w:color w:val="000000"/>
              </w:rPr>
              <w:t>zabezpieczone w planach finansowych NFZ na 2024 r. i lata następne.</w:t>
            </w:r>
          </w:p>
        </w:tc>
      </w:tr>
      <w:tr w:rsidR="00E24BD7" w:rsidRPr="008B4FE6" w14:paraId="3C9C9F2A" w14:textId="77777777" w:rsidTr="003454D9">
        <w:trPr>
          <w:gridAfter w:val="1"/>
          <w:wAfter w:w="10" w:type="dxa"/>
          <w:trHeight w:val="1408"/>
        </w:trPr>
        <w:tc>
          <w:tcPr>
            <w:tcW w:w="2243" w:type="dxa"/>
            <w:gridSpan w:val="2"/>
            <w:shd w:val="clear" w:color="auto" w:fill="FFFFFF" w:themeFill="background1"/>
          </w:tcPr>
          <w:p w14:paraId="2521ECE2" w14:textId="77777777" w:rsidR="00E24BD7" w:rsidRPr="00C53F26" w:rsidRDefault="001B3460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 w:themeFill="background1"/>
          </w:tcPr>
          <w:p w14:paraId="680CC5C5" w14:textId="5B6B9D09" w:rsidR="00C772AD" w:rsidRDefault="00C772AD" w:rsidP="00C772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Wpływu na budżet płatnika dokonano w oparciu o estymowaną </w:t>
            </w:r>
            <w:r w:rsidR="008C3830">
              <w:rPr>
                <w:sz w:val="22"/>
                <w:szCs w:val="22"/>
              </w:rPr>
              <w:t xml:space="preserve">(w momencie sporządzania opracowania przez Agencję Oceny Technologii Medycznej i Taryfikacji) </w:t>
            </w:r>
            <w:r>
              <w:rPr>
                <w:sz w:val="22"/>
                <w:szCs w:val="22"/>
              </w:rPr>
              <w:t xml:space="preserve">na 2022 rok liczbę świadczeń, uwzględniając ceny, które będą obowiązywały od </w:t>
            </w:r>
            <w:r w:rsidR="00C02C43">
              <w:rPr>
                <w:sz w:val="22"/>
                <w:szCs w:val="22"/>
              </w:rPr>
              <w:t xml:space="preserve">dnia </w:t>
            </w:r>
            <w:r>
              <w:rPr>
                <w:sz w:val="22"/>
                <w:szCs w:val="22"/>
              </w:rPr>
              <w:t>1 lipca 2023</w:t>
            </w:r>
            <w:r w:rsidR="003B7E67">
              <w:rPr>
                <w:sz w:val="22"/>
                <w:szCs w:val="22"/>
              </w:rPr>
              <w:t xml:space="preserve"> r</w:t>
            </w:r>
            <w:r>
              <w:rPr>
                <w:sz w:val="22"/>
                <w:szCs w:val="22"/>
              </w:rPr>
              <w:t xml:space="preserve">. </w:t>
            </w:r>
          </w:p>
          <w:p w14:paraId="4D0C1079" w14:textId="143C265C" w:rsidR="00C772AD" w:rsidRDefault="00C772AD" w:rsidP="00C772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oszacowaniach przyjęto założenie, iż 17% spośród dotychczasowych zabiegów będzie odbywało się z wykorzystaniem systemu robotycznego, zgodnie z analizą </w:t>
            </w:r>
            <w:r w:rsidR="00227E7D">
              <w:rPr>
                <w:sz w:val="22"/>
                <w:szCs w:val="22"/>
              </w:rPr>
              <w:t>poniżej</w:t>
            </w:r>
            <w:r>
              <w:rPr>
                <w:sz w:val="22"/>
                <w:szCs w:val="22"/>
              </w:rPr>
              <w:t xml:space="preserve">. </w:t>
            </w:r>
          </w:p>
          <w:p w14:paraId="3488446B" w14:textId="62984F8B" w:rsidR="00C772AD" w:rsidRDefault="00C772AD" w:rsidP="00C772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Wpływu na budżet płatnika oszacowano w oparciu o </w:t>
            </w:r>
            <w:r w:rsidRPr="00C772AD">
              <w:rPr>
                <w:sz w:val="22"/>
                <w:szCs w:val="22"/>
              </w:rPr>
              <w:t>ICD-10 C18-C20; C53-C55</w:t>
            </w:r>
            <w:r>
              <w:rPr>
                <w:sz w:val="22"/>
                <w:szCs w:val="22"/>
              </w:rPr>
              <w:t>.</w:t>
            </w:r>
          </w:p>
          <w:p w14:paraId="010D7A25" w14:textId="77777777" w:rsidR="00C772AD" w:rsidRDefault="00C772AD" w:rsidP="00C772AD">
            <w:pPr>
              <w:pStyle w:val="Default"/>
              <w:rPr>
                <w:sz w:val="22"/>
                <w:szCs w:val="22"/>
              </w:rPr>
            </w:pPr>
          </w:p>
          <w:p w14:paraId="3A7677F6" w14:textId="2AB2D97D" w:rsidR="00C772AD" w:rsidRDefault="00C772AD" w:rsidP="00C772A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772AD">
              <w:rPr>
                <w:rFonts w:ascii="Times New Roman" w:hAnsi="Times New Roman"/>
              </w:rPr>
              <w:t>Szczegółowe dane przedstawia poniższa tabela.</w:t>
            </w:r>
          </w:p>
          <w:p w14:paraId="03E1C4C8" w14:textId="77777777" w:rsidR="00C772AD" w:rsidRDefault="00C772AD" w:rsidP="00C772AD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tbl>
            <w:tblPr>
              <w:tblStyle w:val="Tabela-Siatka"/>
              <w:tblW w:w="8364" w:type="dxa"/>
              <w:tblInd w:w="81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34"/>
              <w:gridCol w:w="1385"/>
              <w:gridCol w:w="1178"/>
              <w:gridCol w:w="1557"/>
              <w:gridCol w:w="1090"/>
              <w:gridCol w:w="934"/>
              <w:gridCol w:w="719"/>
            </w:tblGrid>
            <w:tr w:rsidR="00B154D9" w:rsidRPr="00B154D9" w14:paraId="1173E09D" w14:textId="77777777" w:rsidTr="00B154D9">
              <w:tc>
                <w:tcPr>
                  <w:tcW w:w="567" w:type="dxa"/>
                </w:tcPr>
                <w:p w14:paraId="72ECA4F1" w14:textId="77777777" w:rsidR="00B154D9" w:rsidRPr="00B154D9" w:rsidRDefault="00B154D9" w:rsidP="00B154D9">
                  <w:pPr>
                    <w:rPr>
                      <w:rFonts w:ascii="Lato" w:hAnsi="Lato"/>
                      <w:sz w:val="12"/>
                      <w:szCs w:val="12"/>
                    </w:rPr>
                  </w:pPr>
                  <w:r w:rsidRPr="00B154D9">
                    <w:rPr>
                      <w:rFonts w:ascii="Lato" w:hAnsi="Lato"/>
                      <w:sz w:val="12"/>
                      <w:szCs w:val="12"/>
                    </w:rPr>
                    <w:t>l.p.</w:t>
                  </w:r>
                </w:p>
              </w:tc>
              <w:tc>
                <w:tcPr>
                  <w:tcW w:w="934" w:type="dxa"/>
                </w:tcPr>
                <w:p w14:paraId="7B80B93E" w14:textId="77777777" w:rsidR="00B154D9" w:rsidRPr="00B154D9" w:rsidRDefault="00B154D9" w:rsidP="00B154D9">
                  <w:pPr>
                    <w:rPr>
                      <w:rFonts w:ascii="Lato" w:hAnsi="Lato"/>
                      <w:sz w:val="12"/>
                      <w:szCs w:val="12"/>
                    </w:rPr>
                  </w:pPr>
                  <w:r w:rsidRPr="00B154D9">
                    <w:rPr>
                      <w:rFonts w:ascii="Lato" w:hAnsi="Lato"/>
                      <w:sz w:val="12"/>
                      <w:szCs w:val="12"/>
                    </w:rPr>
                    <w:t>Lokalizacja nowotworu</w:t>
                  </w:r>
                </w:p>
              </w:tc>
              <w:tc>
                <w:tcPr>
                  <w:tcW w:w="1385" w:type="dxa"/>
                </w:tcPr>
                <w:p w14:paraId="144F7DEE" w14:textId="77777777" w:rsidR="00B154D9" w:rsidRPr="00B154D9" w:rsidRDefault="00B154D9" w:rsidP="00B154D9">
                  <w:pPr>
                    <w:rPr>
                      <w:rFonts w:ascii="Lato" w:hAnsi="Lato"/>
                      <w:sz w:val="12"/>
                      <w:szCs w:val="12"/>
                    </w:rPr>
                  </w:pPr>
                  <w:r w:rsidRPr="00B154D9">
                    <w:rPr>
                      <w:rFonts w:ascii="Lato" w:hAnsi="Lato"/>
                      <w:sz w:val="12"/>
                      <w:szCs w:val="12"/>
                    </w:rPr>
                    <w:t>Rozpoznanie ICD-10</w:t>
                  </w:r>
                </w:p>
              </w:tc>
              <w:tc>
                <w:tcPr>
                  <w:tcW w:w="1178" w:type="dxa"/>
                </w:tcPr>
                <w:p w14:paraId="489ED76C" w14:textId="77777777" w:rsidR="00B154D9" w:rsidRPr="00B154D9" w:rsidRDefault="00B154D9" w:rsidP="00B154D9">
                  <w:pPr>
                    <w:rPr>
                      <w:rFonts w:ascii="Lato" w:hAnsi="Lato"/>
                      <w:sz w:val="12"/>
                      <w:szCs w:val="12"/>
                    </w:rPr>
                  </w:pPr>
                  <w:r w:rsidRPr="00B154D9">
                    <w:rPr>
                      <w:rFonts w:ascii="Lato" w:hAnsi="Lato"/>
                      <w:sz w:val="12"/>
                      <w:szCs w:val="12"/>
                    </w:rPr>
                    <w:t>Liczba świadczeń</w:t>
                  </w:r>
                </w:p>
              </w:tc>
              <w:tc>
                <w:tcPr>
                  <w:tcW w:w="1557" w:type="dxa"/>
                </w:tcPr>
                <w:p w14:paraId="10BB1A69" w14:textId="77777777" w:rsidR="00B154D9" w:rsidRPr="00B154D9" w:rsidRDefault="00B154D9" w:rsidP="00B154D9">
                  <w:pPr>
                    <w:rPr>
                      <w:rFonts w:ascii="Lato" w:hAnsi="Lato"/>
                      <w:sz w:val="12"/>
                      <w:szCs w:val="12"/>
                    </w:rPr>
                  </w:pPr>
                  <w:r w:rsidRPr="00B154D9">
                    <w:rPr>
                      <w:rFonts w:ascii="Lato" w:hAnsi="Lato"/>
                      <w:sz w:val="12"/>
                      <w:szCs w:val="12"/>
                    </w:rPr>
                    <w:t xml:space="preserve">Szacowana liczba operacji robotycznych </w:t>
                  </w:r>
                </w:p>
              </w:tc>
              <w:tc>
                <w:tcPr>
                  <w:tcW w:w="1090" w:type="dxa"/>
                </w:tcPr>
                <w:p w14:paraId="74F0EF41" w14:textId="77777777" w:rsidR="00B154D9" w:rsidRPr="00B154D9" w:rsidRDefault="00B154D9" w:rsidP="00B154D9">
                  <w:pPr>
                    <w:rPr>
                      <w:rFonts w:ascii="Lato" w:hAnsi="Lato"/>
                      <w:sz w:val="12"/>
                      <w:szCs w:val="12"/>
                    </w:rPr>
                  </w:pPr>
                  <w:r w:rsidRPr="00B154D9">
                    <w:rPr>
                      <w:rFonts w:ascii="Lato" w:hAnsi="Lato"/>
                      <w:sz w:val="12"/>
                      <w:szCs w:val="12"/>
                    </w:rPr>
                    <w:t xml:space="preserve">Wartość świadczeń obecnie </w:t>
                  </w:r>
                </w:p>
              </w:tc>
              <w:tc>
                <w:tcPr>
                  <w:tcW w:w="934" w:type="dxa"/>
                </w:tcPr>
                <w:p w14:paraId="5A178AE5" w14:textId="77777777" w:rsidR="00B154D9" w:rsidRPr="00B154D9" w:rsidRDefault="00B154D9" w:rsidP="00B154D9">
                  <w:pPr>
                    <w:rPr>
                      <w:rFonts w:ascii="Lato" w:hAnsi="Lato"/>
                      <w:sz w:val="12"/>
                      <w:szCs w:val="12"/>
                    </w:rPr>
                  </w:pPr>
                  <w:r w:rsidRPr="00B154D9">
                    <w:rPr>
                      <w:rFonts w:ascii="Lato" w:hAnsi="Lato"/>
                      <w:sz w:val="12"/>
                      <w:szCs w:val="12"/>
                    </w:rPr>
                    <w:t>Wartość świadczeń z wykorzystaniem da Vinci</w:t>
                  </w:r>
                </w:p>
              </w:tc>
              <w:tc>
                <w:tcPr>
                  <w:tcW w:w="719" w:type="dxa"/>
                </w:tcPr>
                <w:p w14:paraId="54385DD0" w14:textId="77777777" w:rsidR="00B154D9" w:rsidRPr="00B154D9" w:rsidRDefault="00B154D9" w:rsidP="00B154D9">
                  <w:pPr>
                    <w:rPr>
                      <w:rFonts w:ascii="Lato" w:hAnsi="Lato"/>
                      <w:sz w:val="12"/>
                      <w:szCs w:val="12"/>
                    </w:rPr>
                  </w:pPr>
                  <w:r w:rsidRPr="00B154D9">
                    <w:rPr>
                      <w:rFonts w:ascii="Lato" w:hAnsi="Lato"/>
                      <w:sz w:val="12"/>
                      <w:szCs w:val="12"/>
                    </w:rPr>
                    <w:t xml:space="preserve">BIA </w:t>
                  </w:r>
                </w:p>
              </w:tc>
            </w:tr>
            <w:tr w:rsidR="00B154D9" w:rsidRPr="00B154D9" w14:paraId="40B4573A" w14:textId="77777777" w:rsidTr="00B154D9">
              <w:tc>
                <w:tcPr>
                  <w:tcW w:w="567" w:type="dxa"/>
                </w:tcPr>
                <w:p w14:paraId="257C97AA" w14:textId="77777777" w:rsidR="00B154D9" w:rsidRPr="00B154D9" w:rsidRDefault="00B154D9" w:rsidP="00B154D9">
                  <w:pPr>
                    <w:rPr>
                      <w:rFonts w:ascii="Lato" w:hAnsi="Lato"/>
                      <w:sz w:val="12"/>
                      <w:szCs w:val="12"/>
                    </w:rPr>
                  </w:pPr>
                </w:p>
              </w:tc>
              <w:tc>
                <w:tcPr>
                  <w:tcW w:w="934" w:type="dxa"/>
                </w:tcPr>
                <w:p w14:paraId="0A005712" w14:textId="77777777" w:rsidR="00B154D9" w:rsidRDefault="00B154D9" w:rsidP="00B154D9">
                  <w:pPr>
                    <w:rPr>
                      <w:rFonts w:ascii="Lato" w:hAnsi="Lato"/>
                      <w:sz w:val="12"/>
                      <w:szCs w:val="12"/>
                    </w:rPr>
                  </w:pPr>
                  <w:r w:rsidRPr="00B154D9">
                    <w:rPr>
                      <w:rFonts w:ascii="Lato" w:hAnsi="Lato"/>
                      <w:sz w:val="12"/>
                      <w:szCs w:val="12"/>
                    </w:rPr>
                    <w:t xml:space="preserve">Jelito grube i </w:t>
                  </w:r>
                </w:p>
                <w:p w14:paraId="3B34D48A" w14:textId="77777777" w:rsidR="00B154D9" w:rsidRDefault="00B154D9" w:rsidP="00B154D9">
                  <w:pPr>
                    <w:rPr>
                      <w:rFonts w:ascii="Lato" w:hAnsi="Lato"/>
                      <w:sz w:val="12"/>
                      <w:szCs w:val="12"/>
                    </w:rPr>
                  </w:pPr>
                </w:p>
                <w:p w14:paraId="37D32A2D" w14:textId="4A18F9D2" w:rsidR="00B154D9" w:rsidRPr="00B154D9" w:rsidRDefault="00B154D9" w:rsidP="00B154D9">
                  <w:pPr>
                    <w:rPr>
                      <w:rFonts w:ascii="Lato" w:hAnsi="Lato"/>
                      <w:sz w:val="12"/>
                      <w:szCs w:val="12"/>
                    </w:rPr>
                  </w:pPr>
                  <w:r w:rsidRPr="00B154D9">
                    <w:rPr>
                      <w:rFonts w:ascii="Lato" w:hAnsi="Lato"/>
                      <w:sz w:val="12"/>
                      <w:szCs w:val="12"/>
                    </w:rPr>
                    <w:t>macica (ogółem)</w:t>
                  </w:r>
                </w:p>
              </w:tc>
              <w:tc>
                <w:tcPr>
                  <w:tcW w:w="1385" w:type="dxa"/>
                </w:tcPr>
                <w:p w14:paraId="3B05DCE2" w14:textId="77777777" w:rsidR="00B154D9" w:rsidRPr="00B154D9" w:rsidRDefault="00B154D9" w:rsidP="00B154D9">
                  <w:pPr>
                    <w:rPr>
                      <w:rFonts w:ascii="Lato" w:hAnsi="Lato"/>
                      <w:sz w:val="12"/>
                      <w:szCs w:val="12"/>
                    </w:rPr>
                  </w:pPr>
                  <w:r w:rsidRPr="00B154D9">
                    <w:rPr>
                      <w:rFonts w:ascii="Lato" w:hAnsi="Lato"/>
                      <w:sz w:val="12"/>
                      <w:szCs w:val="12"/>
                    </w:rPr>
                    <w:t>C18-C20</w:t>
                  </w:r>
                </w:p>
                <w:p w14:paraId="6AF7B074" w14:textId="77777777" w:rsidR="00B154D9" w:rsidRPr="00B154D9" w:rsidRDefault="00B154D9" w:rsidP="00B154D9">
                  <w:pPr>
                    <w:rPr>
                      <w:rFonts w:ascii="Lato" w:hAnsi="Lato"/>
                      <w:sz w:val="12"/>
                      <w:szCs w:val="12"/>
                    </w:rPr>
                  </w:pPr>
                </w:p>
                <w:p w14:paraId="3B3930A0" w14:textId="77777777" w:rsidR="00B154D9" w:rsidRPr="00B154D9" w:rsidRDefault="00B154D9" w:rsidP="00B154D9">
                  <w:pPr>
                    <w:rPr>
                      <w:rFonts w:ascii="Lato" w:hAnsi="Lato"/>
                      <w:sz w:val="12"/>
                      <w:szCs w:val="12"/>
                    </w:rPr>
                  </w:pPr>
                  <w:r w:rsidRPr="00B154D9">
                    <w:rPr>
                      <w:rFonts w:ascii="Lato" w:hAnsi="Lato"/>
                      <w:sz w:val="12"/>
                      <w:szCs w:val="12"/>
                    </w:rPr>
                    <w:t>C53-C55</w:t>
                  </w:r>
                </w:p>
              </w:tc>
              <w:tc>
                <w:tcPr>
                  <w:tcW w:w="1178" w:type="dxa"/>
                </w:tcPr>
                <w:p w14:paraId="1C0B45EA" w14:textId="77777777" w:rsidR="00B154D9" w:rsidRPr="00B154D9" w:rsidRDefault="00B154D9" w:rsidP="00B154D9">
                  <w:pPr>
                    <w:rPr>
                      <w:rFonts w:ascii="Lato" w:hAnsi="Lato"/>
                      <w:sz w:val="12"/>
                      <w:szCs w:val="12"/>
                    </w:rPr>
                  </w:pPr>
                </w:p>
                <w:p w14:paraId="7785E909" w14:textId="77777777" w:rsidR="00B154D9" w:rsidRPr="00B154D9" w:rsidRDefault="00B154D9" w:rsidP="00B154D9">
                  <w:pPr>
                    <w:rPr>
                      <w:rFonts w:ascii="Lato" w:hAnsi="Lato"/>
                      <w:sz w:val="12"/>
                      <w:szCs w:val="12"/>
                    </w:rPr>
                  </w:pPr>
                  <w:r w:rsidRPr="00B154D9">
                    <w:rPr>
                      <w:rFonts w:ascii="Lato" w:hAnsi="Lato"/>
                      <w:sz w:val="12"/>
                      <w:szCs w:val="12"/>
                    </w:rPr>
                    <w:t>23 276</w:t>
                  </w:r>
                </w:p>
              </w:tc>
              <w:tc>
                <w:tcPr>
                  <w:tcW w:w="1557" w:type="dxa"/>
                </w:tcPr>
                <w:p w14:paraId="674A05F6" w14:textId="77777777" w:rsidR="00B154D9" w:rsidRPr="00B154D9" w:rsidRDefault="00B154D9" w:rsidP="00B154D9">
                  <w:pPr>
                    <w:rPr>
                      <w:rFonts w:ascii="Lato" w:hAnsi="Lato"/>
                      <w:sz w:val="12"/>
                      <w:szCs w:val="12"/>
                    </w:rPr>
                  </w:pPr>
                </w:p>
                <w:p w14:paraId="1DD3ACC6" w14:textId="77777777" w:rsidR="00B154D9" w:rsidRPr="00B154D9" w:rsidRDefault="00B154D9" w:rsidP="00B154D9">
                  <w:pPr>
                    <w:rPr>
                      <w:rFonts w:ascii="Lato" w:hAnsi="Lato"/>
                      <w:sz w:val="12"/>
                      <w:szCs w:val="12"/>
                    </w:rPr>
                  </w:pPr>
                  <w:r w:rsidRPr="00B154D9">
                    <w:rPr>
                      <w:rFonts w:ascii="Lato" w:hAnsi="Lato"/>
                      <w:sz w:val="12"/>
                      <w:szCs w:val="12"/>
                    </w:rPr>
                    <w:t>3 949</w:t>
                  </w:r>
                </w:p>
              </w:tc>
              <w:tc>
                <w:tcPr>
                  <w:tcW w:w="1090" w:type="dxa"/>
                </w:tcPr>
                <w:p w14:paraId="5C97EBD0" w14:textId="77777777" w:rsidR="00B154D9" w:rsidRPr="00B154D9" w:rsidRDefault="00B154D9" w:rsidP="00B154D9">
                  <w:pPr>
                    <w:rPr>
                      <w:rFonts w:ascii="Lato" w:hAnsi="Lato"/>
                      <w:sz w:val="12"/>
                      <w:szCs w:val="12"/>
                    </w:rPr>
                  </w:pPr>
                </w:p>
                <w:p w14:paraId="4B3E7A21" w14:textId="77777777" w:rsidR="00B154D9" w:rsidRPr="00B154D9" w:rsidRDefault="00B154D9" w:rsidP="00B154D9">
                  <w:pPr>
                    <w:rPr>
                      <w:rFonts w:ascii="Lato" w:hAnsi="Lato"/>
                      <w:sz w:val="12"/>
                      <w:szCs w:val="12"/>
                    </w:rPr>
                  </w:pPr>
                  <w:r w:rsidRPr="00B154D9">
                    <w:rPr>
                      <w:rFonts w:ascii="Lato" w:hAnsi="Lato"/>
                      <w:sz w:val="12"/>
                      <w:szCs w:val="12"/>
                    </w:rPr>
                    <w:t>89 008 978,68</w:t>
                  </w:r>
                </w:p>
              </w:tc>
              <w:tc>
                <w:tcPr>
                  <w:tcW w:w="934" w:type="dxa"/>
                </w:tcPr>
                <w:p w14:paraId="36E02F96" w14:textId="77777777" w:rsidR="00B154D9" w:rsidRPr="00B154D9" w:rsidRDefault="00B154D9" w:rsidP="00B154D9">
                  <w:pPr>
                    <w:rPr>
                      <w:rFonts w:ascii="Lato" w:hAnsi="Lato"/>
                      <w:sz w:val="12"/>
                      <w:szCs w:val="12"/>
                    </w:rPr>
                  </w:pPr>
                </w:p>
                <w:p w14:paraId="518E6109" w14:textId="77777777" w:rsidR="00B154D9" w:rsidRPr="00B154D9" w:rsidRDefault="00B154D9" w:rsidP="00B154D9">
                  <w:pPr>
                    <w:rPr>
                      <w:rFonts w:ascii="Lato" w:hAnsi="Lato"/>
                      <w:sz w:val="12"/>
                      <w:szCs w:val="12"/>
                    </w:rPr>
                  </w:pPr>
                  <w:r w:rsidRPr="00B154D9">
                    <w:rPr>
                      <w:rFonts w:ascii="Lato" w:hAnsi="Lato"/>
                      <w:sz w:val="12"/>
                      <w:szCs w:val="12"/>
                    </w:rPr>
                    <w:t>142 799 607,72</w:t>
                  </w:r>
                </w:p>
              </w:tc>
              <w:tc>
                <w:tcPr>
                  <w:tcW w:w="719" w:type="dxa"/>
                </w:tcPr>
                <w:p w14:paraId="5E2D846A" w14:textId="77777777" w:rsidR="00B154D9" w:rsidRPr="00B154D9" w:rsidRDefault="00B154D9" w:rsidP="00B154D9">
                  <w:pPr>
                    <w:rPr>
                      <w:rFonts w:ascii="Lato" w:hAnsi="Lato"/>
                      <w:sz w:val="12"/>
                      <w:szCs w:val="12"/>
                    </w:rPr>
                  </w:pPr>
                </w:p>
                <w:p w14:paraId="133DB0CD" w14:textId="77777777" w:rsidR="00B154D9" w:rsidRPr="00B154D9" w:rsidRDefault="00B154D9" w:rsidP="00B154D9">
                  <w:pPr>
                    <w:rPr>
                      <w:rFonts w:ascii="Lato" w:hAnsi="Lato"/>
                      <w:sz w:val="12"/>
                      <w:szCs w:val="12"/>
                    </w:rPr>
                  </w:pPr>
                  <w:r w:rsidRPr="00B154D9">
                    <w:rPr>
                      <w:rFonts w:ascii="Lato" w:hAnsi="Lato"/>
                      <w:sz w:val="12"/>
                      <w:szCs w:val="12"/>
                    </w:rPr>
                    <w:t>53 790 629,04</w:t>
                  </w:r>
                </w:p>
              </w:tc>
            </w:tr>
          </w:tbl>
          <w:p w14:paraId="25ABE362" w14:textId="77777777" w:rsidR="00C772AD" w:rsidRDefault="00C772AD" w:rsidP="00C772AD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7683217B" w14:textId="7FF6C033" w:rsidR="00C772AD" w:rsidRDefault="00552C19" w:rsidP="00C772A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Dodatkowy </w:t>
            </w:r>
            <w:r w:rsidR="00C772AD">
              <w:rPr>
                <w:sz w:val="22"/>
                <w:szCs w:val="22"/>
              </w:rPr>
              <w:t xml:space="preserve">wpływ na budżet płatnika wynikający z rozszerzenia wskazań zastosowania systemu chirurgicznego da Vinci, przy przyjęciu, że 17% spośród obecnie realizowanych świadczeń zostanie wykonanych z wykorzystaniem robota, wynosi </w:t>
            </w:r>
            <w:r w:rsidR="00C772AD">
              <w:rPr>
                <w:b/>
                <w:bCs/>
                <w:sz w:val="22"/>
                <w:szCs w:val="22"/>
              </w:rPr>
              <w:t xml:space="preserve">do 53,8 mln zł </w:t>
            </w:r>
            <w:r w:rsidR="00227E7D">
              <w:rPr>
                <w:b/>
                <w:bCs/>
                <w:sz w:val="22"/>
                <w:szCs w:val="22"/>
              </w:rPr>
              <w:t xml:space="preserve">rocznie </w:t>
            </w:r>
            <w:r w:rsidR="00C772AD">
              <w:rPr>
                <w:sz w:val="22"/>
                <w:szCs w:val="22"/>
              </w:rPr>
              <w:t xml:space="preserve">w przypadku kwalifikacji rozpoznań C18-C20 oraz C53-C55. </w:t>
            </w:r>
          </w:p>
          <w:p w14:paraId="41E60F6E" w14:textId="0D23EC88" w:rsidR="00C772AD" w:rsidRDefault="00C772AD" w:rsidP="00C772A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772AD">
              <w:rPr>
                <w:rFonts w:ascii="Times New Roman" w:hAnsi="Times New Roman"/>
              </w:rPr>
              <w:t xml:space="preserve">Przyjmując założenie, </w:t>
            </w:r>
            <w:r w:rsidR="00552C19">
              <w:rPr>
                <w:rFonts w:ascii="Times New Roman" w:hAnsi="Times New Roman"/>
              </w:rPr>
              <w:t>że</w:t>
            </w:r>
            <w:r w:rsidRPr="00C772AD">
              <w:rPr>
                <w:rFonts w:ascii="Times New Roman" w:hAnsi="Times New Roman"/>
              </w:rPr>
              <w:t xml:space="preserve"> 100% świadczeń realizowanych obecnie zostałaby zrealizowanych z wykorzystaniem robota chirurgicznego, wpływ na budżet wyniósłby do </w:t>
            </w:r>
            <w:r w:rsidRPr="00C772AD">
              <w:rPr>
                <w:rFonts w:ascii="Times New Roman" w:hAnsi="Times New Roman"/>
                <w:b/>
                <w:bCs/>
              </w:rPr>
              <w:t>338,1 mln zł</w:t>
            </w:r>
            <w:r w:rsidR="00227E7D">
              <w:rPr>
                <w:rFonts w:ascii="Times New Roman" w:hAnsi="Times New Roman"/>
                <w:b/>
                <w:bCs/>
              </w:rPr>
              <w:t xml:space="preserve"> rocznie</w:t>
            </w:r>
            <w:r>
              <w:rPr>
                <w:rFonts w:ascii="Times New Roman" w:hAnsi="Times New Roman"/>
              </w:rPr>
              <w:t>.</w:t>
            </w:r>
          </w:p>
          <w:p w14:paraId="22C526D4" w14:textId="15D9DF09" w:rsidR="00B22EAA" w:rsidRPr="00B22EAA" w:rsidRDefault="00B22EAA" w:rsidP="00B22EA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22EAA">
              <w:rPr>
                <w:rFonts w:ascii="Times New Roman" w:hAnsi="Times New Roman"/>
              </w:rPr>
              <w:t xml:space="preserve">Oszacowania kosztów realizacji świadczeń dokonano w oparciu o założenia przyjęte podczas prac taryfikacyjnych w zakresie wyceny świadczenia </w:t>
            </w:r>
            <w:r w:rsidR="00C02C43">
              <w:rPr>
                <w:rFonts w:ascii="Times New Roman" w:hAnsi="Times New Roman"/>
              </w:rPr>
              <w:t>„</w:t>
            </w:r>
            <w:r w:rsidRPr="00B22EAA">
              <w:rPr>
                <w:rFonts w:ascii="Times New Roman" w:hAnsi="Times New Roman"/>
              </w:rPr>
              <w:t>Leczenie chirurgiczne z zastosowaniem systemu robotowego dla raka gruczołu krokowego</w:t>
            </w:r>
            <w:r w:rsidR="00C02C43">
              <w:rPr>
                <w:rFonts w:ascii="Times New Roman" w:hAnsi="Times New Roman"/>
              </w:rPr>
              <w:t>”</w:t>
            </w:r>
            <w:r w:rsidRPr="00B22EAA">
              <w:rPr>
                <w:rFonts w:ascii="Times New Roman" w:hAnsi="Times New Roman"/>
              </w:rPr>
              <w:t xml:space="preserve">, których wyniki </w:t>
            </w:r>
            <w:r w:rsidR="00366F12" w:rsidRPr="00366F12">
              <w:rPr>
                <w:rFonts w:ascii="Times New Roman" w:hAnsi="Times New Roman"/>
              </w:rPr>
              <w:t>Agencj</w:t>
            </w:r>
            <w:r w:rsidR="00366F12">
              <w:rPr>
                <w:rFonts w:ascii="Times New Roman" w:hAnsi="Times New Roman"/>
              </w:rPr>
              <w:t>a</w:t>
            </w:r>
            <w:r w:rsidR="00366F12" w:rsidRPr="00366F12">
              <w:rPr>
                <w:rFonts w:ascii="Times New Roman" w:hAnsi="Times New Roman"/>
              </w:rPr>
              <w:t xml:space="preserve"> Oceny Technologii Medycznych </w:t>
            </w:r>
            <w:r w:rsidRPr="00B22EAA">
              <w:rPr>
                <w:rFonts w:ascii="Times New Roman" w:hAnsi="Times New Roman"/>
              </w:rPr>
              <w:t>przekaza</w:t>
            </w:r>
            <w:r w:rsidR="00366F12">
              <w:rPr>
                <w:rFonts w:ascii="Times New Roman" w:hAnsi="Times New Roman"/>
              </w:rPr>
              <w:t>ła</w:t>
            </w:r>
            <w:r w:rsidRPr="00B22EAA">
              <w:rPr>
                <w:rFonts w:ascii="Times New Roman" w:hAnsi="Times New Roman"/>
              </w:rPr>
              <w:t xml:space="preserve"> do Ministerstwa Zdrowia w piśmie WT.521.1.2022.IR.38 z dnia 4 marca 2021 roku. </w:t>
            </w:r>
          </w:p>
          <w:p w14:paraId="006F5E53" w14:textId="624E1597" w:rsidR="00B22EAA" w:rsidRPr="00B22EAA" w:rsidRDefault="00B22EAA" w:rsidP="00B22EA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22EAA">
              <w:rPr>
                <w:rFonts w:ascii="Times New Roman" w:hAnsi="Times New Roman"/>
              </w:rPr>
              <w:t xml:space="preserve">W analizach wykorzystano dane dotyczące kosztów hospitalizacji oraz zabiegu z wykorzystaniem systemu robotowego pozyskane od 19 świadczeniodawców. Dane dotyczyły kosztów poniesionych przez podmioty w roku 2021. Do obliczeń wykorzystano również dane finansowo-księgowe za lata 2019-2020 uzyskane w trakcie innych postępowań. </w:t>
            </w:r>
          </w:p>
          <w:p w14:paraId="4B824F52" w14:textId="664923E8" w:rsidR="00B22EAA" w:rsidRPr="00B22EAA" w:rsidRDefault="00B22EAA" w:rsidP="00B22EA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22EAA">
              <w:rPr>
                <w:rFonts w:ascii="Times New Roman" w:hAnsi="Times New Roman"/>
              </w:rPr>
              <w:t xml:space="preserve">W kalkulacjach kosztów świadczenia uwzględniono: koszty pobytu, w tym koszty stałe </w:t>
            </w:r>
            <w:r w:rsidR="00C02C43">
              <w:rPr>
                <w:rFonts w:ascii="Times New Roman" w:hAnsi="Times New Roman"/>
              </w:rPr>
              <w:t>i</w:t>
            </w:r>
            <w:r w:rsidRPr="00B22EAA">
              <w:rPr>
                <w:rFonts w:ascii="Times New Roman" w:hAnsi="Times New Roman"/>
              </w:rPr>
              <w:t xml:space="preserve"> koszty zmienne (leki, wyroby medyczne oraz procedury) oraz koszty zabiegu, w tym koszty infrastruktury bloku, wynagrodzeń, leków i wyrobów medycznych, a także narzędzi do systemu robotowego, sterylizacji narzędzi robotowych oraz serwisu systemu robotowego. Ze względu na fakt, </w:t>
            </w:r>
            <w:r w:rsidR="00C02C43">
              <w:rPr>
                <w:rFonts w:ascii="Times New Roman" w:hAnsi="Times New Roman"/>
              </w:rPr>
              <w:t>że</w:t>
            </w:r>
            <w:r w:rsidRPr="00B22EAA">
              <w:rPr>
                <w:rFonts w:ascii="Times New Roman" w:hAnsi="Times New Roman"/>
              </w:rPr>
              <w:t xml:space="preserve"> większość świadczeniodawców nie poniosło realnie kosztów zakupu sprzętu, nie brano pod uwagę kosztów amortyzacji robota. Wynik analizy kosztów z uwzględnieniem lokalizacji nowotworu przedstawia poniższa tabela.</w:t>
            </w:r>
          </w:p>
          <w:p w14:paraId="6129ED55" w14:textId="77777777" w:rsidR="00B22EAA" w:rsidRPr="00B22EAA" w:rsidRDefault="00B22EAA" w:rsidP="00B22EA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2082B471" w14:textId="77777777" w:rsidR="00B22EAA" w:rsidRPr="00B22EAA" w:rsidRDefault="00B22EAA" w:rsidP="00B22EA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22EAA">
              <w:rPr>
                <w:rFonts w:ascii="Times New Roman" w:hAnsi="Times New Roman"/>
              </w:rPr>
              <w:t>Tabela 1 Wynik analizy kosztów – 2021 r.</w:t>
            </w:r>
          </w:p>
          <w:tbl>
            <w:tblPr>
              <w:tblStyle w:val="Tabela-Siatka"/>
              <w:tblW w:w="8526" w:type="dxa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2156"/>
              <w:gridCol w:w="2059"/>
              <w:gridCol w:w="2156"/>
            </w:tblGrid>
            <w:tr w:rsidR="00DF092D" w:rsidRPr="00DF092D" w14:paraId="2145F2C4" w14:textId="77777777" w:rsidTr="00642431">
              <w:trPr>
                <w:trHeight w:val="261"/>
              </w:trPr>
              <w:tc>
                <w:tcPr>
                  <w:tcW w:w="2155" w:type="dxa"/>
                </w:tcPr>
                <w:p w14:paraId="61451F5D" w14:textId="77777777" w:rsidR="00DF092D" w:rsidRPr="00DF092D" w:rsidRDefault="00DF092D" w:rsidP="00DF092D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DF092D">
                    <w:rPr>
                      <w:rFonts w:ascii="Times New Roman" w:hAnsi="Times New Roman"/>
                      <w:b/>
                      <w:bCs/>
                    </w:rPr>
                    <w:t>Lokalizacja nowotworu</w:t>
                  </w:r>
                </w:p>
              </w:tc>
              <w:tc>
                <w:tcPr>
                  <w:tcW w:w="2156" w:type="dxa"/>
                </w:tcPr>
                <w:p w14:paraId="33D1214E" w14:textId="77777777" w:rsidR="00DF092D" w:rsidRPr="00DF092D" w:rsidRDefault="00DF092D" w:rsidP="00DF092D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DF092D">
                    <w:rPr>
                      <w:rFonts w:ascii="Times New Roman" w:hAnsi="Times New Roman"/>
                      <w:b/>
                      <w:bCs/>
                    </w:rPr>
                    <w:t>Składowe świadczenia</w:t>
                  </w:r>
                </w:p>
              </w:tc>
              <w:tc>
                <w:tcPr>
                  <w:tcW w:w="2059" w:type="dxa"/>
                </w:tcPr>
                <w:p w14:paraId="78F7841A" w14:textId="77777777" w:rsidR="00DF092D" w:rsidRPr="00DF092D" w:rsidRDefault="00DF092D" w:rsidP="00DF092D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DF092D">
                    <w:rPr>
                      <w:rFonts w:ascii="Times New Roman" w:hAnsi="Times New Roman"/>
                      <w:b/>
                      <w:bCs/>
                    </w:rPr>
                    <w:t xml:space="preserve">Wynik analizy kosztów </w:t>
                  </w:r>
                </w:p>
              </w:tc>
              <w:tc>
                <w:tcPr>
                  <w:tcW w:w="2156" w:type="dxa"/>
                </w:tcPr>
                <w:p w14:paraId="4A93C052" w14:textId="77777777" w:rsidR="00DF092D" w:rsidRPr="00DF092D" w:rsidRDefault="00DF092D" w:rsidP="00DF092D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DF092D">
                    <w:rPr>
                      <w:rFonts w:ascii="Times New Roman" w:hAnsi="Times New Roman"/>
                      <w:b/>
                      <w:bCs/>
                    </w:rPr>
                    <w:t xml:space="preserve">Koszt całkowity </w:t>
                  </w:r>
                </w:p>
              </w:tc>
            </w:tr>
            <w:tr w:rsidR="00DF092D" w:rsidRPr="00DF092D" w14:paraId="3758B828" w14:textId="77777777" w:rsidTr="00642431">
              <w:trPr>
                <w:trHeight w:val="261"/>
              </w:trPr>
              <w:tc>
                <w:tcPr>
                  <w:tcW w:w="2155" w:type="dxa"/>
                  <w:vMerge w:val="restart"/>
                </w:tcPr>
                <w:p w14:paraId="137F0F0A" w14:textId="77777777" w:rsidR="00DF092D" w:rsidRPr="00DF092D" w:rsidRDefault="00DF092D" w:rsidP="00DF092D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F092D">
                    <w:rPr>
                      <w:rFonts w:ascii="Times New Roman" w:hAnsi="Times New Roman"/>
                    </w:rPr>
                    <w:t xml:space="preserve">Jelito grube </w:t>
                  </w:r>
                </w:p>
              </w:tc>
              <w:tc>
                <w:tcPr>
                  <w:tcW w:w="2156" w:type="dxa"/>
                </w:tcPr>
                <w:p w14:paraId="0C70B134" w14:textId="77777777" w:rsidR="00DF092D" w:rsidRPr="00DF092D" w:rsidRDefault="00DF092D" w:rsidP="00DF092D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F092D">
                    <w:rPr>
                      <w:rFonts w:ascii="Times New Roman" w:hAnsi="Times New Roman"/>
                    </w:rPr>
                    <w:t xml:space="preserve">Koszt hospitalizacji </w:t>
                  </w:r>
                </w:p>
              </w:tc>
              <w:tc>
                <w:tcPr>
                  <w:tcW w:w="2059" w:type="dxa"/>
                </w:tcPr>
                <w:p w14:paraId="5A4ABEB4" w14:textId="77777777" w:rsidR="00DF092D" w:rsidRPr="00DF092D" w:rsidRDefault="00DF092D" w:rsidP="00DF092D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F092D">
                    <w:rPr>
                      <w:rFonts w:ascii="Times New Roman" w:hAnsi="Times New Roman"/>
                    </w:rPr>
                    <w:t xml:space="preserve">  8 442,60</w:t>
                  </w:r>
                </w:p>
              </w:tc>
              <w:tc>
                <w:tcPr>
                  <w:tcW w:w="2156" w:type="dxa"/>
                  <w:vMerge w:val="restart"/>
                </w:tcPr>
                <w:p w14:paraId="0082DCAE" w14:textId="77777777" w:rsidR="00DF092D" w:rsidRPr="00DF092D" w:rsidRDefault="00DF092D" w:rsidP="00DF092D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F092D">
                    <w:rPr>
                      <w:rFonts w:ascii="Times New Roman" w:hAnsi="Times New Roman"/>
                    </w:rPr>
                    <w:t>27 361,86</w:t>
                  </w:r>
                </w:p>
              </w:tc>
            </w:tr>
            <w:tr w:rsidR="00DF092D" w:rsidRPr="00DF092D" w14:paraId="7F1D64E0" w14:textId="77777777" w:rsidTr="00642431">
              <w:trPr>
                <w:trHeight w:val="148"/>
              </w:trPr>
              <w:tc>
                <w:tcPr>
                  <w:tcW w:w="2155" w:type="dxa"/>
                  <w:vMerge/>
                </w:tcPr>
                <w:p w14:paraId="619DB22B" w14:textId="77777777" w:rsidR="00DF092D" w:rsidRPr="00DF092D" w:rsidRDefault="00DF092D" w:rsidP="00DF092D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56" w:type="dxa"/>
                </w:tcPr>
                <w:p w14:paraId="79C9068A" w14:textId="77777777" w:rsidR="00DF092D" w:rsidRPr="00DF092D" w:rsidRDefault="00DF092D" w:rsidP="00DF092D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F092D">
                    <w:rPr>
                      <w:rFonts w:ascii="Times New Roman" w:hAnsi="Times New Roman"/>
                    </w:rPr>
                    <w:t xml:space="preserve">Koszt procedury zabiegowej </w:t>
                  </w:r>
                </w:p>
              </w:tc>
              <w:tc>
                <w:tcPr>
                  <w:tcW w:w="2059" w:type="dxa"/>
                </w:tcPr>
                <w:p w14:paraId="300CE40E" w14:textId="77777777" w:rsidR="00DF092D" w:rsidRPr="00DF092D" w:rsidRDefault="00DF092D" w:rsidP="00DF092D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F092D">
                    <w:rPr>
                      <w:rFonts w:ascii="Times New Roman" w:hAnsi="Times New Roman"/>
                    </w:rPr>
                    <w:t>18 919,26</w:t>
                  </w:r>
                </w:p>
              </w:tc>
              <w:tc>
                <w:tcPr>
                  <w:tcW w:w="2156" w:type="dxa"/>
                  <w:vMerge/>
                </w:tcPr>
                <w:p w14:paraId="7995B3BD" w14:textId="77777777" w:rsidR="00DF092D" w:rsidRPr="00DF092D" w:rsidRDefault="00DF092D" w:rsidP="00DF092D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DF092D" w:rsidRPr="00DF092D" w14:paraId="6E089C9B" w14:textId="77777777" w:rsidTr="00642431">
              <w:trPr>
                <w:trHeight w:val="261"/>
              </w:trPr>
              <w:tc>
                <w:tcPr>
                  <w:tcW w:w="2155" w:type="dxa"/>
                  <w:vMerge w:val="restart"/>
                </w:tcPr>
                <w:p w14:paraId="25B3D219" w14:textId="77777777" w:rsidR="00DF092D" w:rsidRPr="00DF092D" w:rsidRDefault="00DF092D" w:rsidP="00DF092D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F092D">
                    <w:rPr>
                      <w:rFonts w:ascii="Times New Roman" w:hAnsi="Times New Roman"/>
                    </w:rPr>
                    <w:t xml:space="preserve">Macica </w:t>
                  </w:r>
                </w:p>
              </w:tc>
              <w:tc>
                <w:tcPr>
                  <w:tcW w:w="2156" w:type="dxa"/>
                </w:tcPr>
                <w:p w14:paraId="7E8FD222" w14:textId="77777777" w:rsidR="00DF092D" w:rsidRPr="00DF092D" w:rsidRDefault="00DF092D" w:rsidP="00DF092D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F092D">
                    <w:rPr>
                      <w:rFonts w:ascii="Times New Roman" w:hAnsi="Times New Roman"/>
                    </w:rPr>
                    <w:t>Koszt hospitalizacji</w:t>
                  </w:r>
                </w:p>
              </w:tc>
              <w:tc>
                <w:tcPr>
                  <w:tcW w:w="2059" w:type="dxa"/>
                </w:tcPr>
                <w:p w14:paraId="6E7D665F" w14:textId="77777777" w:rsidR="00DF092D" w:rsidRPr="00DF092D" w:rsidRDefault="00DF092D" w:rsidP="00DF092D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F092D">
                    <w:rPr>
                      <w:rFonts w:ascii="Times New Roman" w:hAnsi="Times New Roman"/>
                    </w:rPr>
                    <w:t xml:space="preserve"> 8 442,60</w:t>
                  </w:r>
                </w:p>
              </w:tc>
              <w:tc>
                <w:tcPr>
                  <w:tcW w:w="2156" w:type="dxa"/>
                  <w:vMerge w:val="restart"/>
                </w:tcPr>
                <w:p w14:paraId="5BCD4CD0" w14:textId="77777777" w:rsidR="00DF092D" w:rsidRPr="00DF092D" w:rsidRDefault="00DF092D" w:rsidP="00DF092D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F092D">
                    <w:rPr>
                      <w:rFonts w:ascii="Times New Roman" w:hAnsi="Times New Roman"/>
                    </w:rPr>
                    <w:t xml:space="preserve">24 215,66 </w:t>
                  </w:r>
                </w:p>
              </w:tc>
            </w:tr>
            <w:tr w:rsidR="00DF092D" w:rsidRPr="00DF092D" w14:paraId="59F0AB7E" w14:textId="77777777" w:rsidTr="00642431">
              <w:trPr>
                <w:trHeight w:val="148"/>
              </w:trPr>
              <w:tc>
                <w:tcPr>
                  <w:tcW w:w="2155" w:type="dxa"/>
                  <w:vMerge/>
                </w:tcPr>
                <w:p w14:paraId="5B6CC65E" w14:textId="77777777" w:rsidR="00DF092D" w:rsidRPr="00DF092D" w:rsidRDefault="00DF092D" w:rsidP="00DF092D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56" w:type="dxa"/>
                </w:tcPr>
                <w:p w14:paraId="7702D8E4" w14:textId="77777777" w:rsidR="00DF092D" w:rsidRPr="00DF092D" w:rsidRDefault="00DF092D" w:rsidP="00DF092D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F092D">
                    <w:rPr>
                      <w:rFonts w:ascii="Times New Roman" w:hAnsi="Times New Roman"/>
                    </w:rPr>
                    <w:t>Koszt procedury zabiegowej</w:t>
                  </w:r>
                </w:p>
              </w:tc>
              <w:tc>
                <w:tcPr>
                  <w:tcW w:w="2059" w:type="dxa"/>
                </w:tcPr>
                <w:p w14:paraId="43478D60" w14:textId="77777777" w:rsidR="00DF092D" w:rsidRPr="00DF092D" w:rsidRDefault="00DF092D" w:rsidP="00DF092D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F092D">
                    <w:rPr>
                      <w:rFonts w:ascii="Times New Roman" w:hAnsi="Times New Roman"/>
                    </w:rPr>
                    <w:t>15 773,05</w:t>
                  </w:r>
                </w:p>
              </w:tc>
              <w:tc>
                <w:tcPr>
                  <w:tcW w:w="2156" w:type="dxa"/>
                  <w:vMerge/>
                </w:tcPr>
                <w:p w14:paraId="2B07811B" w14:textId="77777777" w:rsidR="00DF092D" w:rsidRPr="00DF092D" w:rsidRDefault="00DF092D" w:rsidP="00DF092D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00EFF3F1" w14:textId="77777777" w:rsidR="00DF092D" w:rsidRPr="00642431" w:rsidRDefault="00DF092D" w:rsidP="00DF092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431">
              <w:rPr>
                <w:rFonts w:ascii="Times New Roman" w:hAnsi="Times New Roman"/>
                <w:i/>
                <w:iCs/>
                <w:sz w:val="20"/>
                <w:szCs w:val="20"/>
              </w:rPr>
              <w:t>Źródło: Opracowanie własne AOTM na podstawie danych przekazanych przez świadczeniodawców</w:t>
            </w:r>
          </w:p>
          <w:p w14:paraId="70997E4B" w14:textId="77777777" w:rsidR="00B22EAA" w:rsidRPr="00B22EAA" w:rsidRDefault="00B22EAA" w:rsidP="00B22EA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4B8F03AC" w14:textId="2644E069" w:rsidR="00B22EAA" w:rsidRDefault="00B22EAA" w:rsidP="00B22EA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22EAA">
              <w:rPr>
                <w:rFonts w:ascii="Times New Roman" w:hAnsi="Times New Roman"/>
              </w:rPr>
              <w:t>Wynik analizy kosztów zaktualizowano mnożnikiem zmian wielkości kosztów do roku 2023, z uwzględnieniem wzrostu minimalnego wynagrodzenia od</w:t>
            </w:r>
            <w:r w:rsidR="00C02C43">
              <w:rPr>
                <w:rFonts w:ascii="Times New Roman" w:hAnsi="Times New Roman"/>
              </w:rPr>
              <w:t xml:space="preserve"> dnia</w:t>
            </w:r>
            <w:r w:rsidRPr="00B22EAA">
              <w:rPr>
                <w:rFonts w:ascii="Times New Roman" w:hAnsi="Times New Roman"/>
              </w:rPr>
              <w:t xml:space="preserve"> 1 lipca 2023</w:t>
            </w:r>
            <w:r w:rsidR="003B7E67">
              <w:rPr>
                <w:rFonts w:ascii="Times New Roman" w:hAnsi="Times New Roman"/>
              </w:rPr>
              <w:t xml:space="preserve"> r.</w:t>
            </w:r>
            <w:r w:rsidR="00C02C43">
              <w:rPr>
                <w:rFonts w:ascii="Times New Roman" w:hAnsi="Times New Roman"/>
              </w:rPr>
              <w:t xml:space="preserve"> –</w:t>
            </w:r>
            <w:r w:rsidRPr="00B22EAA">
              <w:rPr>
                <w:rFonts w:ascii="Times New Roman" w:hAnsi="Times New Roman"/>
              </w:rPr>
              <w:t xml:space="preserve"> szczegóły przedstawia poniższa tabela.</w:t>
            </w:r>
          </w:p>
          <w:p w14:paraId="78ADFEE9" w14:textId="77777777" w:rsidR="00B63852" w:rsidRPr="00B22EAA" w:rsidRDefault="00B63852" w:rsidP="00B22EA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5B502694" w14:textId="77777777" w:rsidR="00B22EAA" w:rsidRPr="00B22EAA" w:rsidRDefault="00B22EAA" w:rsidP="00B22EA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22EAA">
              <w:rPr>
                <w:rFonts w:ascii="Times New Roman" w:hAnsi="Times New Roman"/>
              </w:rPr>
              <w:t>Tabela 2 Wynik analizy kosztów zaktualizowany mnożnikiem zmian wielkości kosztów do roku 2023</w:t>
            </w:r>
          </w:p>
          <w:tbl>
            <w:tblPr>
              <w:tblStyle w:val="Tabela-Siatka"/>
              <w:tblW w:w="8536" w:type="dxa"/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5280"/>
            </w:tblGrid>
            <w:tr w:rsidR="00DF092D" w:rsidRPr="00DF092D" w14:paraId="02684A61" w14:textId="77777777" w:rsidTr="00642431">
              <w:trPr>
                <w:trHeight w:val="307"/>
              </w:trPr>
              <w:tc>
                <w:tcPr>
                  <w:tcW w:w="3256" w:type="dxa"/>
                </w:tcPr>
                <w:p w14:paraId="54E951AA" w14:textId="77777777" w:rsidR="00DF092D" w:rsidRPr="00DF092D" w:rsidRDefault="00DF092D" w:rsidP="00DF092D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DF092D">
                    <w:rPr>
                      <w:rFonts w:ascii="Times New Roman" w:hAnsi="Times New Roman"/>
                      <w:b/>
                      <w:bCs/>
                    </w:rPr>
                    <w:t>Lokalizacja nowotworu</w:t>
                  </w:r>
                </w:p>
              </w:tc>
              <w:tc>
                <w:tcPr>
                  <w:tcW w:w="5280" w:type="dxa"/>
                </w:tcPr>
                <w:p w14:paraId="15EEBA28" w14:textId="77777777" w:rsidR="00DF092D" w:rsidRPr="00DF092D" w:rsidRDefault="00DF092D" w:rsidP="00DF092D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DF092D">
                    <w:rPr>
                      <w:rFonts w:ascii="Times New Roman" w:hAnsi="Times New Roman"/>
                      <w:b/>
                      <w:bCs/>
                    </w:rPr>
                    <w:t xml:space="preserve">Wartość po uwzględnieniu mnożnika na 2023  </w:t>
                  </w:r>
                </w:p>
              </w:tc>
            </w:tr>
            <w:tr w:rsidR="00DF092D" w:rsidRPr="00DF092D" w14:paraId="1554D7F5" w14:textId="77777777" w:rsidTr="00642431">
              <w:trPr>
                <w:trHeight w:val="307"/>
              </w:trPr>
              <w:tc>
                <w:tcPr>
                  <w:tcW w:w="3256" w:type="dxa"/>
                  <w:vMerge w:val="restart"/>
                </w:tcPr>
                <w:p w14:paraId="75FA2767" w14:textId="77777777" w:rsidR="00DF092D" w:rsidRPr="00DF092D" w:rsidRDefault="00DF092D" w:rsidP="00DF092D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F092D">
                    <w:rPr>
                      <w:rFonts w:ascii="Times New Roman" w:hAnsi="Times New Roman"/>
                    </w:rPr>
                    <w:t xml:space="preserve">Jelito grube </w:t>
                  </w:r>
                </w:p>
              </w:tc>
              <w:tc>
                <w:tcPr>
                  <w:tcW w:w="5280" w:type="dxa"/>
                  <w:vMerge w:val="restart"/>
                </w:tcPr>
                <w:p w14:paraId="18C69528" w14:textId="77777777" w:rsidR="00DF092D" w:rsidRPr="00DF092D" w:rsidRDefault="00DF092D" w:rsidP="00DF092D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F092D">
                    <w:rPr>
                      <w:rFonts w:ascii="Times New Roman" w:hAnsi="Times New Roman"/>
                    </w:rPr>
                    <w:t>37 185,14</w:t>
                  </w:r>
                </w:p>
              </w:tc>
            </w:tr>
            <w:tr w:rsidR="00DF092D" w:rsidRPr="00DF092D" w14:paraId="62019818" w14:textId="77777777" w:rsidTr="00642431">
              <w:trPr>
                <w:trHeight w:val="380"/>
              </w:trPr>
              <w:tc>
                <w:tcPr>
                  <w:tcW w:w="3256" w:type="dxa"/>
                  <w:vMerge/>
                </w:tcPr>
                <w:p w14:paraId="72ED7CDC" w14:textId="77777777" w:rsidR="00DF092D" w:rsidRPr="00DF092D" w:rsidRDefault="00DF092D" w:rsidP="00DF092D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280" w:type="dxa"/>
                  <w:vMerge/>
                </w:tcPr>
                <w:p w14:paraId="1BDC003B" w14:textId="77777777" w:rsidR="00DF092D" w:rsidRPr="00DF092D" w:rsidRDefault="00DF092D" w:rsidP="00DF092D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DF092D" w:rsidRPr="00DF092D" w14:paraId="233D1DEA" w14:textId="77777777" w:rsidTr="00642431">
              <w:trPr>
                <w:trHeight w:val="307"/>
              </w:trPr>
              <w:tc>
                <w:tcPr>
                  <w:tcW w:w="3256" w:type="dxa"/>
                  <w:vMerge w:val="restart"/>
                </w:tcPr>
                <w:p w14:paraId="7234C78D" w14:textId="77777777" w:rsidR="00DF092D" w:rsidRPr="00DF092D" w:rsidRDefault="00DF092D" w:rsidP="00DF092D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F092D">
                    <w:rPr>
                      <w:rFonts w:ascii="Times New Roman" w:hAnsi="Times New Roman"/>
                    </w:rPr>
                    <w:t xml:space="preserve">Macica </w:t>
                  </w:r>
                </w:p>
              </w:tc>
              <w:tc>
                <w:tcPr>
                  <w:tcW w:w="5280" w:type="dxa"/>
                  <w:vMerge w:val="restart"/>
                </w:tcPr>
                <w:p w14:paraId="6DD86F92" w14:textId="77777777" w:rsidR="00DF092D" w:rsidRPr="00DF092D" w:rsidRDefault="00DF092D" w:rsidP="00DF092D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F092D">
                    <w:rPr>
                      <w:rFonts w:ascii="Times New Roman" w:hAnsi="Times New Roman"/>
                    </w:rPr>
                    <w:t xml:space="preserve">32 909,41 </w:t>
                  </w:r>
                </w:p>
              </w:tc>
            </w:tr>
            <w:tr w:rsidR="00DF092D" w:rsidRPr="00DF092D" w14:paraId="65BABE46" w14:textId="77777777" w:rsidTr="00642431">
              <w:trPr>
                <w:trHeight w:val="380"/>
              </w:trPr>
              <w:tc>
                <w:tcPr>
                  <w:tcW w:w="3256" w:type="dxa"/>
                  <w:vMerge/>
                </w:tcPr>
                <w:p w14:paraId="7AB166CE" w14:textId="77777777" w:rsidR="00DF092D" w:rsidRPr="00DF092D" w:rsidRDefault="00DF092D" w:rsidP="00DF092D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280" w:type="dxa"/>
                  <w:vMerge/>
                </w:tcPr>
                <w:p w14:paraId="02C1F403" w14:textId="77777777" w:rsidR="00DF092D" w:rsidRPr="00DF092D" w:rsidRDefault="00DF092D" w:rsidP="00DF092D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4822838F" w14:textId="77777777" w:rsidR="00DF092D" w:rsidRPr="00642431" w:rsidRDefault="00DF092D" w:rsidP="00DF092D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42431">
              <w:rPr>
                <w:rFonts w:ascii="Times New Roman" w:hAnsi="Times New Roman"/>
                <w:i/>
                <w:iCs/>
                <w:sz w:val="20"/>
                <w:szCs w:val="20"/>
              </w:rPr>
              <w:t>Źródło: Opracowanie własne AOTM  na podstawie danych przekazanych przez świadczeniodawców</w:t>
            </w:r>
          </w:p>
          <w:p w14:paraId="192B81FA" w14:textId="77777777" w:rsidR="00B22EAA" w:rsidRPr="00B22EAA" w:rsidRDefault="00B22EAA" w:rsidP="00B22EA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35261216" w14:textId="1613D112" w:rsidR="00B22EAA" w:rsidRPr="00B22EAA" w:rsidRDefault="00B22EAA" w:rsidP="00B22EA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22EAA">
              <w:rPr>
                <w:rFonts w:ascii="Times New Roman" w:hAnsi="Times New Roman"/>
              </w:rPr>
              <w:t xml:space="preserve">Świadczenia realizowane z zastosowaniem systemu robotycznego we wskazaniu raka gruczołu krokowego są obecnie finansowane przez Narodowy Fundusz Zdrowia przez produkt rozliczeniowy L31R Radykalna prostatektomia z zastosowaniem systemu robotowego* o wartości punktowej 19 842. W chwili obecnej, wartość refundacji oscyluje w okolicach 28 572,48 zł, a od </w:t>
            </w:r>
            <w:r w:rsidR="00C02C43">
              <w:rPr>
                <w:rFonts w:ascii="Times New Roman" w:hAnsi="Times New Roman"/>
              </w:rPr>
              <w:t xml:space="preserve">dnia </w:t>
            </w:r>
            <w:r w:rsidRPr="00B22EAA">
              <w:rPr>
                <w:rFonts w:ascii="Times New Roman" w:hAnsi="Times New Roman"/>
              </w:rPr>
              <w:t>1 lipca 2023</w:t>
            </w:r>
            <w:r w:rsidR="003B7E67">
              <w:rPr>
                <w:rFonts w:ascii="Times New Roman" w:hAnsi="Times New Roman"/>
              </w:rPr>
              <w:t xml:space="preserve"> r.</w:t>
            </w:r>
            <w:r w:rsidRPr="00B22EAA">
              <w:rPr>
                <w:rFonts w:ascii="Times New Roman" w:hAnsi="Times New Roman"/>
              </w:rPr>
              <w:t xml:space="preserve">, zgodnie z </w:t>
            </w:r>
            <w:r w:rsidR="003B7E67">
              <w:rPr>
                <w:rFonts w:ascii="Times New Roman" w:hAnsi="Times New Roman"/>
              </w:rPr>
              <w:t>o</w:t>
            </w:r>
            <w:r w:rsidR="003B7E67" w:rsidRPr="00B22EAA">
              <w:rPr>
                <w:rFonts w:ascii="Times New Roman" w:hAnsi="Times New Roman"/>
              </w:rPr>
              <w:t xml:space="preserve">bwieszczeniem </w:t>
            </w:r>
            <w:r w:rsidRPr="00B22EAA">
              <w:rPr>
                <w:rFonts w:ascii="Times New Roman" w:hAnsi="Times New Roman"/>
              </w:rPr>
              <w:t xml:space="preserve">Prezesa Agencji Oceny Technologii Medycznych i Taryfikacji z dnia 5 czerwca 2023 r. w sprawie rekomendacji nr 54/2023 z dnia 31 maja 2023 r. Prezesa Agencji Oceny Technologii Medycznych i Taryfikacji w sprawie zmiany sposobu lub poziomu finansowania świadczeń opieki zdrowotnej, wynosi 32 144,04 zł. </w:t>
            </w:r>
          </w:p>
          <w:p w14:paraId="20D7AB2C" w14:textId="1090ADA9" w:rsidR="00B22EAA" w:rsidRPr="00C772AD" w:rsidRDefault="00B22EAA" w:rsidP="00B22EA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22EAA">
              <w:rPr>
                <w:rFonts w:ascii="Times New Roman" w:hAnsi="Times New Roman"/>
              </w:rPr>
              <w:t>Proponuje się wyodrębnienie produktów rozliczeniowych związanych z realizacją poszczególnych świadczeń oraz wprowadzenie mechanizmu rozliczania, który umożliwiałby zastosowanie ceny odmiennej niż cena w zakresie podstawowym.</w:t>
            </w:r>
          </w:p>
          <w:p w14:paraId="670B6E8A" w14:textId="4F9DC13E" w:rsidR="00C772AD" w:rsidRPr="00C772AD" w:rsidRDefault="00C772AD" w:rsidP="00C772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14:paraId="235487F2" w14:textId="77777777" w:rsidTr="51301FF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5F92F1D6" w14:textId="77777777" w:rsidR="006A701A" w:rsidRPr="008B4FE6" w:rsidRDefault="006A701A" w:rsidP="0072636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="00563199" w:rsidRPr="008B4FE6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gospodark</w:t>
            </w:r>
            <w:r w:rsidR="00563199">
              <w:rPr>
                <w:rFonts w:ascii="Times New Roman" w:hAnsi="Times New Roman"/>
                <w:b/>
                <w:color w:val="000000"/>
              </w:rPr>
              <w:t>i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>i</w:t>
            </w:r>
            <w:r w:rsidR="00563199">
              <w:rPr>
                <w:rFonts w:ascii="Times New Roman" w:hAnsi="Times New Roman"/>
                <w:b/>
                <w:color w:val="000000"/>
              </w:rPr>
              <w:t xml:space="preserve"> przedsiębiorczość</w:t>
            </w:r>
            <w:r w:rsidR="00472E45">
              <w:rPr>
                <w:rFonts w:ascii="Times New Roman" w:hAnsi="Times New Roman"/>
                <w:b/>
                <w:color w:val="000000"/>
              </w:rPr>
              <w:t>,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 w:rsidR="00B93834">
              <w:rPr>
                <w:rFonts w:ascii="Times New Roman" w:hAnsi="Times New Roman"/>
                <w:b/>
                <w:color w:val="000000"/>
              </w:rPr>
              <w:t>orców</w:t>
            </w:r>
            <w:r w:rsidR="00472E4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oraz na </w:t>
            </w:r>
            <w:r w:rsidR="00BB0DCA">
              <w:rPr>
                <w:rFonts w:ascii="Times New Roman" w:hAnsi="Times New Roman"/>
                <w:b/>
                <w:color w:val="000000"/>
              </w:rPr>
              <w:t xml:space="preserve">rodzinę,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obywateli i gospodarstwa domowe </w:t>
            </w:r>
          </w:p>
        </w:tc>
      </w:tr>
      <w:tr w:rsidR="005E7371" w:rsidRPr="008B4FE6" w14:paraId="1EBB0673" w14:textId="77777777" w:rsidTr="51301FF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 w:themeFill="background1"/>
          </w:tcPr>
          <w:p w14:paraId="7CF00349" w14:textId="77777777" w:rsidR="005E7371" w:rsidRPr="00301959" w:rsidRDefault="001B3460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5A7137" w:rsidRPr="008B4FE6" w14:paraId="5BDE0964" w14:textId="77777777" w:rsidTr="51301FF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 w:themeFill="background1"/>
          </w:tcPr>
          <w:p w14:paraId="07F3383B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 w:themeFill="background1"/>
          </w:tcPr>
          <w:p w14:paraId="18C0E9BB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 w:themeFill="background1"/>
          </w:tcPr>
          <w:p w14:paraId="3BD36A8C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 w:themeFill="background1"/>
          </w:tcPr>
          <w:p w14:paraId="38AB5EDE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 w:themeFill="background1"/>
          </w:tcPr>
          <w:p w14:paraId="2163349B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 w:themeFill="background1"/>
          </w:tcPr>
          <w:p w14:paraId="75E5DC7F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 w:themeFill="background1"/>
          </w:tcPr>
          <w:p w14:paraId="0E48EB33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 w:themeFill="background1"/>
          </w:tcPr>
          <w:p w14:paraId="1E73CF22" w14:textId="77777777" w:rsidR="002E6D63" w:rsidRPr="001B3460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="001B3460"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5A7137" w:rsidRPr="008B4FE6" w14:paraId="52E4A73D" w14:textId="77777777" w:rsidTr="00C41362">
        <w:trPr>
          <w:gridAfter w:val="1"/>
          <w:wAfter w:w="10" w:type="dxa"/>
          <w:trHeight w:val="195"/>
        </w:trPr>
        <w:tc>
          <w:tcPr>
            <w:tcW w:w="1596" w:type="dxa"/>
            <w:vMerge w:val="restart"/>
            <w:shd w:val="clear" w:color="auto" w:fill="FFFFFF" w:themeFill="background1"/>
          </w:tcPr>
          <w:p w14:paraId="701B2A73" w14:textId="77777777" w:rsidR="006F78C4" w:rsidRDefault="002E6D63" w:rsidP="006F78C4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1B3460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5D3877E9" w14:textId="77777777" w:rsidR="006F78C4" w:rsidRDefault="006F78C4" w:rsidP="006F78C4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5A5D027B" w14:textId="77777777" w:rsidR="002E6D63" w:rsidRPr="00301959" w:rsidRDefault="006F78C4" w:rsidP="006F7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ceny </w:t>
            </w:r>
            <w:r w:rsidR="00CF5F4F">
              <w:rPr>
                <w:rFonts w:ascii="Times New Roman" w:hAnsi="Times New Roman"/>
                <w:spacing w:val="-2"/>
                <w:sz w:val="21"/>
                <w:szCs w:val="21"/>
              </w:rPr>
              <w:t>stałe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z …… r.)</w:t>
            </w:r>
          </w:p>
        </w:tc>
        <w:tc>
          <w:tcPr>
            <w:tcW w:w="2293" w:type="dxa"/>
            <w:gridSpan w:val="6"/>
            <w:shd w:val="clear" w:color="auto" w:fill="FFFFFF" w:themeFill="background1"/>
          </w:tcPr>
          <w:p w14:paraId="3D35048C" w14:textId="77777777" w:rsidR="002E6D63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 w:themeFill="background1"/>
          </w:tcPr>
          <w:p w14:paraId="35FC3CDC" w14:textId="57DB957A" w:rsidR="002E6D63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 w:themeFill="background1"/>
          </w:tcPr>
          <w:p w14:paraId="28B7A122" w14:textId="1E023E5E" w:rsidR="002E6D63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 w:themeFill="background1"/>
          </w:tcPr>
          <w:p w14:paraId="27AD6DB2" w14:textId="571F55D8" w:rsidR="002E6D63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 w:themeFill="background1"/>
          </w:tcPr>
          <w:p w14:paraId="4355FF0F" w14:textId="682D1410" w:rsidR="002E6D63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 w:themeFill="background1"/>
          </w:tcPr>
          <w:p w14:paraId="5526C188" w14:textId="2467866D" w:rsidR="002E6D63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 w:themeFill="background1"/>
          </w:tcPr>
          <w:p w14:paraId="4ADB6B80" w14:textId="329CCA8E" w:rsidR="002E6D63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 w:themeFill="background1"/>
          </w:tcPr>
          <w:p w14:paraId="5EB7F952" w14:textId="441383F3" w:rsidR="002E6D63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5A7137" w:rsidRPr="008B4FE6" w14:paraId="6C0143CF" w14:textId="77777777" w:rsidTr="51301FFD">
        <w:trPr>
          <w:gridAfter w:val="1"/>
          <w:wAfter w:w="10" w:type="dxa"/>
          <w:trHeight w:val="142"/>
        </w:trPr>
        <w:tc>
          <w:tcPr>
            <w:tcW w:w="1596" w:type="dxa"/>
            <w:vMerge/>
          </w:tcPr>
          <w:p w14:paraId="28F0B0F1" w14:textId="77777777" w:rsidR="00C41362" w:rsidRPr="00301959" w:rsidRDefault="00C41362" w:rsidP="00C413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 w:themeFill="background1"/>
          </w:tcPr>
          <w:p w14:paraId="34C0E8F7" w14:textId="77777777" w:rsidR="00C41362" w:rsidRPr="00301959" w:rsidRDefault="00C41362" w:rsidP="00C413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 w:themeFill="background1"/>
          </w:tcPr>
          <w:p w14:paraId="67B61648" w14:textId="3BB9DD5D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 w:themeFill="background1"/>
          </w:tcPr>
          <w:p w14:paraId="4F81BE18" w14:textId="646E1BB0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 w:themeFill="background1"/>
          </w:tcPr>
          <w:p w14:paraId="3F6674D0" w14:textId="6F292625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 w:themeFill="background1"/>
          </w:tcPr>
          <w:p w14:paraId="589C1E16" w14:textId="18A95946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 w:themeFill="background1"/>
          </w:tcPr>
          <w:p w14:paraId="783B199D" w14:textId="33D28169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 w:themeFill="background1"/>
          </w:tcPr>
          <w:p w14:paraId="0E52A442" w14:textId="2DBB6EB7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 w:themeFill="background1"/>
          </w:tcPr>
          <w:p w14:paraId="13743426" w14:textId="0A932698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5A7137" w:rsidRPr="008B4FE6" w14:paraId="473235B8" w14:textId="77777777" w:rsidTr="51301FFD">
        <w:trPr>
          <w:gridAfter w:val="1"/>
          <w:wAfter w:w="10" w:type="dxa"/>
          <w:trHeight w:val="142"/>
        </w:trPr>
        <w:tc>
          <w:tcPr>
            <w:tcW w:w="1596" w:type="dxa"/>
            <w:vMerge/>
          </w:tcPr>
          <w:p w14:paraId="07934A46" w14:textId="77777777" w:rsidR="00C41362" w:rsidRPr="00301959" w:rsidRDefault="00C41362" w:rsidP="00C413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 w:themeFill="background1"/>
          </w:tcPr>
          <w:p w14:paraId="38950C76" w14:textId="77777777" w:rsidR="00C41362" w:rsidRPr="00301959" w:rsidRDefault="00C41362" w:rsidP="00C413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FFFFFF" w:themeFill="background1"/>
          </w:tcPr>
          <w:p w14:paraId="490BEB13" w14:textId="4A3C4CF7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 w:themeFill="background1"/>
          </w:tcPr>
          <w:p w14:paraId="69461A6E" w14:textId="06617EF8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 w:themeFill="background1"/>
          </w:tcPr>
          <w:p w14:paraId="4170E8B2" w14:textId="65509E66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 w:themeFill="background1"/>
          </w:tcPr>
          <w:p w14:paraId="239BBC5F" w14:textId="60D992A2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 w:themeFill="background1"/>
          </w:tcPr>
          <w:p w14:paraId="28965BD5" w14:textId="15DB3A0E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 w:themeFill="background1"/>
          </w:tcPr>
          <w:p w14:paraId="2B4DD39F" w14:textId="164EDF77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 w:themeFill="background1"/>
          </w:tcPr>
          <w:p w14:paraId="63BC3B0C" w14:textId="6ADF8A6E" w:rsidR="00C41362" w:rsidRPr="00B37C80" w:rsidRDefault="00C41362" w:rsidP="00FA0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941C60" w:rsidRPr="008B4FE6" w14:paraId="049992F6" w14:textId="77777777" w:rsidTr="51301FF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 w:themeFill="background1"/>
          </w:tcPr>
          <w:p w14:paraId="427A6B23" w14:textId="77777777" w:rsidR="008A608F" w:rsidRPr="0030195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97181B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="0097181B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niepieniężnym</w:t>
            </w:r>
          </w:p>
        </w:tc>
        <w:tc>
          <w:tcPr>
            <w:tcW w:w="2293" w:type="dxa"/>
            <w:gridSpan w:val="6"/>
            <w:shd w:val="clear" w:color="auto" w:fill="FFFFFF" w:themeFill="background1"/>
          </w:tcPr>
          <w:p w14:paraId="6D6CFC0C" w14:textId="77777777" w:rsidR="008A608F" w:rsidRPr="00856A47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6A47">
              <w:rPr>
                <w:rFonts w:ascii="Times New Roman" w:hAnsi="Times New Roman"/>
                <w:color w:val="000000"/>
                <w:sz w:val="21"/>
                <w:szCs w:val="21"/>
              </w:rPr>
              <w:t>duże p</w:t>
            </w:r>
            <w:r w:rsidR="008A608F" w:rsidRPr="00856A47">
              <w:rPr>
                <w:rFonts w:ascii="Times New Roman" w:hAnsi="Times New Roman"/>
                <w:color w:val="000000"/>
                <w:sz w:val="21"/>
                <w:szCs w:val="21"/>
              </w:rPr>
              <w:t>rzedsiębiorstwa</w:t>
            </w:r>
          </w:p>
        </w:tc>
        <w:tc>
          <w:tcPr>
            <w:tcW w:w="7048" w:type="dxa"/>
            <w:gridSpan w:val="22"/>
            <w:shd w:val="clear" w:color="auto" w:fill="FFFFFF" w:themeFill="background1"/>
          </w:tcPr>
          <w:p w14:paraId="090E4C80" w14:textId="1D2E0F5C" w:rsidR="008A608F" w:rsidRPr="00856A47" w:rsidRDefault="00B3582B" w:rsidP="00FA07C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856A47">
              <w:rPr>
                <w:rFonts w:ascii="Times New Roman" w:hAnsi="Times New Roman"/>
                <w:color w:val="000000"/>
                <w:spacing w:val="-2"/>
              </w:rPr>
              <w:t>Przedmiotowy projekt będzie mieć wpływ na działalność dużych przedsiębiorców przez wzrost konkurencyjności podmiotów realizujących nowe świadczeni</w:t>
            </w:r>
            <w:r w:rsidR="00F05AB9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Pr="00856A47">
              <w:rPr>
                <w:rFonts w:ascii="Times New Roman" w:hAnsi="Times New Roman"/>
                <w:color w:val="000000"/>
                <w:spacing w:val="-2"/>
              </w:rPr>
              <w:t xml:space="preserve"> gwarantowane w ramach umowy z publicznym płatnikiem, względem podmiotów świadczących te świadczenia w sektorze poza finansowaniem świadczeń ze środków publicznych.</w:t>
            </w:r>
          </w:p>
        </w:tc>
      </w:tr>
      <w:tr w:rsidR="00227E7D" w:rsidRPr="008B4FE6" w14:paraId="04F5436B" w14:textId="77777777" w:rsidTr="51301FFD">
        <w:trPr>
          <w:gridAfter w:val="1"/>
          <w:wAfter w:w="10" w:type="dxa"/>
          <w:trHeight w:val="142"/>
        </w:trPr>
        <w:tc>
          <w:tcPr>
            <w:tcW w:w="1596" w:type="dxa"/>
            <w:vMerge/>
          </w:tcPr>
          <w:p w14:paraId="74BF3425" w14:textId="77777777" w:rsidR="00227E7D" w:rsidRPr="00301959" w:rsidRDefault="00227E7D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 w:themeFill="background1"/>
          </w:tcPr>
          <w:p w14:paraId="664066A6" w14:textId="28CE031B" w:rsidR="00227E7D" w:rsidRPr="00856A47" w:rsidRDefault="00227E7D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6A47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 w:themeFill="background1"/>
          </w:tcPr>
          <w:p w14:paraId="4FAEEE35" w14:textId="7830892D" w:rsidR="00227E7D" w:rsidRPr="00856A47" w:rsidRDefault="00227E7D" w:rsidP="004E39B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56A47">
              <w:rPr>
                <w:rFonts w:ascii="Times New Roman" w:hAnsi="Times New Roman"/>
                <w:color w:val="000000"/>
                <w:spacing w:val="-2"/>
              </w:rPr>
              <w:t>Przedmiotowy projekt nie będzie mieć wpływu na działalność mikro-, małych i średnich przedsiębiorstw z uwagi na fakt, że ze względu na konieczność zapewnienia wysokiej jakości świadczenia, ich realizacja zostanie zapewniona wyłącznie w dużych przedsiębiorstwach o wieloletnim doświadczeniu w realizacji świadczeń podobnych w realizacji.</w:t>
            </w:r>
          </w:p>
        </w:tc>
      </w:tr>
      <w:tr w:rsidR="00941C60" w:rsidRPr="008B4FE6" w14:paraId="0F7F4D1F" w14:textId="77777777" w:rsidTr="51301FFD">
        <w:trPr>
          <w:gridAfter w:val="1"/>
          <w:wAfter w:w="10" w:type="dxa"/>
          <w:trHeight w:val="142"/>
        </w:trPr>
        <w:tc>
          <w:tcPr>
            <w:tcW w:w="1596" w:type="dxa"/>
            <w:vMerge/>
          </w:tcPr>
          <w:p w14:paraId="12A78D49" w14:textId="77777777" w:rsidR="008A608F" w:rsidRPr="0030195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 w:themeFill="background1"/>
          </w:tcPr>
          <w:p w14:paraId="40E3D98D" w14:textId="435ACEAE" w:rsidR="008A608F" w:rsidRPr="00856A47" w:rsidRDefault="00227E7D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56A47">
              <w:rPr>
                <w:rFonts w:ascii="Times New Roman" w:hAnsi="Times New Roman"/>
                <w:sz w:val="21"/>
                <w:szCs w:val="21"/>
              </w:rPr>
              <w:t>rodzina, obywatele oraz gospodarstwa domowe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 w:themeFill="background1"/>
          </w:tcPr>
          <w:p w14:paraId="001DBA43" w14:textId="5F802759" w:rsidR="008A608F" w:rsidRPr="00FA07CA" w:rsidRDefault="00227E7D" w:rsidP="004E39B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05AB9">
              <w:rPr>
                <w:rFonts w:ascii="Times New Roman" w:hAnsi="Times New Roman"/>
              </w:rPr>
              <w:t xml:space="preserve">Przedmiotowy </w:t>
            </w:r>
            <w:r>
              <w:rPr>
                <w:rFonts w:ascii="Times New Roman" w:hAnsi="Times New Roman"/>
              </w:rPr>
              <w:t>p</w:t>
            </w:r>
            <w:r w:rsidRPr="00856A47">
              <w:rPr>
                <w:rFonts w:ascii="Times New Roman" w:hAnsi="Times New Roman"/>
              </w:rPr>
              <w:t>rojekt będzie miał pozytywny wpływ na rodziny, obywateli i gospodarstwa domowe</w:t>
            </w:r>
            <w:r>
              <w:rPr>
                <w:rFonts w:ascii="Times New Roman" w:hAnsi="Times New Roman"/>
              </w:rPr>
              <w:t>. W związku z finasowaniem ze środków publicznych</w:t>
            </w:r>
            <w:r w:rsidRPr="00856A47">
              <w:rPr>
                <w:rFonts w:ascii="Times New Roman" w:hAnsi="Times New Roman"/>
              </w:rPr>
              <w:t xml:space="preserve"> świadcze</w:t>
            </w:r>
            <w:r>
              <w:rPr>
                <w:rFonts w:ascii="Times New Roman" w:hAnsi="Times New Roman"/>
              </w:rPr>
              <w:t>ń</w:t>
            </w:r>
            <w:r w:rsidRPr="00856A47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l</w:t>
            </w:r>
            <w:r w:rsidRPr="00856A47">
              <w:rPr>
                <w:rFonts w:ascii="Times New Roman" w:hAnsi="Times New Roman"/>
              </w:rPr>
              <w:t xml:space="preserve">eczenie chirurgiczne z zastosowaniem systemu robotowego dla </w:t>
            </w:r>
            <w:r>
              <w:rPr>
                <w:rFonts w:ascii="Times New Roman" w:hAnsi="Times New Roman"/>
              </w:rPr>
              <w:t>nowotworu złośliwego</w:t>
            </w:r>
            <w:r w:rsidRPr="00856A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błony śluzowej macicy</w:t>
            </w:r>
            <w:r w:rsidRPr="00856A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oraz leczenie chirurgiczne z zastosowaniem systemu robotowego dla nowotworu złośliwego jelita grubego, </w:t>
            </w:r>
            <w:r w:rsidRPr="00856A47">
              <w:rPr>
                <w:rFonts w:ascii="Times New Roman" w:hAnsi="Times New Roman"/>
              </w:rPr>
              <w:t>jako świadcze</w:t>
            </w:r>
            <w:r>
              <w:rPr>
                <w:rFonts w:ascii="Times New Roman" w:hAnsi="Times New Roman"/>
              </w:rPr>
              <w:t>ń</w:t>
            </w:r>
            <w:r w:rsidRPr="00856A47">
              <w:rPr>
                <w:rFonts w:ascii="Times New Roman" w:hAnsi="Times New Roman"/>
              </w:rPr>
              <w:t xml:space="preserve"> gwarantowan</w:t>
            </w:r>
            <w:r>
              <w:rPr>
                <w:rFonts w:ascii="Times New Roman" w:hAnsi="Times New Roman"/>
              </w:rPr>
              <w:t>ych</w:t>
            </w:r>
            <w:r w:rsidRPr="00856A47">
              <w:rPr>
                <w:rFonts w:ascii="Times New Roman" w:hAnsi="Times New Roman"/>
              </w:rPr>
              <w:t xml:space="preserve"> z zakresu leczenia szpitalnego</w:t>
            </w:r>
            <w:r>
              <w:rPr>
                <w:rFonts w:ascii="Times New Roman" w:hAnsi="Times New Roman"/>
              </w:rPr>
              <w:t xml:space="preserve"> – zwiększona zostanie dostępność do tych świadczeń</w:t>
            </w:r>
            <w:r w:rsidRPr="00856A47">
              <w:rPr>
                <w:rFonts w:ascii="Times New Roman" w:hAnsi="Times New Roman"/>
              </w:rPr>
              <w:t>.</w:t>
            </w:r>
          </w:p>
        </w:tc>
      </w:tr>
      <w:tr w:rsidR="00941C60" w:rsidRPr="008B4FE6" w14:paraId="25A1CE8C" w14:textId="77777777" w:rsidTr="51301FFD">
        <w:trPr>
          <w:gridAfter w:val="1"/>
          <w:wAfter w:w="10" w:type="dxa"/>
          <w:trHeight w:val="596"/>
        </w:trPr>
        <w:tc>
          <w:tcPr>
            <w:tcW w:w="1596" w:type="dxa"/>
            <w:vMerge/>
          </w:tcPr>
          <w:p w14:paraId="21BE5B42" w14:textId="77777777" w:rsidR="009E3C4B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 w:themeFill="background1"/>
          </w:tcPr>
          <w:p w14:paraId="1EBFAF47" w14:textId="3D31E38E" w:rsidR="009E3C4B" w:rsidRPr="00856A47" w:rsidRDefault="00227E7D" w:rsidP="0095577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osoby starsze i osoby niepełnosprawne</w:t>
            </w:r>
            <w:r w:rsidRPr="00856A4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 w:themeFill="background1"/>
          </w:tcPr>
          <w:p w14:paraId="3AB3FA9B" w14:textId="2B11517D" w:rsidR="009E3C4B" w:rsidRPr="00856A47" w:rsidRDefault="00227E7D" w:rsidP="00FA07C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F05AB9">
              <w:rPr>
                <w:rFonts w:ascii="Times New Roman" w:hAnsi="Times New Roman"/>
              </w:rPr>
              <w:t xml:space="preserve">Przedmiotowy </w:t>
            </w:r>
            <w:r>
              <w:rPr>
                <w:rFonts w:ascii="Times New Roman" w:hAnsi="Times New Roman"/>
              </w:rPr>
              <w:t>p</w:t>
            </w:r>
            <w:r w:rsidRPr="00856A47">
              <w:rPr>
                <w:rFonts w:ascii="Times New Roman" w:hAnsi="Times New Roman"/>
              </w:rPr>
              <w:t xml:space="preserve">rojekt będzie miał pozytywny wpływ </w:t>
            </w:r>
            <w:r>
              <w:rPr>
                <w:rFonts w:ascii="Times New Roman" w:hAnsi="Times New Roman"/>
              </w:rPr>
              <w:t>osoby starsze i osoby niepełnosprawne. W związku z finasowaniem ze środków publicznych</w:t>
            </w:r>
            <w:r w:rsidRPr="00856A47">
              <w:rPr>
                <w:rFonts w:ascii="Times New Roman" w:hAnsi="Times New Roman"/>
              </w:rPr>
              <w:t xml:space="preserve"> świadcze</w:t>
            </w:r>
            <w:r>
              <w:rPr>
                <w:rFonts w:ascii="Times New Roman" w:hAnsi="Times New Roman"/>
              </w:rPr>
              <w:t>ń</w:t>
            </w:r>
            <w:r w:rsidRPr="00856A47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l</w:t>
            </w:r>
            <w:r w:rsidRPr="00856A47">
              <w:rPr>
                <w:rFonts w:ascii="Times New Roman" w:hAnsi="Times New Roman"/>
              </w:rPr>
              <w:t xml:space="preserve">eczenie chirurgiczne z zastosowaniem systemu robotowego dla </w:t>
            </w:r>
            <w:r>
              <w:rPr>
                <w:rFonts w:ascii="Times New Roman" w:hAnsi="Times New Roman"/>
              </w:rPr>
              <w:t>nowotworu złośliwego</w:t>
            </w:r>
            <w:r w:rsidRPr="00856A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błony śluzowej macicy</w:t>
            </w:r>
            <w:r w:rsidRPr="00856A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oraz leczenie chirurgiczne z zastosowaniem systemu robotowego dla nowotworu złośliwego jelita grubego, </w:t>
            </w:r>
            <w:r w:rsidRPr="00856A47">
              <w:rPr>
                <w:rFonts w:ascii="Times New Roman" w:hAnsi="Times New Roman"/>
              </w:rPr>
              <w:t>jako świadcze</w:t>
            </w:r>
            <w:r>
              <w:rPr>
                <w:rFonts w:ascii="Times New Roman" w:hAnsi="Times New Roman"/>
              </w:rPr>
              <w:t>ń</w:t>
            </w:r>
            <w:r w:rsidRPr="00856A47">
              <w:rPr>
                <w:rFonts w:ascii="Times New Roman" w:hAnsi="Times New Roman"/>
              </w:rPr>
              <w:t xml:space="preserve"> gwarantowan</w:t>
            </w:r>
            <w:r>
              <w:rPr>
                <w:rFonts w:ascii="Times New Roman" w:hAnsi="Times New Roman"/>
              </w:rPr>
              <w:t>ych</w:t>
            </w:r>
            <w:r w:rsidRPr="00856A47">
              <w:rPr>
                <w:rFonts w:ascii="Times New Roman" w:hAnsi="Times New Roman"/>
              </w:rPr>
              <w:t xml:space="preserve"> z zakresu leczenia szpitalnego</w:t>
            </w:r>
            <w:r>
              <w:rPr>
                <w:rFonts w:ascii="Times New Roman" w:hAnsi="Times New Roman"/>
              </w:rPr>
              <w:t xml:space="preserve"> – zwiększona zostanie dostępność do tych świadczeń</w:t>
            </w:r>
            <w:r w:rsidRPr="00856A47">
              <w:rPr>
                <w:rFonts w:ascii="Times New Roman" w:hAnsi="Times New Roman"/>
              </w:rPr>
              <w:t>.</w:t>
            </w:r>
          </w:p>
        </w:tc>
      </w:tr>
      <w:tr w:rsidR="00941C60" w:rsidRPr="008B4FE6" w14:paraId="55F3D001" w14:textId="77777777" w:rsidTr="51301FFD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 w:themeFill="background1"/>
          </w:tcPr>
          <w:p w14:paraId="17419AA9" w14:textId="77777777" w:rsidR="005E7371" w:rsidRPr="0030195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 w:themeFill="background1"/>
          </w:tcPr>
          <w:p w14:paraId="4AD6F14D" w14:textId="7C1E31A5" w:rsidR="005E7371" w:rsidRPr="00301959" w:rsidRDefault="0095722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48" w:type="dxa"/>
            <w:gridSpan w:val="22"/>
            <w:shd w:val="clear" w:color="auto" w:fill="FFFFFF" w:themeFill="background1"/>
          </w:tcPr>
          <w:p w14:paraId="32F401BF" w14:textId="351C7F98" w:rsidR="005E7371" w:rsidRPr="00B37C80" w:rsidRDefault="0095722F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941C60" w:rsidRPr="008B4FE6" w14:paraId="6DB94B51" w14:textId="77777777" w:rsidTr="004E39B9">
        <w:trPr>
          <w:gridAfter w:val="1"/>
          <w:wAfter w:w="10" w:type="dxa"/>
          <w:trHeight w:val="1272"/>
        </w:trPr>
        <w:tc>
          <w:tcPr>
            <w:tcW w:w="2243" w:type="dxa"/>
            <w:gridSpan w:val="2"/>
            <w:shd w:val="clear" w:color="auto" w:fill="FFFFFF" w:themeFill="background1"/>
          </w:tcPr>
          <w:p w14:paraId="5DB02F77" w14:textId="77777777" w:rsidR="00E24BD7" w:rsidRPr="00301959" w:rsidRDefault="00E24BD7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 w:themeFill="background1"/>
            <w:vAlign w:val="center"/>
          </w:tcPr>
          <w:p w14:paraId="5330EDAE" w14:textId="0BB1BC58" w:rsidR="00E24BD7" w:rsidRPr="00301959" w:rsidRDefault="00765E31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  <w:p w14:paraId="171B138A" w14:textId="77777777" w:rsidR="00260F33" w:rsidRDefault="00260F33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6B8F2632" w14:textId="77777777" w:rsidR="00E24BD7" w:rsidRPr="00301959" w:rsidRDefault="00E24BD7" w:rsidP="005355E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14:paraId="11FDFE28" w14:textId="77777777" w:rsidTr="51301FF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88B45B4" w14:textId="77777777" w:rsidR="006A701A" w:rsidRPr="008B4FE6" w:rsidRDefault="006A701A" w:rsidP="004F4E1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FA117A"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 w:rsidR="00FA117A"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 xml:space="preserve"> (w tym obowiązk</w:t>
            </w:r>
            <w:r w:rsidR="00FA117A">
              <w:rPr>
                <w:rFonts w:ascii="Times New Roman" w:hAnsi="Times New Roman"/>
                <w:b/>
                <w:color w:val="000000"/>
              </w:rPr>
              <w:t xml:space="preserve">ów </w:t>
            </w:r>
            <w:r w:rsidR="00653688">
              <w:rPr>
                <w:rFonts w:ascii="Times New Roman" w:hAnsi="Times New Roman"/>
                <w:b/>
                <w:color w:val="000000"/>
              </w:rPr>
              <w:t>informacyjn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>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86AFF" w:rsidRPr="008B4FE6" w14:paraId="61DF4C3D" w14:textId="77777777" w:rsidTr="51301FF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 w:themeFill="background1"/>
          </w:tcPr>
          <w:p w14:paraId="580C106F" w14:textId="77777777" w:rsidR="00D86AFF" w:rsidRPr="008B4FE6" w:rsidRDefault="00D86AFF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5FD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FD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1A5FDA">
              <w:rPr>
                <w:rFonts w:ascii="Times New Roman" w:hAnsi="Times New Roman"/>
                <w:color w:val="000000"/>
              </w:rPr>
              <w:fldChar w:fldCharType="end"/>
            </w:r>
            <w:r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86AFF" w:rsidRPr="008B4FE6" w14:paraId="2BF692CC" w14:textId="77777777" w:rsidTr="51301FF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 w:themeFill="background1"/>
          </w:tcPr>
          <w:p w14:paraId="4E7C98CD" w14:textId="77777777" w:rsidR="00D86AFF" w:rsidRDefault="00D86AFF" w:rsidP="001B3460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 w:themeFill="background1"/>
          </w:tcPr>
          <w:p w14:paraId="1CFEC5BE" w14:textId="77777777" w:rsidR="00D86AFF" w:rsidRDefault="00D86AFF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74F4D89F" w14:textId="77777777" w:rsidR="00D86AFF" w:rsidRDefault="00D86AFF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70273A5A" w14:textId="2D6377DC" w:rsidR="00D86AFF" w:rsidRDefault="00DA4402" w:rsidP="004F4E1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86AFF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B3460" w:rsidRPr="008B4FE6" w14:paraId="51E2F156" w14:textId="77777777" w:rsidTr="51301FF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 w:themeFill="background1"/>
          </w:tcPr>
          <w:p w14:paraId="2D6A5894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63D4EFA5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7AFA6A86" w14:textId="77777777" w:rsidR="001B3460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73D591DC" w14:textId="5BFA0292" w:rsidR="001B3460" w:rsidRPr="008B4FE6" w:rsidRDefault="001B3460" w:rsidP="00AE6CF8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894033">
              <w:rPr>
                <w:rFonts w:ascii="Times New Roman" w:hAnsi="Times New Roman"/>
                <w:color w:val="000000"/>
              </w:rPr>
              <w:t>uporządkowanie i ujednolicenie dokumentacji</w:t>
            </w:r>
          </w:p>
        </w:tc>
        <w:tc>
          <w:tcPr>
            <w:tcW w:w="5826" w:type="dxa"/>
            <w:gridSpan w:val="17"/>
            <w:shd w:val="clear" w:color="auto" w:fill="FFFFFF" w:themeFill="background1"/>
          </w:tcPr>
          <w:p w14:paraId="63499670" w14:textId="7D55CF06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191D27B9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0E89A04E" w14:textId="2141781A" w:rsidR="001B3460" w:rsidRPr="008B4FE6" w:rsidRDefault="0082096F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50D7775F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750B69B3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F0DA2" w:rsidRPr="008B4FE6" w14:paraId="0A8BD499" w14:textId="77777777" w:rsidTr="51301FF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 w:themeFill="background1"/>
          </w:tcPr>
          <w:p w14:paraId="0A514D15" w14:textId="77777777" w:rsidR="00BF0DA2" w:rsidRPr="008B4FE6" w:rsidRDefault="00BF0DA2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 w:themeFill="background1"/>
          </w:tcPr>
          <w:p w14:paraId="6C06D420" w14:textId="67A947D9" w:rsidR="00BF0DA2" w:rsidRDefault="00DF2220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BF0DA2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5D04C3FD" w14:textId="77777777" w:rsidR="00BF0DA2" w:rsidRDefault="00BF0DA2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1ADF9E33" w14:textId="0F08C4B8" w:rsidR="00BF0DA2" w:rsidRDefault="00DF2220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BF0DA2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0FC4C37A" w14:textId="77777777" w:rsidR="00117017" w:rsidRPr="008B4FE6" w:rsidRDefault="00117017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17017" w:rsidRPr="008B4FE6" w14:paraId="6CAE6206" w14:textId="77777777" w:rsidTr="0001443D">
        <w:trPr>
          <w:gridAfter w:val="1"/>
          <w:wAfter w:w="10" w:type="dxa"/>
          <w:trHeight w:val="357"/>
        </w:trPr>
        <w:tc>
          <w:tcPr>
            <w:tcW w:w="10937" w:type="dxa"/>
            <w:gridSpan w:val="29"/>
            <w:shd w:val="clear" w:color="auto" w:fill="FFFFFF" w:themeFill="background1"/>
          </w:tcPr>
          <w:p w14:paraId="2BDA319F" w14:textId="2CC6F663" w:rsidR="00117017" w:rsidRPr="008B4FE6" w:rsidRDefault="00117017" w:rsidP="004E39B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  <w:r w:rsidR="000617BC">
              <w:rPr>
                <w:rFonts w:ascii="Times New Roman" w:hAnsi="Times New Roman"/>
                <w:color w:val="000000"/>
              </w:rPr>
              <w:t xml:space="preserve"> Brak</w:t>
            </w:r>
          </w:p>
        </w:tc>
      </w:tr>
      <w:tr w:rsidR="001B3460" w:rsidRPr="008B4FE6" w14:paraId="2C04D5CD" w14:textId="77777777" w:rsidTr="51301FF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8F36208" w14:textId="77777777" w:rsidR="001B3460" w:rsidRPr="008B4FE6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B3460" w:rsidRPr="008B4FE6" w14:paraId="3A918EB2" w14:textId="77777777" w:rsidTr="51301FF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7E70704F" w14:textId="2CD08BE5" w:rsidR="001B3460" w:rsidRPr="008B4FE6" w:rsidRDefault="00E952F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952FA">
              <w:rPr>
                <w:rFonts w:ascii="Times New Roman" w:hAnsi="Times New Roman"/>
                <w:color w:val="000000"/>
              </w:rPr>
              <w:t xml:space="preserve">Brak bezpośredniego wpływu projektu rozporządzenia na rynek pracy. Projekt </w:t>
            </w:r>
            <w:r w:rsidR="009D08CA">
              <w:rPr>
                <w:rFonts w:ascii="Times New Roman" w:hAnsi="Times New Roman"/>
                <w:color w:val="000000"/>
              </w:rPr>
              <w:t xml:space="preserve">będzie miał </w:t>
            </w:r>
            <w:r w:rsidRPr="00E952FA">
              <w:rPr>
                <w:rFonts w:ascii="Times New Roman" w:hAnsi="Times New Roman"/>
                <w:color w:val="000000"/>
              </w:rPr>
              <w:t>pośredni wpływ na personel medyczny realizujący świadczeni</w:t>
            </w:r>
            <w:r w:rsidR="009D08CA">
              <w:rPr>
                <w:rFonts w:ascii="Times New Roman" w:hAnsi="Times New Roman"/>
                <w:color w:val="000000"/>
              </w:rPr>
              <w:t>e</w:t>
            </w:r>
            <w:r w:rsidRPr="00E952FA">
              <w:rPr>
                <w:rFonts w:ascii="Times New Roman" w:hAnsi="Times New Roman"/>
                <w:color w:val="000000"/>
              </w:rPr>
              <w:t>, który nabywa kompetencje w zakresie stosowania now</w:t>
            </w:r>
            <w:r w:rsidR="00237661">
              <w:rPr>
                <w:rFonts w:ascii="Times New Roman" w:hAnsi="Times New Roman"/>
                <w:color w:val="000000"/>
              </w:rPr>
              <w:t>ych</w:t>
            </w:r>
            <w:r w:rsidRPr="00E952FA">
              <w:rPr>
                <w:rFonts w:ascii="Times New Roman" w:hAnsi="Times New Roman"/>
                <w:color w:val="000000"/>
              </w:rPr>
              <w:t xml:space="preserve"> metod terapeutyczn</w:t>
            </w:r>
            <w:r w:rsidR="00237661">
              <w:rPr>
                <w:rFonts w:ascii="Times New Roman" w:hAnsi="Times New Roman"/>
                <w:color w:val="000000"/>
              </w:rPr>
              <w:t>ych</w:t>
            </w:r>
            <w:r w:rsidRPr="00E952FA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1B3460" w:rsidRPr="008B4FE6" w14:paraId="38A6E7BF" w14:textId="77777777" w:rsidTr="51301FF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D1C1036" w14:textId="77777777" w:rsidR="001B3460" w:rsidRPr="008B4FE6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941C60" w:rsidRPr="008B4FE6" w14:paraId="45F7791F" w14:textId="77777777" w:rsidTr="51301FF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 w:themeFill="background1"/>
          </w:tcPr>
          <w:p w14:paraId="7615553D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2B73F09C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19E2566F" w14:textId="77777777" w:rsidR="001B3460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1B1A97EC" w14:textId="77777777" w:rsidR="00BF6667" w:rsidRPr="00BF6667" w:rsidRDefault="001B3460" w:rsidP="006D46C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F6667"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 w:themeFill="background1"/>
          </w:tcPr>
          <w:p w14:paraId="66430A08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4E4B1D1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448681C2" w14:textId="77777777" w:rsidR="001B3460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772CB95A" w14:textId="77777777" w:rsidR="00BF6667" w:rsidRPr="008B4FE6" w:rsidRDefault="00BF6667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 w:themeFill="background1"/>
          </w:tcPr>
          <w:p w14:paraId="09CFB5A6" w14:textId="77777777" w:rsidR="001B3460" w:rsidRPr="008B4FE6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52A66202" w14:textId="2EFB060C" w:rsidR="0082096F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7531FEAA" w14:textId="30E5981E" w:rsidR="0082096F" w:rsidRDefault="001B346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 w:rsidDel="008210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2096F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2096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="0082096F">
              <w:rPr>
                <w:rFonts w:ascii="Times New Roman" w:hAnsi="Times New Roman"/>
                <w:color w:val="000000"/>
              </w:rPr>
              <w:fldChar w:fldCharType="end"/>
            </w:r>
            <w:r w:rsidR="0082096F">
              <w:rPr>
                <w:rFonts w:ascii="Times New Roman" w:hAnsi="Times New Roman"/>
                <w:color w:val="000000"/>
                <w:spacing w:val="-2"/>
              </w:rPr>
              <w:t xml:space="preserve"> zdrowie</w:t>
            </w:r>
          </w:p>
          <w:p w14:paraId="229B96DE" w14:textId="14C8F1F6" w:rsidR="0082096F" w:rsidRPr="008B4FE6" w:rsidRDefault="0082096F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41C60" w:rsidRPr="008B4FE6" w14:paraId="7F1CB3E4" w14:textId="77777777" w:rsidTr="51301FF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 w:themeFill="background1"/>
            <w:vAlign w:val="center"/>
          </w:tcPr>
          <w:p w14:paraId="41EE81A0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 w:themeFill="background1"/>
            <w:vAlign w:val="center"/>
          </w:tcPr>
          <w:p w14:paraId="6DEB14F3" w14:textId="17E04196" w:rsidR="001B3460" w:rsidRDefault="005355E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355E0">
              <w:rPr>
                <w:rFonts w:ascii="Times New Roman" w:hAnsi="Times New Roman"/>
                <w:color w:val="000000"/>
                <w:spacing w:val="-2"/>
              </w:rPr>
              <w:t xml:space="preserve">Projektowane rozporządzenie wprowadza rozwiązania, które wpłyną pozytywnie na zdrowie i leczenie pacjentów z rakiem </w:t>
            </w:r>
            <w:r w:rsidR="00E62B62">
              <w:rPr>
                <w:rFonts w:ascii="Times New Roman" w:hAnsi="Times New Roman"/>
                <w:color w:val="000000"/>
                <w:spacing w:val="-2"/>
              </w:rPr>
              <w:t>błony śluzowej macicy</w:t>
            </w:r>
            <w:r w:rsidRPr="005355E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37661">
              <w:rPr>
                <w:rFonts w:ascii="Times New Roman" w:hAnsi="Times New Roman"/>
                <w:color w:val="000000"/>
                <w:spacing w:val="-2"/>
              </w:rPr>
              <w:t xml:space="preserve">oraz rakiem jelita grubego </w:t>
            </w:r>
            <w:r w:rsidRPr="005355E0">
              <w:rPr>
                <w:rFonts w:ascii="Times New Roman" w:hAnsi="Times New Roman"/>
                <w:color w:val="000000"/>
                <w:spacing w:val="-2"/>
              </w:rPr>
              <w:t>przy jednoczesnym zapewnieniu bezpieczeństwa pacjenta oraz zachowaniu odpowiedniej jakości świadczeń.</w:t>
            </w:r>
          </w:p>
          <w:p w14:paraId="4FBC1FCC" w14:textId="1CB1D953" w:rsidR="0001443D" w:rsidRPr="008B4FE6" w:rsidRDefault="0001443D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B3460" w:rsidRPr="008B4FE6" w14:paraId="04F79D74" w14:textId="77777777" w:rsidTr="51301FF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B2E296B" w14:textId="77777777" w:rsidR="001B3460" w:rsidRPr="00627221" w:rsidRDefault="00A767D2" w:rsidP="00A767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w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1B3460" w:rsidRPr="008B4FE6" w14:paraId="1A2011E8" w14:textId="77777777" w:rsidTr="51301FF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 w:themeFill="background1"/>
          </w:tcPr>
          <w:p w14:paraId="5FD21943" w14:textId="7C83AEAF" w:rsidR="00237661" w:rsidRPr="00642431" w:rsidRDefault="00E92C1F" w:rsidP="00642431">
            <w:pPr>
              <w:spacing w:before="60" w:after="60"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Przewidziany w projekcie termin wejścia w życie rozporządzenia to dzień</w:t>
            </w:r>
            <w:r w:rsidR="00B63852">
              <w:rPr>
                <w:rFonts w:ascii="Times New Roman" w:hAnsi="Times New Roman"/>
                <w:spacing w:val="-2"/>
              </w:rPr>
              <w:t xml:space="preserve"> </w:t>
            </w:r>
            <w:r w:rsidR="009B7ED5">
              <w:rPr>
                <w:rFonts w:ascii="Times New Roman" w:hAnsi="Times New Roman"/>
                <w:spacing w:val="-2"/>
              </w:rPr>
              <w:t>1 sierpnia 2023</w:t>
            </w:r>
            <w:r w:rsidR="00B63852">
              <w:rPr>
                <w:rFonts w:ascii="Times New Roman" w:hAnsi="Times New Roman"/>
                <w:spacing w:val="-2"/>
              </w:rPr>
              <w:t xml:space="preserve"> </w:t>
            </w:r>
            <w:r w:rsidR="00F37AE6" w:rsidRPr="00B154D9">
              <w:rPr>
                <w:rFonts w:ascii="Times New Roman" w:hAnsi="Times New Roman"/>
                <w:spacing w:val="-2"/>
              </w:rPr>
              <w:t>r.</w:t>
            </w:r>
            <w:r w:rsidR="00237661" w:rsidRPr="00B154D9">
              <w:rPr>
                <w:rFonts w:ascii="Times New Roman" w:hAnsi="Times New Roman"/>
                <w:spacing w:val="-2"/>
              </w:rPr>
              <w:t xml:space="preserve"> </w:t>
            </w:r>
          </w:p>
        </w:tc>
      </w:tr>
      <w:tr w:rsidR="001B3460" w:rsidRPr="008B4FE6" w14:paraId="69FCA7E8" w14:textId="77777777" w:rsidTr="51301FF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B5BC0B4" w14:textId="77777777" w:rsidR="001B3460" w:rsidRPr="008B4FE6" w:rsidRDefault="001B3460" w:rsidP="001D6A3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 w:rsidR="00A47BD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</w:t>
            </w:r>
            <w:r w:rsidR="00C33027"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zastosowane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1B3460" w:rsidRPr="008B4FE6" w14:paraId="712383C9" w14:textId="77777777" w:rsidTr="51301FF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 w:themeFill="background1"/>
          </w:tcPr>
          <w:p w14:paraId="28994A5B" w14:textId="5E4FFB30" w:rsidR="00C175F7" w:rsidRDefault="00BF4B1C" w:rsidP="00BF4B1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F4B1C">
              <w:rPr>
                <w:rFonts w:ascii="Times New Roman" w:hAnsi="Times New Roman"/>
                <w:color w:val="000000"/>
                <w:spacing w:val="-2"/>
              </w:rPr>
              <w:t>Dokonanie ewaluacji świadczenia będzie możliwe najszybciej za</w:t>
            </w:r>
            <w:r w:rsidR="008C383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8C3830">
              <w:rPr>
                <w:rFonts w:ascii="Times New Roman" w:hAnsi="Times New Roman"/>
                <w:spacing w:val="-2"/>
              </w:rPr>
              <w:t>2</w:t>
            </w:r>
            <w:r w:rsidRPr="00B154D9">
              <w:rPr>
                <w:rFonts w:ascii="Times New Roman" w:hAnsi="Times New Roman"/>
                <w:spacing w:val="-2"/>
              </w:rPr>
              <w:t xml:space="preserve"> lata, </w:t>
            </w:r>
            <w:r w:rsidR="00C175F7" w:rsidRPr="00C175F7">
              <w:rPr>
                <w:rFonts w:ascii="Times New Roman" w:hAnsi="Times New Roman"/>
                <w:color w:val="000000"/>
                <w:spacing w:val="-2"/>
              </w:rPr>
              <w:t xml:space="preserve">gdyż taki okres czasu umożliwia zaobserwowanie zmian i wskazanie korzyści wynikających z ich wprowadzenia. </w:t>
            </w:r>
          </w:p>
          <w:p w14:paraId="4C81CF42" w14:textId="430755F9" w:rsidR="00BF4B1C" w:rsidRPr="00BF4B1C" w:rsidRDefault="00BF4B1C" w:rsidP="00BF4B1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F4B1C">
              <w:rPr>
                <w:rFonts w:ascii="Times New Roman" w:hAnsi="Times New Roman"/>
                <w:color w:val="000000"/>
                <w:spacing w:val="-2"/>
              </w:rPr>
              <w:t xml:space="preserve">Zaproponowano mierniki adekwatne do efektów zdefiniowanych w pkt 2 OSR, tj. odsetek pacjentów poddanych zabiegowi leczenia nowotworów </w:t>
            </w:r>
            <w:r w:rsidR="00E62B62">
              <w:rPr>
                <w:rFonts w:ascii="Times New Roman" w:hAnsi="Times New Roman"/>
                <w:color w:val="000000"/>
                <w:spacing w:val="-2"/>
              </w:rPr>
              <w:t>błony śluzowej macicy</w:t>
            </w:r>
            <w:r w:rsidR="00237661">
              <w:rPr>
                <w:rFonts w:ascii="Times New Roman" w:hAnsi="Times New Roman"/>
                <w:color w:val="000000"/>
                <w:spacing w:val="-2"/>
              </w:rPr>
              <w:t xml:space="preserve"> oraz jelita grubego</w:t>
            </w:r>
            <w:r w:rsidRPr="00BF4B1C">
              <w:rPr>
                <w:rFonts w:ascii="Times New Roman" w:hAnsi="Times New Roman"/>
                <w:color w:val="000000"/>
                <w:spacing w:val="-2"/>
              </w:rPr>
              <w:t>, z wykorzystaniem systemu robotowego względem pacjentów, u których zastosowano inne metody terapeutyczne lub leczeni</w:t>
            </w:r>
            <w:r w:rsidR="00237661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Pr="00BF4B1C">
              <w:rPr>
                <w:rFonts w:ascii="Times New Roman" w:hAnsi="Times New Roman"/>
                <w:color w:val="000000"/>
                <w:spacing w:val="-2"/>
              </w:rPr>
              <w:t xml:space="preserve"> zachowawcze</w:t>
            </w:r>
            <w:r w:rsidR="005355E0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13A9B8CE" w14:textId="48D4AAB3" w:rsidR="001B3460" w:rsidRPr="00B37C80" w:rsidRDefault="00BF4B1C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F4B1C">
              <w:rPr>
                <w:rFonts w:ascii="Times New Roman" w:hAnsi="Times New Roman"/>
                <w:color w:val="000000"/>
                <w:spacing w:val="-2"/>
              </w:rPr>
              <w:t>Ewaluacji zostaną również poddane wydatki Narodowego Funduszu Zdrowia na realizację nowo wprowadzanych świadczeń gwarantowanych względem prognoz wydatków szacowanych dla pierwszych</w:t>
            </w:r>
            <w:r w:rsidR="008C383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8C3830">
              <w:rPr>
                <w:rFonts w:ascii="Times New Roman" w:hAnsi="Times New Roman"/>
                <w:spacing w:val="-2"/>
              </w:rPr>
              <w:t>2</w:t>
            </w:r>
            <w:r w:rsidRPr="00B154D9">
              <w:rPr>
                <w:rFonts w:ascii="Times New Roman" w:hAnsi="Times New Roman"/>
                <w:spacing w:val="-2"/>
              </w:rPr>
              <w:t xml:space="preserve"> lat </w:t>
            </w:r>
            <w:r w:rsidRPr="00BF4B1C">
              <w:rPr>
                <w:rFonts w:ascii="Times New Roman" w:hAnsi="Times New Roman"/>
                <w:color w:val="000000"/>
                <w:spacing w:val="-2"/>
              </w:rPr>
              <w:t>finansowania tych metod ze środków publicznych.</w:t>
            </w:r>
          </w:p>
        </w:tc>
      </w:tr>
      <w:tr w:rsidR="001B3460" w:rsidRPr="008B4FE6" w14:paraId="2754B8AA" w14:textId="77777777" w:rsidTr="51301FF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A83A4C3" w14:textId="77777777" w:rsidR="001B3460" w:rsidRPr="008B4FE6" w:rsidRDefault="001B3460" w:rsidP="0030195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B3460" w:rsidRPr="008B4FE6" w14:paraId="3D5DB79F" w14:textId="77777777" w:rsidTr="51301FF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 w:themeFill="background1"/>
          </w:tcPr>
          <w:p w14:paraId="2C7270CA" w14:textId="571D7B0D" w:rsidR="001B3460" w:rsidRPr="005D7C70" w:rsidRDefault="00525A8C" w:rsidP="00525A8C">
            <w:r>
              <w:rPr>
                <w:rFonts w:ascii="Times New Roman" w:hAnsi="Times New Roman"/>
                <w:color w:val="000000"/>
                <w:spacing w:val="-2"/>
              </w:rPr>
              <w:t>Brak</w:t>
            </w:r>
          </w:p>
        </w:tc>
      </w:tr>
    </w:tbl>
    <w:p w14:paraId="0BDEFEEF" w14:textId="6612C3AD" w:rsidR="006176ED" w:rsidRPr="00522D94" w:rsidRDefault="006176ED" w:rsidP="0001443D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36BDD" w14:textId="77777777" w:rsidR="002753E1" w:rsidRDefault="002753E1" w:rsidP="00044739">
      <w:pPr>
        <w:spacing w:line="240" w:lineRule="auto"/>
      </w:pPr>
      <w:r>
        <w:separator/>
      </w:r>
    </w:p>
  </w:endnote>
  <w:endnote w:type="continuationSeparator" w:id="0">
    <w:p w14:paraId="3257495E" w14:textId="77777777" w:rsidR="002753E1" w:rsidRDefault="002753E1" w:rsidP="00044739">
      <w:pPr>
        <w:spacing w:line="240" w:lineRule="auto"/>
      </w:pPr>
      <w:r>
        <w:continuationSeparator/>
      </w:r>
    </w:p>
  </w:endnote>
  <w:endnote w:type="continuationNotice" w:id="1">
    <w:p w14:paraId="62DA1475" w14:textId="77777777" w:rsidR="002753E1" w:rsidRDefault="002753E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4E19B" w14:textId="77777777" w:rsidR="002753E1" w:rsidRDefault="002753E1" w:rsidP="00044739">
      <w:pPr>
        <w:spacing w:line="240" w:lineRule="auto"/>
      </w:pPr>
      <w:r>
        <w:separator/>
      </w:r>
    </w:p>
  </w:footnote>
  <w:footnote w:type="continuationSeparator" w:id="0">
    <w:p w14:paraId="4FE7B6F1" w14:textId="77777777" w:rsidR="002753E1" w:rsidRDefault="002753E1" w:rsidP="00044739">
      <w:pPr>
        <w:spacing w:line="240" w:lineRule="auto"/>
      </w:pPr>
      <w:r>
        <w:continuationSeparator/>
      </w:r>
    </w:p>
  </w:footnote>
  <w:footnote w:type="continuationNotice" w:id="1">
    <w:p w14:paraId="5AEC5734" w14:textId="77777777" w:rsidR="002753E1" w:rsidRDefault="002753E1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542E19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4" w15:restartNumberingAfterBreak="0">
    <w:nsid w:val="1AD92112"/>
    <w:multiLevelType w:val="hybridMultilevel"/>
    <w:tmpl w:val="F0602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1596F"/>
    <w:multiLevelType w:val="hybridMultilevel"/>
    <w:tmpl w:val="204A16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08C584D"/>
    <w:multiLevelType w:val="hybridMultilevel"/>
    <w:tmpl w:val="B994D8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1" w15:restartNumberingAfterBreak="0">
    <w:nsid w:val="265122CC"/>
    <w:multiLevelType w:val="hybridMultilevel"/>
    <w:tmpl w:val="29563B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C46495"/>
    <w:multiLevelType w:val="hybridMultilevel"/>
    <w:tmpl w:val="FDDCA7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44BC2"/>
    <w:multiLevelType w:val="hybridMultilevel"/>
    <w:tmpl w:val="32E00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2444E"/>
    <w:multiLevelType w:val="hybridMultilevel"/>
    <w:tmpl w:val="5DCE3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8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3D4B399F"/>
    <w:multiLevelType w:val="hybridMultilevel"/>
    <w:tmpl w:val="A7B2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108B4"/>
    <w:multiLevelType w:val="hybridMultilevel"/>
    <w:tmpl w:val="027C879E"/>
    <w:lvl w:ilvl="0" w:tplc="BB240E0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3" w15:restartNumberingAfterBreak="0">
    <w:nsid w:val="4AB11C4E"/>
    <w:multiLevelType w:val="hybridMultilevel"/>
    <w:tmpl w:val="451C9700"/>
    <w:lvl w:ilvl="0" w:tplc="3100255C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0756E"/>
    <w:multiLevelType w:val="hybridMultilevel"/>
    <w:tmpl w:val="89366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57022409"/>
    <w:multiLevelType w:val="hybridMultilevel"/>
    <w:tmpl w:val="5DD4E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2" w15:restartNumberingAfterBreak="0">
    <w:nsid w:val="63F90358"/>
    <w:multiLevelType w:val="hybridMultilevel"/>
    <w:tmpl w:val="6F3CC680"/>
    <w:lvl w:ilvl="0" w:tplc="12AC968E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5A62B8D"/>
    <w:multiLevelType w:val="hybridMultilevel"/>
    <w:tmpl w:val="F30EF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08954110">
    <w:abstractNumId w:val="6"/>
  </w:num>
  <w:num w:numId="2" w16cid:durableId="1852453365">
    <w:abstractNumId w:val="1"/>
  </w:num>
  <w:num w:numId="3" w16cid:durableId="1412000859">
    <w:abstractNumId w:val="16"/>
  </w:num>
  <w:num w:numId="4" w16cid:durableId="614866917">
    <w:abstractNumId w:val="30"/>
  </w:num>
  <w:num w:numId="5" w16cid:durableId="1831672357">
    <w:abstractNumId w:val="2"/>
  </w:num>
  <w:num w:numId="6" w16cid:durableId="895697924">
    <w:abstractNumId w:val="13"/>
  </w:num>
  <w:num w:numId="7" w16cid:durableId="1181899056">
    <w:abstractNumId w:val="21"/>
  </w:num>
  <w:num w:numId="8" w16cid:durableId="83840177">
    <w:abstractNumId w:val="7"/>
  </w:num>
  <w:num w:numId="9" w16cid:durableId="2088961139">
    <w:abstractNumId w:val="25"/>
  </w:num>
  <w:num w:numId="10" w16cid:durableId="1616014965">
    <w:abstractNumId w:val="18"/>
  </w:num>
  <w:num w:numId="11" w16cid:durableId="1685664809">
    <w:abstractNumId w:val="22"/>
  </w:num>
  <w:num w:numId="12" w16cid:durableId="838885296">
    <w:abstractNumId w:val="3"/>
  </w:num>
  <w:num w:numId="13" w16cid:durableId="586810325">
    <w:abstractNumId w:val="17"/>
  </w:num>
  <w:num w:numId="14" w16cid:durableId="86275404">
    <w:abstractNumId w:val="31"/>
  </w:num>
  <w:num w:numId="15" w16cid:durableId="1788086455">
    <w:abstractNumId w:val="27"/>
  </w:num>
  <w:num w:numId="16" w16cid:durableId="1152139336">
    <w:abstractNumId w:val="29"/>
  </w:num>
  <w:num w:numId="17" w16cid:durableId="279383157">
    <w:abstractNumId w:val="9"/>
  </w:num>
  <w:num w:numId="18" w16cid:durableId="565186571">
    <w:abstractNumId w:val="33"/>
  </w:num>
  <w:num w:numId="19" w16cid:durableId="1979413944">
    <w:abstractNumId w:val="35"/>
  </w:num>
  <w:num w:numId="20" w16cid:durableId="1901017708">
    <w:abstractNumId w:val="28"/>
  </w:num>
  <w:num w:numId="21" w16cid:durableId="1260530951">
    <w:abstractNumId w:val="10"/>
  </w:num>
  <w:num w:numId="22" w16cid:durableId="163086153">
    <w:abstractNumId w:val="12"/>
  </w:num>
  <w:num w:numId="23" w16cid:durableId="94131312">
    <w:abstractNumId w:val="34"/>
  </w:num>
  <w:num w:numId="24" w16cid:durableId="520824721">
    <w:abstractNumId w:val="5"/>
  </w:num>
  <w:num w:numId="25" w16cid:durableId="1846703409">
    <w:abstractNumId w:val="11"/>
  </w:num>
  <w:num w:numId="26" w16cid:durableId="1503355725">
    <w:abstractNumId w:val="8"/>
  </w:num>
  <w:num w:numId="27" w16cid:durableId="1334527306">
    <w:abstractNumId w:val="4"/>
  </w:num>
  <w:num w:numId="28" w16cid:durableId="1445148489">
    <w:abstractNumId w:val="0"/>
  </w:num>
  <w:num w:numId="29" w16cid:durableId="1471050130">
    <w:abstractNumId w:val="19"/>
  </w:num>
  <w:num w:numId="30" w16cid:durableId="138234255">
    <w:abstractNumId w:val="14"/>
  </w:num>
  <w:num w:numId="31" w16cid:durableId="321348109">
    <w:abstractNumId w:val="26"/>
  </w:num>
  <w:num w:numId="32" w16cid:durableId="1313677732">
    <w:abstractNumId w:val="23"/>
  </w:num>
  <w:num w:numId="33" w16cid:durableId="2048479812">
    <w:abstractNumId w:val="15"/>
  </w:num>
  <w:num w:numId="34" w16cid:durableId="596059745">
    <w:abstractNumId w:val="32"/>
  </w:num>
  <w:num w:numId="35" w16cid:durableId="222955518">
    <w:abstractNumId w:val="24"/>
  </w:num>
  <w:num w:numId="36" w16cid:durableId="32081141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68D"/>
    <w:rsid w:val="000008E5"/>
    <w:rsid w:val="000015EE"/>
    <w:rsid w:val="000022D5"/>
    <w:rsid w:val="00004C6A"/>
    <w:rsid w:val="00006A3A"/>
    <w:rsid w:val="000107EF"/>
    <w:rsid w:val="00012D11"/>
    <w:rsid w:val="00013EB5"/>
    <w:rsid w:val="0001443D"/>
    <w:rsid w:val="000169D7"/>
    <w:rsid w:val="00023836"/>
    <w:rsid w:val="000328E4"/>
    <w:rsid w:val="000344F0"/>
    <w:rsid w:val="000356A9"/>
    <w:rsid w:val="00036137"/>
    <w:rsid w:val="000362A2"/>
    <w:rsid w:val="000369E3"/>
    <w:rsid w:val="00044138"/>
    <w:rsid w:val="00044739"/>
    <w:rsid w:val="00051637"/>
    <w:rsid w:val="000549FC"/>
    <w:rsid w:val="00056681"/>
    <w:rsid w:val="00057D06"/>
    <w:rsid w:val="000617BC"/>
    <w:rsid w:val="000648A7"/>
    <w:rsid w:val="0006618B"/>
    <w:rsid w:val="000670C0"/>
    <w:rsid w:val="00071B99"/>
    <w:rsid w:val="000756E5"/>
    <w:rsid w:val="0007704E"/>
    <w:rsid w:val="00080EC8"/>
    <w:rsid w:val="000815D3"/>
    <w:rsid w:val="00081CB1"/>
    <w:rsid w:val="000944AC"/>
    <w:rsid w:val="00094CB9"/>
    <w:rsid w:val="000956B2"/>
    <w:rsid w:val="000969E7"/>
    <w:rsid w:val="000A127D"/>
    <w:rsid w:val="000A23DE"/>
    <w:rsid w:val="000A4020"/>
    <w:rsid w:val="000A641B"/>
    <w:rsid w:val="000B54FB"/>
    <w:rsid w:val="000B66A8"/>
    <w:rsid w:val="000C29B0"/>
    <w:rsid w:val="000C5B4D"/>
    <w:rsid w:val="000C76FC"/>
    <w:rsid w:val="000C77D6"/>
    <w:rsid w:val="000D0F34"/>
    <w:rsid w:val="000D38FC"/>
    <w:rsid w:val="000D4D90"/>
    <w:rsid w:val="000D642F"/>
    <w:rsid w:val="000E2D10"/>
    <w:rsid w:val="000F3204"/>
    <w:rsid w:val="0010548B"/>
    <w:rsid w:val="001072D1"/>
    <w:rsid w:val="0011520B"/>
    <w:rsid w:val="00117017"/>
    <w:rsid w:val="001175EF"/>
    <w:rsid w:val="00121CC4"/>
    <w:rsid w:val="00130E8E"/>
    <w:rsid w:val="0013216E"/>
    <w:rsid w:val="001345D5"/>
    <w:rsid w:val="0013620B"/>
    <w:rsid w:val="001401B5"/>
    <w:rsid w:val="00140CF3"/>
    <w:rsid w:val="001422B9"/>
    <w:rsid w:val="0014665F"/>
    <w:rsid w:val="00153464"/>
    <w:rsid w:val="001541B3"/>
    <w:rsid w:val="00155B15"/>
    <w:rsid w:val="001568B8"/>
    <w:rsid w:val="001625BE"/>
    <w:rsid w:val="001634DB"/>
    <w:rsid w:val="00163FB2"/>
    <w:rsid w:val="001643A4"/>
    <w:rsid w:val="001727BB"/>
    <w:rsid w:val="00180D25"/>
    <w:rsid w:val="0018318D"/>
    <w:rsid w:val="001840DF"/>
    <w:rsid w:val="0018572C"/>
    <w:rsid w:val="00187E79"/>
    <w:rsid w:val="00187F0D"/>
    <w:rsid w:val="0019225F"/>
    <w:rsid w:val="00192CC5"/>
    <w:rsid w:val="001936F2"/>
    <w:rsid w:val="001956A7"/>
    <w:rsid w:val="001970A7"/>
    <w:rsid w:val="00197602"/>
    <w:rsid w:val="001A118A"/>
    <w:rsid w:val="001A27F4"/>
    <w:rsid w:val="001A2D95"/>
    <w:rsid w:val="001A3237"/>
    <w:rsid w:val="001A4C56"/>
    <w:rsid w:val="001B3460"/>
    <w:rsid w:val="001B4CA1"/>
    <w:rsid w:val="001B5F3C"/>
    <w:rsid w:val="001B75D8"/>
    <w:rsid w:val="001C1060"/>
    <w:rsid w:val="001C1B3E"/>
    <w:rsid w:val="001C3C63"/>
    <w:rsid w:val="001C48AB"/>
    <w:rsid w:val="001D4732"/>
    <w:rsid w:val="001D6A3C"/>
    <w:rsid w:val="001D6D51"/>
    <w:rsid w:val="001E23B7"/>
    <w:rsid w:val="001F11BB"/>
    <w:rsid w:val="001F653A"/>
    <w:rsid w:val="001F6979"/>
    <w:rsid w:val="00202BC6"/>
    <w:rsid w:val="00205141"/>
    <w:rsid w:val="0020516B"/>
    <w:rsid w:val="00213559"/>
    <w:rsid w:val="00213EFD"/>
    <w:rsid w:val="002172F1"/>
    <w:rsid w:val="0021795D"/>
    <w:rsid w:val="00221383"/>
    <w:rsid w:val="00223C7B"/>
    <w:rsid w:val="00224AB1"/>
    <w:rsid w:val="0022687A"/>
    <w:rsid w:val="00227E7D"/>
    <w:rsid w:val="00230728"/>
    <w:rsid w:val="00234040"/>
    <w:rsid w:val="00235CD2"/>
    <w:rsid w:val="00237661"/>
    <w:rsid w:val="002523AC"/>
    <w:rsid w:val="002547CB"/>
    <w:rsid w:val="00254DED"/>
    <w:rsid w:val="00255619"/>
    <w:rsid w:val="00255DAD"/>
    <w:rsid w:val="00256108"/>
    <w:rsid w:val="00260F33"/>
    <w:rsid w:val="002613BD"/>
    <w:rsid w:val="002624F1"/>
    <w:rsid w:val="00266BE0"/>
    <w:rsid w:val="00270C81"/>
    <w:rsid w:val="00271558"/>
    <w:rsid w:val="00274862"/>
    <w:rsid w:val="002753E1"/>
    <w:rsid w:val="00280760"/>
    <w:rsid w:val="00282D72"/>
    <w:rsid w:val="00282E1C"/>
    <w:rsid w:val="00283402"/>
    <w:rsid w:val="00290FD6"/>
    <w:rsid w:val="002914AF"/>
    <w:rsid w:val="00294259"/>
    <w:rsid w:val="00294EBB"/>
    <w:rsid w:val="0029523E"/>
    <w:rsid w:val="002A2C81"/>
    <w:rsid w:val="002A486E"/>
    <w:rsid w:val="002A7F85"/>
    <w:rsid w:val="002B3D1A"/>
    <w:rsid w:val="002C27D0"/>
    <w:rsid w:val="002C2C9B"/>
    <w:rsid w:val="002C74F7"/>
    <w:rsid w:val="002D17D6"/>
    <w:rsid w:val="002D18D7"/>
    <w:rsid w:val="002D21CE"/>
    <w:rsid w:val="002E19D8"/>
    <w:rsid w:val="002E3AAF"/>
    <w:rsid w:val="002E3DA3"/>
    <w:rsid w:val="002E450F"/>
    <w:rsid w:val="002E6B38"/>
    <w:rsid w:val="002E6D63"/>
    <w:rsid w:val="002E6E2B"/>
    <w:rsid w:val="002F500B"/>
    <w:rsid w:val="00300991"/>
    <w:rsid w:val="00301959"/>
    <w:rsid w:val="00305B8A"/>
    <w:rsid w:val="00317312"/>
    <w:rsid w:val="00331BF9"/>
    <w:rsid w:val="0033495E"/>
    <w:rsid w:val="00334A79"/>
    <w:rsid w:val="00334D8D"/>
    <w:rsid w:val="0033630C"/>
    <w:rsid w:val="00337345"/>
    <w:rsid w:val="00337DD2"/>
    <w:rsid w:val="003404D1"/>
    <w:rsid w:val="003405D8"/>
    <w:rsid w:val="003443FF"/>
    <w:rsid w:val="003454D9"/>
    <w:rsid w:val="003520C3"/>
    <w:rsid w:val="00355808"/>
    <w:rsid w:val="00356C92"/>
    <w:rsid w:val="00361461"/>
    <w:rsid w:val="00362C7E"/>
    <w:rsid w:val="00363309"/>
    <w:rsid w:val="0036346A"/>
    <w:rsid w:val="00363601"/>
    <w:rsid w:val="0036684B"/>
    <w:rsid w:val="00366F12"/>
    <w:rsid w:val="003700A1"/>
    <w:rsid w:val="00376AC9"/>
    <w:rsid w:val="00393032"/>
    <w:rsid w:val="00394B69"/>
    <w:rsid w:val="00397078"/>
    <w:rsid w:val="003A6953"/>
    <w:rsid w:val="003B6083"/>
    <w:rsid w:val="003B7E67"/>
    <w:rsid w:val="003C08CC"/>
    <w:rsid w:val="003C3838"/>
    <w:rsid w:val="003C5847"/>
    <w:rsid w:val="003C5A2C"/>
    <w:rsid w:val="003C6BFF"/>
    <w:rsid w:val="003D0681"/>
    <w:rsid w:val="003D12F6"/>
    <w:rsid w:val="003D1426"/>
    <w:rsid w:val="003E2F4E"/>
    <w:rsid w:val="003E720A"/>
    <w:rsid w:val="003F2CD8"/>
    <w:rsid w:val="003F3A80"/>
    <w:rsid w:val="00403E6E"/>
    <w:rsid w:val="004042D1"/>
    <w:rsid w:val="00412371"/>
    <w:rsid w:val="004129B4"/>
    <w:rsid w:val="00413266"/>
    <w:rsid w:val="00417EF0"/>
    <w:rsid w:val="00422181"/>
    <w:rsid w:val="00423F6C"/>
    <w:rsid w:val="004244A8"/>
    <w:rsid w:val="004248B8"/>
    <w:rsid w:val="00425F72"/>
    <w:rsid w:val="00426B0C"/>
    <w:rsid w:val="00427736"/>
    <w:rsid w:val="00430718"/>
    <w:rsid w:val="004358E4"/>
    <w:rsid w:val="00441787"/>
    <w:rsid w:val="004446AE"/>
    <w:rsid w:val="00444F2D"/>
    <w:rsid w:val="0044736B"/>
    <w:rsid w:val="00452034"/>
    <w:rsid w:val="00455FA6"/>
    <w:rsid w:val="004576FA"/>
    <w:rsid w:val="004579AF"/>
    <w:rsid w:val="004653F4"/>
    <w:rsid w:val="00466C70"/>
    <w:rsid w:val="004702C9"/>
    <w:rsid w:val="00472E45"/>
    <w:rsid w:val="00473FEA"/>
    <w:rsid w:val="0047579D"/>
    <w:rsid w:val="00483262"/>
    <w:rsid w:val="00484107"/>
    <w:rsid w:val="00485CC5"/>
    <w:rsid w:val="0049343F"/>
    <w:rsid w:val="00495F1C"/>
    <w:rsid w:val="004964FC"/>
    <w:rsid w:val="004A0B05"/>
    <w:rsid w:val="004A145E"/>
    <w:rsid w:val="004A1F15"/>
    <w:rsid w:val="004A2A81"/>
    <w:rsid w:val="004A7BD7"/>
    <w:rsid w:val="004B59DB"/>
    <w:rsid w:val="004C15C2"/>
    <w:rsid w:val="004C36D8"/>
    <w:rsid w:val="004C6A0C"/>
    <w:rsid w:val="004D1248"/>
    <w:rsid w:val="004D1E3C"/>
    <w:rsid w:val="004D2331"/>
    <w:rsid w:val="004D4169"/>
    <w:rsid w:val="004D6E14"/>
    <w:rsid w:val="004D7F9D"/>
    <w:rsid w:val="004E3124"/>
    <w:rsid w:val="004E39B9"/>
    <w:rsid w:val="004F4E17"/>
    <w:rsid w:val="004F5E65"/>
    <w:rsid w:val="0050082F"/>
    <w:rsid w:val="00500C56"/>
    <w:rsid w:val="00501713"/>
    <w:rsid w:val="00505E7E"/>
    <w:rsid w:val="00506568"/>
    <w:rsid w:val="0051551B"/>
    <w:rsid w:val="00520C57"/>
    <w:rsid w:val="00522D94"/>
    <w:rsid w:val="00525A8C"/>
    <w:rsid w:val="00533D89"/>
    <w:rsid w:val="005355E0"/>
    <w:rsid w:val="00536564"/>
    <w:rsid w:val="0054383D"/>
    <w:rsid w:val="0054458F"/>
    <w:rsid w:val="00544597"/>
    <w:rsid w:val="00544FFE"/>
    <w:rsid w:val="00545D93"/>
    <w:rsid w:val="005473F5"/>
    <w:rsid w:val="005477E7"/>
    <w:rsid w:val="00552794"/>
    <w:rsid w:val="00552C19"/>
    <w:rsid w:val="0055723D"/>
    <w:rsid w:val="00563199"/>
    <w:rsid w:val="00564874"/>
    <w:rsid w:val="00567963"/>
    <w:rsid w:val="0057009A"/>
    <w:rsid w:val="00571260"/>
    <w:rsid w:val="0057189C"/>
    <w:rsid w:val="00573FC1"/>
    <w:rsid w:val="005741EE"/>
    <w:rsid w:val="0057668E"/>
    <w:rsid w:val="00581D69"/>
    <w:rsid w:val="00587971"/>
    <w:rsid w:val="0059553E"/>
    <w:rsid w:val="00595E83"/>
    <w:rsid w:val="00596530"/>
    <w:rsid w:val="005967F3"/>
    <w:rsid w:val="00596976"/>
    <w:rsid w:val="005A06DF"/>
    <w:rsid w:val="005A5527"/>
    <w:rsid w:val="005A5AE6"/>
    <w:rsid w:val="005A7137"/>
    <w:rsid w:val="005B118A"/>
    <w:rsid w:val="005B1206"/>
    <w:rsid w:val="005B37E8"/>
    <w:rsid w:val="005C0056"/>
    <w:rsid w:val="005D61D6"/>
    <w:rsid w:val="005D7C70"/>
    <w:rsid w:val="005E0D13"/>
    <w:rsid w:val="005E5047"/>
    <w:rsid w:val="005E50BD"/>
    <w:rsid w:val="005E578D"/>
    <w:rsid w:val="005E7205"/>
    <w:rsid w:val="005E7371"/>
    <w:rsid w:val="005F116C"/>
    <w:rsid w:val="005F2131"/>
    <w:rsid w:val="005F53A8"/>
    <w:rsid w:val="005F61F8"/>
    <w:rsid w:val="00605EF6"/>
    <w:rsid w:val="00606455"/>
    <w:rsid w:val="00607B51"/>
    <w:rsid w:val="0061001E"/>
    <w:rsid w:val="00610350"/>
    <w:rsid w:val="006110C1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6FA"/>
    <w:rsid w:val="006370D2"/>
    <w:rsid w:val="0064074F"/>
    <w:rsid w:val="00640F7D"/>
    <w:rsid w:val="00641F55"/>
    <w:rsid w:val="00642431"/>
    <w:rsid w:val="006434B1"/>
    <w:rsid w:val="006455ED"/>
    <w:rsid w:val="00645E4A"/>
    <w:rsid w:val="00646729"/>
    <w:rsid w:val="00653688"/>
    <w:rsid w:val="00654EAE"/>
    <w:rsid w:val="0066091B"/>
    <w:rsid w:val="006660E9"/>
    <w:rsid w:val="00667249"/>
    <w:rsid w:val="00667558"/>
    <w:rsid w:val="00670FBC"/>
    <w:rsid w:val="00671523"/>
    <w:rsid w:val="006754EF"/>
    <w:rsid w:val="00676C8D"/>
    <w:rsid w:val="00676F1F"/>
    <w:rsid w:val="00677381"/>
    <w:rsid w:val="00677414"/>
    <w:rsid w:val="006832CF"/>
    <w:rsid w:val="0068601E"/>
    <w:rsid w:val="006904B2"/>
    <w:rsid w:val="0069486B"/>
    <w:rsid w:val="006A4904"/>
    <w:rsid w:val="006A548F"/>
    <w:rsid w:val="006A701A"/>
    <w:rsid w:val="006B3CB4"/>
    <w:rsid w:val="006B64DC"/>
    <w:rsid w:val="006B7A91"/>
    <w:rsid w:val="006C5C9F"/>
    <w:rsid w:val="006D46C4"/>
    <w:rsid w:val="006D4704"/>
    <w:rsid w:val="006D6A2D"/>
    <w:rsid w:val="006E08EB"/>
    <w:rsid w:val="006E1E18"/>
    <w:rsid w:val="006E31CE"/>
    <w:rsid w:val="006E34D3"/>
    <w:rsid w:val="006F069F"/>
    <w:rsid w:val="006F1435"/>
    <w:rsid w:val="006F232A"/>
    <w:rsid w:val="006F78C4"/>
    <w:rsid w:val="007007D6"/>
    <w:rsid w:val="007024B3"/>
    <w:rsid w:val="007031A0"/>
    <w:rsid w:val="00703EC5"/>
    <w:rsid w:val="00705A29"/>
    <w:rsid w:val="00707498"/>
    <w:rsid w:val="00711A65"/>
    <w:rsid w:val="00714133"/>
    <w:rsid w:val="007145BC"/>
    <w:rsid w:val="00714DA4"/>
    <w:rsid w:val="007158B2"/>
    <w:rsid w:val="00716081"/>
    <w:rsid w:val="00722232"/>
    <w:rsid w:val="00722B48"/>
    <w:rsid w:val="00724164"/>
    <w:rsid w:val="00725762"/>
    <w:rsid w:val="00725DE7"/>
    <w:rsid w:val="0072636A"/>
    <w:rsid w:val="00726B44"/>
    <w:rsid w:val="007271A0"/>
    <w:rsid w:val="007318DD"/>
    <w:rsid w:val="00733167"/>
    <w:rsid w:val="007368B2"/>
    <w:rsid w:val="00737E76"/>
    <w:rsid w:val="00740D2C"/>
    <w:rsid w:val="00744BF9"/>
    <w:rsid w:val="00745AE1"/>
    <w:rsid w:val="007508E2"/>
    <w:rsid w:val="00752623"/>
    <w:rsid w:val="00760F1F"/>
    <w:rsid w:val="0076423E"/>
    <w:rsid w:val="007646CB"/>
    <w:rsid w:val="00765E31"/>
    <w:rsid w:val="0076658F"/>
    <w:rsid w:val="00767391"/>
    <w:rsid w:val="0077040A"/>
    <w:rsid w:val="00772D64"/>
    <w:rsid w:val="00792609"/>
    <w:rsid w:val="00792887"/>
    <w:rsid w:val="007943E2"/>
    <w:rsid w:val="00794F2C"/>
    <w:rsid w:val="00796460"/>
    <w:rsid w:val="007A334B"/>
    <w:rsid w:val="007A3BC7"/>
    <w:rsid w:val="007A5AC4"/>
    <w:rsid w:val="007B0FDD"/>
    <w:rsid w:val="007B4802"/>
    <w:rsid w:val="007B6668"/>
    <w:rsid w:val="007B6B33"/>
    <w:rsid w:val="007C122A"/>
    <w:rsid w:val="007C2701"/>
    <w:rsid w:val="007D2024"/>
    <w:rsid w:val="007D2192"/>
    <w:rsid w:val="007E162B"/>
    <w:rsid w:val="007E25AC"/>
    <w:rsid w:val="007F0021"/>
    <w:rsid w:val="007F2F52"/>
    <w:rsid w:val="007F73EF"/>
    <w:rsid w:val="00801ED4"/>
    <w:rsid w:val="00801F71"/>
    <w:rsid w:val="00802E3D"/>
    <w:rsid w:val="00803153"/>
    <w:rsid w:val="00805F28"/>
    <w:rsid w:val="0080749F"/>
    <w:rsid w:val="00811D46"/>
    <w:rsid w:val="008125B0"/>
    <w:rsid w:val="008144CB"/>
    <w:rsid w:val="0082096F"/>
    <w:rsid w:val="0082104D"/>
    <w:rsid w:val="00821717"/>
    <w:rsid w:val="00824210"/>
    <w:rsid w:val="008263C0"/>
    <w:rsid w:val="00841422"/>
    <w:rsid w:val="00841D3B"/>
    <w:rsid w:val="0084314C"/>
    <w:rsid w:val="00843171"/>
    <w:rsid w:val="00853EE7"/>
    <w:rsid w:val="00856A47"/>
    <w:rsid w:val="008575C3"/>
    <w:rsid w:val="00863708"/>
    <w:rsid w:val="00863D28"/>
    <w:rsid w:val="008648C3"/>
    <w:rsid w:val="00880E9A"/>
    <w:rsid w:val="00880F26"/>
    <w:rsid w:val="008934A9"/>
    <w:rsid w:val="00894033"/>
    <w:rsid w:val="00896C2E"/>
    <w:rsid w:val="008A0592"/>
    <w:rsid w:val="008A5095"/>
    <w:rsid w:val="008A608F"/>
    <w:rsid w:val="008B1110"/>
    <w:rsid w:val="008B1935"/>
    <w:rsid w:val="008B1A9A"/>
    <w:rsid w:val="008B4FE6"/>
    <w:rsid w:val="008B6C37"/>
    <w:rsid w:val="008B71E2"/>
    <w:rsid w:val="008C3830"/>
    <w:rsid w:val="008C5D8D"/>
    <w:rsid w:val="008C7705"/>
    <w:rsid w:val="008D5EB1"/>
    <w:rsid w:val="008E18F7"/>
    <w:rsid w:val="008E1E10"/>
    <w:rsid w:val="008E291B"/>
    <w:rsid w:val="008E4F2F"/>
    <w:rsid w:val="008E74B0"/>
    <w:rsid w:val="008F2F68"/>
    <w:rsid w:val="008F5D6E"/>
    <w:rsid w:val="009008A8"/>
    <w:rsid w:val="009063B0"/>
    <w:rsid w:val="00907106"/>
    <w:rsid w:val="009107FD"/>
    <w:rsid w:val="0091137C"/>
    <w:rsid w:val="00911567"/>
    <w:rsid w:val="00912EFB"/>
    <w:rsid w:val="00917AAE"/>
    <w:rsid w:val="00922C0F"/>
    <w:rsid w:val="009251A9"/>
    <w:rsid w:val="00930699"/>
    <w:rsid w:val="00930BE5"/>
    <w:rsid w:val="00931F69"/>
    <w:rsid w:val="00934123"/>
    <w:rsid w:val="00941C60"/>
    <w:rsid w:val="00942AEF"/>
    <w:rsid w:val="00955774"/>
    <w:rsid w:val="009560B5"/>
    <w:rsid w:val="0095722F"/>
    <w:rsid w:val="00965F1C"/>
    <w:rsid w:val="00965F8E"/>
    <w:rsid w:val="009677C4"/>
    <w:rsid w:val="009703D6"/>
    <w:rsid w:val="0097181B"/>
    <w:rsid w:val="00972D40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6F0A"/>
    <w:rsid w:val="009A1D86"/>
    <w:rsid w:val="009B049C"/>
    <w:rsid w:val="009B11C8"/>
    <w:rsid w:val="009B2BCF"/>
    <w:rsid w:val="009B2FF8"/>
    <w:rsid w:val="009B5BA3"/>
    <w:rsid w:val="009B7ED5"/>
    <w:rsid w:val="009B7EFC"/>
    <w:rsid w:val="009D0027"/>
    <w:rsid w:val="009D0655"/>
    <w:rsid w:val="009D08CA"/>
    <w:rsid w:val="009E1E98"/>
    <w:rsid w:val="009E3ABE"/>
    <w:rsid w:val="009E3C4B"/>
    <w:rsid w:val="009F0637"/>
    <w:rsid w:val="009F62A6"/>
    <w:rsid w:val="009F674F"/>
    <w:rsid w:val="009F73D6"/>
    <w:rsid w:val="009F799E"/>
    <w:rsid w:val="00A00652"/>
    <w:rsid w:val="00A02020"/>
    <w:rsid w:val="00A048EB"/>
    <w:rsid w:val="00A056CB"/>
    <w:rsid w:val="00A07A29"/>
    <w:rsid w:val="00A07F8C"/>
    <w:rsid w:val="00A10FF1"/>
    <w:rsid w:val="00A14458"/>
    <w:rsid w:val="00A1506B"/>
    <w:rsid w:val="00A17CB2"/>
    <w:rsid w:val="00A23191"/>
    <w:rsid w:val="00A23395"/>
    <w:rsid w:val="00A23DC4"/>
    <w:rsid w:val="00A31046"/>
    <w:rsid w:val="00A319C0"/>
    <w:rsid w:val="00A33560"/>
    <w:rsid w:val="00A364E4"/>
    <w:rsid w:val="00A371A5"/>
    <w:rsid w:val="00A47BDF"/>
    <w:rsid w:val="00A51CD7"/>
    <w:rsid w:val="00A52ADB"/>
    <w:rsid w:val="00A533E8"/>
    <w:rsid w:val="00A542D9"/>
    <w:rsid w:val="00A56DFC"/>
    <w:rsid w:val="00A56E64"/>
    <w:rsid w:val="00A624C3"/>
    <w:rsid w:val="00A62C94"/>
    <w:rsid w:val="00A6641C"/>
    <w:rsid w:val="00A767D2"/>
    <w:rsid w:val="00A77616"/>
    <w:rsid w:val="00A805DA"/>
    <w:rsid w:val="00A811B4"/>
    <w:rsid w:val="00A86A90"/>
    <w:rsid w:val="00A87CDE"/>
    <w:rsid w:val="00A92BAF"/>
    <w:rsid w:val="00A94737"/>
    <w:rsid w:val="00A94BA3"/>
    <w:rsid w:val="00A96CBA"/>
    <w:rsid w:val="00AA120A"/>
    <w:rsid w:val="00AB1ACD"/>
    <w:rsid w:val="00AB277F"/>
    <w:rsid w:val="00AB4099"/>
    <w:rsid w:val="00AB449A"/>
    <w:rsid w:val="00AC0D5E"/>
    <w:rsid w:val="00AC33A3"/>
    <w:rsid w:val="00AC6941"/>
    <w:rsid w:val="00AD14F9"/>
    <w:rsid w:val="00AD35D6"/>
    <w:rsid w:val="00AD54F4"/>
    <w:rsid w:val="00AD58C5"/>
    <w:rsid w:val="00AE36C4"/>
    <w:rsid w:val="00AE3898"/>
    <w:rsid w:val="00AE472C"/>
    <w:rsid w:val="00AE5375"/>
    <w:rsid w:val="00AE6CF8"/>
    <w:rsid w:val="00AF4CAC"/>
    <w:rsid w:val="00B0017D"/>
    <w:rsid w:val="00B0363A"/>
    <w:rsid w:val="00B03E0D"/>
    <w:rsid w:val="00B054F8"/>
    <w:rsid w:val="00B0732A"/>
    <w:rsid w:val="00B154D9"/>
    <w:rsid w:val="00B2219A"/>
    <w:rsid w:val="00B2231C"/>
    <w:rsid w:val="00B22EAA"/>
    <w:rsid w:val="00B34696"/>
    <w:rsid w:val="00B3581B"/>
    <w:rsid w:val="00B3582B"/>
    <w:rsid w:val="00B36B81"/>
    <w:rsid w:val="00B36FEE"/>
    <w:rsid w:val="00B37C80"/>
    <w:rsid w:val="00B47686"/>
    <w:rsid w:val="00B5092B"/>
    <w:rsid w:val="00B5194E"/>
    <w:rsid w:val="00B51AF5"/>
    <w:rsid w:val="00B52348"/>
    <w:rsid w:val="00B531FC"/>
    <w:rsid w:val="00B55347"/>
    <w:rsid w:val="00B57E5E"/>
    <w:rsid w:val="00B613EC"/>
    <w:rsid w:val="00B61F37"/>
    <w:rsid w:val="00B63852"/>
    <w:rsid w:val="00B6460E"/>
    <w:rsid w:val="00B76C54"/>
    <w:rsid w:val="00B7770F"/>
    <w:rsid w:val="00B77A89"/>
    <w:rsid w:val="00B77B27"/>
    <w:rsid w:val="00B8134E"/>
    <w:rsid w:val="00B8147D"/>
    <w:rsid w:val="00B81B55"/>
    <w:rsid w:val="00B84613"/>
    <w:rsid w:val="00B846E4"/>
    <w:rsid w:val="00B87AF0"/>
    <w:rsid w:val="00B9037B"/>
    <w:rsid w:val="00B910BD"/>
    <w:rsid w:val="00B91F9C"/>
    <w:rsid w:val="00B93834"/>
    <w:rsid w:val="00B96469"/>
    <w:rsid w:val="00BA0DA2"/>
    <w:rsid w:val="00BA26DD"/>
    <w:rsid w:val="00BA2981"/>
    <w:rsid w:val="00BA42EE"/>
    <w:rsid w:val="00BA48F9"/>
    <w:rsid w:val="00BB0DCA"/>
    <w:rsid w:val="00BB2666"/>
    <w:rsid w:val="00BB66D3"/>
    <w:rsid w:val="00BB6B80"/>
    <w:rsid w:val="00BC1D0D"/>
    <w:rsid w:val="00BC3344"/>
    <w:rsid w:val="00BC3773"/>
    <w:rsid w:val="00BC381A"/>
    <w:rsid w:val="00BC48D3"/>
    <w:rsid w:val="00BC6430"/>
    <w:rsid w:val="00BD0962"/>
    <w:rsid w:val="00BD1EED"/>
    <w:rsid w:val="00BE7826"/>
    <w:rsid w:val="00BF0DA2"/>
    <w:rsid w:val="00BF0E92"/>
    <w:rsid w:val="00BF109C"/>
    <w:rsid w:val="00BF34FA"/>
    <w:rsid w:val="00BF4B1C"/>
    <w:rsid w:val="00BF6667"/>
    <w:rsid w:val="00C004B6"/>
    <w:rsid w:val="00C01703"/>
    <w:rsid w:val="00C02C43"/>
    <w:rsid w:val="00C047A7"/>
    <w:rsid w:val="00C05DE5"/>
    <w:rsid w:val="00C175F7"/>
    <w:rsid w:val="00C26759"/>
    <w:rsid w:val="00C27899"/>
    <w:rsid w:val="00C33027"/>
    <w:rsid w:val="00C37667"/>
    <w:rsid w:val="00C41362"/>
    <w:rsid w:val="00C435DB"/>
    <w:rsid w:val="00C44D73"/>
    <w:rsid w:val="00C50B42"/>
    <w:rsid w:val="00C516FF"/>
    <w:rsid w:val="00C52BFA"/>
    <w:rsid w:val="00C53D1D"/>
    <w:rsid w:val="00C53F26"/>
    <w:rsid w:val="00C540BC"/>
    <w:rsid w:val="00C57712"/>
    <w:rsid w:val="00C64F7D"/>
    <w:rsid w:val="00C67309"/>
    <w:rsid w:val="00C7614E"/>
    <w:rsid w:val="00C772AD"/>
    <w:rsid w:val="00C77BF1"/>
    <w:rsid w:val="00C77DCF"/>
    <w:rsid w:val="00C80D60"/>
    <w:rsid w:val="00C82FBD"/>
    <w:rsid w:val="00C85267"/>
    <w:rsid w:val="00C8721B"/>
    <w:rsid w:val="00C916FB"/>
    <w:rsid w:val="00C9372C"/>
    <w:rsid w:val="00C9470E"/>
    <w:rsid w:val="00C955BE"/>
    <w:rsid w:val="00C95CEB"/>
    <w:rsid w:val="00CA1054"/>
    <w:rsid w:val="00CA4B0C"/>
    <w:rsid w:val="00CA63EB"/>
    <w:rsid w:val="00CA69F1"/>
    <w:rsid w:val="00CA7CF2"/>
    <w:rsid w:val="00CB440F"/>
    <w:rsid w:val="00CB6991"/>
    <w:rsid w:val="00CC05A2"/>
    <w:rsid w:val="00CC3B53"/>
    <w:rsid w:val="00CC6194"/>
    <w:rsid w:val="00CC6305"/>
    <w:rsid w:val="00CC78A5"/>
    <w:rsid w:val="00CD0516"/>
    <w:rsid w:val="00CD756B"/>
    <w:rsid w:val="00CE6E02"/>
    <w:rsid w:val="00CE734F"/>
    <w:rsid w:val="00CF112E"/>
    <w:rsid w:val="00CF161D"/>
    <w:rsid w:val="00CF5F4F"/>
    <w:rsid w:val="00CF77BF"/>
    <w:rsid w:val="00D01732"/>
    <w:rsid w:val="00D11193"/>
    <w:rsid w:val="00D11DE2"/>
    <w:rsid w:val="00D218DC"/>
    <w:rsid w:val="00D24E56"/>
    <w:rsid w:val="00D31643"/>
    <w:rsid w:val="00D31AEB"/>
    <w:rsid w:val="00D328E0"/>
    <w:rsid w:val="00D32ECD"/>
    <w:rsid w:val="00D33A07"/>
    <w:rsid w:val="00D34B36"/>
    <w:rsid w:val="00D361E4"/>
    <w:rsid w:val="00D37DB6"/>
    <w:rsid w:val="00D42A8F"/>
    <w:rsid w:val="00D439F6"/>
    <w:rsid w:val="00D459C6"/>
    <w:rsid w:val="00D47395"/>
    <w:rsid w:val="00D50729"/>
    <w:rsid w:val="00D50C19"/>
    <w:rsid w:val="00D5379E"/>
    <w:rsid w:val="00D62643"/>
    <w:rsid w:val="00D64C0F"/>
    <w:rsid w:val="00D66363"/>
    <w:rsid w:val="00D72EFE"/>
    <w:rsid w:val="00D76227"/>
    <w:rsid w:val="00D77DF1"/>
    <w:rsid w:val="00D80A33"/>
    <w:rsid w:val="00D80C71"/>
    <w:rsid w:val="00D811B2"/>
    <w:rsid w:val="00D857BF"/>
    <w:rsid w:val="00D86AFF"/>
    <w:rsid w:val="00D93C2B"/>
    <w:rsid w:val="00D95A44"/>
    <w:rsid w:val="00D95D16"/>
    <w:rsid w:val="00D95D45"/>
    <w:rsid w:val="00D960EB"/>
    <w:rsid w:val="00D96AF7"/>
    <w:rsid w:val="00D97C76"/>
    <w:rsid w:val="00DA4402"/>
    <w:rsid w:val="00DA7CC8"/>
    <w:rsid w:val="00DB02B4"/>
    <w:rsid w:val="00DB538D"/>
    <w:rsid w:val="00DC275C"/>
    <w:rsid w:val="00DC4B0D"/>
    <w:rsid w:val="00DC7FE1"/>
    <w:rsid w:val="00DD3F3F"/>
    <w:rsid w:val="00DD5572"/>
    <w:rsid w:val="00DE5D80"/>
    <w:rsid w:val="00DF092D"/>
    <w:rsid w:val="00DF2220"/>
    <w:rsid w:val="00DF58CD"/>
    <w:rsid w:val="00DF65DE"/>
    <w:rsid w:val="00E019A5"/>
    <w:rsid w:val="00E02EC8"/>
    <w:rsid w:val="00E037F5"/>
    <w:rsid w:val="00E04ECB"/>
    <w:rsid w:val="00E05A09"/>
    <w:rsid w:val="00E06CA1"/>
    <w:rsid w:val="00E1292E"/>
    <w:rsid w:val="00E16A62"/>
    <w:rsid w:val="00E172B8"/>
    <w:rsid w:val="00E17FB4"/>
    <w:rsid w:val="00E20B75"/>
    <w:rsid w:val="00E214F2"/>
    <w:rsid w:val="00E2371E"/>
    <w:rsid w:val="00E24BD7"/>
    <w:rsid w:val="00E26523"/>
    <w:rsid w:val="00E26809"/>
    <w:rsid w:val="00E3412D"/>
    <w:rsid w:val="00E41AF4"/>
    <w:rsid w:val="00E57322"/>
    <w:rsid w:val="00E628CB"/>
    <w:rsid w:val="00E62AD9"/>
    <w:rsid w:val="00E62B62"/>
    <w:rsid w:val="00E638C8"/>
    <w:rsid w:val="00E6710E"/>
    <w:rsid w:val="00E7509B"/>
    <w:rsid w:val="00E761A3"/>
    <w:rsid w:val="00E765E0"/>
    <w:rsid w:val="00E8417C"/>
    <w:rsid w:val="00E8637D"/>
    <w:rsid w:val="00E86590"/>
    <w:rsid w:val="00E907FF"/>
    <w:rsid w:val="00E92C1F"/>
    <w:rsid w:val="00E952FA"/>
    <w:rsid w:val="00E96A62"/>
    <w:rsid w:val="00EA2D49"/>
    <w:rsid w:val="00EA42D1"/>
    <w:rsid w:val="00EA42EF"/>
    <w:rsid w:val="00EA4B40"/>
    <w:rsid w:val="00EB2DD1"/>
    <w:rsid w:val="00EB60F7"/>
    <w:rsid w:val="00EB6B37"/>
    <w:rsid w:val="00EC2044"/>
    <w:rsid w:val="00EC29FE"/>
    <w:rsid w:val="00EC3C70"/>
    <w:rsid w:val="00EC655F"/>
    <w:rsid w:val="00ED3A3D"/>
    <w:rsid w:val="00ED4F80"/>
    <w:rsid w:val="00ED538A"/>
    <w:rsid w:val="00ED669A"/>
    <w:rsid w:val="00ED6FBC"/>
    <w:rsid w:val="00EE0A30"/>
    <w:rsid w:val="00EE2F16"/>
    <w:rsid w:val="00EE3861"/>
    <w:rsid w:val="00EF16F5"/>
    <w:rsid w:val="00EF2E73"/>
    <w:rsid w:val="00EF6C69"/>
    <w:rsid w:val="00EF7683"/>
    <w:rsid w:val="00EF7A2D"/>
    <w:rsid w:val="00F03BD1"/>
    <w:rsid w:val="00F04F8D"/>
    <w:rsid w:val="00F05AB9"/>
    <w:rsid w:val="00F10AD0"/>
    <w:rsid w:val="00F116CC"/>
    <w:rsid w:val="00F12BD1"/>
    <w:rsid w:val="00F14EC4"/>
    <w:rsid w:val="00F15327"/>
    <w:rsid w:val="00F168CF"/>
    <w:rsid w:val="00F2555C"/>
    <w:rsid w:val="00F31DF3"/>
    <w:rsid w:val="00F324B7"/>
    <w:rsid w:val="00F33AE5"/>
    <w:rsid w:val="00F3597D"/>
    <w:rsid w:val="00F37AE6"/>
    <w:rsid w:val="00F37FA5"/>
    <w:rsid w:val="00F4376D"/>
    <w:rsid w:val="00F45399"/>
    <w:rsid w:val="00F465EA"/>
    <w:rsid w:val="00F54E7B"/>
    <w:rsid w:val="00F55A88"/>
    <w:rsid w:val="00F74005"/>
    <w:rsid w:val="00F76884"/>
    <w:rsid w:val="00F83D24"/>
    <w:rsid w:val="00F83DD9"/>
    <w:rsid w:val="00F83F40"/>
    <w:rsid w:val="00FA07CA"/>
    <w:rsid w:val="00FA117A"/>
    <w:rsid w:val="00FA1399"/>
    <w:rsid w:val="00FA4153"/>
    <w:rsid w:val="00FB386A"/>
    <w:rsid w:val="00FB4017"/>
    <w:rsid w:val="00FB6F04"/>
    <w:rsid w:val="00FC0786"/>
    <w:rsid w:val="00FC3584"/>
    <w:rsid w:val="00FC49EF"/>
    <w:rsid w:val="00FD085B"/>
    <w:rsid w:val="00FD3CCF"/>
    <w:rsid w:val="00FE0784"/>
    <w:rsid w:val="00FE36E2"/>
    <w:rsid w:val="00FF11AD"/>
    <w:rsid w:val="00FF2971"/>
    <w:rsid w:val="00FF34D4"/>
    <w:rsid w:val="012059C2"/>
    <w:rsid w:val="01A67D53"/>
    <w:rsid w:val="034A57F4"/>
    <w:rsid w:val="05359B85"/>
    <w:rsid w:val="0818BFD6"/>
    <w:rsid w:val="0A73E6D8"/>
    <w:rsid w:val="0BDABBD2"/>
    <w:rsid w:val="0CE210A9"/>
    <w:rsid w:val="0D5D2850"/>
    <w:rsid w:val="0D98E51F"/>
    <w:rsid w:val="0DFDAED5"/>
    <w:rsid w:val="0F8805FB"/>
    <w:rsid w:val="10AE955C"/>
    <w:rsid w:val="10CD40E4"/>
    <w:rsid w:val="10DA7D3C"/>
    <w:rsid w:val="14FAB888"/>
    <w:rsid w:val="152B30CC"/>
    <w:rsid w:val="176765F4"/>
    <w:rsid w:val="1862BCCD"/>
    <w:rsid w:val="1A051628"/>
    <w:rsid w:val="1C411EF8"/>
    <w:rsid w:val="1D2CF465"/>
    <w:rsid w:val="1F78BFBA"/>
    <w:rsid w:val="204FA687"/>
    <w:rsid w:val="207D371F"/>
    <w:rsid w:val="2204A83E"/>
    <w:rsid w:val="221A6164"/>
    <w:rsid w:val="2281AA02"/>
    <w:rsid w:val="228D15ED"/>
    <w:rsid w:val="24E03AF5"/>
    <w:rsid w:val="2A17F77F"/>
    <w:rsid w:val="2EAAA893"/>
    <w:rsid w:val="3042377C"/>
    <w:rsid w:val="3266D163"/>
    <w:rsid w:val="35A655C1"/>
    <w:rsid w:val="376A6EE5"/>
    <w:rsid w:val="3AF8E344"/>
    <w:rsid w:val="3C94B3A5"/>
    <w:rsid w:val="3CB40225"/>
    <w:rsid w:val="3CB47C32"/>
    <w:rsid w:val="3F5774EA"/>
    <w:rsid w:val="4578BB76"/>
    <w:rsid w:val="45CC3B39"/>
    <w:rsid w:val="4C31C50C"/>
    <w:rsid w:val="4C3D32A1"/>
    <w:rsid w:val="4CCEB976"/>
    <w:rsid w:val="4D2324D4"/>
    <w:rsid w:val="4DBA8EE3"/>
    <w:rsid w:val="4F1DFEBE"/>
    <w:rsid w:val="4F565F44"/>
    <w:rsid w:val="51301FFD"/>
    <w:rsid w:val="5239D07A"/>
    <w:rsid w:val="527D8A58"/>
    <w:rsid w:val="52F7C114"/>
    <w:rsid w:val="539C6D04"/>
    <w:rsid w:val="55FDA270"/>
    <w:rsid w:val="59134507"/>
    <w:rsid w:val="5A5BA3DB"/>
    <w:rsid w:val="5BB3DFA5"/>
    <w:rsid w:val="5C669418"/>
    <w:rsid w:val="5CB4B890"/>
    <w:rsid w:val="5CD8BB5A"/>
    <w:rsid w:val="5E037970"/>
    <w:rsid w:val="5E72BBDC"/>
    <w:rsid w:val="5F747094"/>
    <w:rsid w:val="642EB95A"/>
    <w:rsid w:val="65261C4C"/>
    <w:rsid w:val="69C4ED64"/>
    <w:rsid w:val="69F026EC"/>
    <w:rsid w:val="6A22F6B7"/>
    <w:rsid w:val="6ABA50FE"/>
    <w:rsid w:val="6C1DD6BE"/>
    <w:rsid w:val="6C50A72D"/>
    <w:rsid w:val="6EE07585"/>
    <w:rsid w:val="6F654A1B"/>
    <w:rsid w:val="6FEF9CA0"/>
    <w:rsid w:val="70652EF4"/>
    <w:rsid w:val="709CB540"/>
    <w:rsid w:val="723F3A0C"/>
    <w:rsid w:val="72D4EC57"/>
    <w:rsid w:val="73AACF94"/>
    <w:rsid w:val="7449FA6B"/>
    <w:rsid w:val="747CD189"/>
    <w:rsid w:val="74C30DC3"/>
    <w:rsid w:val="752EA9DD"/>
    <w:rsid w:val="767851E6"/>
    <w:rsid w:val="78890000"/>
    <w:rsid w:val="798D33D6"/>
    <w:rsid w:val="7B57F7B6"/>
    <w:rsid w:val="7C9BA48E"/>
    <w:rsid w:val="7DF3ACF0"/>
    <w:rsid w:val="7DFF0451"/>
    <w:rsid w:val="7FBB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AD7B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styleId="Poprawka">
    <w:name w:val="Revision"/>
    <w:hidden/>
    <w:uiPriority w:val="99"/>
    <w:semiHidden/>
    <w:rsid w:val="002C74F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65E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1B5F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D262E-368C-4979-9E3B-0834F03A8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2848</Words>
  <Characters>17093</Characters>
  <Application>Microsoft Office Word</Application>
  <DocSecurity>0</DocSecurity>
  <Lines>142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2023-07-10T11:10:00Z</dcterms:created>
  <dcterms:modified xsi:type="dcterms:W3CDTF">2023-07-10T11:10:00Z</dcterms:modified>
</cp:coreProperties>
</file>