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858"/>
        <w:gridCol w:w="669"/>
        <w:gridCol w:w="147"/>
        <w:gridCol w:w="312"/>
        <w:gridCol w:w="296"/>
        <w:gridCol w:w="256"/>
        <w:gridCol w:w="678"/>
        <w:gridCol w:w="18"/>
        <w:gridCol w:w="266"/>
        <w:gridCol w:w="301"/>
        <w:gridCol w:w="357"/>
        <w:gridCol w:w="211"/>
        <w:gridCol w:w="342"/>
        <w:gridCol w:w="226"/>
        <w:gridCol w:w="156"/>
        <w:gridCol w:w="413"/>
        <w:gridCol w:w="111"/>
        <w:gridCol w:w="411"/>
        <w:gridCol w:w="46"/>
        <w:gridCol w:w="568"/>
        <w:gridCol w:w="321"/>
        <w:gridCol w:w="247"/>
        <w:gridCol w:w="568"/>
        <w:gridCol w:w="119"/>
        <w:gridCol w:w="1415"/>
        <w:gridCol w:w="10"/>
        <w:gridCol w:w="38"/>
      </w:tblGrid>
      <w:tr w:rsidR="00067D98" w:rsidRPr="00067D98" w14:paraId="59AE6567" w14:textId="120A71EB" w:rsidTr="0091188B">
        <w:trPr>
          <w:gridAfter w:val="1"/>
          <w:wAfter w:w="38" w:type="dxa"/>
          <w:trHeight w:val="4101"/>
        </w:trPr>
        <w:tc>
          <w:tcPr>
            <w:tcW w:w="6298" w:type="dxa"/>
            <w:gridSpan w:val="14"/>
          </w:tcPr>
          <w:p w14:paraId="1CEF04A3" w14:textId="77777777" w:rsidR="00194975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18919B49" w14:textId="18F07A24" w:rsidR="00194975" w:rsidRDefault="005E5866" w:rsidP="00E37D0F">
            <w:pPr>
              <w:spacing w:after="0" w:line="240" w:lineRule="auto"/>
              <w:ind w:hanging="4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Projekt r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>ozporządzeni</w:t>
            </w:r>
            <w:r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 xml:space="preserve"> Ministra Klimatu i Środowiska zmieniające</w:t>
            </w:r>
            <w:r>
              <w:rPr>
                <w:rFonts w:ascii="Times New Roman" w:eastAsia="Calibri" w:hAnsi="Times New Roman" w:cs="Times New Roman"/>
                <w:color w:val="000000"/>
              </w:rPr>
              <w:t>go</w:t>
            </w:r>
            <w:r w:rsidR="00F6285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>rozporządzenie w sprawie szczegółowych zasad kształtowania i</w:t>
            </w:r>
            <w:r w:rsidR="0019119A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194975" w:rsidRPr="00D02634">
              <w:rPr>
                <w:rFonts w:ascii="Times New Roman" w:eastAsia="Calibri" w:hAnsi="Times New Roman" w:cs="Times New Roman"/>
                <w:color w:val="000000"/>
              </w:rPr>
              <w:t>kalkulacji taryf oraz rozliczeń z tytułu zaopatrzenia w ciepło</w:t>
            </w:r>
          </w:p>
          <w:p w14:paraId="24FF1098" w14:textId="77777777" w:rsidR="00194975" w:rsidRPr="00390D6C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2C5F39" w14:textId="77777777" w:rsidR="00194975" w:rsidRPr="00390D6C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94DFCE7" w14:textId="77777777" w:rsidR="00194975" w:rsidRDefault="00194975" w:rsidP="0019497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Ministerstwo Klimatu i Środowiska</w:t>
            </w:r>
          </w:p>
          <w:p w14:paraId="0FEBF2AD" w14:textId="77777777" w:rsidR="00194975" w:rsidRPr="00390D6C" w:rsidRDefault="00194975" w:rsidP="0019497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9C998A2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90D6C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390D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5F16B1F" w14:textId="6D3D643C" w:rsidR="00194975" w:rsidRDefault="00194975" w:rsidP="00E3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Pan</w:t>
            </w:r>
            <w:r w:rsidR="00C923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Anna Moskwa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–</w:t>
            </w:r>
            <w:r w:rsidR="00C923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Minister Klimatu i</w:t>
            </w:r>
            <w:r w:rsidR="0019119A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Środowiska</w:t>
            </w:r>
          </w:p>
          <w:p w14:paraId="49A77028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7869DF3" w14:textId="77777777" w:rsidR="00194975" w:rsidRPr="00390D6C" w:rsidRDefault="00194975" w:rsidP="00194975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426650F0" w14:textId="5875BDDA" w:rsidR="00194975" w:rsidRDefault="00194975" w:rsidP="00194975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Paweł Bogusławski</w:t>
            </w:r>
            <w:r w:rsidR="00EA516E">
              <w:rPr>
                <w:rFonts w:ascii="Times New Roman" w:hAnsi="Times New Roman"/>
                <w:color w:val="000000"/>
              </w:rPr>
              <w:t xml:space="preserve"> – Główny Specjalista</w:t>
            </w:r>
          </w:p>
          <w:p w14:paraId="6A3BE2F9" w14:textId="77777777" w:rsidR="00194975" w:rsidRPr="00DD691D" w:rsidRDefault="00194975" w:rsidP="00194975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D691D">
              <w:rPr>
                <w:rFonts w:ascii="Times New Roman" w:hAnsi="Times New Roman" w:cs="Times New Roman"/>
                <w:color w:val="000000"/>
                <w:lang w:val="en-GB"/>
              </w:rPr>
              <w:t>tel. 691 985 561</w:t>
            </w:r>
          </w:p>
          <w:p w14:paraId="085255B3" w14:textId="1CC04EF1" w:rsidR="00194975" w:rsidRPr="0091188B" w:rsidRDefault="00194975" w:rsidP="0091188B">
            <w:pPr>
              <w:spacing w:after="0" w:line="276" w:lineRule="auto"/>
              <w:ind w:hanging="34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D691D">
              <w:rPr>
                <w:rFonts w:ascii="Times New Roman" w:hAnsi="Times New Roman" w:cs="Times New Roman"/>
                <w:color w:val="000000"/>
                <w:lang w:val="en-GB"/>
              </w:rPr>
              <w:t xml:space="preserve">mail: </w:t>
            </w:r>
            <w:r w:rsidR="00F62853" w:rsidRPr="00DD691D">
              <w:rPr>
                <w:rFonts w:ascii="Times New Roman" w:hAnsi="Times New Roman" w:cs="Times New Roman"/>
                <w:lang w:val="en-GB"/>
              </w:rPr>
              <w:t>pawel.boguslawski@klimat.gov.pl</w:t>
            </w:r>
          </w:p>
        </w:tc>
        <w:tc>
          <w:tcPr>
            <w:tcW w:w="4611" w:type="dxa"/>
            <w:gridSpan w:val="13"/>
          </w:tcPr>
          <w:p w14:paraId="0091B18A" w14:textId="77777777" w:rsidR="00194975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90D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</w:p>
          <w:p w14:paraId="7054AB03" w14:textId="14A1C238" w:rsidR="00194975" w:rsidRPr="00390D6C" w:rsidRDefault="00BF0FB0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="00194975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="00454834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194975">
              <w:rPr>
                <w:rFonts w:ascii="Times New Roman" w:eastAsia="Calibri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19497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r.</w:t>
            </w:r>
          </w:p>
          <w:p w14:paraId="7B317A0C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4241BDE" w14:textId="3E8560FA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90D6C">
              <w:rPr>
                <w:rFonts w:ascii="Times New Roman" w:eastAsia="Calibri" w:hAnsi="Times New Roman" w:cs="Times New Roman"/>
                <w:b/>
              </w:rPr>
              <w:t xml:space="preserve">Źródło </w:t>
            </w:r>
            <w:bookmarkStart w:id="1" w:name="Lista1"/>
          </w:p>
          <w:bookmarkEnd w:id="1"/>
          <w:p w14:paraId="684DD0B6" w14:textId="77777777" w:rsidR="00194975" w:rsidRPr="00D02634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634">
              <w:rPr>
                <w:rFonts w:ascii="Times New Roman" w:eastAsia="Calibri" w:hAnsi="Times New Roman" w:cs="Times New Roman"/>
              </w:rPr>
              <w:t>Upoważnienie ustawowe</w:t>
            </w:r>
          </w:p>
          <w:p w14:paraId="0C4CD7BF" w14:textId="38E595D3" w:rsidR="00194975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634">
              <w:rPr>
                <w:rFonts w:ascii="Times New Roman" w:eastAsia="Calibri" w:hAnsi="Times New Roman" w:cs="Times New Roman"/>
              </w:rPr>
              <w:t xml:space="preserve">art. 46 ust. 5 i 6 ustawy z dnia 10 kwietnia </w:t>
            </w:r>
            <w:r w:rsidR="00D91101">
              <w:rPr>
                <w:rFonts w:ascii="Times New Roman" w:eastAsia="Calibri" w:hAnsi="Times New Roman" w:cs="Times New Roman"/>
              </w:rPr>
              <w:br/>
            </w:r>
            <w:r w:rsidRPr="00D02634">
              <w:rPr>
                <w:rFonts w:ascii="Times New Roman" w:eastAsia="Calibri" w:hAnsi="Times New Roman" w:cs="Times New Roman"/>
              </w:rPr>
              <w:t>1997 r. – Prawo energetyczne (Dz. U. z</w:t>
            </w:r>
            <w:r w:rsidR="00542314">
              <w:rPr>
                <w:rFonts w:ascii="Times New Roman" w:eastAsia="Calibri" w:hAnsi="Times New Roman" w:cs="Times New Roman"/>
              </w:rPr>
              <w:t xml:space="preserve"> 2022 poz. 1385</w:t>
            </w:r>
            <w:r w:rsidR="00BF0FB0">
              <w:rPr>
                <w:rFonts w:ascii="Times New Roman" w:eastAsia="Calibri" w:hAnsi="Times New Roman" w:cs="Times New Roman"/>
              </w:rPr>
              <w:t xml:space="preserve"> z </w:t>
            </w:r>
            <w:proofErr w:type="spellStart"/>
            <w:r w:rsidR="00BF0FB0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BF0FB0">
              <w:rPr>
                <w:rFonts w:ascii="Times New Roman" w:eastAsia="Calibri" w:hAnsi="Times New Roman" w:cs="Times New Roman"/>
              </w:rPr>
              <w:t>. zm.</w:t>
            </w:r>
            <w:r w:rsidRPr="00D02634">
              <w:rPr>
                <w:rFonts w:ascii="Times New Roman" w:eastAsia="Calibri" w:hAnsi="Times New Roman" w:cs="Times New Roman"/>
              </w:rPr>
              <w:t>)</w:t>
            </w:r>
            <w:r w:rsidR="00916010">
              <w:rPr>
                <w:rFonts w:ascii="Times New Roman" w:eastAsia="Calibri" w:hAnsi="Times New Roman" w:cs="Times New Roman"/>
              </w:rPr>
              <w:t>, zwane</w:t>
            </w:r>
            <w:r w:rsidR="00841253">
              <w:rPr>
                <w:rFonts w:ascii="Times New Roman" w:eastAsia="Calibri" w:hAnsi="Times New Roman" w:cs="Times New Roman"/>
              </w:rPr>
              <w:t>j</w:t>
            </w:r>
            <w:r w:rsidR="00916010">
              <w:rPr>
                <w:rFonts w:ascii="Times New Roman" w:eastAsia="Calibri" w:hAnsi="Times New Roman" w:cs="Times New Roman"/>
              </w:rPr>
              <w:t xml:space="preserve"> dalej „</w:t>
            </w:r>
            <w:r w:rsidR="003F5955">
              <w:rPr>
                <w:rFonts w:ascii="Times New Roman" w:eastAsia="Calibri" w:hAnsi="Times New Roman" w:cs="Times New Roman"/>
              </w:rPr>
              <w:t>ustaw</w:t>
            </w:r>
            <w:r w:rsidR="004F1A50">
              <w:rPr>
                <w:rFonts w:ascii="Times New Roman" w:eastAsia="Calibri" w:hAnsi="Times New Roman" w:cs="Times New Roman"/>
              </w:rPr>
              <w:t>ą</w:t>
            </w:r>
            <w:r w:rsidR="00916010">
              <w:rPr>
                <w:rFonts w:ascii="Times New Roman" w:eastAsia="Calibri" w:hAnsi="Times New Roman" w:cs="Times New Roman"/>
              </w:rPr>
              <w:t>”</w:t>
            </w:r>
          </w:p>
          <w:p w14:paraId="7AFD7700" w14:textId="77777777" w:rsidR="00194975" w:rsidRPr="00390D6C" w:rsidRDefault="00194975" w:rsidP="0019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544438" w14:textId="466E9AFE" w:rsidR="000F7AE7" w:rsidRDefault="00194975" w:rsidP="000F7AE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</w:t>
            </w:r>
            <w:r w:rsidR="000F7AE7">
              <w:rPr>
                <w:rFonts w:ascii="Times New Roman" w:eastAsia="Calibri" w:hAnsi="Times New Roman" w:cs="Times New Roman"/>
                <w:b/>
                <w:color w:val="000000"/>
              </w:rPr>
              <w:t>W</w:t>
            </w: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>ykazie prac</w:t>
            </w:r>
            <w:r w:rsidR="000F7AE7">
              <w:rPr>
                <w:rFonts w:ascii="Times New Roman" w:eastAsia="Calibri" w:hAnsi="Times New Roman" w:cs="Times New Roman"/>
                <w:b/>
                <w:color w:val="000000"/>
              </w:rPr>
              <w:t xml:space="preserve"> legislacyjnych Ministra Klimatu i Środowiska</w:t>
            </w:r>
            <w:r w:rsidR="00FF43A9">
              <w:rPr>
                <w:rFonts w:ascii="Times New Roman" w:eastAsia="Calibri" w:hAnsi="Times New Roman" w:cs="Times New Roman"/>
                <w:b/>
                <w:color w:val="000000"/>
              </w:rPr>
              <w:t>: 1096</w:t>
            </w:r>
          </w:p>
          <w:p w14:paraId="0F4CB0EB" w14:textId="174B4444" w:rsidR="004722E0" w:rsidRPr="004722E0" w:rsidRDefault="00194975" w:rsidP="000F7AE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0D6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067D98" w:rsidRPr="00067D98" w14:paraId="3A959A0B" w14:textId="77777777" w:rsidTr="00066274">
        <w:trPr>
          <w:gridAfter w:val="1"/>
          <w:wAfter w:w="38" w:type="dxa"/>
          <w:trHeight w:val="142"/>
        </w:trPr>
        <w:tc>
          <w:tcPr>
            <w:tcW w:w="10909" w:type="dxa"/>
            <w:gridSpan w:val="27"/>
            <w:shd w:val="clear" w:color="auto" w:fill="99CCFF"/>
          </w:tcPr>
          <w:p w14:paraId="491EB86A" w14:textId="52C9B843" w:rsidR="00E35653" w:rsidRPr="00067D98" w:rsidRDefault="00E35653" w:rsidP="005E5B5D">
            <w:pPr>
              <w:spacing w:after="0" w:line="276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67D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OCENA SKUTKÓW REGULACJI</w:t>
            </w:r>
          </w:p>
        </w:tc>
      </w:tr>
      <w:tr w:rsidR="00067D98" w:rsidRPr="00067D98" w14:paraId="30B97939" w14:textId="77777777" w:rsidTr="00066274">
        <w:trPr>
          <w:gridAfter w:val="1"/>
          <w:wAfter w:w="38" w:type="dxa"/>
          <w:trHeight w:val="333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12751529" w14:textId="77777777" w:rsidR="00E35653" w:rsidRPr="00067D98" w:rsidRDefault="00E35653" w:rsidP="00974D0E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067D98" w:rsidRPr="00067D98" w14:paraId="26BA6AB3" w14:textId="77777777" w:rsidTr="00926FEF">
        <w:tblPrEx>
          <w:tblCellMar>
            <w:left w:w="70" w:type="dxa"/>
            <w:right w:w="70" w:type="dxa"/>
          </w:tblCellMar>
        </w:tblPrEx>
        <w:trPr>
          <w:trHeight w:val="142"/>
        </w:trPr>
        <w:tc>
          <w:tcPr>
            <w:tcW w:w="10947" w:type="dxa"/>
            <w:gridSpan w:val="28"/>
            <w:shd w:val="clear" w:color="auto" w:fill="FFFFFF"/>
          </w:tcPr>
          <w:p w14:paraId="2EB11008" w14:textId="78E6B49E" w:rsidR="001A57B8" w:rsidRDefault="00A30FCC" w:rsidP="00C921E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30FCC">
              <w:rPr>
                <w:rFonts w:ascii="Times New Roman" w:eastAsiaTheme="minorEastAsia" w:hAnsi="Times New Roman" w:cs="Times New Roman"/>
              </w:rPr>
              <w:t>Zmian</w:t>
            </w:r>
            <w:r w:rsidR="00DF4D37">
              <w:rPr>
                <w:rFonts w:ascii="Times New Roman" w:eastAsiaTheme="minorEastAsia" w:hAnsi="Times New Roman" w:cs="Times New Roman"/>
              </w:rPr>
              <w:t>a</w:t>
            </w:r>
            <w:r w:rsidRPr="00A30FCC">
              <w:rPr>
                <w:rFonts w:ascii="Times New Roman" w:eastAsiaTheme="minorEastAsia" w:hAnsi="Times New Roman" w:cs="Times New Roman"/>
              </w:rPr>
              <w:t xml:space="preserve"> rozporządzenia uzasadni</w:t>
            </w:r>
            <w:r w:rsidR="00DF4D37">
              <w:rPr>
                <w:rFonts w:ascii="Times New Roman" w:eastAsiaTheme="minorEastAsia" w:hAnsi="Times New Roman" w:cs="Times New Roman"/>
              </w:rPr>
              <w:t xml:space="preserve">ona jest </w:t>
            </w:r>
            <w:r w:rsidRPr="00A30FCC">
              <w:rPr>
                <w:rFonts w:ascii="Times New Roman" w:eastAsiaTheme="minorEastAsia" w:hAnsi="Times New Roman" w:cs="Times New Roman"/>
              </w:rPr>
              <w:t>sytuacj</w:t>
            </w:r>
            <w:r w:rsidR="00DF4D37">
              <w:rPr>
                <w:rFonts w:ascii="Times New Roman" w:eastAsiaTheme="minorEastAsia" w:hAnsi="Times New Roman" w:cs="Times New Roman"/>
              </w:rPr>
              <w:t>ą</w:t>
            </w:r>
            <w:r w:rsidR="00845051">
              <w:rPr>
                <w:rFonts w:ascii="Times New Roman" w:eastAsiaTheme="minorEastAsia" w:hAnsi="Times New Roman" w:cs="Times New Roman"/>
              </w:rPr>
              <w:t xml:space="preserve"> odbiorców</w:t>
            </w:r>
            <w:r w:rsidRPr="00A30FCC">
              <w:rPr>
                <w:rFonts w:ascii="Times New Roman" w:eastAsiaTheme="minorEastAsia" w:hAnsi="Times New Roman" w:cs="Times New Roman"/>
              </w:rPr>
              <w:t xml:space="preserve"> ciepła w</w:t>
            </w:r>
            <w:r w:rsidR="00845051">
              <w:rPr>
                <w:rFonts w:ascii="Times New Roman" w:eastAsiaTheme="minorEastAsia" w:hAnsi="Times New Roman" w:cs="Times New Roman"/>
              </w:rPr>
              <w:t>ynikającą ze</w:t>
            </w:r>
            <w:r w:rsidRPr="00A30FCC">
              <w:rPr>
                <w:rFonts w:ascii="Times New Roman" w:eastAsiaTheme="minorEastAsia" w:hAnsi="Times New Roman" w:cs="Times New Roman"/>
              </w:rPr>
              <w:t xml:space="preserve"> zmian zachodzących w otoczeniu makroekonomicznym. </w:t>
            </w:r>
            <w:r w:rsidR="001A57B8">
              <w:rPr>
                <w:rFonts w:ascii="Times New Roman" w:eastAsiaTheme="minorEastAsia" w:hAnsi="Times New Roman" w:cs="Times New Roman"/>
              </w:rPr>
              <w:t>W</w:t>
            </w:r>
            <w:r w:rsidRPr="00A30FCC">
              <w:rPr>
                <w:rFonts w:ascii="Times New Roman" w:eastAsiaTheme="minorEastAsia" w:hAnsi="Times New Roman" w:cs="Times New Roman"/>
              </w:rPr>
              <w:t xml:space="preserve">zrost kosztów paliw oraz wzrost cen uprawnień do emisji gazów cieplarnianych w 2021 i 2022 roku spowodował </w:t>
            </w:r>
            <w:r w:rsidR="001A57B8">
              <w:rPr>
                <w:rFonts w:ascii="Times New Roman" w:eastAsiaTheme="minorEastAsia" w:hAnsi="Times New Roman" w:cs="Times New Roman"/>
              </w:rPr>
              <w:t>duże wzrosty cen i stawek opłat w</w:t>
            </w:r>
            <w:r w:rsidR="001A57B8" w:rsidRPr="00A30FC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30FCC">
              <w:rPr>
                <w:rFonts w:ascii="Times New Roman" w:eastAsiaTheme="minorEastAsia" w:hAnsi="Times New Roman" w:cs="Times New Roman"/>
              </w:rPr>
              <w:t>taryf</w:t>
            </w:r>
            <w:r w:rsidR="001A57B8">
              <w:rPr>
                <w:rFonts w:ascii="Times New Roman" w:eastAsiaTheme="minorEastAsia" w:hAnsi="Times New Roman" w:cs="Times New Roman"/>
              </w:rPr>
              <w:t>ach</w:t>
            </w:r>
            <w:r w:rsidRPr="00A30FCC">
              <w:rPr>
                <w:rFonts w:ascii="Times New Roman" w:eastAsiaTheme="minorEastAsia" w:hAnsi="Times New Roman" w:cs="Times New Roman"/>
              </w:rPr>
              <w:t xml:space="preserve"> dla ciepła</w:t>
            </w:r>
            <w:r w:rsidR="001A57B8">
              <w:rPr>
                <w:rFonts w:ascii="Times New Roman" w:eastAsiaTheme="minorEastAsia" w:hAnsi="Times New Roman" w:cs="Times New Roman"/>
              </w:rPr>
              <w:t>. Możliwość zmiany taryf dla ciepła był</w:t>
            </w:r>
            <w:r w:rsidR="00EB6F8E">
              <w:rPr>
                <w:rFonts w:ascii="Times New Roman" w:eastAsiaTheme="minorEastAsia" w:hAnsi="Times New Roman" w:cs="Times New Roman"/>
              </w:rPr>
              <w:t>a</w:t>
            </w:r>
            <w:r w:rsidR="001A57B8">
              <w:rPr>
                <w:rFonts w:ascii="Times New Roman" w:eastAsiaTheme="minorEastAsia" w:hAnsi="Times New Roman" w:cs="Times New Roman"/>
              </w:rPr>
              <w:t xml:space="preserve"> wykorzystywan</w:t>
            </w:r>
            <w:r w:rsidR="00EB6F8E">
              <w:rPr>
                <w:rFonts w:ascii="Times New Roman" w:eastAsiaTheme="minorEastAsia" w:hAnsi="Times New Roman" w:cs="Times New Roman"/>
              </w:rPr>
              <w:t>a</w:t>
            </w:r>
            <w:r w:rsidR="001A57B8">
              <w:rPr>
                <w:rFonts w:ascii="Times New Roman" w:eastAsiaTheme="minorEastAsia" w:hAnsi="Times New Roman" w:cs="Times New Roman"/>
              </w:rPr>
              <w:t xml:space="preserve"> przez przedsiębiorstwa energetyczne przy każdym wzroście</w:t>
            </w:r>
            <w:r w:rsidR="00197113">
              <w:rPr>
                <w:rFonts w:ascii="Times New Roman" w:eastAsiaTheme="minorEastAsia" w:hAnsi="Times New Roman" w:cs="Times New Roman"/>
              </w:rPr>
              <w:t xml:space="preserve"> cen</w:t>
            </w:r>
            <w:r w:rsidR="001A57B8">
              <w:rPr>
                <w:rFonts w:ascii="Times New Roman" w:eastAsiaTheme="minorEastAsia" w:hAnsi="Times New Roman" w:cs="Times New Roman"/>
              </w:rPr>
              <w:t xml:space="preserve"> stosowanego paliwa lub przy wzrastających koszt</w:t>
            </w:r>
            <w:r w:rsidR="00EB6F8E">
              <w:rPr>
                <w:rFonts w:ascii="Times New Roman" w:eastAsiaTheme="minorEastAsia" w:hAnsi="Times New Roman" w:cs="Times New Roman"/>
              </w:rPr>
              <w:t>ach</w:t>
            </w:r>
            <w:r w:rsidR="001A57B8">
              <w:rPr>
                <w:rFonts w:ascii="Times New Roman" w:eastAsiaTheme="minorEastAsia" w:hAnsi="Times New Roman" w:cs="Times New Roman"/>
              </w:rPr>
              <w:t xml:space="preserve"> uprawnień do emisji gazów cieplarnianych. Ceny i stawki opłat w taryfach dla ciepła</w:t>
            </w:r>
            <w:r w:rsidRPr="00A30FCC">
              <w:rPr>
                <w:rFonts w:ascii="Times New Roman" w:eastAsiaTheme="minorEastAsia" w:hAnsi="Times New Roman" w:cs="Times New Roman"/>
              </w:rPr>
              <w:t xml:space="preserve"> osiągnęły </w:t>
            </w:r>
            <w:r w:rsidR="001A57B8">
              <w:rPr>
                <w:rFonts w:ascii="Times New Roman" w:eastAsiaTheme="minorEastAsia" w:hAnsi="Times New Roman" w:cs="Times New Roman"/>
              </w:rPr>
              <w:t xml:space="preserve">ostatnio </w:t>
            </w:r>
            <w:r w:rsidR="00845051">
              <w:rPr>
                <w:rFonts w:ascii="Times New Roman" w:eastAsiaTheme="minorEastAsia" w:hAnsi="Times New Roman" w:cs="Times New Roman"/>
              </w:rPr>
              <w:t>niespotykanie</w:t>
            </w:r>
            <w:r w:rsidRPr="00A30FCC">
              <w:rPr>
                <w:rFonts w:ascii="Times New Roman" w:eastAsiaTheme="minorEastAsia" w:hAnsi="Times New Roman" w:cs="Times New Roman"/>
              </w:rPr>
              <w:t xml:space="preserve"> wysokie poziomy. </w:t>
            </w:r>
          </w:p>
          <w:p w14:paraId="68C381AF" w14:textId="4E6C8007" w:rsidR="00A30FCC" w:rsidRDefault="001A57B8" w:rsidP="00C921E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 okresowym wzroście cen paliw, zwłaszcza węgla kamiennego i gazu ziemnego, </w:t>
            </w:r>
            <w:r w:rsidR="00EB6F8E">
              <w:rPr>
                <w:rFonts w:ascii="Times New Roman" w:eastAsiaTheme="minorEastAsia" w:hAnsi="Times New Roman" w:cs="Times New Roman"/>
              </w:rPr>
              <w:t>które w Polsce w około 80% stosuje się do wytwarzania ciepła</w:t>
            </w:r>
            <w:r w:rsidR="008C5F83">
              <w:rPr>
                <w:rFonts w:ascii="Times New Roman" w:eastAsiaTheme="minorEastAsia" w:hAnsi="Times New Roman" w:cs="Times New Roman"/>
              </w:rPr>
              <w:t xml:space="preserve"> (węgiel ~70%, gaz ziemny ~10%)</w:t>
            </w:r>
            <w:r w:rsidR="00EB6F8E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 xml:space="preserve">nastąpił spadek cen tych paliw. </w:t>
            </w:r>
          </w:p>
          <w:p w14:paraId="479E80A7" w14:textId="789D1445" w:rsidR="00DA2B1A" w:rsidRPr="005B0558" w:rsidRDefault="00EB6F8E" w:rsidP="009922A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Pomimo</w:t>
            </w:r>
            <w:r w:rsidR="00845051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  <w:r w:rsidR="00845051">
              <w:rPr>
                <w:rFonts w:ascii="Times New Roman" w:eastAsiaTheme="minorEastAsia" w:hAnsi="Times New Roman" w:cs="Times New Roman"/>
              </w:rPr>
              <w:t>ż</w:t>
            </w:r>
            <w:r w:rsidR="00A30F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BF0FB0" w:rsidRPr="00BF0FB0">
              <w:rPr>
                <w:rFonts w:ascii="Times New Roman" w:eastAsiaTheme="minorEastAsia" w:hAnsi="Times New Roman" w:cs="Times New Roman"/>
              </w:rPr>
              <w:t xml:space="preserve">przyczyny wzrostu cen i stawek opłat w taryfach dla ciepła zostały ograniczone – ceny nośników energii </w:t>
            </w:r>
            <w:r w:rsidR="00845051">
              <w:rPr>
                <w:rFonts w:ascii="Times New Roman" w:eastAsiaTheme="minorEastAsia" w:hAnsi="Times New Roman" w:cs="Times New Roman"/>
              </w:rPr>
              <w:t>zbliżyły się</w:t>
            </w:r>
            <w:r w:rsidR="00BF0FB0" w:rsidRPr="00BF0FB0">
              <w:rPr>
                <w:rFonts w:ascii="Times New Roman" w:eastAsiaTheme="minorEastAsia" w:hAnsi="Times New Roman" w:cs="Times New Roman"/>
              </w:rPr>
              <w:t xml:space="preserve"> do stanu sprzed wybuchu wojny w Ukrainie, a ceny uprawnień do emisji od kilku miesięcy fluktuują już nie przekraczając osiąganego</w:t>
            </w:r>
            <w:r w:rsidR="00A30FCC">
              <w:rPr>
                <w:rFonts w:ascii="Times New Roman" w:eastAsiaTheme="minorEastAsia" w:hAnsi="Times New Roman" w:cs="Times New Roman"/>
              </w:rPr>
              <w:t xml:space="preserve"> wcześniej</w:t>
            </w:r>
            <w:r w:rsidR="00F236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BF0FB0" w:rsidRPr="00BF0FB0">
              <w:rPr>
                <w:rFonts w:ascii="Times New Roman" w:eastAsiaTheme="minorEastAsia" w:hAnsi="Times New Roman" w:cs="Times New Roman"/>
              </w:rPr>
              <w:t>wysokiego poziomu</w:t>
            </w:r>
            <w:r w:rsidR="00A30FCC">
              <w:rPr>
                <w:rFonts w:ascii="Times New Roman" w:eastAsiaTheme="minorEastAsia" w:hAnsi="Times New Roman" w:cs="Times New Roman"/>
              </w:rPr>
              <w:t>,</w:t>
            </w:r>
            <w:r w:rsidR="0084505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wciąż obserwuje się </w:t>
            </w:r>
            <w:r w:rsidR="00845051">
              <w:rPr>
                <w:rFonts w:ascii="Times New Roman" w:eastAsiaTheme="minorEastAsia" w:hAnsi="Times New Roman" w:cs="Times New Roman"/>
              </w:rPr>
              <w:t>tendencj</w:t>
            </w:r>
            <w:r>
              <w:rPr>
                <w:rFonts w:ascii="Times New Roman" w:eastAsiaTheme="minorEastAsia" w:hAnsi="Times New Roman" w:cs="Times New Roman"/>
              </w:rPr>
              <w:t>ę</w:t>
            </w:r>
            <w:r w:rsidR="00845051">
              <w:rPr>
                <w:rFonts w:ascii="Times New Roman" w:eastAsiaTheme="minorEastAsia" w:hAnsi="Times New Roman" w:cs="Times New Roman"/>
              </w:rPr>
              <w:t xml:space="preserve"> do systematycznego wzrostu </w:t>
            </w:r>
            <w:r w:rsidR="00A30FCC">
              <w:rPr>
                <w:rFonts w:ascii="Times New Roman" w:eastAsiaTheme="minorEastAsia" w:hAnsi="Times New Roman" w:cs="Times New Roman"/>
              </w:rPr>
              <w:t>cen</w:t>
            </w:r>
            <w:r>
              <w:rPr>
                <w:rFonts w:ascii="Times New Roman" w:eastAsiaTheme="minorEastAsia" w:hAnsi="Times New Roman" w:cs="Times New Roman"/>
              </w:rPr>
              <w:t xml:space="preserve"> i stawek opłat</w:t>
            </w:r>
            <w:r w:rsidR="00A30FCC">
              <w:rPr>
                <w:rFonts w:ascii="Times New Roman" w:eastAsiaTheme="minorEastAsia" w:hAnsi="Times New Roman" w:cs="Times New Roman"/>
              </w:rPr>
              <w:t xml:space="preserve"> dla odbiorców ciepła</w:t>
            </w:r>
            <w:r w:rsidR="00845051">
              <w:rPr>
                <w:rFonts w:ascii="Times New Roman" w:eastAsiaTheme="minorEastAsia" w:hAnsi="Times New Roman" w:cs="Times New Roman"/>
              </w:rPr>
              <w:t>.</w:t>
            </w:r>
            <w:r w:rsidR="00197113">
              <w:rPr>
                <w:rFonts w:ascii="Times New Roman" w:eastAsiaTheme="minorEastAsia" w:hAnsi="Times New Roman" w:cs="Times New Roman"/>
              </w:rPr>
              <w:t xml:space="preserve"> U</w:t>
            </w:r>
            <w:r w:rsidR="00F71E17">
              <w:rPr>
                <w:rFonts w:ascii="Times New Roman" w:eastAsiaTheme="minorEastAsia" w:hAnsi="Times New Roman" w:cs="Times New Roman"/>
              </w:rPr>
              <w:t>możliwiony przez przepis §11 ust. 4 zmienianego rozporządzenia</w:t>
            </w:r>
            <w:r w:rsidR="00197113">
              <w:rPr>
                <w:rFonts w:ascii="Times New Roman" w:eastAsiaTheme="minorEastAsia" w:hAnsi="Times New Roman" w:cs="Times New Roman"/>
              </w:rPr>
              <w:t xml:space="preserve"> wskaźnikowy sposób kształtowania taryfy dla ciepła</w:t>
            </w:r>
            <w:r w:rsidR="00F71E17">
              <w:rPr>
                <w:rFonts w:ascii="Times New Roman" w:eastAsiaTheme="minorEastAsia" w:hAnsi="Times New Roman" w:cs="Times New Roman"/>
              </w:rPr>
              <w:t xml:space="preserve"> bazuje na danych z roku poprzedniego, w którym ceny paliw były na bardzo wysokim poziomie i przenosi w nieadekwatnych do obecnej sytuacji wskaźnikach nadmierne przychody. </w:t>
            </w:r>
          </w:p>
        </w:tc>
      </w:tr>
      <w:tr w:rsidR="00067D98" w:rsidRPr="00067D98" w14:paraId="77D08E12" w14:textId="77777777" w:rsidTr="00066274">
        <w:trPr>
          <w:gridAfter w:val="1"/>
          <w:wAfter w:w="38" w:type="dxa"/>
          <w:trHeight w:val="142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589C1B4F" w14:textId="77777777" w:rsidR="00E35653" w:rsidRPr="00067D98" w:rsidRDefault="00E35653" w:rsidP="00974D0E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067D98" w:rsidRPr="00067D98" w14:paraId="45E0AD93" w14:textId="77777777" w:rsidTr="002E33D9">
        <w:tblPrEx>
          <w:tblCellMar>
            <w:left w:w="70" w:type="dxa"/>
            <w:right w:w="70" w:type="dxa"/>
          </w:tblCellMar>
        </w:tblPrEx>
        <w:trPr>
          <w:trHeight w:val="142"/>
        </w:trPr>
        <w:tc>
          <w:tcPr>
            <w:tcW w:w="10947" w:type="dxa"/>
            <w:gridSpan w:val="28"/>
            <w:shd w:val="clear" w:color="auto" w:fill="auto"/>
          </w:tcPr>
          <w:p w14:paraId="5921C3C1" w14:textId="1195AAA5" w:rsidR="003A1532" w:rsidRDefault="003A1532" w:rsidP="00F71E1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Celem proponowanej zmiany jest ograniczenie bezzasadnych wzrostów cen i stawek opłat w taryfach dla ciepła. Efektem będzie ograniczenie opłat ponoszonych przez odbiorców ciepła</w:t>
            </w:r>
            <w:r w:rsidR="0086783C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co będzie skutkować zmniejszeniem obciążeń gospodarstw domowych w budynkach wielorodzinnych – podmiotów nie będących odbiorcami ciepła.</w:t>
            </w:r>
          </w:p>
          <w:p w14:paraId="57252009" w14:textId="6FA4F5C3" w:rsidR="00F71E17" w:rsidRDefault="001C13E5" w:rsidP="00F71E1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Niezbędnym jest dostosowanie</w:t>
            </w:r>
            <w:r w:rsidR="00F71E17" w:rsidRPr="00F71E17">
              <w:rPr>
                <w:rFonts w:ascii="Times New Roman" w:eastAsiaTheme="minorEastAsia" w:hAnsi="Times New Roman" w:cs="Times New Roman"/>
              </w:rPr>
              <w:t xml:space="preserve"> przepisów wykonawczych w taki sposób, aby obowiązujące taryfy dla ciepła odzwierciedlały koszty prowadzonej działalności wytwarzania ciepła</w:t>
            </w:r>
            <w:r>
              <w:rPr>
                <w:rFonts w:ascii="Times New Roman" w:eastAsiaTheme="minorEastAsia" w:hAnsi="Times New Roman" w:cs="Times New Roman"/>
              </w:rPr>
              <w:t>, które powinny być kosztami uzasadnionymi, a więc niezbędnymi do prowadzenia działalności</w:t>
            </w:r>
            <w:r w:rsidR="003A1532">
              <w:rPr>
                <w:rFonts w:ascii="Times New Roman" w:eastAsiaTheme="minorEastAsia" w:hAnsi="Times New Roman" w:cs="Times New Roman"/>
              </w:rPr>
              <w:t>. Przez z</w:t>
            </w:r>
            <w:r w:rsidR="003A1532" w:rsidRPr="00CD61AF">
              <w:rPr>
                <w:rFonts w:ascii="Times New Roman" w:eastAsiaTheme="minorEastAsia" w:hAnsi="Times New Roman" w:cs="Times New Roman"/>
              </w:rPr>
              <w:t>mian</w:t>
            </w:r>
            <w:r w:rsidR="003A1532">
              <w:rPr>
                <w:rFonts w:ascii="Times New Roman" w:eastAsiaTheme="minorEastAsia" w:hAnsi="Times New Roman" w:cs="Times New Roman"/>
              </w:rPr>
              <w:t>ę</w:t>
            </w:r>
            <w:r w:rsidR="003A1532" w:rsidRPr="00CD61AF">
              <w:rPr>
                <w:rFonts w:ascii="Times New Roman" w:eastAsiaTheme="minorEastAsia" w:hAnsi="Times New Roman" w:cs="Times New Roman"/>
              </w:rPr>
              <w:t xml:space="preserve"> rozporządzenia </w:t>
            </w:r>
            <w:r w:rsidR="003A1532">
              <w:rPr>
                <w:rFonts w:ascii="Times New Roman" w:eastAsiaTheme="minorEastAsia" w:hAnsi="Times New Roman" w:cs="Times New Roman"/>
              </w:rPr>
              <w:t xml:space="preserve">powinny zostać zrównoważone </w:t>
            </w:r>
            <w:r w:rsidR="003A1532" w:rsidRPr="00CD61AF">
              <w:rPr>
                <w:rFonts w:ascii="Times New Roman" w:eastAsiaTheme="minorEastAsia" w:hAnsi="Times New Roman" w:cs="Times New Roman"/>
              </w:rPr>
              <w:t>interes</w:t>
            </w:r>
            <w:r w:rsidR="003A1532">
              <w:rPr>
                <w:rFonts w:ascii="Times New Roman" w:eastAsiaTheme="minorEastAsia" w:hAnsi="Times New Roman" w:cs="Times New Roman"/>
              </w:rPr>
              <w:t>y</w:t>
            </w:r>
            <w:r w:rsidR="003A1532" w:rsidRPr="00CD61AF">
              <w:rPr>
                <w:rFonts w:ascii="Times New Roman" w:eastAsiaTheme="minorEastAsia" w:hAnsi="Times New Roman" w:cs="Times New Roman"/>
              </w:rPr>
              <w:t xml:space="preserve"> odbiorców ciepła oraz przedsiębiorstw energetycznych prowadzących działalność wytwarzania ciepła i jego dystrybucji.</w:t>
            </w:r>
            <w:r w:rsidR="003A1532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6D046D81" w14:textId="19D3FD9E" w:rsidR="00D3652D" w:rsidRDefault="00D3652D" w:rsidP="00A8656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Na skutek</w:t>
            </w:r>
            <w:r w:rsidR="001C13E5">
              <w:rPr>
                <w:rFonts w:ascii="Times New Roman" w:eastAsiaTheme="minorEastAsia" w:hAnsi="Times New Roman" w:cs="Times New Roman"/>
              </w:rPr>
              <w:t xml:space="preserve"> uchyleni</w:t>
            </w:r>
            <w:r>
              <w:rPr>
                <w:rFonts w:ascii="Times New Roman" w:eastAsiaTheme="minorEastAsia" w:hAnsi="Times New Roman" w:cs="Times New Roman"/>
              </w:rPr>
              <w:t>a</w:t>
            </w:r>
            <w:r w:rsidR="001C13E5">
              <w:rPr>
                <w:rFonts w:ascii="Times New Roman" w:eastAsiaTheme="minorEastAsia" w:hAnsi="Times New Roman" w:cs="Times New Roman"/>
              </w:rPr>
              <w:t xml:space="preserve"> przepisów § 11 ust</w:t>
            </w:r>
            <w:r w:rsidR="00924E74">
              <w:rPr>
                <w:rFonts w:ascii="Times New Roman" w:eastAsiaTheme="minorEastAsia" w:hAnsi="Times New Roman" w:cs="Times New Roman"/>
              </w:rPr>
              <w:t>.</w:t>
            </w:r>
            <w:r w:rsidR="001C13E5">
              <w:rPr>
                <w:rFonts w:ascii="Times New Roman" w:eastAsiaTheme="minorEastAsia" w:hAnsi="Times New Roman" w:cs="Times New Roman"/>
              </w:rPr>
              <w:t xml:space="preserve"> 4 i 8 oraz </w:t>
            </w:r>
            <w:r w:rsidR="001C13E5" w:rsidRPr="00CD61AF">
              <w:rPr>
                <w:rFonts w:ascii="Times New Roman" w:eastAsiaTheme="minorEastAsia" w:hAnsi="Times New Roman" w:cs="Times New Roman"/>
              </w:rPr>
              <w:t>uchyleni</w:t>
            </w:r>
            <w:r>
              <w:rPr>
                <w:rFonts w:ascii="Times New Roman" w:eastAsiaTheme="minorEastAsia" w:hAnsi="Times New Roman" w:cs="Times New Roman"/>
              </w:rPr>
              <w:t>a</w:t>
            </w:r>
            <w:r w:rsidR="001C13E5" w:rsidRPr="00CD61AF">
              <w:rPr>
                <w:rFonts w:ascii="Times New Roman" w:eastAsiaTheme="minorEastAsia" w:hAnsi="Times New Roman" w:cs="Times New Roman"/>
              </w:rPr>
              <w:t xml:space="preserve"> § 45b </w:t>
            </w:r>
            <w:r w:rsidR="001C13E5">
              <w:rPr>
                <w:rFonts w:ascii="Times New Roman" w:eastAsiaTheme="minorEastAsia" w:hAnsi="Times New Roman" w:cs="Times New Roman"/>
              </w:rPr>
              <w:t>zostanie uniemożliwione wskaźnikowe podejście do kształtowanych taryf dla ciepła</w:t>
            </w:r>
            <w:r w:rsidR="00A056BE">
              <w:rPr>
                <w:rFonts w:ascii="Times New Roman" w:eastAsiaTheme="minorEastAsia" w:hAnsi="Times New Roman" w:cs="Times New Roman"/>
              </w:rPr>
              <w:t>, co w konsekwencji</w:t>
            </w:r>
            <w:r w:rsidR="0086783C">
              <w:rPr>
                <w:rFonts w:ascii="Times New Roman" w:eastAsiaTheme="minorEastAsia" w:hAnsi="Times New Roman" w:cs="Times New Roman"/>
              </w:rPr>
              <w:t xml:space="preserve"> </w:t>
            </w:r>
            <w:r w:rsidR="00EB6F8E">
              <w:rPr>
                <w:rFonts w:ascii="Times New Roman" w:eastAsiaTheme="minorEastAsia" w:hAnsi="Times New Roman" w:cs="Times New Roman"/>
              </w:rPr>
              <w:t>u</w:t>
            </w:r>
            <w:r w:rsidR="00CD61AF" w:rsidRPr="00CD61AF">
              <w:rPr>
                <w:rFonts w:ascii="Times New Roman" w:eastAsiaTheme="minorEastAsia" w:hAnsi="Times New Roman" w:cs="Times New Roman"/>
              </w:rPr>
              <w:t>niemożliwi</w:t>
            </w:r>
            <w:r w:rsidR="00924E74">
              <w:rPr>
                <w:rFonts w:ascii="Times New Roman" w:eastAsiaTheme="minorEastAsia" w:hAnsi="Times New Roman" w:cs="Times New Roman"/>
              </w:rPr>
              <w:t xml:space="preserve"> </w:t>
            </w:r>
            <w:r w:rsidR="00CD61AF" w:rsidRPr="00CD61AF">
              <w:rPr>
                <w:rFonts w:ascii="Times New Roman" w:eastAsiaTheme="minorEastAsia" w:hAnsi="Times New Roman" w:cs="Times New Roman"/>
              </w:rPr>
              <w:t>w okres</w:t>
            </w:r>
            <w:r w:rsidR="00B15143">
              <w:rPr>
                <w:rFonts w:ascii="Times New Roman" w:eastAsiaTheme="minorEastAsia" w:hAnsi="Times New Roman" w:cs="Times New Roman"/>
              </w:rPr>
              <w:t>ach</w:t>
            </w:r>
            <w:r w:rsidR="00CD61AF" w:rsidRPr="00CD61AF">
              <w:rPr>
                <w:rFonts w:ascii="Times New Roman" w:eastAsiaTheme="minorEastAsia" w:hAnsi="Times New Roman" w:cs="Times New Roman"/>
              </w:rPr>
              <w:t xml:space="preserve"> </w:t>
            </w:r>
            <w:r w:rsidR="009102CD">
              <w:rPr>
                <w:rFonts w:ascii="Times New Roman" w:eastAsiaTheme="minorEastAsia" w:hAnsi="Times New Roman" w:cs="Times New Roman"/>
              </w:rPr>
              <w:t>następujący</w:t>
            </w:r>
            <w:r w:rsidR="00B15143">
              <w:rPr>
                <w:rFonts w:ascii="Times New Roman" w:eastAsiaTheme="minorEastAsia" w:hAnsi="Times New Roman" w:cs="Times New Roman"/>
              </w:rPr>
              <w:t>ch</w:t>
            </w:r>
            <w:r w:rsidR="009102CD">
              <w:rPr>
                <w:rFonts w:ascii="Times New Roman" w:eastAsiaTheme="minorEastAsia" w:hAnsi="Times New Roman" w:cs="Times New Roman"/>
              </w:rPr>
              <w:t xml:space="preserve"> </w:t>
            </w:r>
            <w:r w:rsidR="00CD61AF" w:rsidRPr="00CD61AF">
              <w:rPr>
                <w:rFonts w:ascii="Times New Roman" w:eastAsiaTheme="minorEastAsia" w:hAnsi="Times New Roman" w:cs="Times New Roman"/>
              </w:rPr>
              <w:t>po gwałtownych wzrostach cen i stawek opłat w taryfach dla ciepła, kalkulowanie planowanego przychodu na podstawie wskaźników publikowanych przez Prezesa URE</w:t>
            </w:r>
            <w:r w:rsidR="00EB6F8E">
              <w:rPr>
                <w:rFonts w:ascii="Times New Roman" w:eastAsiaTheme="minorEastAsia" w:hAnsi="Times New Roman" w:cs="Times New Roman"/>
              </w:rPr>
              <w:t>.</w:t>
            </w:r>
          </w:p>
          <w:p w14:paraId="116EE9AF" w14:textId="4EC169CB" w:rsidR="00CD61AF" w:rsidRPr="00CD61AF" w:rsidRDefault="00845051" w:rsidP="00A8656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Uznano, że nie należy na tej bazie</w:t>
            </w:r>
            <w:r w:rsidR="00CD61AF" w:rsidRPr="00CD61AF">
              <w:rPr>
                <w:rFonts w:ascii="Times New Roman" w:eastAsiaTheme="minorEastAsia" w:hAnsi="Times New Roman" w:cs="Times New Roman"/>
              </w:rPr>
              <w:t xml:space="preserve"> kształtować planowanego przychodu do kalkulacji taryf dla ciepła ze względu na duże odstępstwa takiego działania od analizy kosztów uzasadnionych i </w:t>
            </w:r>
            <w:r w:rsidR="008C5F83">
              <w:rPr>
                <w:rFonts w:ascii="Times New Roman" w:eastAsiaTheme="minorEastAsia" w:hAnsi="Times New Roman" w:cs="Times New Roman"/>
              </w:rPr>
              <w:t xml:space="preserve">uzasadnionego </w:t>
            </w:r>
            <w:r w:rsidR="00CD61AF" w:rsidRPr="00CD61AF">
              <w:rPr>
                <w:rFonts w:ascii="Times New Roman" w:eastAsiaTheme="minorEastAsia" w:hAnsi="Times New Roman" w:cs="Times New Roman"/>
              </w:rPr>
              <w:t>zwrotu z kapitału, które powinny być podstawą do ustalenia cen i stawek opłat w stosowanych taryfach dla ciepła.</w:t>
            </w:r>
          </w:p>
          <w:p w14:paraId="60259EC5" w14:textId="6C5E0B56" w:rsidR="00801AF1" w:rsidRDefault="0086783C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W</w:t>
            </w:r>
            <w:r w:rsidR="008C5F83">
              <w:rPr>
                <w:rFonts w:ascii="Times New Roman" w:eastAsiaTheme="minorEastAsia" w:hAnsi="Times New Roman" w:cs="Times New Roman"/>
              </w:rPr>
              <w:t xml:space="preserve">skaźnikowy sposób bazujący na minimalnym przychodzie będzie mógł być realizowany </w:t>
            </w:r>
            <w:r>
              <w:rPr>
                <w:rFonts w:ascii="Times New Roman" w:eastAsiaTheme="minorEastAsia" w:hAnsi="Times New Roman" w:cs="Times New Roman"/>
              </w:rPr>
              <w:t xml:space="preserve">od 1 stycznia 2028 r. </w:t>
            </w:r>
            <w:r w:rsidR="008C5F83">
              <w:rPr>
                <w:rFonts w:ascii="Times New Roman" w:eastAsiaTheme="minorEastAsia" w:hAnsi="Times New Roman" w:cs="Times New Roman"/>
              </w:rPr>
              <w:t xml:space="preserve">na podstawie dodanych w </w:t>
            </w:r>
            <w:r w:rsidR="008C5F83" w:rsidRPr="00924E74">
              <w:rPr>
                <w:rFonts w:ascii="Times New Roman" w:eastAsiaTheme="minorEastAsia" w:hAnsi="Times New Roman" w:cs="Times New Roman"/>
              </w:rPr>
              <w:t>§ 11 ust</w:t>
            </w:r>
            <w:r w:rsidR="008C5F83">
              <w:rPr>
                <w:rFonts w:ascii="Times New Roman" w:eastAsiaTheme="minorEastAsia" w:hAnsi="Times New Roman" w:cs="Times New Roman"/>
              </w:rPr>
              <w:t>.</w:t>
            </w:r>
            <w:r w:rsidR="008C5F83" w:rsidRPr="00924E74">
              <w:rPr>
                <w:rFonts w:ascii="Times New Roman" w:eastAsiaTheme="minorEastAsia" w:hAnsi="Times New Roman" w:cs="Times New Roman"/>
              </w:rPr>
              <w:t xml:space="preserve"> 4</w:t>
            </w:r>
            <w:r w:rsidR="008C5F83">
              <w:rPr>
                <w:rFonts w:ascii="Times New Roman" w:eastAsiaTheme="minorEastAsia" w:hAnsi="Times New Roman" w:cs="Times New Roman"/>
              </w:rPr>
              <w:t>a</w:t>
            </w:r>
            <w:r w:rsidR="008C5F83" w:rsidRPr="00924E74">
              <w:rPr>
                <w:rFonts w:ascii="Times New Roman" w:eastAsiaTheme="minorEastAsia" w:hAnsi="Times New Roman" w:cs="Times New Roman"/>
              </w:rPr>
              <w:t xml:space="preserve"> i </w:t>
            </w:r>
            <w:r w:rsidR="008C5F83">
              <w:rPr>
                <w:rFonts w:ascii="Times New Roman" w:eastAsiaTheme="minorEastAsia" w:hAnsi="Times New Roman" w:cs="Times New Roman"/>
              </w:rPr>
              <w:t>ust. 9.</w:t>
            </w:r>
            <w:r w:rsidR="008848A7" w:rsidRPr="008848A7">
              <w:rPr>
                <w:rFonts w:ascii="Times New Roman" w:eastAsiaTheme="minorEastAsia" w:hAnsi="Times New Roman" w:cs="Times New Roman"/>
              </w:rPr>
              <w:t xml:space="preserve"> </w:t>
            </w:r>
            <w:r w:rsidR="00D3652D">
              <w:rPr>
                <w:rFonts w:ascii="Times New Roman" w:eastAsiaTheme="minorEastAsia" w:hAnsi="Times New Roman" w:cs="Times New Roman"/>
              </w:rPr>
              <w:t>Jednak p</w:t>
            </w:r>
            <w:r w:rsidR="00491E76" w:rsidRPr="00491E76">
              <w:rPr>
                <w:rFonts w:ascii="Times New Roman" w:eastAsiaTheme="minorEastAsia" w:hAnsi="Times New Roman" w:cs="Times New Roman"/>
              </w:rPr>
              <w:t xml:space="preserve">rzedsiębiorstwo energetyczne </w:t>
            </w:r>
            <w:r w:rsidR="00491E76">
              <w:rPr>
                <w:rFonts w:ascii="Times New Roman" w:eastAsiaTheme="minorEastAsia" w:hAnsi="Times New Roman" w:cs="Times New Roman"/>
              </w:rPr>
              <w:t xml:space="preserve">będzie </w:t>
            </w:r>
            <w:r w:rsidR="005016C7">
              <w:rPr>
                <w:rFonts w:ascii="Times New Roman" w:eastAsiaTheme="minorEastAsia" w:hAnsi="Times New Roman" w:cs="Times New Roman"/>
              </w:rPr>
              <w:t>uprawnione do wystąpienia</w:t>
            </w:r>
            <w:r w:rsidR="00491E76" w:rsidRPr="00491E76">
              <w:rPr>
                <w:rFonts w:ascii="Times New Roman" w:eastAsiaTheme="minorEastAsia" w:hAnsi="Times New Roman" w:cs="Times New Roman"/>
              </w:rPr>
              <w:t xml:space="preserve"> z </w:t>
            </w:r>
            <w:r w:rsidR="00D3652D">
              <w:rPr>
                <w:rFonts w:ascii="Times New Roman" w:eastAsiaTheme="minorEastAsia" w:hAnsi="Times New Roman" w:cs="Times New Roman"/>
              </w:rPr>
              <w:t xml:space="preserve">takim </w:t>
            </w:r>
            <w:r w:rsidR="00491E76" w:rsidRPr="00491E76">
              <w:rPr>
                <w:rFonts w:ascii="Times New Roman" w:eastAsiaTheme="minorEastAsia" w:hAnsi="Times New Roman" w:cs="Times New Roman"/>
              </w:rPr>
              <w:t>wnioskiem</w:t>
            </w:r>
            <w:r w:rsidR="00491E76">
              <w:rPr>
                <w:rFonts w:ascii="Times New Roman" w:eastAsiaTheme="minorEastAsia" w:hAnsi="Times New Roman" w:cs="Times New Roman"/>
              </w:rPr>
              <w:t xml:space="preserve">, </w:t>
            </w:r>
            <w:r w:rsidR="00D3652D">
              <w:rPr>
                <w:rFonts w:ascii="Times New Roman" w:eastAsiaTheme="minorEastAsia" w:hAnsi="Times New Roman" w:cs="Times New Roman"/>
              </w:rPr>
              <w:t xml:space="preserve">jeżeli zostaną spełnione </w:t>
            </w:r>
            <w:r w:rsidR="00491E76">
              <w:rPr>
                <w:rFonts w:ascii="Times New Roman" w:eastAsiaTheme="minorEastAsia" w:hAnsi="Times New Roman" w:cs="Times New Roman"/>
              </w:rPr>
              <w:t>warunk</w:t>
            </w:r>
            <w:r w:rsidR="00D3652D">
              <w:rPr>
                <w:rFonts w:ascii="Times New Roman" w:eastAsiaTheme="minorEastAsia" w:hAnsi="Times New Roman" w:cs="Times New Roman"/>
              </w:rPr>
              <w:t>i</w:t>
            </w:r>
            <w:r w:rsidR="00491E76">
              <w:rPr>
                <w:rFonts w:ascii="Times New Roman" w:eastAsiaTheme="minorEastAsia" w:hAnsi="Times New Roman" w:cs="Times New Roman"/>
              </w:rPr>
              <w:t xml:space="preserve"> przewidzian</w:t>
            </w:r>
            <w:r w:rsidR="00D3652D">
              <w:rPr>
                <w:rFonts w:ascii="Times New Roman" w:eastAsiaTheme="minorEastAsia" w:hAnsi="Times New Roman" w:cs="Times New Roman"/>
              </w:rPr>
              <w:t>e</w:t>
            </w:r>
            <w:r w:rsidR="00401ED4">
              <w:rPr>
                <w:rFonts w:ascii="Times New Roman" w:eastAsiaTheme="minorEastAsia" w:hAnsi="Times New Roman" w:cs="Times New Roman"/>
              </w:rPr>
              <w:t xml:space="preserve"> w</w:t>
            </w:r>
            <w:r w:rsidR="00801AF1" w:rsidRPr="00801AF1">
              <w:rPr>
                <w:rFonts w:ascii="Times New Roman" w:eastAsiaTheme="minorEastAsia" w:hAnsi="Times New Roman" w:cs="Times New Roman"/>
              </w:rPr>
              <w:t xml:space="preserve"> §</w:t>
            </w:r>
            <w:r w:rsidR="00801AF1">
              <w:rPr>
                <w:rFonts w:ascii="Times New Roman" w:eastAsiaTheme="minorEastAsia" w:hAnsi="Times New Roman" w:cs="Times New Roman"/>
              </w:rPr>
              <w:t>11 ust. 7, tj. o ile system, w którym funkcjonuje przedsiębiorstwo energetyczne spełnia łącznie następujące warunki:</w:t>
            </w:r>
          </w:p>
          <w:p w14:paraId="5B410D58" w14:textId="138534C8" w:rsidR="00801AF1" w:rsidRPr="00801AF1" w:rsidRDefault="00801AF1" w:rsidP="00801AF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01AF1">
              <w:rPr>
                <w:rFonts w:ascii="Times New Roman" w:eastAsiaTheme="minorEastAsia" w:hAnsi="Times New Roman" w:cs="Times New Roman"/>
              </w:rPr>
              <w:t>1)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01AF1">
              <w:rPr>
                <w:rFonts w:ascii="Times New Roman" w:eastAsiaTheme="minorEastAsia" w:hAnsi="Times New Roman" w:cs="Times New Roman"/>
              </w:rPr>
              <w:t>jest efektywny energetycznie w rozumieniu art. 7b ust. 4 ustawy;</w:t>
            </w:r>
          </w:p>
          <w:p w14:paraId="58AE53A6" w14:textId="3475FDCA" w:rsidR="0093120F" w:rsidRDefault="00801AF1" w:rsidP="00801AF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01AF1">
              <w:rPr>
                <w:rFonts w:ascii="Times New Roman" w:eastAsiaTheme="minorEastAsia" w:hAnsi="Times New Roman" w:cs="Times New Roman"/>
              </w:rPr>
              <w:lastRenderedPageBreak/>
              <w:t>2)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01AF1">
              <w:rPr>
                <w:rFonts w:ascii="Times New Roman" w:eastAsiaTheme="minorEastAsia" w:hAnsi="Times New Roman" w:cs="Times New Roman"/>
              </w:rPr>
              <w:t>wskaźnik nakładu nieodnawialnej energii pierwotnej określony dla tego systemu ciepłowniczego zgodnie z metodyką wyznaczania wskaźników nakładu nieodnawialnej energii pierwotnej zawartą w przepisach wydanych na podstawie art. 29 ustawy z dnia 20 maja 2016 r. o efektywności energetycznej jest niższy od 0,65.</w:t>
            </w:r>
          </w:p>
          <w:p w14:paraId="6DEBF9B7" w14:textId="00A1EB24" w:rsidR="00801AF1" w:rsidRDefault="00A056BE" w:rsidP="00801AF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</w:t>
            </w:r>
            <w:r w:rsidR="00801AF1">
              <w:rPr>
                <w:rFonts w:ascii="Times New Roman" w:eastAsiaTheme="minorEastAsia" w:hAnsi="Times New Roman" w:cs="Times New Roman"/>
              </w:rPr>
              <w:t>ozwiązanie będzie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801AF1">
              <w:rPr>
                <w:rFonts w:ascii="Times New Roman" w:eastAsiaTheme="minorEastAsia" w:hAnsi="Times New Roman" w:cs="Times New Roman"/>
              </w:rPr>
              <w:t>impulsem do zwiększenia liczby efektywnych energetycznie systemów ciepłowniczych w Polsce.</w:t>
            </w:r>
          </w:p>
          <w:p w14:paraId="0BA4EC64" w14:textId="448C626F" w:rsidR="001C13E5" w:rsidRDefault="001C13E5" w:rsidP="00A8656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C13E5">
              <w:rPr>
                <w:rFonts w:ascii="Times New Roman" w:eastAsiaTheme="minorEastAsia" w:hAnsi="Times New Roman" w:cs="Times New Roman"/>
              </w:rPr>
              <w:t xml:space="preserve">Projekt rozporządzenia modyfikuje </w:t>
            </w:r>
            <w:r w:rsidR="00D3652D">
              <w:rPr>
                <w:rFonts w:ascii="Times New Roman" w:eastAsiaTheme="minorEastAsia" w:hAnsi="Times New Roman" w:cs="Times New Roman"/>
              </w:rPr>
              <w:t xml:space="preserve">także </w:t>
            </w:r>
            <w:r w:rsidRPr="001C13E5">
              <w:rPr>
                <w:rFonts w:ascii="Times New Roman" w:eastAsiaTheme="minorEastAsia" w:hAnsi="Times New Roman" w:cs="Times New Roman"/>
              </w:rPr>
              <w:t>zakres obowiązków dot</w:t>
            </w:r>
            <w:r w:rsidR="00801AF1">
              <w:rPr>
                <w:rFonts w:ascii="Times New Roman" w:eastAsiaTheme="minorEastAsia" w:hAnsi="Times New Roman" w:cs="Times New Roman"/>
              </w:rPr>
              <w:t>yczący</w:t>
            </w:r>
            <w:r w:rsidRPr="001C13E5">
              <w:rPr>
                <w:rFonts w:ascii="Times New Roman" w:eastAsiaTheme="minorEastAsia" w:hAnsi="Times New Roman" w:cs="Times New Roman"/>
              </w:rPr>
              <w:t xml:space="preserve"> analizowania wniosków o zmianę taryf dla ciepła przez Prezesa URE na etapie ich weryfikacji. Szczegółowej analizie będą poddawane wnioski o zmianę taryf dla ciepła, w trakcie ich rozpatrywania przez Prezesa URE, </w:t>
            </w:r>
            <w:r w:rsidR="0086783C">
              <w:rPr>
                <w:rFonts w:ascii="Times New Roman" w:eastAsiaTheme="minorEastAsia" w:hAnsi="Times New Roman" w:cs="Times New Roman"/>
              </w:rPr>
              <w:t>nie tylko pod względem istotności zmian otoczenia regulacyjnego, ale także pod względem nieprzewidywalności takich zmian.</w:t>
            </w:r>
            <w:r w:rsidRPr="001C13E5">
              <w:rPr>
                <w:rFonts w:ascii="Times New Roman" w:eastAsiaTheme="minorEastAsia" w:hAnsi="Times New Roman" w:cs="Times New Roman"/>
              </w:rPr>
              <w:t xml:space="preserve"> </w:t>
            </w:r>
            <w:r w:rsidR="0086783C">
              <w:rPr>
                <w:rFonts w:ascii="Times New Roman" w:eastAsiaTheme="minorEastAsia" w:hAnsi="Times New Roman" w:cs="Times New Roman"/>
              </w:rPr>
              <w:t xml:space="preserve">Osiągnięte to zostanie przez </w:t>
            </w:r>
            <w:r w:rsidRPr="001C13E5">
              <w:rPr>
                <w:rFonts w:ascii="Times New Roman" w:eastAsiaTheme="minorEastAsia" w:hAnsi="Times New Roman" w:cs="Times New Roman"/>
              </w:rPr>
              <w:t>uzupełnieni</w:t>
            </w:r>
            <w:r w:rsidR="0086783C">
              <w:rPr>
                <w:rFonts w:ascii="Times New Roman" w:eastAsiaTheme="minorEastAsia" w:hAnsi="Times New Roman" w:cs="Times New Roman"/>
              </w:rPr>
              <w:t>e</w:t>
            </w:r>
            <w:r w:rsidRPr="001C13E5">
              <w:rPr>
                <w:rFonts w:ascii="Times New Roman" w:eastAsiaTheme="minorEastAsia" w:hAnsi="Times New Roman" w:cs="Times New Roman"/>
              </w:rPr>
              <w:t xml:space="preserve"> przepisu § 28 w ust. 1 i ust. 1a zmienianego rozporządzenia o wyraz „nieprzewidywalna” w połączeniu z wyrazem „istotna”. Możliwość zmiany taryfy będzie mogła zostać uwzględniona po spełnieniu dwóch przesłanek łącznie</w:t>
            </w:r>
            <w:r w:rsidR="006D121E">
              <w:rPr>
                <w:rFonts w:ascii="Times New Roman" w:eastAsiaTheme="minorEastAsia" w:hAnsi="Times New Roman" w:cs="Times New Roman"/>
              </w:rPr>
              <w:t xml:space="preserve"> w odniesieniu do zmiany warunków prowadzenia działalności gospodarczej</w:t>
            </w:r>
            <w:r w:rsidR="0086783C">
              <w:rPr>
                <w:rFonts w:ascii="Times New Roman" w:eastAsiaTheme="minorEastAsia" w:hAnsi="Times New Roman" w:cs="Times New Roman"/>
              </w:rPr>
              <w:t xml:space="preserve"> lub zmiany cen paliw i kosztów emisji</w:t>
            </w:r>
            <w:r w:rsidR="00401ED4">
              <w:rPr>
                <w:rFonts w:ascii="Times New Roman" w:eastAsiaTheme="minorEastAsia" w:hAnsi="Times New Roman" w:cs="Times New Roman"/>
              </w:rPr>
              <w:t>.</w:t>
            </w:r>
          </w:p>
          <w:p w14:paraId="3DF162AB" w14:textId="03A79401" w:rsidR="00491E76" w:rsidRDefault="00491E76" w:rsidP="00A8656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Aby zapobiec sytuacji, w której przedsiębiorstwo mogłoby </w:t>
            </w:r>
            <w:r w:rsidR="009102CD">
              <w:rPr>
                <w:rFonts w:ascii="Times New Roman" w:eastAsiaTheme="minorEastAsia" w:hAnsi="Times New Roman" w:cs="Times New Roman"/>
              </w:rPr>
              <w:t xml:space="preserve">ustalić planowany przychód w oparciu o zmieniane lub uchylane przepisy, a tym samym, na skutek przejściowych i gwałtownych zmian sytuacji makroekonomicznej na poziomie zawyżonym w stosunku </w:t>
            </w:r>
            <w:r w:rsidR="004A56C0">
              <w:rPr>
                <w:rFonts w:ascii="Times New Roman" w:eastAsiaTheme="minorEastAsia" w:hAnsi="Times New Roman" w:cs="Times New Roman"/>
              </w:rPr>
              <w:t xml:space="preserve">do </w:t>
            </w:r>
            <w:r w:rsidR="009102CD">
              <w:rPr>
                <w:rFonts w:ascii="Times New Roman" w:eastAsiaTheme="minorEastAsia" w:hAnsi="Times New Roman" w:cs="Times New Roman"/>
              </w:rPr>
              <w:t xml:space="preserve">przychodu jaki byłby ustalony na podstawie analizy kosztów uzasadnionych, </w:t>
            </w:r>
            <w:r>
              <w:rPr>
                <w:rFonts w:ascii="Times New Roman" w:eastAsiaTheme="minorEastAsia" w:hAnsi="Times New Roman" w:cs="Times New Roman"/>
              </w:rPr>
              <w:t xml:space="preserve">projekt rozporządzenia przewiduje, że wobec wniosków o zatwierdzenie taryfy złożonych </w:t>
            </w:r>
            <w:r w:rsidR="004A56C0">
              <w:rPr>
                <w:rFonts w:ascii="Times New Roman" w:eastAsiaTheme="minorEastAsia" w:hAnsi="Times New Roman" w:cs="Times New Roman"/>
              </w:rPr>
              <w:t xml:space="preserve">i nierozpatrzonych </w:t>
            </w:r>
            <w:r>
              <w:rPr>
                <w:rFonts w:ascii="Times New Roman" w:eastAsiaTheme="minorEastAsia" w:hAnsi="Times New Roman" w:cs="Times New Roman"/>
              </w:rPr>
              <w:t xml:space="preserve">przed dniem wejścia w życie niniejszego rozporządzenia należy stosować przepisy </w:t>
            </w:r>
            <w:r w:rsidR="00B25747">
              <w:rPr>
                <w:rFonts w:ascii="Times New Roman" w:eastAsiaTheme="minorEastAsia" w:hAnsi="Times New Roman" w:cs="Times New Roman"/>
              </w:rPr>
              <w:t xml:space="preserve">po zmianach, w tym przepisy, które </w:t>
            </w:r>
            <w:r w:rsidR="00E567F3">
              <w:rPr>
                <w:rFonts w:ascii="Times New Roman" w:eastAsiaTheme="minorEastAsia" w:hAnsi="Times New Roman" w:cs="Times New Roman"/>
              </w:rPr>
              <w:t xml:space="preserve">stanowią, iż </w:t>
            </w:r>
            <w:r w:rsidR="00E567F3" w:rsidRPr="00E567F3">
              <w:rPr>
                <w:rFonts w:ascii="Times New Roman" w:eastAsiaTheme="minorEastAsia" w:hAnsi="Times New Roman" w:cs="Times New Roman"/>
              </w:rPr>
              <w:t xml:space="preserve">planowany przychód przedsiębiorstwa energetycznego ze sprzedaży ciepła będący podstawą kalkulacji cen i stawek opłat ustalanych w taryfie </w:t>
            </w:r>
            <w:r w:rsidR="00E567F3">
              <w:rPr>
                <w:rFonts w:ascii="Times New Roman" w:eastAsiaTheme="minorEastAsia" w:hAnsi="Times New Roman" w:cs="Times New Roman"/>
              </w:rPr>
              <w:t>(</w:t>
            </w:r>
            <w:r w:rsidR="00E567F3" w:rsidRPr="00E567F3">
              <w:rPr>
                <w:rFonts w:ascii="Times New Roman" w:eastAsiaTheme="minorEastAsia" w:hAnsi="Times New Roman" w:cs="Times New Roman"/>
              </w:rPr>
              <w:t>z zastrzeżeniem § 13 ust. 1</w:t>
            </w:r>
            <w:r w:rsidR="00E567F3">
              <w:rPr>
                <w:rFonts w:ascii="Times New Roman" w:eastAsiaTheme="minorEastAsia" w:hAnsi="Times New Roman" w:cs="Times New Roman"/>
              </w:rPr>
              <w:t>) stanowi s</w:t>
            </w:r>
            <w:r w:rsidR="00E567F3" w:rsidRPr="00E567F3">
              <w:rPr>
                <w:rFonts w:ascii="Times New Roman" w:eastAsiaTheme="minorEastAsia" w:hAnsi="Times New Roman" w:cs="Times New Roman"/>
              </w:rPr>
              <w:t>um</w:t>
            </w:r>
            <w:r w:rsidR="00E567F3">
              <w:rPr>
                <w:rFonts w:ascii="Times New Roman" w:eastAsiaTheme="minorEastAsia" w:hAnsi="Times New Roman" w:cs="Times New Roman"/>
              </w:rPr>
              <w:t>a</w:t>
            </w:r>
            <w:r w:rsidR="00E567F3" w:rsidRPr="00E567F3">
              <w:rPr>
                <w:rFonts w:ascii="Times New Roman" w:eastAsiaTheme="minorEastAsia" w:hAnsi="Times New Roman" w:cs="Times New Roman"/>
              </w:rPr>
              <w:t xml:space="preserve"> uzasadnionych rocznych kosztów oraz uzasadnionego zwrotu z kapitału</w:t>
            </w:r>
            <w:r w:rsidR="00E567F3">
              <w:rPr>
                <w:rFonts w:ascii="Times New Roman" w:eastAsiaTheme="minorEastAsia" w:hAnsi="Times New Roman" w:cs="Times New Roman"/>
              </w:rPr>
              <w:t>.</w:t>
            </w:r>
            <w:r w:rsidR="00453C55">
              <w:t xml:space="preserve"> </w:t>
            </w:r>
            <w:r w:rsidR="00453C55" w:rsidRPr="00453C55">
              <w:rPr>
                <w:rFonts w:ascii="Times New Roman" w:eastAsiaTheme="minorEastAsia" w:hAnsi="Times New Roman" w:cs="Times New Roman"/>
              </w:rPr>
              <w:t>Przedsiębiorstwa w terminie 14 dni powinny dostosować swoje wnioski do</w:t>
            </w:r>
            <w:r w:rsidR="00B25747">
              <w:rPr>
                <w:rFonts w:ascii="Times New Roman" w:eastAsiaTheme="minorEastAsia" w:hAnsi="Times New Roman" w:cs="Times New Roman"/>
              </w:rPr>
              <w:t xml:space="preserve"> wprowadzonych zmian</w:t>
            </w:r>
            <w:r w:rsidR="00453C55" w:rsidRPr="00453C55">
              <w:rPr>
                <w:rFonts w:ascii="Times New Roman" w:eastAsiaTheme="minorEastAsia" w:hAnsi="Times New Roman" w:cs="Times New Roman"/>
              </w:rPr>
              <w:t>, w przeciwnym razie ich wnioski zostaną pozostawione bez rozstrzygnięcia.</w:t>
            </w:r>
          </w:p>
          <w:p w14:paraId="5E10CEF6" w14:textId="48A2EAE1" w:rsidR="00491E76" w:rsidRPr="00CD61AF" w:rsidRDefault="00E567F3" w:rsidP="00A8656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Brak</w:t>
            </w:r>
            <w:r w:rsidR="00491E76" w:rsidRPr="00491E76">
              <w:rPr>
                <w:rFonts w:ascii="Times New Roman" w:eastAsiaTheme="minorEastAsia" w:hAnsi="Times New Roman" w:cs="Times New Roman"/>
              </w:rPr>
              <w:t xml:space="preserve"> jest </w:t>
            </w:r>
            <w:r w:rsidRPr="00491E76">
              <w:rPr>
                <w:rFonts w:ascii="Times New Roman" w:eastAsiaTheme="minorEastAsia" w:hAnsi="Times New Roman" w:cs="Times New Roman"/>
              </w:rPr>
              <w:t>możliw</w:t>
            </w:r>
            <w:r>
              <w:rPr>
                <w:rFonts w:ascii="Times New Roman" w:eastAsiaTheme="minorEastAsia" w:hAnsi="Times New Roman" w:cs="Times New Roman"/>
              </w:rPr>
              <w:t>ości</w:t>
            </w:r>
            <w:r w:rsidR="00491E76" w:rsidRPr="00491E76">
              <w:rPr>
                <w:rFonts w:ascii="Times New Roman" w:eastAsiaTheme="minorEastAsia" w:hAnsi="Times New Roman" w:cs="Times New Roman"/>
              </w:rPr>
              <w:t xml:space="preserve"> osiągnięci</w:t>
            </w:r>
            <w:r>
              <w:rPr>
                <w:rFonts w:ascii="Times New Roman" w:eastAsiaTheme="minorEastAsia" w:hAnsi="Times New Roman" w:cs="Times New Roman"/>
              </w:rPr>
              <w:t>a</w:t>
            </w:r>
            <w:r w:rsidR="00491E76" w:rsidRPr="00491E76">
              <w:rPr>
                <w:rFonts w:ascii="Times New Roman" w:eastAsiaTheme="minorEastAsia" w:hAnsi="Times New Roman" w:cs="Times New Roman"/>
              </w:rPr>
              <w:t xml:space="preserve"> celów projektowanego rozporządzenia w drodze poza legislacyjnej</w:t>
            </w:r>
            <w:r w:rsidR="00924E74">
              <w:rPr>
                <w:rFonts w:ascii="Times New Roman" w:eastAsiaTheme="minorEastAsia" w:hAnsi="Times New Roman" w:cs="Times New Roman"/>
              </w:rPr>
              <w:t>, bowiem istniejący przepis</w:t>
            </w:r>
            <w:r w:rsidR="00924E74">
              <w:t xml:space="preserve"> </w:t>
            </w:r>
            <w:r w:rsidR="00924E74" w:rsidRPr="00924E74">
              <w:rPr>
                <w:rFonts w:ascii="Times New Roman" w:eastAsiaTheme="minorEastAsia" w:hAnsi="Times New Roman" w:cs="Times New Roman"/>
              </w:rPr>
              <w:t>§ 11 ust. 4</w:t>
            </w:r>
            <w:r w:rsidR="00924E74">
              <w:rPr>
                <w:rFonts w:ascii="Times New Roman" w:eastAsiaTheme="minorEastAsia" w:hAnsi="Times New Roman" w:cs="Times New Roman"/>
              </w:rPr>
              <w:t xml:space="preserve"> pozwala na wskaźnikowe planowanie minimalnego przychodu, uniemożliwiając </w:t>
            </w:r>
            <w:r>
              <w:rPr>
                <w:rFonts w:ascii="Times New Roman" w:eastAsiaTheme="minorEastAsia" w:hAnsi="Times New Roman" w:cs="Times New Roman"/>
              </w:rPr>
              <w:t xml:space="preserve">rzetelną </w:t>
            </w:r>
            <w:r w:rsidR="00924E74">
              <w:rPr>
                <w:rFonts w:ascii="Times New Roman" w:eastAsiaTheme="minorEastAsia" w:hAnsi="Times New Roman" w:cs="Times New Roman"/>
              </w:rPr>
              <w:t>analizę planowanych kosztów i akceptację ich przez Prezesa URE jako koszty uzasadnione.</w:t>
            </w:r>
          </w:p>
        </w:tc>
      </w:tr>
      <w:tr w:rsidR="00067D98" w:rsidRPr="00067D98" w14:paraId="61A37CB2" w14:textId="77777777" w:rsidTr="00066274">
        <w:trPr>
          <w:gridAfter w:val="1"/>
          <w:wAfter w:w="38" w:type="dxa"/>
          <w:trHeight w:val="307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758A9C84" w14:textId="77777777" w:rsidR="00E35653" w:rsidRPr="00067D98" w:rsidRDefault="00E35653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067D98">
              <w:rPr>
                <w:rFonts w:ascii="Times New Roman" w:eastAsia="Calibri" w:hAnsi="Times New Roman" w:cs="Times New Roman"/>
                <w:b/>
              </w:rPr>
              <w:t>?</w:t>
            </w:r>
            <w:r w:rsidRPr="00067D98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067D98" w:rsidRPr="00067D98" w14:paraId="7457E162" w14:textId="77777777" w:rsidTr="00066274">
        <w:trPr>
          <w:gridAfter w:val="1"/>
          <w:wAfter w:w="38" w:type="dxa"/>
          <w:trHeight w:val="142"/>
        </w:trPr>
        <w:tc>
          <w:tcPr>
            <w:tcW w:w="10909" w:type="dxa"/>
            <w:gridSpan w:val="27"/>
            <w:shd w:val="clear" w:color="auto" w:fill="auto"/>
          </w:tcPr>
          <w:p w14:paraId="39224FB0" w14:textId="04F1B82B" w:rsidR="00E35653" w:rsidRPr="00067D98" w:rsidRDefault="00326B7A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t>Nie dotyczy</w:t>
            </w:r>
            <w:r w:rsidR="000A220C">
              <w:rPr>
                <w:rFonts w:ascii="Times New Roman" w:eastAsia="Calibri" w:hAnsi="Times New Roman" w:cs="Times New Roman"/>
              </w:rPr>
              <w:t>. Brak znanych przypadków podobnych rozwiązań.</w:t>
            </w:r>
          </w:p>
        </w:tc>
      </w:tr>
      <w:tr w:rsidR="00067D98" w:rsidRPr="00067D98" w14:paraId="2A5680E4" w14:textId="77777777" w:rsidTr="00066274">
        <w:trPr>
          <w:gridAfter w:val="1"/>
          <w:wAfter w:w="38" w:type="dxa"/>
          <w:trHeight w:val="359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6A6E739F" w14:textId="77777777" w:rsidR="00E35653" w:rsidRPr="00067D98" w:rsidRDefault="00E35653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067D98" w:rsidRPr="00067D98" w14:paraId="4935DC3B" w14:textId="77777777" w:rsidTr="00745495">
        <w:trPr>
          <w:gridAfter w:val="1"/>
          <w:wAfter w:w="38" w:type="dxa"/>
          <w:trHeight w:val="363"/>
        </w:trPr>
        <w:tc>
          <w:tcPr>
            <w:tcW w:w="2445" w:type="dxa"/>
            <w:gridSpan w:val="2"/>
            <w:shd w:val="clear" w:color="auto" w:fill="auto"/>
          </w:tcPr>
          <w:p w14:paraId="539B7468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1680" w:type="dxa"/>
            <w:gridSpan w:val="5"/>
            <w:shd w:val="clear" w:color="auto" w:fill="auto"/>
          </w:tcPr>
          <w:p w14:paraId="0DCDA1DC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24C733DD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Źródło danych </w:t>
            </w:r>
          </w:p>
        </w:tc>
        <w:tc>
          <w:tcPr>
            <w:tcW w:w="5164" w:type="dxa"/>
            <w:gridSpan w:val="15"/>
            <w:shd w:val="clear" w:color="auto" w:fill="auto"/>
          </w:tcPr>
          <w:p w14:paraId="091D6EF1" w14:textId="77777777" w:rsidR="00E35653" w:rsidRPr="00067D98" w:rsidRDefault="00E35653" w:rsidP="00B1646C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067D98" w:rsidRPr="00067D98" w14:paraId="7027789D" w14:textId="77777777" w:rsidTr="00745495">
        <w:trPr>
          <w:gridAfter w:val="1"/>
          <w:wAfter w:w="38" w:type="dxa"/>
          <w:trHeight w:val="2422"/>
        </w:trPr>
        <w:tc>
          <w:tcPr>
            <w:tcW w:w="2445" w:type="dxa"/>
            <w:gridSpan w:val="2"/>
            <w:shd w:val="clear" w:color="auto" w:fill="auto"/>
          </w:tcPr>
          <w:p w14:paraId="324EA49E" w14:textId="5F24FB63" w:rsidR="00E35653" w:rsidRPr="00067D98" w:rsidRDefault="00E35653" w:rsidP="00A8656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 xml:space="preserve">Przedsiębiorstwa </w:t>
            </w:r>
            <w:r w:rsidR="00CF4F30" w:rsidRPr="00067D98">
              <w:rPr>
                <w:rFonts w:ascii="Times New Roman" w:eastAsia="Calibri" w:hAnsi="Times New Roman" w:cs="Times New Roman"/>
              </w:rPr>
              <w:t xml:space="preserve">koncesjonowane </w:t>
            </w:r>
            <w:r w:rsidRPr="00067D98">
              <w:rPr>
                <w:rFonts w:ascii="Times New Roman" w:eastAsia="Calibri" w:hAnsi="Times New Roman" w:cs="Times New Roman"/>
              </w:rPr>
              <w:t>prowadzące działalność gospodarczą w zakresie wytwarzania ciepła</w:t>
            </w:r>
            <w:r w:rsidR="009A1DDF">
              <w:rPr>
                <w:rFonts w:ascii="Times New Roman" w:eastAsia="Calibri" w:hAnsi="Times New Roman" w:cs="Times New Roman"/>
              </w:rPr>
              <w:t xml:space="preserve"> </w:t>
            </w:r>
            <w:r w:rsidR="00CD61AF">
              <w:rPr>
                <w:rFonts w:ascii="Times New Roman" w:eastAsia="Calibri" w:hAnsi="Times New Roman" w:cs="Times New Roman"/>
              </w:rPr>
              <w:t>i jego dystrybucji</w:t>
            </w:r>
          </w:p>
          <w:p w14:paraId="0E0E0B6E" w14:textId="77777777" w:rsidR="00E35653" w:rsidRPr="00067D98" w:rsidRDefault="00E35653" w:rsidP="00A86566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BD9401F" w14:textId="0DF8D3DB" w:rsidR="00E35653" w:rsidRPr="00067D98" w:rsidRDefault="00CD61AF" w:rsidP="00A865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393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687DB1D6" w14:textId="69A8DB7A" w:rsidR="00E35653" w:rsidRPr="00067D98" w:rsidRDefault="003643FB" w:rsidP="00A865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Raport </w:t>
            </w:r>
            <w:r w:rsidR="004B7B0B">
              <w:rPr>
                <w:rFonts w:ascii="Times New Roman" w:eastAsia="Calibri" w:hAnsi="Times New Roman" w:cs="Times New Roman"/>
              </w:rPr>
              <w:t>„</w:t>
            </w:r>
            <w:r w:rsidR="00CB21AC" w:rsidRPr="00067D98">
              <w:rPr>
                <w:rFonts w:ascii="Times New Roman" w:eastAsia="Calibri" w:hAnsi="Times New Roman" w:cs="Times New Roman"/>
              </w:rPr>
              <w:t>Energetyka Cieplna w liczbach – 20</w:t>
            </w:r>
            <w:r w:rsidR="00CA0BB0">
              <w:rPr>
                <w:rFonts w:ascii="Times New Roman" w:eastAsia="Calibri" w:hAnsi="Times New Roman" w:cs="Times New Roman"/>
              </w:rPr>
              <w:t>2</w:t>
            </w:r>
            <w:r w:rsidR="00CD61AF">
              <w:rPr>
                <w:rFonts w:ascii="Times New Roman" w:eastAsia="Calibri" w:hAnsi="Times New Roman" w:cs="Times New Roman"/>
              </w:rPr>
              <w:t>1</w:t>
            </w:r>
            <w:r w:rsidR="001207C7">
              <w:rPr>
                <w:rFonts w:ascii="Times New Roman" w:eastAsia="Calibri" w:hAnsi="Times New Roman" w:cs="Times New Roman"/>
              </w:rPr>
              <w:t>”</w:t>
            </w:r>
            <w:r w:rsidR="001207C7"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  <w:r w:rsidR="00CB21AC" w:rsidRPr="00067D98">
              <w:rPr>
                <w:rFonts w:ascii="Times New Roman" w:eastAsia="Calibri" w:hAnsi="Times New Roman" w:cs="Times New Roman"/>
              </w:rPr>
              <w:t>. Urząd Regulacji Energetyki</w:t>
            </w:r>
          </w:p>
          <w:p w14:paraId="75D23A73" w14:textId="77777777" w:rsidR="004C2212" w:rsidRPr="00067D98" w:rsidRDefault="004C2212" w:rsidP="00A86566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5164" w:type="dxa"/>
            <w:gridSpan w:val="15"/>
            <w:shd w:val="clear" w:color="auto" w:fill="auto"/>
          </w:tcPr>
          <w:p w14:paraId="67333034" w14:textId="22611280" w:rsidR="00E35653" w:rsidRDefault="00921F08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Urealnienie </w:t>
            </w:r>
            <w:r w:rsidR="00CD61AF">
              <w:rPr>
                <w:rFonts w:ascii="Times New Roman" w:eastAsia="Calibri" w:hAnsi="Times New Roman" w:cs="Times New Roman"/>
                <w:spacing w:val="-2"/>
              </w:rPr>
              <w:t xml:space="preserve">cen i stawek opłat w zatwierdzanych taryfach dla ciepła po </w:t>
            </w:r>
            <w:r w:rsidR="005016C7">
              <w:rPr>
                <w:rFonts w:ascii="Times New Roman" w:eastAsia="Calibri" w:hAnsi="Times New Roman" w:cs="Times New Roman"/>
                <w:spacing w:val="-2"/>
              </w:rPr>
              <w:t>zmianie</w:t>
            </w:r>
            <w:r w:rsidR="00CD61AF">
              <w:rPr>
                <w:rFonts w:ascii="Times New Roman" w:eastAsia="Calibri" w:hAnsi="Times New Roman" w:cs="Times New Roman"/>
                <w:spacing w:val="-2"/>
              </w:rPr>
              <w:t xml:space="preserve"> cen nośników energii oraz ustabilizowaniu się notowań uprawnień do emisji</w:t>
            </w:r>
            <w:r w:rsidR="006A5942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  <w:p w14:paraId="1D1956E6" w14:textId="795C6872" w:rsidR="00A6749A" w:rsidRPr="00067D98" w:rsidRDefault="00A6749A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Ograniczenie możliwości zmian taryf dla ciepła oraz stosowania wskaźnikowego kalkulowania planowanego przychodu ze sprzedaży ciepła ze względu na nieadekwatne do aktualnej sytuacji publikowane przez Prezesa URE i Prezesa GUS wskaźniki dotyczące 2022 r. </w:t>
            </w:r>
          </w:p>
        </w:tc>
      </w:tr>
      <w:tr w:rsidR="00067D98" w:rsidRPr="00067D98" w14:paraId="68190E6E" w14:textId="77777777" w:rsidTr="00745495">
        <w:trPr>
          <w:gridAfter w:val="1"/>
          <w:wAfter w:w="38" w:type="dxa"/>
          <w:trHeight w:val="142"/>
        </w:trPr>
        <w:tc>
          <w:tcPr>
            <w:tcW w:w="2445" w:type="dxa"/>
            <w:gridSpan w:val="2"/>
            <w:shd w:val="clear" w:color="auto" w:fill="auto"/>
          </w:tcPr>
          <w:p w14:paraId="354B0EAE" w14:textId="6E15CB22" w:rsidR="00E35653" w:rsidRPr="00067D98" w:rsidRDefault="006202AB" w:rsidP="00A86566">
            <w:pPr>
              <w:tabs>
                <w:tab w:val="left" w:pos="156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>O</w:t>
            </w:r>
            <w:r w:rsidR="00E35653" w:rsidRPr="00067D98">
              <w:rPr>
                <w:rFonts w:ascii="Times New Roman" w:eastAsia="Calibri" w:hAnsi="Times New Roman" w:cs="Times New Roman"/>
              </w:rPr>
              <w:t>dbiorcy końcowi</w:t>
            </w:r>
          </w:p>
        </w:tc>
        <w:tc>
          <w:tcPr>
            <w:tcW w:w="1680" w:type="dxa"/>
            <w:gridSpan w:val="5"/>
            <w:shd w:val="clear" w:color="auto" w:fill="auto"/>
          </w:tcPr>
          <w:p w14:paraId="1B7EF591" w14:textId="02BFE388" w:rsidR="00E35653" w:rsidRPr="00067D98" w:rsidRDefault="00921F08" w:rsidP="00A86566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921F08">
              <w:rPr>
                <w:rFonts w:ascii="Times New Roman" w:eastAsia="Calibri" w:hAnsi="Times New Roman" w:cs="Times New Roman"/>
                <w:spacing w:val="-2"/>
              </w:rPr>
              <w:t>W 20</w:t>
            </w:r>
            <w:r w:rsidR="00CA0BB0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="00CD61AF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 r. </w:t>
            </w:r>
            <w:r w:rsidR="00A6749A">
              <w:rPr>
                <w:rFonts w:ascii="Times New Roman" w:eastAsia="Calibri" w:hAnsi="Times New Roman" w:cs="Times New Roman"/>
                <w:spacing w:val="-2"/>
              </w:rPr>
              <w:t>do odbiorców ciepła przyłączonych do sieci zostało dostarczone 238 385 tys. TJ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709F72AC" w14:textId="4F024039" w:rsidR="00E35653" w:rsidRPr="00067D98" w:rsidRDefault="003643FB" w:rsidP="00A86566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643FB">
              <w:rPr>
                <w:rFonts w:ascii="Times New Roman" w:eastAsia="Calibri" w:hAnsi="Times New Roman" w:cs="Times New Roman"/>
                <w:spacing w:val="-2"/>
              </w:rPr>
              <w:t xml:space="preserve">Raport </w:t>
            </w:r>
            <w:r w:rsidR="006B03A4">
              <w:rPr>
                <w:rFonts w:ascii="Times New Roman" w:eastAsia="Calibri" w:hAnsi="Times New Roman" w:cs="Times New Roman"/>
                <w:spacing w:val="-2"/>
              </w:rPr>
              <w:t>„</w:t>
            </w:r>
            <w:r w:rsidR="00921F08" w:rsidRPr="00921F08">
              <w:rPr>
                <w:rFonts w:ascii="Times New Roman" w:eastAsia="Calibri" w:hAnsi="Times New Roman" w:cs="Times New Roman"/>
                <w:spacing w:val="-2"/>
              </w:rPr>
              <w:t>Energetyka Cieplna w liczbach – 20</w:t>
            </w:r>
            <w:r w:rsidR="00CA0BB0">
              <w:rPr>
                <w:rFonts w:ascii="Times New Roman" w:eastAsia="Calibri" w:hAnsi="Times New Roman" w:cs="Times New Roman"/>
                <w:spacing w:val="-2"/>
              </w:rPr>
              <w:t>20</w:t>
            </w:r>
            <w:r w:rsidR="006B03A4">
              <w:rPr>
                <w:rFonts w:ascii="Times New Roman" w:eastAsia="Calibri" w:hAnsi="Times New Roman" w:cs="Times New Roman"/>
                <w:spacing w:val="-2"/>
              </w:rPr>
              <w:t>”</w:t>
            </w:r>
            <w:r w:rsidR="00921F08" w:rsidRPr="00921F08">
              <w:rPr>
                <w:rFonts w:ascii="Times New Roman" w:eastAsia="Calibri" w:hAnsi="Times New Roman" w:cs="Times New Roman"/>
                <w:spacing w:val="-2"/>
              </w:rPr>
              <w:t>.</w:t>
            </w:r>
            <w:r>
              <w:rPr>
                <w:rStyle w:val="Odwoanieprzypisudolnego"/>
                <w:rFonts w:ascii="Times New Roman" w:eastAsia="Calibri" w:hAnsi="Times New Roman" w:cs="Times New Roman"/>
                <w:spacing w:val="-2"/>
              </w:rPr>
              <w:footnoteReference w:id="3"/>
            </w:r>
            <w:r w:rsidR="00921F08" w:rsidRPr="00921F08">
              <w:rPr>
                <w:rFonts w:ascii="Times New Roman" w:eastAsia="Calibri" w:hAnsi="Times New Roman" w:cs="Times New Roman"/>
                <w:spacing w:val="-2"/>
              </w:rPr>
              <w:t xml:space="preserve"> Urząd Regulacji Energetyki</w:t>
            </w:r>
          </w:p>
        </w:tc>
        <w:tc>
          <w:tcPr>
            <w:tcW w:w="5164" w:type="dxa"/>
            <w:gridSpan w:val="15"/>
            <w:shd w:val="clear" w:color="auto" w:fill="auto"/>
          </w:tcPr>
          <w:p w14:paraId="5736629E" w14:textId="54A1DE11" w:rsidR="00A6749A" w:rsidRPr="00067D98" w:rsidRDefault="00921F08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Zaproponowana modyfikacja regulacji taryfowej wpływa na ceny ciepła </w:t>
            </w:r>
            <w:r w:rsidR="00A6749A">
              <w:rPr>
                <w:rFonts w:ascii="Times New Roman" w:eastAsia="Calibri" w:hAnsi="Times New Roman" w:cs="Times New Roman"/>
                <w:spacing w:val="-2"/>
              </w:rPr>
              <w:t>i stawki opłat za dystrybucję zmniejszając obciążenie odbiorców końcowych w przyszłych okresach, co pośrednio wpływa na gospodarstwa domowe zmniejszając dla nich skutki finansowe podwyżek opłat za ciepło</w:t>
            </w:r>
            <w:r w:rsidRPr="00921F08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</w:p>
          <w:p w14:paraId="2FFF16C3" w14:textId="4AC599B6" w:rsidR="00A6749A" w:rsidRPr="00067D98" w:rsidRDefault="00A6749A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067D98" w:rsidRPr="00067D98" w14:paraId="37E4EAFF" w14:textId="77777777" w:rsidTr="00745495">
        <w:trPr>
          <w:gridAfter w:val="1"/>
          <w:wAfter w:w="38" w:type="dxa"/>
          <w:trHeight w:val="495"/>
        </w:trPr>
        <w:tc>
          <w:tcPr>
            <w:tcW w:w="2445" w:type="dxa"/>
            <w:gridSpan w:val="2"/>
            <w:shd w:val="clear" w:color="auto" w:fill="auto"/>
          </w:tcPr>
          <w:p w14:paraId="765A3841" w14:textId="76AF06C1" w:rsidR="00E35653" w:rsidRPr="00067D98" w:rsidRDefault="00E35653" w:rsidP="00A86566">
            <w:pPr>
              <w:tabs>
                <w:tab w:val="left" w:pos="156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>Prezes U</w:t>
            </w:r>
            <w:r w:rsidR="00921F08">
              <w:rPr>
                <w:rFonts w:ascii="Times New Roman" w:eastAsia="Calibri" w:hAnsi="Times New Roman" w:cs="Times New Roman"/>
              </w:rPr>
              <w:t>rzędu Regulacji Energetyki</w:t>
            </w:r>
          </w:p>
        </w:tc>
        <w:tc>
          <w:tcPr>
            <w:tcW w:w="1680" w:type="dxa"/>
            <w:gridSpan w:val="5"/>
            <w:shd w:val="clear" w:color="auto" w:fill="auto"/>
          </w:tcPr>
          <w:p w14:paraId="7E2D0447" w14:textId="77777777" w:rsidR="00E35653" w:rsidRPr="00067D98" w:rsidRDefault="00E35653" w:rsidP="00A865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620" w:type="dxa"/>
            <w:gridSpan w:val="5"/>
            <w:shd w:val="clear" w:color="auto" w:fill="auto"/>
          </w:tcPr>
          <w:p w14:paraId="200A22F0" w14:textId="78312E1C" w:rsidR="00E35653" w:rsidRPr="00067D98" w:rsidRDefault="00E35653" w:rsidP="00A86566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Projekt </w:t>
            </w:r>
            <w:r w:rsidR="009D4E8A" w:rsidRPr="00067D98">
              <w:rPr>
                <w:rFonts w:ascii="Times New Roman" w:eastAsia="Calibri" w:hAnsi="Times New Roman" w:cs="Times New Roman"/>
                <w:spacing w:val="-2"/>
              </w:rPr>
              <w:t>rozporządzenia</w:t>
            </w:r>
          </w:p>
        </w:tc>
        <w:tc>
          <w:tcPr>
            <w:tcW w:w="5164" w:type="dxa"/>
            <w:gridSpan w:val="15"/>
            <w:shd w:val="clear" w:color="auto" w:fill="auto"/>
          </w:tcPr>
          <w:p w14:paraId="060438C4" w14:textId="3E66E32C" w:rsidR="00E35653" w:rsidRDefault="00A6749A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Ograniczenie zmian stosowanych taryf, odroczenie do 2028 r. stosowanie kalkulacji cen i stawek opłat na bazie minimalnego przychodu.</w:t>
            </w:r>
          </w:p>
          <w:p w14:paraId="0C25EBF9" w14:textId="25DA72E5" w:rsidR="00401ED4" w:rsidRDefault="00401ED4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487680F3" w14:textId="77777777" w:rsidR="00401ED4" w:rsidRDefault="00401ED4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3FEB1081" w14:textId="1C626688" w:rsidR="005E5866" w:rsidRPr="00067D98" w:rsidRDefault="005E5866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067D98" w:rsidRPr="00067D98" w14:paraId="0AA0A2F6" w14:textId="77777777" w:rsidTr="00066274">
        <w:trPr>
          <w:gridAfter w:val="1"/>
          <w:wAfter w:w="38" w:type="dxa"/>
          <w:trHeight w:val="302"/>
        </w:trPr>
        <w:tc>
          <w:tcPr>
            <w:tcW w:w="10909" w:type="dxa"/>
            <w:gridSpan w:val="27"/>
            <w:shd w:val="clear" w:color="auto" w:fill="99CCFF"/>
            <w:vAlign w:val="center"/>
          </w:tcPr>
          <w:p w14:paraId="64181313" w14:textId="410F9956" w:rsidR="00E35653" w:rsidRPr="00067D98" w:rsidRDefault="00E35653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lastRenderedPageBreak/>
              <w:t>Informacje na temat zakresu, czasu trwania i podsumowanie wyników konsultacji</w:t>
            </w:r>
          </w:p>
        </w:tc>
      </w:tr>
      <w:tr w:rsidR="00A8605A" w:rsidRPr="00067D98" w14:paraId="1D1ABECD" w14:textId="77777777" w:rsidTr="00066274">
        <w:trPr>
          <w:gridAfter w:val="1"/>
          <w:wAfter w:w="38" w:type="dxa"/>
          <w:trHeight w:val="704"/>
        </w:trPr>
        <w:tc>
          <w:tcPr>
            <w:tcW w:w="10909" w:type="dxa"/>
            <w:gridSpan w:val="27"/>
            <w:shd w:val="clear" w:color="auto" w:fill="FFFFFF"/>
          </w:tcPr>
          <w:p w14:paraId="2E4F30DA" w14:textId="194C9A58" w:rsidR="00197113" w:rsidRPr="0086783C" w:rsidRDefault="00197113" w:rsidP="008678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ie był przedmiotem </w:t>
            </w:r>
            <w:proofErr w:type="spellStart"/>
            <w:r w:rsidRPr="00CB6F96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-konsultacji. </w:t>
            </w:r>
          </w:p>
          <w:p w14:paraId="4BB106C3" w14:textId="5A68E030" w:rsidR="00A8605A" w:rsidRDefault="00A8605A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>Projekt rozporządzenia zosta</w:t>
            </w:r>
            <w:r w:rsidR="006A5942">
              <w:rPr>
                <w:rFonts w:ascii="Times New Roman" w:hAnsi="Times New Roman" w:cs="Times New Roman"/>
                <w:spacing w:val="-2"/>
              </w:rPr>
              <w:t>nie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F1A50">
              <w:rPr>
                <w:rFonts w:ascii="Times New Roman" w:hAnsi="Times New Roman" w:cs="Times New Roman"/>
                <w:spacing w:val="-2"/>
              </w:rPr>
              <w:t xml:space="preserve">udostępniony w Biuletynie Informacji Publicznej, na stronie podmiotowej Rządowego Centrum Legislacji, w serwisie Rządowy Proces Legislacyjny. </w:t>
            </w:r>
          </w:p>
          <w:p w14:paraId="615D53C9" w14:textId="732F9252" w:rsidR="00A8605A" w:rsidRPr="00067D98" w:rsidRDefault="00A8605A" w:rsidP="00A8656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 xml:space="preserve">Projekt rozporządzenia w ramach </w:t>
            </w:r>
            <w:r w:rsidR="00A86566">
              <w:rPr>
                <w:rFonts w:ascii="Times New Roman" w:hAnsi="Times New Roman" w:cs="Times New Roman"/>
                <w:spacing w:val="-2"/>
              </w:rPr>
              <w:t>7</w:t>
            </w:r>
            <w:r w:rsidR="00A55B13">
              <w:rPr>
                <w:rFonts w:ascii="Times New Roman" w:hAnsi="Times New Roman" w:cs="Times New Roman"/>
                <w:spacing w:val="-2"/>
              </w:rPr>
              <w:t>-</w:t>
            </w:r>
            <w:r w:rsidR="004724B8">
              <w:rPr>
                <w:rFonts w:ascii="Times New Roman" w:hAnsi="Times New Roman" w:cs="Times New Roman"/>
                <w:spacing w:val="-2"/>
              </w:rPr>
              <w:t xml:space="preserve">dniowych 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konsultacji publicznych </w:t>
            </w:r>
            <w:r w:rsidR="00DD7C94">
              <w:rPr>
                <w:rFonts w:ascii="Times New Roman" w:hAnsi="Times New Roman" w:cs="Times New Roman"/>
                <w:spacing w:val="-2"/>
              </w:rPr>
              <w:t xml:space="preserve">otrzymują </w:t>
            </w:r>
            <w:r w:rsidRPr="00067D98">
              <w:rPr>
                <w:rFonts w:ascii="Times New Roman" w:hAnsi="Times New Roman" w:cs="Times New Roman"/>
                <w:spacing w:val="-2"/>
              </w:rPr>
              <w:t>następując</w:t>
            </w:r>
            <w:r w:rsidR="00DD7C94">
              <w:rPr>
                <w:rFonts w:ascii="Times New Roman" w:hAnsi="Times New Roman" w:cs="Times New Roman"/>
                <w:spacing w:val="-2"/>
              </w:rPr>
              <w:t xml:space="preserve">e </w:t>
            </w:r>
            <w:r w:rsidRPr="00067D98">
              <w:rPr>
                <w:rFonts w:ascii="Times New Roman" w:hAnsi="Times New Roman" w:cs="Times New Roman"/>
                <w:spacing w:val="-2"/>
              </w:rPr>
              <w:t>podmiot</w:t>
            </w:r>
            <w:r w:rsidR="00DD7C94">
              <w:rPr>
                <w:rFonts w:ascii="Times New Roman" w:hAnsi="Times New Roman" w:cs="Times New Roman"/>
                <w:spacing w:val="-2"/>
              </w:rPr>
              <w:t>y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: </w:t>
            </w:r>
          </w:p>
          <w:p w14:paraId="68D11F45" w14:textId="3C4E4F1A" w:rsidR="00A86566" w:rsidRPr="00BA1E40" w:rsidRDefault="00A86566" w:rsidP="00BA1E4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>Forum Odbiorców Energii Elektrycznej i Gazu</w:t>
            </w:r>
            <w:r w:rsidR="00BA1E40">
              <w:rPr>
                <w:rFonts w:ascii="Times New Roman" w:eastAsiaTheme="minorHAnsi" w:hAnsi="Times New Roman"/>
                <w:spacing w:val="-2"/>
              </w:rPr>
              <w:t xml:space="preserve"> - </w:t>
            </w:r>
            <w:hyperlink r:id="rId8" w:history="1">
              <w:r w:rsidR="00BA1E40" w:rsidRPr="00E82C64">
                <w:rPr>
                  <w:rStyle w:val="Hipercze"/>
                  <w:rFonts w:ascii="Times New Roman" w:eastAsiaTheme="minorHAnsi" w:hAnsi="Times New Roman"/>
                  <w:spacing w:val="-2"/>
                </w:rPr>
                <w:t>forum@iep.org.pl</w:t>
              </w:r>
            </w:hyperlink>
          </w:p>
          <w:p w14:paraId="4BF71C29" w14:textId="6986ECDC" w:rsidR="00BA1E40" w:rsidRDefault="00A86566" w:rsidP="00BA1E4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E37D0F">
              <w:rPr>
                <w:rFonts w:ascii="Times New Roman" w:eastAsiaTheme="minorHAnsi" w:hAnsi="Times New Roman"/>
                <w:spacing w:val="-2"/>
              </w:rPr>
              <w:t>Izb</w:t>
            </w:r>
            <w:r>
              <w:rPr>
                <w:rFonts w:ascii="Times New Roman" w:eastAsiaTheme="minorHAnsi" w:hAnsi="Times New Roman"/>
                <w:spacing w:val="-2"/>
              </w:rPr>
              <w:t>a</w:t>
            </w:r>
            <w:r w:rsidRPr="00E37D0F">
              <w:rPr>
                <w:rFonts w:ascii="Times New Roman" w:eastAsiaTheme="minorHAnsi" w:hAnsi="Times New Roman"/>
                <w:spacing w:val="-2"/>
              </w:rPr>
              <w:t xml:space="preserve"> Energetyki Przemysłowej i Odbiorców Energii</w:t>
            </w:r>
            <w:r w:rsidR="00BA1E40">
              <w:rPr>
                <w:rFonts w:ascii="Times New Roman" w:eastAsiaTheme="minorHAnsi" w:hAnsi="Times New Roman"/>
                <w:spacing w:val="-2"/>
              </w:rPr>
              <w:t xml:space="preserve"> - </w:t>
            </w:r>
            <w:hyperlink r:id="rId9" w:history="1">
              <w:r w:rsidR="00BA1E40" w:rsidRPr="00E82C64">
                <w:rPr>
                  <w:rStyle w:val="Hipercze"/>
                  <w:rFonts w:ascii="Times New Roman" w:eastAsiaTheme="minorHAnsi" w:hAnsi="Times New Roman"/>
                  <w:spacing w:val="-2"/>
                </w:rPr>
                <w:t>kontakt@iep.org.pl</w:t>
              </w:r>
            </w:hyperlink>
          </w:p>
          <w:p w14:paraId="546423E7" w14:textId="732B8036" w:rsidR="00A8605A" w:rsidRPr="00BA1E40" w:rsidRDefault="00A8605A" w:rsidP="00BA1E4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BA1E40">
              <w:rPr>
                <w:rFonts w:ascii="Times New Roman" w:hAnsi="Times New Roman"/>
                <w:spacing w:val="-2"/>
              </w:rPr>
              <w:t>Izb</w:t>
            </w:r>
            <w:r w:rsidR="00DD7C94" w:rsidRPr="00BA1E40">
              <w:rPr>
                <w:rFonts w:ascii="Times New Roman" w:hAnsi="Times New Roman"/>
                <w:spacing w:val="-2"/>
              </w:rPr>
              <w:t>a</w:t>
            </w:r>
            <w:r w:rsidRPr="00BA1E40">
              <w:rPr>
                <w:rFonts w:ascii="Times New Roman" w:hAnsi="Times New Roman"/>
                <w:spacing w:val="-2"/>
              </w:rPr>
              <w:t xml:space="preserve"> </w:t>
            </w:r>
            <w:r w:rsidR="00DD7C94" w:rsidRPr="00BA1E40">
              <w:rPr>
                <w:rFonts w:ascii="Times New Roman" w:hAnsi="Times New Roman"/>
                <w:spacing w:val="-2"/>
              </w:rPr>
              <w:t xml:space="preserve">Gospodarcza </w:t>
            </w:r>
            <w:r w:rsidRPr="00BA1E40">
              <w:rPr>
                <w:rFonts w:ascii="Times New Roman" w:hAnsi="Times New Roman"/>
                <w:spacing w:val="-2"/>
              </w:rPr>
              <w:t>Ciepłownictwo Polskie</w:t>
            </w:r>
            <w:r w:rsidR="00BA1E40">
              <w:rPr>
                <w:rFonts w:ascii="Times New Roman" w:hAnsi="Times New Roman"/>
                <w:spacing w:val="-2"/>
              </w:rPr>
              <w:t xml:space="preserve"> - </w:t>
            </w:r>
            <w:hyperlink r:id="rId10" w:history="1">
              <w:r w:rsidR="00BA1E40" w:rsidRPr="00E82C64">
                <w:rPr>
                  <w:rStyle w:val="Hipercze"/>
                  <w:rFonts w:ascii="Times New Roman" w:hAnsi="Times New Roman"/>
                  <w:spacing w:val="-2"/>
                </w:rPr>
                <w:t>bi.warszawa@igcp.org.pl</w:t>
              </w:r>
            </w:hyperlink>
          </w:p>
          <w:p w14:paraId="27B59451" w14:textId="1AC7ACD5" w:rsidR="002838A3" w:rsidRPr="00BA1E40" w:rsidRDefault="002838A3" w:rsidP="00BA1E4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BA1E40">
              <w:rPr>
                <w:rFonts w:ascii="Times New Roman" w:hAnsi="Times New Roman"/>
                <w:spacing w:val="-2"/>
              </w:rPr>
              <w:t>Izba Gospodarczej Energetyki i Ochrony Środowiska</w:t>
            </w:r>
            <w:r w:rsidR="00BA1E40">
              <w:rPr>
                <w:rFonts w:ascii="Times New Roman" w:hAnsi="Times New Roman"/>
                <w:spacing w:val="-2"/>
              </w:rPr>
              <w:t xml:space="preserve"> - </w:t>
            </w:r>
            <w:hyperlink r:id="rId11" w:history="1">
              <w:r w:rsidR="00BA1E40" w:rsidRPr="00E82C64">
                <w:rPr>
                  <w:rStyle w:val="Hipercze"/>
                  <w:rFonts w:ascii="Times New Roman" w:hAnsi="Times New Roman"/>
                  <w:spacing w:val="-2"/>
                </w:rPr>
                <w:t>sekretariat@igeos.pl</w:t>
              </w:r>
            </w:hyperlink>
          </w:p>
          <w:p w14:paraId="023843BF" w14:textId="70335438" w:rsidR="00A86566" w:rsidRPr="00BA1E40" w:rsidRDefault="00A86566" w:rsidP="00BA1E4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BA1E40">
              <w:rPr>
                <w:rFonts w:ascii="Times New Roman" w:hAnsi="Times New Roman"/>
                <w:spacing w:val="-2"/>
              </w:rPr>
              <w:t>Izba Gospodarczej Gazownictwa</w:t>
            </w:r>
            <w:r w:rsidR="00BA1E40">
              <w:rPr>
                <w:rFonts w:ascii="Times New Roman" w:hAnsi="Times New Roman"/>
                <w:spacing w:val="-2"/>
              </w:rPr>
              <w:t xml:space="preserve"> - </w:t>
            </w:r>
            <w:hyperlink r:id="rId12" w:history="1">
              <w:r w:rsidR="00BA1E40" w:rsidRPr="00E82C64">
                <w:rPr>
                  <w:rStyle w:val="Hipercze"/>
                  <w:rFonts w:ascii="Times New Roman" w:hAnsi="Times New Roman"/>
                  <w:spacing w:val="-2"/>
                </w:rPr>
                <w:t>office@igg.pl</w:t>
              </w:r>
            </w:hyperlink>
          </w:p>
          <w:p w14:paraId="681F418F" w14:textId="6C817B5F" w:rsidR="002838A3" w:rsidRDefault="002838A3" w:rsidP="00BA1E4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BA1E40">
              <w:rPr>
                <w:rFonts w:ascii="Times New Roman" w:hAnsi="Times New Roman"/>
                <w:spacing w:val="-2"/>
              </w:rPr>
              <w:t>Krajowa Izba Gospodarcza</w:t>
            </w:r>
            <w:r w:rsidR="00401ED4">
              <w:rPr>
                <w:rFonts w:ascii="Times New Roman" w:hAnsi="Times New Roman"/>
                <w:spacing w:val="-2"/>
              </w:rPr>
              <w:t xml:space="preserve"> -</w:t>
            </w:r>
            <w:r w:rsidR="00094C7E" w:rsidRPr="00BA1E40">
              <w:rPr>
                <w:rFonts w:ascii="Times New Roman" w:eastAsiaTheme="minorHAnsi" w:hAnsi="Times New Roman"/>
                <w:spacing w:val="-2"/>
              </w:rPr>
              <w:t xml:space="preserve"> </w:t>
            </w:r>
            <w:hyperlink r:id="rId13" w:history="1">
              <w:r w:rsidR="00094C7E" w:rsidRPr="00E82C64">
                <w:rPr>
                  <w:rStyle w:val="Hipercze"/>
                  <w:rFonts w:ascii="Times New Roman" w:eastAsiaTheme="minorHAnsi" w:hAnsi="Times New Roman"/>
                  <w:spacing w:val="-2"/>
                </w:rPr>
                <w:t>kig@kig.pl</w:t>
              </w:r>
            </w:hyperlink>
          </w:p>
          <w:p w14:paraId="155A3F8F" w14:textId="23678BFD" w:rsidR="002838A3" w:rsidRPr="00094C7E" w:rsidRDefault="002838A3" w:rsidP="00094C7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094C7E">
              <w:rPr>
                <w:rFonts w:ascii="Times New Roman" w:hAnsi="Times New Roman"/>
                <w:spacing w:val="-2"/>
              </w:rPr>
              <w:t>Polski Komitet Energii Elektrycznej</w:t>
            </w:r>
            <w:r w:rsidR="00094C7E">
              <w:rPr>
                <w:rFonts w:ascii="Times New Roman" w:hAnsi="Times New Roman"/>
                <w:spacing w:val="-2"/>
              </w:rPr>
              <w:t xml:space="preserve"> – </w:t>
            </w:r>
            <w:hyperlink r:id="rId14" w:history="1">
              <w:r w:rsidR="00094C7E" w:rsidRPr="00E82C64">
                <w:rPr>
                  <w:rStyle w:val="Hipercze"/>
                  <w:rFonts w:ascii="Times New Roman" w:hAnsi="Times New Roman"/>
                  <w:spacing w:val="-2"/>
                </w:rPr>
                <w:t>pkee@pkee.pl</w:t>
              </w:r>
            </w:hyperlink>
          </w:p>
          <w:p w14:paraId="20C2459D" w14:textId="6C87CD76" w:rsidR="00A8605A" w:rsidRPr="00094C7E" w:rsidRDefault="00A8605A" w:rsidP="00094C7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094C7E">
              <w:rPr>
                <w:rFonts w:ascii="Times New Roman" w:hAnsi="Times New Roman"/>
                <w:spacing w:val="-2"/>
              </w:rPr>
              <w:t>Polskie Towarzystw</w:t>
            </w:r>
            <w:r w:rsidR="00A42FA7" w:rsidRPr="00094C7E">
              <w:rPr>
                <w:rFonts w:ascii="Times New Roman" w:hAnsi="Times New Roman"/>
                <w:spacing w:val="-2"/>
              </w:rPr>
              <w:t>o</w:t>
            </w:r>
            <w:r w:rsidRPr="00094C7E">
              <w:rPr>
                <w:rFonts w:ascii="Times New Roman" w:hAnsi="Times New Roman"/>
                <w:spacing w:val="-2"/>
              </w:rPr>
              <w:t xml:space="preserve"> Elektrociepłowni Zawodowych</w:t>
            </w:r>
            <w:r w:rsidR="00094C7E">
              <w:rPr>
                <w:rFonts w:ascii="Times New Roman" w:hAnsi="Times New Roman"/>
                <w:spacing w:val="-2"/>
              </w:rPr>
              <w:t xml:space="preserve"> - </w:t>
            </w:r>
            <w:hyperlink r:id="rId15" w:history="1">
              <w:r w:rsidR="00094C7E" w:rsidRPr="00E82C64">
                <w:rPr>
                  <w:rStyle w:val="Hipercze"/>
                  <w:rFonts w:ascii="Times New Roman" w:hAnsi="Times New Roman"/>
                  <w:spacing w:val="-2"/>
                </w:rPr>
                <w:t>sekretariat@ptez.com.pl</w:t>
              </w:r>
            </w:hyperlink>
          </w:p>
          <w:p w14:paraId="69E3C4E3" w14:textId="28CAF96E" w:rsidR="00094C7E" w:rsidRPr="00094C7E" w:rsidRDefault="00A8605A" w:rsidP="00094C7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094C7E">
              <w:rPr>
                <w:rFonts w:ascii="Times New Roman" w:hAnsi="Times New Roman"/>
                <w:spacing w:val="-2"/>
              </w:rPr>
              <w:t>Towarzystw</w:t>
            </w:r>
            <w:r w:rsidR="00DD7C94" w:rsidRPr="00094C7E">
              <w:rPr>
                <w:rFonts w:ascii="Times New Roman" w:hAnsi="Times New Roman"/>
                <w:spacing w:val="-2"/>
              </w:rPr>
              <w:t>o</w:t>
            </w:r>
            <w:r w:rsidRPr="00094C7E">
              <w:rPr>
                <w:rFonts w:ascii="Times New Roman" w:hAnsi="Times New Roman"/>
                <w:spacing w:val="-2"/>
              </w:rPr>
              <w:t xml:space="preserve"> Gospodarcze Polskie Elektrownie</w:t>
            </w:r>
            <w:r w:rsidR="00094C7E">
              <w:rPr>
                <w:rFonts w:ascii="Times New Roman" w:hAnsi="Times New Roman"/>
                <w:spacing w:val="-2"/>
              </w:rPr>
              <w:t xml:space="preserve"> - </w:t>
            </w:r>
            <w:hyperlink r:id="rId16" w:history="1">
              <w:r w:rsidR="00094C7E" w:rsidRPr="00E82C64">
                <w:rPr>
                  <w:rStyle w:val="Hipercze"/>
                  <w:rFonts w:ascii="Times New Roman" w:hAnsi="Times New Roman"/>
                  <w:spacing w:val="-2"/>
                </w:rPr>
                <w:t>biuro@tgpe.pl</w:t>
              </w:r>
            </w:hyperlink>
          </w:p>
          <w:p w14:paraId="70A6A243" w14:textId="2BE9D02E" w:rsidR="003C5EE4" w:rsidRDefault="00A8605A" w:rsidP="00A8656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067D98">
              <w:rPr>
                <w:rFonts w:ascii="Times New Roman" w:hAnsi="Times New Roman" w:cs="Times New Roman"/>
                <w:spacing w:val="-2"/>
              </w:rPr>
              <w:t>Jednocześnie projekt rozporządzenia zost</w:t>
            </w:r>
            <w:r w:rsidR="006A5942">
              <w:rPr>
                <w:rFonts w:ascii="Times New Roman" w:hAnsi="Times New Roman" w:cs="Times New Roman"/>
                <w:spacing w:val="-2"/>
              </w:rPr>
              <w:t>anie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 przekazany do zaopiniowania</w:t>
            </w:r>
            <w:r w:rsidR="00A86566">
              <w:rPr>
                <w:rFonts w:ascii="Times New Roman" w:hAnsi="Times New Roman" w:cs="Times New Roman"/>
                <w:spacing w:val="-2"/>
              </w:rPr>
              <w:t xml:space="preserve"> w terminie 7 dni</w:t>
            </w:r>
            <w:r w:rsidRPr="00067D98">
              <w:rPr>
                <w:rFonts w:ascii="Times New Roman" w:hAnsi="Times New Roman" w:cs="Times New Roman"/>
                <w:spacing w:val="-2"/>
              </w:rPr>
              <w:t xml:space="preserve"> przez </w:t>
            </w:r>
            <w:r w:rsidR="00E33B87">
              <w:rPr>
                <w:rFonts w:ascii="Times New Roman" w:hAnsi="Times New Roman" w:cs="Times New Roman"/>
                <w:spacing w:val="-2"/>
              </w:rPr>
              <w:t>Prezesa URE</w:t>
            </w:r>
            <w:r w:rsidR="00927130">
              <w:rPr>
                <w:rFonts w:ascii="Times New Roman" w:hAnsi="Times New Roman" w:cs="Times New Roman"/>
                <w:spacing w:val="-2"/>
              </w:rPr>
              <w:t xml:space="preserve">, zgodnie z </w:t>
            </w:r>
            <w:r w:rsidR="004724B8">
              <w:rPr>
                <w:rFonts w:ascii="Times New Roman" w:hAnsi="Times New Roman" w:cs="Times New Roman"/>
                <w:spacing w:val="-2"/>
              </w:rPr>
              <w:t xml:space="preserve">art. </w:t>
            </w:r>
            <w:r w:rsidR="00927130" w:rsidRPr="00927130">
              <w:rPr>
                <w:rFonts w:ascii="Times New Roman" w:hAnsi="Times New Roman" w:cs="Times New Roman"/>
                <w:spacing w:val="-2"/>
              </w:rPr>
              <w:t>46 ust. 5 ustawy – Prawo energetyczne</w:t>
            </w:r>
            <w:r w:rsidRPr="00067D98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345AAA8A" w14:textId="0A6979DC" w:rsidR="00A8605A" w:rsidRDefault="00A86566" w:rsidP="00A8656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86566">
              <w:rPr>
                <w:rFonts w:ascii="Times New Roman" w:hAnsi="Times New Roman" w:cs="Times New Roman"/>
                <w:spacing w:val="-2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  <w:r w:rsidR="00A8605A" w:rsidRPr="00E83F4F">
              <w:rPr>
                <w:rFonts w:ascii="Times New Roman" w:hAnsi="Times New Roman" w:cs="Times New Roman"/>
                <w:spacing w:val="-2"/>
              </w:rPr>
              <w:t xml:space="preserve">Projekt rozporządzenia nie </w:t>
            </w:r>
            <w:r w:rsidR="00A55B13">
              <w:rPr>
                <w:rFonts w:ascii="Times New Roman" w:hAnsi="Times New Roman" w:cs="Times New Roman"/>
                <w:spacing w:val="-2"/>
              </w:rPr>
              <w:t xml:space="preserve">dotyczy spraw, o których mowa w art. 1 ustawy z dnia 24 lipca 2015 r. o Radzie Dialogu Społecznego i innych instytucjach dialogu społecznego, wobec czego nie wymaga zaopiniowania przez Radę Dialogu Społecznego. </w:t>
            </w:r>
          </w:p>
          <w:p w14:paraId="1871252E" w14:textId="7D90A1CF" w:rsidR="00A55B13" w:rsidRPr="00E83F4F" w:rsidRDefault="00A55B13" w:rsidP="00A8656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55B13">
              <w:rPr>
                <w:rFonts w:ascii="Times New Roman" w:hAnsi="Times New Roman" w:cs="Times New Roman"/>
                <w:spacing w:val="-2"/>
              </w:rPr>
              <w:t>Z uwagi na zakres projektu, który nie dotyczy praw i interesów związków pracodawców oraz zadań związków zawodowych, projekt nie podlega opiniowaniu przez reprezentatywne organizacje pracodawców i związki zawodowe.</w:t>
            </w:r>
          </w:p>
          <w:p w14:paraId="154D51D8" w14:textId="77777777" w:rsidR="00A8605A" w:rsidRPr="00E83F4F" w:rsidRDefault="00A8605A" w:rsidP="00A8656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E83F4F">
              <w:rPr>
                <w:rFonts w:ascii="Times New Roman" w:hAnsi="Times New Roman" w:cs="Times New Roman"/>
                <w:spacing w:val="-2"/>
              </w:rPr>
              <w:t>Projekt rozporządzenia nie wymaga zasięgnięcia opinii, dokonania konsultacji oraz dokonania uzgodnienia z innymi organami i instytucjami Unii Europejskiej, w tym Europejskim Bankiem Centralnym.</w:t>
            </w:r>
          </w:p>
          <w:p w14:paraId="2B37F766" w14:textId="0760E084" w:rsidR="00A8605A" w:rsidRPr="00E37D0F" w:rsidRDefault="00A8605A" w:rsidP="00A8656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E83F4F">
              <w:rPr>
                <w:rFonts w:ascii="Times New Roman" w:hAnsi="Times New Roman" w:cs="Times New Roman"/>
                <w:spacing w:val="-2"/>
              </w:rPr>
              <w:t xml:space="preserve">Wyniki przeprowadzonych konsultacji publicznych zostaną </w:t>
            </w:r>
            <w:r w:rsidR="009C7F0E">
              <w:rPr>
                <w:rFonts w:ascii="Times New Roman" w:hAnsi="Times New Roman" w:cs="Times New Roman"/>
                <w:spacing w:val="-2"/>
              </w:rPr>
              <w:t>omówione w raporcie z konsultacji</w:t>
            </w:r>
            <w:r w:rsidR="00260C6B">
              <w:rPr>
                <w:rFonts w:ascii="Times New Roman" w:hAnsi="Times New Roman" w:cs="Times New Roman"/>
                <w:spacing w:val="-2"/>
              </w:rPr>
              <w:t>, zawierającym zestawienie przedstawionych sta</w:t>
            </w:r>
            <w:r w:rsidR="00EF3B5B">
              <w:rPr>
                <w:rFonts w:ascii="Times New Roman" w:hAnsi="Times New Roman" w:cs="Times New Roman"/>
                <w:spacing w:val="-2"/>
              </w:rPr>
              <w:t>n</w:t>
            </w:r>
            <w:r w:rsidR="00260C6B">
              <w:rPr>
                <w:rFonts w:ascii="Times New Roman" w:hAnsi="Times New Roman" w:cs="Times New Roman"/>
                <w:spacing w:val="-2"/>
              </w:rPr>
              <w:t xml:space="preserve">owisk lub opinii i odniesienie się do nich przez organ wnioskujący, udostępnionym </w:t>
            </w:r>
            <w:r w:rsidRPr="00E83F4F">
              <w:rPr>
                <w:rFonts w:ascii="Times New Roman" w:hAnsi="Times New Roman" w:cs="Times New Roman"/>
                <w:spacing w:val="-2"/>
              </w:rPr>
              <w:t xml:space="preserve">na stronie internetowej </w:t>
            </w:r>
            <w:r w:rsidR="00260C6B">
              <w:rPr>
                <w:rFonts w:ascii="Times New Roman" w:hAnsi="Times New Roman" w:cs="Times New Roman"/>
                <w:spacing w:val="-2"/>
              </w:rPr>
              <w:t xml:space="preserve">Rządowego Centrum Legislacji, w zakładce Rządowy Proces Legislacyjny, najpóźniej z dniem przekazania projektu na kolejny etap prac legislacyjnych. </w:t>
            </w:r>
          </w:p>
        </w:tc>
      </w:tr>
      <w:tr w:rsidR="00067D98" w:rsidRPr="00067D98" w14:paraId="4F556CF7" w14:textId="77777777" w:rsidTr="00066274">
        <w:trPr>
          <w:gridAfter w:val="2"/>
          <w:wAfter w:w="48" w:type="dxa"/>
          <w:trHeight w:val="363"/>
        </w:trPr>
        <w:tc>
          <w:tcPr>
            <w:tcW w:w="10899" w:type="dxa"/>
            <w:gridSpan w:val="26"/>
            <w:shd w:val="clear" w:color="auto" w:fill="99CCFF"/>
            <w:vAlign w:val="center"/>
          </w:tcPr>
          <w:p w14:paraId="2432E3AF" w14:textId="77777777" w:rsidR="006202AB" w:rsidRPr="00067D98" w:rsidRDefault="006202AB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Wpływ na sektor finansów publicznych</w:t>
            </w:r>
          </w:p>
        </w:tc>
      </w:tr>
      <w:tr w:rsidR="00067D98" w:rsidRPr="00067D98" w14:paraId="34329FFC" w14:textId="77777777" w:rsidTr="00745495">
        <w:trPr>
          <w:gridAfter w:val="2"/>
          <w:wAfter w:w="48" w:type="dxa"/>
          <w:trHeight w:val="142"/>
        </w:trPr>
        <w:tc>
          <w:tcPr>
            <w:tcW w:w="3114" w:type="dxa"/>
            <w:gridSpan w:val="3"/>
            <w:vMerge w:val="restart"/>
            <w:shd w:val="clear" w:color="auto" w:fill="FFFFFF"/>
          </w:tcPr>
          <w:p w14:paraId="1B422902" w14:textId="00E1C651" w:rsidR="004467EE" w:rsidRPr="00067D98" w:rsidRDefault="004467EE" w:rsidP="004467EE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(ceny stałe z …… r.)</w:t>
            </w:r>
          </w:p>
        </w:tc>
        <w:tc>
          <w:tcPr>
            <w:tcW w:w="7785" w:type="dxa"/>
            <w:gridSpan w:val="23"/>
            <w:shd w:val="clear" w:color="auto" w:fill="FFFFFF"/>
          </w:tcPr>
          <w:p w14:paraId="542BED12" w14:textId="3B3B1CCF" w:rsidR="004467EE" w:rsidRPr="00067D98" w:rsidRDefault="004467EE" w:rsidP="004467EE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Skutki w okresie 10 lat od wejścia w życie zmian [mln zł]</w:t>
            </w:r>
          </w:p>
        </w:tc>
      </w:tr>
      <w:tr w:rsidR="00067D98" w:rsidRPr="00067D98" w14:paraId="451BF0E1" w14:textId="77777777" w:rsidTr="00A86566">
        <w:trPr>
          <w:gridAfter w:val="2"/>
          <w:wAfter w:w="48" w:type="dxa"/>
          <w:trHeight w:val="142"/>
        </w:trPr>
        <w:tc>
          <w:tcPr>
            <w:tcW w:w="3114" w:type="dxa"/>
            <w:gridSpan w:val="3"/>
            <w:vMerge/>
            <w:shd w:val="clear" w:color="auto" w:fill="FFFFFF"/>
          </w:tcPr>
          <w:p w14:paraId="15305539" w14:textId="77777777" w:rsidR="004467EE" w:rsidRPr="00067D98" w:rsidRDefault="004467EE" w:rsidP="004467EE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7A423AE7" w14:textId="078C008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59DAAFE5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359AC753" w14:textId="595DA270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DDD7A8C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4B2F39A" w14:textId="062B8068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0380AE6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06FCFC" w14:textId="1BAFC81A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4242ACF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8" w:type="dxa"/>
            <w:shd w:val="clear" w:color="auto" w:fill="FFFFFF"/>
          </w:tcPr>
          <w:p w14:paraId="5A8B2A2E" w14:textId="235F24CE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7DDFE87" w14:textId="7777777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0A7A5664" w14:textId="1413AD35" w:rsidR="004467EE" w:rsidRPr="00067D98" w:rsidRDefault="00A6414A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1</w:t>
            </w:r>
            <w:r w:rsidR="004467EE"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  <w:gridSpan w:val="2"/>
            <w:shd w:val="clear" w:color="auto" w:fill="FFFFFF"/>
          </w:tcPr>
          <w:p w14:paraId="1250E989" w14:textId="77777777" w:rsidR="004467EE" w:rsidRPr="00067D98" w:rsidRDefault="004467EE" w:rsidP="004467EE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067D98" w:rsidRPr="00067D98" w14:paraId="7E9D74B7" w14:textId="77777777" w:rsidTr="00A86566">
        <w:trPr>
          <w:gridAfter w:val="1"/>
          <w:wAfter w:w="38" w:type="dxa"/>
          <w:trHeight w:val="32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5BF4C5D9" w14:textId="46EBB757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856F511" w14:textId="0BAC92D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1B0461D9" w14:textId="20EABCF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122A7F0D" w14:textId="6EA60A6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358D890" w14:textId="2FA08A6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278C0B1" w14:textId="2991D38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D84F880" w14:textId="07AFDFB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E3B2B" w14:textId="4798087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B70A3FB" w14:textId="0F9DF84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B4FB956" w14:textId="668FCCF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C85FA7A" w14:textId="2C17442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AE6D2D1" w14:textId="5A9D8B4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6432741D" w14:textId="68F52CF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15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09DEB852" w14:textId="77777777" w:rsidTr="00A86566">
        <w:trPr>
          <w:gridAfter w:val="1"/>
          <w:wAfter w:w="38" w:type="dxa"/>
          <w:trHeight w:val="32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79939E2B" w14:textId="1AF94D8D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F27C40B" w14:textId="2A7A5DF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2398AD8B" w14:textId="6C7577B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33467547" w14:textId="79A751F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10DFF15" w14:textId="75C53A1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0FF9DC0" w14:textId="25B2059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9538F69" w14:textId="7C785F0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B1A5FB" w14:textId="69E8B37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B3976A2" w14:textId="608C5B0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68906A1" w14:textId="3817890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1D05045" w14:textId="030A986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FA40B42" w14:textId="4F5058D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4350B28E" w14:textId="586C7FB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15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0B0CCC2C" w14:textId="77777777" w:rsidTr="00A86566">
        <w:trPr>
          <w:gridAfter w:val="1"/>
          <w:wAfter w:w="38" w:type="dxa"/>
          <w:trHeight w:val="344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051E73F" w14:textId="27DDDD9C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1214457" w14:textId="52699F7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14477907" w14:textId="5CBAC3E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14FAB698" w14:textId="38A00CA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13BAFC5" w14:textId="026C9CC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9D30E82" w14:textId="346555A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0E0411B" w14:textId="17C6BE8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2E8545" w14:textId="26AD4EF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1BB8774" w14:textId="13C2875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2482963" w14:textId="2DF61D0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5686FF0" w14:textId="3EF3BA7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29B4B24" w14:textId="40529C0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5A9E6EC8" w14:textId="3C38A42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42F15B06" w14:textId="77777777" w:rsidTr="00A86566">
        <w:trPr>
          <w:gridAfter w:val="1"/>
          <w:wAfter w:w="38" w:type="dxa"/>
          <w:trHeight w:val="344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05015B7A" w14:textId="1A9FDDE9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01F003C" w14:textId="5D90A12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6058B804" w14:textId="1B68EF6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46985076" w14:textId="17A53E9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C53A4FE" w14:textId="786607C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FED9438" w14:textId="5737D11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85BEA0F" w14:textId="70CB738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2F0063" w14:textId="00B83C1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B2EC5FB" w14:textId="2AFD524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C6E1D3A" w14:textId="5C2AB9E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7641B42" w14:textId="05FBEA5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67656A5" w14:textId="6D00A87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24E6BD1A" w14:textId="4D4C3FE3" w:rsidR="004467EE" w:rsidRPr="00067D98" w:rsidRDefault="004467EE" w:rsidP="00A865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25112613" w14:textId="77777777" w:rsidTr="00A86566">
        <w:trPr>
          <w:gridAfter w:val="1"/>
          <w:wAfter w:w="38" w:type="dxa"/>
          <w:trHeight w:val="33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03DC115" w14:textId="6F1FC03A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C251C8C" w14:textId="17998E0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56C4D923" w14:textId="285B830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58CAE8FB" w14:textId="5576249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58DA25" w14:textId="4920C90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AB5AC0A" w14:textId="3B402C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695B301" w14:textId="1CD78F6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01101E" w14:textId="4CEA13A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5BD4382C" w14:textId="4D9DBF7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77BD1C3" w14:textId="5F5F94B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42B279D" w14:textId="49FED31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69BA2F3" w14:textId="6CB918F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7BC73A36" w14:textId="13FFCB5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2225197" w14:textId="77777777" w:rsidTr="00A86566">
        <w:trPr>
          <w:gridAfter w:val="1"/>
          <w:wAfter w:w="38" w:type="dxa"/>
          <w:trHeight w:val="33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1DEE7581" w14:textId="765BA3DF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01E9E18" w14:textId="0ED3841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11A3DC75" w14:textId="4108DF3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564D30E5" w14:textId="7BFA0C6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A59AA77" w14:textId="691568E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CED78F1" w14:textId="781FFA2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D4563A3" w14:textId="0431054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0C0C87" w14:textId="16075F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B49663D" w14:textId="7AF21EF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9E43223" w14:textId="1B11AB3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2644BD8" w14:textId="0E119FF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CBE8338" w14:textId="64DB7DD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63BCEECE" w14:textId="537741C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1A719428" w14:textId="77777777" w:rsidTr="00A86566">
        <w:trPr>
          <w:gridAfter w:val="1"/>
          <w:wAfter w:w="38" w:type="dxa"/>
          <w:trHeight w:val="35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59A0F841" w14:textId="5D19244E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F60ACC2" w14:textId="1D3525B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0AD04B79" w14:textId="4743F40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73EC0EE3" w14:textId="2B2C5EE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040191" w14:textId="29FE266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EBCEF1E" w14:textId="247DEC8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12E2AC4" w14:textId="32DDBCD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2B6504" w14:textId="05143EB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2CF0CB1" w14:textId="0128464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C26ABA8" w14:textId="71A4D79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2943635" w14:textId="32C3170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AF0517E" w14:textId="23E5E4B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40731822" w14:textId="4584B8C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250B8003" w14:textId="77777777" w:rsidTr="00A86566">
        <w:trPr>
          <w:gridAfter w:val="1"/>
          <w:wAfter w:w="38" w:type="dxa"/>
          <w:trHeight w:val="351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124D757C" w14:textId="409FD432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0A0DD4E" w14:textId="5F3D672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7656C935" w14:textId="18C74AC2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7A71E837" w14:textId="77C5982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E690D2" w14:textId="2D2FD26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E4EB874" w14:textId="2690F78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D073732" w14:textId="6501AA7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DD5925" w14:textId="4FE021F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5EB1D46E" w14:textId="1102D9B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72F60B1" w14:textId="262107A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F9D5340" w14:textId="4122C7F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18F75C5" w14:textId="579C132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27A5F743" w14:textId="1997994F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1CEDFFDF" w14:textId="77777777" w:rsidTr="00A86566">
        <w:trPr>
          <w:gridAfter w:val="1"/>
          <w:wAfter w:w="38" w:type="dxa"/>
          <w:trHeight w:val="36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53AAF2F" w14:textId="4569D102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  <w:b/>
              </w:rPr>
              <w:t>Saldo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75F6B79" w14:textId="6F6B64C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22AAF326" w14:textId="5A4F9A3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133ECBC1" w14:textId="1D2E19A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B1B6182" w14:textId="334D056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478B37D" w14:textId="1F75A69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58A6E3E" w14:textId="3A80841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B42454" w14:textId="0D96BBE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BE28242" w14:textId="52B275E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BABEC5A" w14:textId="7D0A64C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D971263" w14:textId="25BA47C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7A923B3" w14:textId="087211E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3ECB6BA9" w14:textId="1B2492F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40B9108" w14:textId="77777777" w:rsidTr="00A86566">
        <w:trPr>
          <w:gridAfter w:val="1"/>
          <w:wAfter w:w="38" w:type="dxa"/>
          <w:trHeight w:val="360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717DE0CE" w14:textId="26B8B6B6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5263407" w14:textId="7CD7D0C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25A6A751" w14:textId="4EF90AC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056D9FCD" w14:textId="4B37F10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9838FD" w14:textId="380BE82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FCF209F" w14:textId="31E3E78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8233E05" w14:textId="36D44CE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0EF984" w14:textId="0781214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18872388" w14:textId="1B0BB01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36AE570" w14:textId="0204654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6F0A2AD" w14:textId="35448569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89D8809" w14:textId="53184C9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2E789C29" w14:textId="663F97B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24E060EF" w14:textId="77777777" w:rsidTr="00A86566">
        <w:trPr>
          <w:gridAfter w:val="1"/>
          <w:wAfter w:w="38" w:type="dxa"/>
          <w:trHeight w:val="357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2AC7CC54" w14:textId="5F91105A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DF685FC" w14:textId="7120256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057EFBBA" w14:textId="767B699A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738BC69D" w14:textId="49A4DA2D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4F7024" w14:textId="07B8DE63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68DFFB4" w14:textId="3AD0F91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0976214" w14:textId="0BE1FA9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9A49E6" w14:textId="58547316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C11AB9C" w14:textId="55EB76F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CF15C35" w14:textId="51974701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26B439C" w14:textId="15F0D0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80D6FCB" w14:textId="0F8F24A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76869A75" w14:textId="017DCB2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3B94A5EA" w14:textId="77777777" w:rsidTr="00A86566">
        <w:trPr>
          <w:gridAfter w:val="1"/>
          <w:wAfter w:w="38" w:type="dxa"/>
          <w:trHeight w:val="357"/>
        </w:trPr>
        <w:tc>
          <w:tcPr>
            <w:tcW w:w="3114" w:type="dxa"/>
            <w:gridSpan w:val="3"/>
            <w:shd w:val="clear" w:color="auto" w:fill="FFFFFF"/>
            <w:vAlign w:val="center"/>
          </w:tcPr>
          <w:p w14:paraId="4EF36FFD" w14:textId="2E672D4D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C1C1B78" w14:textId="3DB0A35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0D56AD47" w14:textId="5B3122B4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514238CF" w14:textId="208FB67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48A49FE" w14:textId="793A6800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8458B95" w14:textId="3ED3AE48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F08CC24" w14:textId="61434D37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8C420B" w14:textId="15182CA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2CE65FB" w14:textId="41ECC475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32B1AB0" w14:textId="43B0FAFC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7AB96E0" w14:textId="5505329E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CC7C70C" w14:textId="4A462D1B" w:rsidR="004467EE" w:rsidRPr="00067D98" w:rsidRDefault="004467EE" w:rsidP="00446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gridSpan w:val="3"/>
            <w:shd w:val="clear" w:color="auto" w:fill="FFFFFF"/>
          </w:tcPr>
          <w:p w14:paraId="072BEFA1" w14:textId="013D3C67" w:rsidR="004467EE" w:rsidRPr="00067D98" w:rsidRDefault="004467EE" w:rsidP="00A865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DE242FB" w14:textId="77777777" w:rsidTr="00745495">
        <w:trPr>
          <w:gridAfter w:val="2"/>
          <w:wAfter w:w="48" w:type="dxa"/>
          <w:trHeight w:val="348"/>
        </w:trPr>
        <w:tc>
          <w:tcPr>
            <w:tcW w:w="3261" w:type="dxa"/>
            <w:gridSpan w:val="4"/>
            <w:shd w:val="clear" w:color="auto" w:fill="FFFFFF"/>
            <w:vAlign w:val="center"/>
          </w:tcPr>
          <w:p w14:paraId="50ADE536" w14:textId="1DB0D90D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 xml:space="preserve">Źródła finansowania </w:t>
            </w:r>
          </w:p>
        </w:tc>
        <w:tc>
          <w:tcPr>
            <w:tcW w:w="7638" w:type="dxa"/>
            <w:gridSpan w:val="22"/>
            <w:shd w:val="clear" w:color="auto" w:fill="FFFFFF"/>
            <w:vAlign w:val="center"/>
          </w:tcPr>
          <w:p w14:paraId="3972382F" w14:textId="67512F55" w:rsidR="004467EE" w:rsidRPr="00067D98" w:rsidRDefault="004E4299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4299">
              <w:rPr>
                <w:rFonts w:ascii="Times New Roman" w:hAnsi="Times New Roman" w:cs="Times New Roman"/>
              </w:rPr>
              <w:t>Rozporządzenie nie ma wpływu na dochody i wydatki budżetu państwa.</w:t>
            </w:r>
          </w:p>
        </w:tc>
      </w:tr>
      <w:tr w:rsidR="00067D98" w:rsidRPr="00067D98" w14:paraId="3B8B39BC" w14:textId="77777777" w:rsidTr="00DF4C82">
        <w:trPr>
          <w:gridAfter w:val="2"/>
          <w:wAfter w:w="48" w:type="dxa"/>
          <w:trHeight w:val="977"/>
        </w:trPr>
        <w:tc>
          <w:tcPr>
            <w:tcW w:w="3261" w:type="dxa"/>
            <w:gridSpan w:val="4"/>
            <w:shd w:val="clear" w:color="auto" w:fill="FFFFFF"/>
          </w:tcPr>
          <w:p w14:paraId="1C308435" w14:textId="5F91A91A" w:rsidR="004467EE" w:rsidRPr="00067D98" w:rsidRDefault="004467EE" w:rsidP="004467EE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7638" w:type="dxa"/>
            <w:gridSpan w:val="22"/>
            <w:shd w:val="clear" w:color="auto" w:fill="FFFFFF"/>
          </w:tcPr>
          <w:p w14:paraId="23D84992" w14:textId="52E4408D" w:rsidR="004467EE" w:rsidRPr="00DF4C82" w:rsidRDefault="008C1461" w:rsidP="00A865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1461">
              <w:rPr>
                <w:rFonts w:ascii="Times New Roman" w:hAnsi="Times New Roman" w:cs="Times New Roman"/>
              </w:rPr>
              <w:t>Rozporządzenie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</w:tc>
      </w:tr>
      <w:tr w:rsidR="00067D98" w:rsidRPr="00067D98" w14:paraId="1FA3E680" w14:textId="77777777" w:rsidTr="00066274">
        <w:trPr>
          <w:gridAfter w:val="2"/>
          <w:wAfter w:w="48" w:type="dxa"/>
          <w:trHeight w:val="345"/>
        </w:trPr>
        <w:tc>
          <w:tcPr>
            <w:tcW w:w="10899" w:type="dxa"/>
            <w:gridSpan w:val="26"/>
            <w:shd w:val="clear" w:color="auto" w:fill="99CCFF"/>
          </w:tcPr>
          <w:p w14:paraId="6732B703" w14:textId="77777777" w:rsidR="006202AB" w:rsidRPr="00067D98" w:rsidRDefault="006202AB" w:rsidP="00326B7A">
            <w:pPr>
              <w:numPr>
                <w:ilvl w:val="0"/>
                <w:numId w:val="41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067D98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67D98" w:rsidRPr="00067D98" w14:paraId="28D20022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FFFFFF"/>
          </w:tcPr>
          <w:p w14:paraId="6DCE925E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Skutki</w:t>
            </w:r>
          </w:p>
        </w:tc>
      </w:tr>
      <w:tr w:rsidR="00067D98" w:rsidRPr="00067D98" w14:paraId="6E79E1DC" w14:textId="77777777" w:rsidTr="00745495">
        <w:trPr>
          <w:gridAfter w:val="2"/>
          <w:wAfter w:w="48" w:type="dxa"/>
          <w:trHeight w:val="142"/>
        </w:trPr>
        <w:tc>
          <w:tcPr>
            <w:tcW w:w="3869" w:type="dxa"/>
            <w:gridSpan w:val="6"/>
            <w:shd w:val="clear" w:color="auto" w:fill="FFFFFF"/>
          </w:tcPr>
          <w:p w14:paraId="1B5BE60E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4" w:type="dxa"/>
            <w:gridSpan w:val="2"/>
            <w:shd w:val="clear" w:color="auto" w:fill="FFFFFF"/>
          </w:tcPr>
          <w:p w14:paraId="2F95686D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42" w:type="dxa"/>
            <w:gridSpan w:val="4"/>
            <w:shd w:val="clear" w:color="auto" w:fill="FFFFFF"/>
          </w:tcPr>
          <w:p w14:paraId="11D3E010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8477DB6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39AE75ED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74EED186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08E8E603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14:paraId="69CCBCF5" w14:textId="77777777" w:rsidR="006202AB" w:rsidRPr="00067D98" w:rsidRDefault="006202AB" w:rsidP="003305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>Łącznie</w:t>
            </w:r>
            <w:r w:rsidRPr="00067D98" w:rsidDel="0073273A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067D98" w:rsidRPr="00067D98" w14:paraId="32EB8D35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54DAB37A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W ujęciu pieniężnym</w:t>
            </w:r>
          </w:p>
          <w:p w14:paraId="65242137" w14:textId="581E2C2C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tys. zł, </w:t>
            </w:r>
          </w:p>
          <w:p w14:paraId="361B2947" w14:textId="172A73A1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 r.)</w:t>
            </w:r>
          </w:p>
        </w:tc>
        <w:tc>
          <w:tcPr>
            <w:tcW w:w="2282" w:type="dxa"/>
            <w:gridSpan w:val="5"/>
            <w:shd w:val="clear" w:color="auto" w:fill="FFFFFF"/>
          </w:tcPr>
          <w:p w14:paraId="4B0B4AA8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duże przedsiębiorstwa</w:t>
            </w:r>
          </w:p>
        </w:tc>
        <w:tc>
          <w:tcPr>
            <w:tcW w:w="934" w:type="dxa"/>
            <w:gridSpan w:val="2"/>
            <w:shd w:val="clear" w:color="auto" w:fill="auto"/>
          </w:tcPr>
          <w:p w14:paraId="0B3BDBE9" w14:textId="063CD252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12703B0F" w14:textId="3AE3857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4"/>
            <w:shd w:val="clear" w:color="auto" w:fill="auto"/>
          </w:tcPr>
          <w:p w14:paraId="769677E0" w14:textId="4A36719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0581CCE2" w14:textId="14046680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5F9D9AFE" w14:textId="1607CCF9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14:paraId="3C4FF883" w14:textId="2E93B6F1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14:paraId="62FD8531" w14:textId="521257ED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8B08D28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1194ED05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1955863A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010B1566" w14:textId="1C98D291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2140919E" w14:textId="09960ED5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4"/>
            <w:shd w:val="clear" w:color="auto" w:fill="auto"/>
            <w:vAlign w:val="center"/>
          </w:tcPr>
          <w:p w14:paraId="451F30A4" w14:textId="5C205A2B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5899EB8A" w14:textId="2CE7805C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23EDFB21" w14:textId="0F8D9D4E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14:paraId="7BC7ED56" w14:textId="787CD19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FE8FFF7" w14:textId="7F70579F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3E10F4C6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58241CFC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7C78C722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407C7084" w14:textId="13DE7749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00F559E3" w14:textId="153CB16A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4"/>
            <w:shd w:val="clear" w:color="auto" w:fill="auto"/>
            <w:vAlign w:val="center"/>
          </w:tcPr>
          <w:p w14:paraId="5F861C73" w14:textId="404849B7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36FE5074" w14:textId="3FD36553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55614DED" w14:textId="3DD4F32B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14:paraId="10F76A7F" w14:textId="60D673C7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BD451A" w14:textId="77DA6B97" w:rsidR="00A6414A" w:rsidRPr="00067D98" w:rsidRDefault="00A6414A" w:rsidP="00A641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0</w:t>
            </w:r>
          </w:p>
        </w:tc>
      </w:tr>
      <w:tr w:rsidR="00067D98" w:rsidRPr="00067D98" w14:paraId="6A42589C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2B8B335C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163E2BB0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934" w:type="dxa"/>
            <w:gridSpan w:val="2"/>
            <w:shd w:val="clear" w:color="auto" w:fill="auto"/>
          </w:tcPr>
          <w:p w14:paraId="6A1EBB8D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42" w:type="dxa"/>
            <w:gridSpan w:val="4"/>
            <w:shd w:val="clear" w:color="auto" w:fill="auto"/>
          </w:tcPr>
          <w:p w14:paraId="380E0E67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auto"/>
          </w:tcPr>
          <w:p w14:paraId="0E4B5AC4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14:paraId="7BE5C068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14:paraId="38134041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14:paraId="5594DBCC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14:paraId="4AC10750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</w:p>
        </w:tc>
      </w:tr>
      <w:tr w:rsidR="00067D98" w:rsidRPr="00067D98" w14:paraId="3861DB88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0E4E3CA1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W ujęciu niepieniężnym</w:t>
            </w:r>
          </w:p>
        </w:tc>
        <w:tc>
          <w:tcPr>
            <w:tcW w:w="2282" w:type="dxa"/>
            <w:gridSpan w:val="5"/>
            <w:shd w:val="clear" w:color="auto" w:fill="FFFFFF"/>
          </w:tcPr>
          <w:p w14:paraId="6A78ABCD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duże przedsiębiorstwa</w:t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3263C3F8" w14:textId="3793EC5A" w:rsidR="00A6414A" w:rsidRPr="00067D98" w:rsidRDefault="00A8605A" w:rsidP="00023C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Urealnienie </w:t>
            </w:r>
            <w:r w:rsidR="00A17221">
              <w:rPr>
                <w:rFonts w:ascii="Times New Roman" w:hAnsi="Times New Roman" w:cs="Times New Roman"/>
                <w:spacing w:val="-2"/>
              </w:rPr>
              <w:t xml:space="preserve">cen i stawek opłat zatwierdzanych przez Prezesa URE w </w:t>
            </w:r>
            <w:r>
              <w:rPr>
                <w:rFonts w:ascii="Times New Roman" w:hAnsi="Times New Roman" w:cs="Times New Roman"/>
                <w:spacing w:val="-2"/>
              </w:rPr>
              <w:t>zatwierdzan</w:t>
            </w:r>
            <w:r w:rsidR="00A17221">
              <w:rPr>
                <w:rFonts w:ascii="Times New Roman" w:hAnsi="Times New Roman" w:cs="Times New Roman"/>
                <w:spacing w:val="-2"/>
              </w:rPr>
              <w:t>ych</w:t>
            </w:r>
            <w:r>
              <w:rPr>
                <w:rFonts w:ascii="Times New Roman" w:hAnsi="Times New Roman" w:cs="Times New Roman"/>
                <w:spacing w:val="-2"/>
              </w:rPr>
              <w:t xml:space="preserve"> taryf</w:t>
            </w:r>
            <w:r w:rsidR="00A17221">
              <w:rPr>
                <w:rFonts w:ascii="Times New Roman" w:hAnsi="Times New Roman" w:cs="Times New Roman"/>
                <w:spacing w:val="-2"/>
              </w:rPr>
              <w:t>ach</w:t>
            </w:r>
            <w:r>
              <w:rPr>
                <w:rFonts w:ascii="Times New Roman" w:hAnsi="Times New Roman" w:cs="Times New Roman"/>
                <w:spacing w:val="-2"/>
              </w:rPr>
              <w:t xml:space="preserve"> dla ciepła.</w:t>
            </w:r>
          </w:p>
        </w:tc>
      </w:tr>
      <w:tr w:rsidR="00067D98" w:rsidRPr="00067D98" w14:paraId="79B4EFC5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1D2FD377" w14:textId="6A64CA0B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4ED034A7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2480BBE4" w14:textId="715197E5" w:rsidR="00A6414A" w:rsidRPr="00A8605A" w:rsidRDefault="00A17221" w:rsidP="00023CE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7221">
              <w:rPr>
                <w:rFonts w:ascii="Times New Roman" w:hAnsi="Times New Roman" w:cs="Times New Roman"/>
                <w:spacing w:val="-2"/>
              </w:rPr>
              <w:t>Urealnienie cen i stawek opłat zatwierdzanych przez Prezesa URE w zatwierdzanych taryfach dla ciepła.</w:t>
            </w:r>
          </w:p>
        </w:tc>
      </w:tr>
      <w:tr w:rsidR="00067D98" w:rsidRPr="00067D98" w14:paraId="21DA1EE6" w14:textId="77777777" w:rsidTr="00745495">
        <w:trPr>
          <w:gridAfter w:val="2"/>
          <w:wAfter w:w="48" w:type="dxa"/>
          <w:trHeight w:val="596"/>
        </w:trPr>
        <w:tc>
          <w:tcPr>
            <w:tcW w:w="1587" w:type="dxa"/>
            <w:vMerge/>
            <w:shd w:val="clear" w:color="auto" w:fill="FFFFFF"/>
          </w:tcPr>
          <w:p w14:paraId="2D5F3F85" w14:textId="77777777" w:rsidR="00A6414A" w:rsidRPr="00067D98" w:rsidRDefault="00A6414A" w:rsidP="00A6414A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3A149AF9" w14:textId="77777777" w:rsidR="00A6414A" w:rsidRPr="00067D98" w:rsidRDefault="00A6414A" w:rsidP="00A6414A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438A0B23" w14:textId="09F19E4A" w:rsidR="006D6191" w:rsidRPr="00067D98" w:rsidRDefault="00A17221" w:rsidP="00023C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Urealnienie </w:t>
            </w:r>
            <w:r w:rsidR="006D6191">
              <w:rPr>
                <w:rFonts w:ascii="Times New Roman" w:hAnsi="Times New Roman" w:cs="Times New Roman"/>
                <w:spacing w:val="-2"/>
              </w:rPr>
              <w:t>obciążeń dla odbiorców końcowych ciepła</w:t>
            </w:r>
            <w:r>
              <w:rPr>
                <w:rFonts w:ascii="Times New Roman" w:hAnsi="Times New Roman" w:cs="Times New Roman"/>
                <w:spacing w:val="-2"/>
              </w:rPr>
              <w:t xml:space="preserve"> poprzez dostosowanie cen i stawek opłat w taryfach dla ciepła do zmniejszających się cen nośników energii oraz ustabilizowania się kosztów emisji</w:t>
            </w:r>
            <w:r w:rsidR="006D6191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067D98" w:rsidRPr="00067D98" w14:paraId="152E1DF1" w14:textId="77777777" w:rsidTr="00745495">
        <w:trPr>
          <w:gridAfter w:val="2"/>
          <w:wAfter w:w="48" w:type="dxa"/>
          <w:trHeight w:val="240"/>
        </w:trPr>
        <w:tc>
          <w:tcPr>
            <w:tcW w:w="1587" w:type="dxa"/>
            <w:vMerge/>
            <w:shd w:val="clear" w:color="auto" w:fill="FFFFFF"/>
          </w:tcPr>
          <w:p w14:paraId="47E02795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7D5B6AA6" w14:textId="77777777" w:rsidR="006202AB" w:rsidRPr="00067D98" w:rsidRDefault="006202AB" w:rsidP="0033052C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3717553F" w14:textId="3A874731" w:rsidR="006202AB" w:rsidRPr="00067D98" w:rsidRDefault="00FB02B0" w:rsidP="0033052C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Brak</w:t>
            </w:r>
          </w:p>
        </w:tc>
      </w:tr>
      <w:tr w:rsidR="00067D98" w:rsidRPr="00067D98" w14:paraId="7F430BA7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14:paraId="253F680A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>Niemierzalne</w:t>
            </w:r>
          </w:p>
        </w:tc>
        <w:tc>
          <w:tcPr>
            <w:tcW w:w="2282" w:type="dxa"/>
            <w:gridSpan w:val="5"/>
            <w:shd w:val="clear" w:color="auto" w:fill="FFFFFF"/>
          </w:tcPr>
          <w:p w14:paraId="0C87180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35B1C0ED" w14:textId="69985B93" w:rsidR="006202AB" w:rsidRPr="00067D98" w:rsidRDefault="00FB02B0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Brak</w:t>
            </w:r>
          </w:p>
        </w:tc>
      </w:tr>
      <w:tr w:rsidR="00067D98" w:rsidRPr="00067D98" w14:paraId="486ADD62" w14:textId="77777777" w:rsidTr="00745495">
        <w:trPr>
          <w:gridAfter w:val="2"/>
          <w:wAfter w:w="48" w:type="dxa"/>
          <w:trHeight w:val="142"/>
        </w:trPr>
        <w:tc>
          <w:tcPr>
            <w:tcW w:w="1587" w:type="dxa"/>
            <w:vMerge/>
            <w:shd w:val="clear" w:color="auto" w:fill="FFFFFF"/>
          </w:tcPr>
          <w:p w14:paraId="4A22F16A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2" w:type="dxa"/>
            <w:gridSpan w:val="5"/>
            <w:shd w:val="clear" w:color="auto" w:fill="FFFFFF"/>
          </w:tcPr>
          <w:p w14:paraId="39945124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(dodaj/usuń)</w:t>
            </w: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30" w:type="dxa"/>
            <w:gridSpan w:val="20"/>
            <w:shd w:val="clear" w:color="auto" w:fill="auto"/>
          </w:tcPr>
          <w:p w14:paraId="09F99F8F" w14:textId="37D6C64A" w:rsidR="006202AB" w:rsidRPr="00067D98" w:rsidRDefault="00FB02B0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Brak</w:t>
            </w:r>
          </w:p>
        </w:tc>
      </w:tr>
      <w:tr w:rsidR="00067D98" w:rsidRPr="00067D98" w14:paraId="5E6AD2A3" w14:textId="77777777" w:rsidTr="00745495">
        <w:trPr>
          <w:gridAfter w:val="2"/>
          <w:wAfter w:w="48" w:type="dxa"/>
          <w:trHeight w:val="942"/>
        </w:trPr>
        <w:tc>
          <w:tcPr>
            <w:tcW w:w="3261" w:type="dxa"/>
            <w:gridSpan w:val="4"/>
            <w:shd w:val="clear" w:color="auto" w:fill="FFFFFF"/>
          </w:tcPr>
          <w:p w14:paraId="46BBC76D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7D9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638" w:type="dxa"/>
            <w:gridSpan w:val="22"/>
            <w:shd w:val="clear" w:color="auto" w:fill="FFFFFF"/>
            <w:vAlign w:val="center"/>
          </w:tcPr>
          <w:p w14:paraId="2CDE7DBC" w14:textId="0FEAAE64" w:rsidR="006202AB" w:rsidRPr="003B2C14" w:rsidRDefault="003C5133" w:rsidP="003305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C14">
              <w:rPr>
                <w:rFonts w:ascii="Times New Roman" w:eastAsia="Calibri" w:hAnsi="Times New Roman" w:cs="Times New Roman"/>
              </w:rPr>
              <w:t>Nie dotyczy</w:t>
            </w:r>
          </w:p>
          <w:p w14:paraId="64D870C3" w14:textId="77777777" w:rsidR="006202AB" w:rsidRPr="00067D98" w:rsidRDefault="006202AB" w:rsidP="000504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67D98" w:rsidRPr="00067D98" w14:paraId="2FC9F834" w14:textId="77777777" w:rsidTr="00066274">
        <w:trPr>
          <w:gridAfter w:val="2"/>
          <w:wAfter w:w="48" w:type="dxa"/>
          <w:trHeight w:val="274"/>
        </w:trPr>
        <w:tc>
          <w:tcPr>
            <w:tcW w:w="10899" w:type="dxa"/>
            <w:gridSpan w:val="26"/>
            <w:shd w:val="clear" w:color="auto" w:fill="99CCFF"/>
            <w:vAlign w:val="center"/>
          </w:tcPr>
          <w:p w14:paraId="431FA356" w14:textId="77777777" w:rsidR="006202AB" w:rsidRPr="00067D98" w:rsidRDefault="006202AB" w:rsidP="00326B7A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067D98" w:rsidRPr="00067D98" w14:paraId="2A64725A" w14:textId="77777777" w:rsidTr="00066274">
        <w:trPr>
          <w:gridAfter w:val="2"/>
          <w:wAfter w:w="48" w:type="dxa"/>
          <w:trHeight w:val="151"/>
        </w:trPr>
        <w:tc>
          <w:tcPr>
            <w:tcW w:w="10899" w:type="dxa"/>
            <w:gridSpan w:val="26"/>
            <w:shd w:val="clear" w:color="auto" w:fill="FFFFFF"/>
          </w:tcPr>
          <w:p w14:paraId="7243B42F" w14:textId="225A9CCE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</w:rPr>
              <w:t xml:space="preserve"> </w:t>
            </w:r>
            <w:r w:rsidR="006202AB" w:rsidRPr="00067D98">
              <w:rPr>
                <w:rFonts w:ascii="Times New Roman" w:eastAsia="Calibri" w:hAnsi="Times New Roman" w:cs="Times New Roman"/>
                <w:spacing w:val="-2"/>
              </w:rPr>
              <w:t>nie dotyczy</w:t>
            </w:r>
          </w:p>
        </w:tc>
      </w:tr>
      <w:tr w:rsidR="00067D98" w:rsidRPr="00067D98" w14:paraId="1FB1D4E7" w14:textId="77777777" w:rsidTr="00745495">
        <w:trPr>
          <w:gridAfter w:val="2"/>
          <w:wAfter w:w="48" w:type="dxa"/>
          <w:trHeight w:val="946"/>
        </w:trPr>
        <w:tc>
          <w:tcPr>
            <w:tcW w:w="5087" w:type="dxa"/>
            <w:gridSpan w:val="10"/>
            <w:shd w:val="clear" w:color="auto" w:fill="FFFFFF"/>
          </w:tcPr>
          <w:p w14:paraId="6A83A32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Wprowadzane są obciążenia poza bezwzględnie wymaganymi przez UE </w:t>
            </w:r>
            <w:r w:rsidRPr="00067D98">
              <w:rPr>
                <w:rFonts w:ascii="Times New Roman" w:eastAsia="Calibri" w:hAnsi="Times New Roman" w:cs="Times New Roman"/>
              </w:rPr>
              <w:t>(szczegóły w odwróconej tabeli zgodności).</w:t>
            </w:r>
          </w:p>
        </w:tc>
        <w:tc>
          <w:tcPr>
            <w:tcW w:w="5812" w:type="dxa"/>
            <w:gridSpan w:val="16"/>
            <w:shd w:val="clear" w:color="auto" w:fill="FFFFFF"/>
          </w:tcPr>
          <w:p w14:paraId="57174C23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tak</w:t>
            </w:r>
          </w:p>
          <w:p w14:paraId="33D0B84D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93B36CA" w14:textId="6F485609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067D98" w:rsidRPr="00067D98" w14:paraId="0F60E029" w14:textId="77777777" w:rsidTr="00745495">
        <w:trPr>
          <w:gridAfter w:val="2"/>
          <w:wAfter w:w="48" w:type="dxa"/>
          <w:trHeight w:val="1245"/>
        </w:trPr>
        <w:tc>
          <w:tcPr>
            <w:tcW w:w="5087" w:type="dxa"/>
            <w:gridSpan w:val="10"/>
            <w:shd w:val="clear" w:color="auto" w:fill="FFFFFF"/>
          </w:tcPr>
          <w:p w14:paraId="04415C84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zmniejszenie liczby dokumentów </w:t>
            </w:r>
          </w:p>
          <w:p w14:paraId="5A86E913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zmniejszenie liczby procedur</w:t>
            </w:r>
          </w:p>
          <w:p w14:paraId="04A875CB" w14:textId="6FCC1001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  <w:spacing w:val="-2"/>
              </w:rPr>
              <w:t>skrócenie czasu na załatwienie sprawy</w:t>
            </w:r>
          </w:p>
          <w:p w14:paraId="4DBB91D6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067D98">
              <w:rPr>
                <w:rFonts w:ascii="Times New Roman" w:eastAsia="Calibri" w:hAnsi="Times New Roman" w:cs="Times New Roman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</w:rPr>
            </w:r>
            <w:r w:rsidRPr="00067D98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5812" w:type="dxa"/>
            <w:gridSpan w:val="16"/>
            <w:shd w:val="clear" w:color="auto" w:fill="FFFFFF"/>
          </w:tcPr>
          <w:p w14:paraId="2FD69536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zwiększenie liczby dokumentów</w:t>
            </w:r>
          </w:p>
          <w:p w14:paraId="5627039F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zwiększenie liczby procedur</w:t>
            </w:r>
          </w:p>
          <w:p w14:paraId="31C2BDC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wydłużenie czasu na załatwienie sprawy</w:t>
            </w:r>
          </w:p>
          <w:p w14:paraId="30C4F7BD" w14:textId="36B79C48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067D98">
              <w:rPr>
                <w:rFonts w:ascii="Times New Roman" w:eastAsia="Calibri" w:hAnsi="Times New Roman" w:cs="Times New Roman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067D98">
              <w:rPr>
                <w:rFonts w:ascii="Times New Roman" w:eastAsia="Calibri" w:hAnsi="Times New Roman" w:cs="Times New Roman"/>
              </w:rPr>
            </w:r>
            <w:r w:rsidRPr="00067D98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Calibri" w:cs="Times New Roman"/>
                <w:noProof/>
              </w:rPr>
              <w:t> </w:t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067D98" w:rsidRPr="00067D98" w14:paraId="6C7CE863" w14:textId="77777777" w:rsidTr="00745495">
        <w:trPr>
          <w:gridAfter w:val="2"/>
          <w:wAfter w:w="48" w:type="dxa"/>
          <w:trHeight w:val="870"/>
        </w:trPr>
        <w:tc>
          <w:tcPr>
            <w:tcW w:w="5087" w:type="dxa"/>
            <w:gridSpan w:val="10"/>
            <w:shd w:val="clear" w:color="auto" w:fill="FFFFFF"/>
          </w:tcPr>
          <w:p w14:paraId="128437D9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12" w:type="dxa"/>
            <w:gridSpan w:val="16"/>
            <w:shd w:val="clear" w:color="auto" w:fill="FFFFFF"/>
          </w:tcPr>
          <w:p w14:paraId="755F4716" w14:textId="0F0E8ADD" w:rsidR="006202AB" w:rsidRPr="00067D98" w:rsidRDefault="00066274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6202AB" w:rsidRPr="00067D98">
              <w:rPr>
                <w:rFonts w:ascii="Times New Roman" w:eastAsia="Calibri" w:hAnsi="Times New Roman" w:cs="Times New Roman"/>
              </w:rPr>
              <w:t xml:space="preserve"> tak</w:t>
            </w:r>
          </w:p>
          <w:p w14:paraId="63370D3A" w14:textId="77777777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5F4696A" w14:textId="3CF33B8A" w:rsidR="006202AB" w:rsidRPr="00067D98" w:rsidRDefault="006202AB" w:rsidP="003305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 xml:space="preserve"> nie dotyczy</w:t>
            </w:r>
          </w:p>
        </w:tc>
      </w:tr>
      <w:tr w:rsidR="00067D98" w:rsidRPr="00067D98" w14:paraId="17C4F68C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46FA9F7A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 xml:space="preserve">Wpływ na rynek pracy </w:t>
            </w:r>
          </w:p>
        </w:tc>
      </w:tr>
      <w:tr w:rsidR="00067D98" w:rsidRPr="00067D98" w14:paraId="40A62D49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auto"/>
          </w:tcPr>
          <w:p w14:paraId="2CBF4426" w14:textId="5A1804EA" w:rsidR="006727C7" w:rsidRPr="00067D98" w:rsidRDefault="003C5133" w:rsidP="00A865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t xml:space="preserve">Rozporządzenie nie zawiera przepisów, które w bezpośredni sposób wpływałyby na rynek pracy. </w:t>
            </w:r>
          </w:p>
        </w:tc>
      </w:tr>
      <w:tr w:rsidR="00067D98" w:rsidRPr="00067D98" w14:paraId="0110FF37" w14:textId="77777777" w:rsidTr="00066274">
        <w:trPr>
          <w:gridAfter w:val="2"/>
          <w:wAfter w:w="48" w:type="dxa"/>
          <w:trHeight w:val="349"/>
        </w:trPr>
        <w:tc>
          <w:tcPr>
            <w:tcW w:w="10899" w:type="dxa"/>
            <w:gridSpan w:val="26"/>
            <w:shd w:val="clear" w:color="auto" w:fill="99CCFF"/>
          </w:tcPr>
          <w:p w14:paraId="42242E4C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>Wpływ na pozostałe obszary</w:t>
            </w:r>
          </w:p>
        </w:tc>
      </w:tr>
      <w:tr w:rsidR="00067D98" w:rsidRPr="00067D98" w14:paraId="1DEEA76B" w14:textId="77777777" w:rsidTr="00745495">
        <w:trPr>
          <w:gridAfter w:val="2"/>
          <w:wAfter w:w="48" w:type="dxa"/>
          <w:trHeight w:val="1205"/>
        </w:trPr>
        <w:tc>
          <w:tcPr>
            <w:tcW w:w="3261" w:type="dxa"/>
            <w:gridSpan w:val="4"/>
            <w:shd w:val="clear" w:color="auto" w:fill="FFFFFF"/>
          </w:tcPr>
          <w:p w14:paraId="041BA026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2DB8A01" w14:textId="010135FB" w:rsidR="006727C7" w:rsidRPr="00067D98" w:rsidRDefault="00CD6A2F" w:rsidP="006727C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>środowisko naturalne</w:t>
            </w:r>
          </w:p>
          <w:p w14:paraId="2B4A102E" w14:textId="481CCD3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</w:rPr>
              <w:t>sytuacja i rozwój regionalny</w:t>
            </w:r>
          </w:p>
          <w:p w14:paraId="535B77A9" w14:textId="671852B7" w:rsidR="006727C7" w:rsidRPr="00DD691D" w:rsidRDefault="00067D67" w:rsidP="006727C7">
            <w:pPr>
              <w:spacing w:after="0" w:line="276" w:lineRule="auto"/>
              <w:rPr>
                <w:rFonts w:ascii="Times New Roman" w:hAnsi="Times New Roman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943" w:type="dxa"/>
            <w:gridSpan w:val="14"/>
            <w:shd w:val="clear" w:color="auto" w:fill="FFFFFF"/>
          </w:tcPr>
          <w:p w14:paraId="770A6067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64213505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demografia</w:t>
            </w:r>
          </w:p>
          <w:p w14:paraId="2E443BA3" w14:textId="77777777" w:rsidR="006727C7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</w:rPr>
              <w:t>mienie państwowe</w:t>
            </w:r>
          </w:p>
          <w:p w14:paraId="68FBE658" w14:textId="0AB0AA85" w:rsidR="00067D67" w:rsidRPr="00067D98" w:rsidRDefault="00067D6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95" w:type="dxa"/>
            <w:gridSpan w:val="8"/>
            <w:shd w:val="clear" w:color="auto" w:fill="FFFFFF"/>
          </w:tcPr>
          <w:p w14:paraId="22C09C88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5241C9B9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informatyzacja</w:t>
            </w:r>
          </w:p>
          <w:p w14:paraId="40E4A083" w14:textId="67EA2612" w:rsidR="006727C7" w:rsidRPr="00067D98" w:rsidRDefault="00AE1D21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D9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067D98">
              <w:rPr>
                <w:rFonts w:ascii="Times New Roman" w:eastAsia="Calibri" w:hAnsi="Times New Roman" w:cs="Times New Roman"/>
              </w:rPr>
              <w:fldChar w:fldCharType="end"/>
            </w:r>
            <w:r w:rsidRPr="00067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>zdrowie</w:t>
            </w:r>
          </w:p>
        </w:tc>
      </w:tr>
      <w:tr w:rsidR="00067D98" w:rsidRPr="00067D98" w14:paraId="4B87AEB3" w14:textId="77777777" w:rsidTr="00745495">
        <w:trPr>
          <w:gridAfter w:val="2"/>
          <w:wAfter w:w="48" w:type="dxa"/>
          <w:trHeight w:val="712"/>
        </w:trPr>
        <w:tc>
          <w:tcPr>
            <w:tcW w:w="3261" w:type="dxa"/>
            <w:gridSpan w:val="4"/>
            <w:shd w:val="clear" w:color="auto" w:fill="FFFFFF"/>
            <w:vAlign w:val="center"/>
          </w:tcPr>
          <w:p w14:paraId="679987F0" w14:textId="77777777" w:rsidR="006727C7" w:rsidRPr="00067D98" w:rsidRDefault="006727C7" w:rsidP="006727C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7D98">
              <w:rPr>
                <w:rFonts w:ascii="Times New Roman" w:eastAsia="Calibri" w:hAnsi="Times New Roman" w:cs="Times New Roman"/>
              </w:rPr>
              <w:lastRenderedPageBreak/>
              <w:t>Omówienie wpływu</w:t>
            </w:r>
          </w:p>
        </w:tc>
        <w:tc>
          <w:tcPr>
            <w:tcW w:w="7638" w:type="dxa"/>
            <w:gridSpan w:val="22"/>
            <w:shd w:val="clear" w:color="auto" w:fill="FFFFFF"/>
            <w:vAlign w:val="center"/>
          </w:tcPr>
          <w:p w14:paraId="201472E0" w14:textId="04DB4BA9" w:rsidR="006727C7" w:rsidRPr="00067D98" w:rsidRDefault="003C5EE4" w:rsidP="008431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>rojekt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rozporządzenia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 przyczyni się do </w:t>
            </w:r>
            <w:r w:rsidR="00275F97">
              <w:rPr>
                <w:rFonts w:ascii="Times New Roman" w:eastAsia="Calibri" w:hAnsi="Times New Roman" w:cs="Times New Roman"/>
                <w:spacing w:val="-2"/>
              </w:rPr>
              <w:t>urealnienia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CD6A2F">
              <w:rPr>
                <w:rFonts w:ascii="Times New Roman" w:eastAsia="Calibri" w:hAnsi="Times New Roman" w:cs="Times New Roman"/>
                <w:spacing w:val="-2"/>
              </w:rPr>
              <w:t>cen i stawek opłat w taryfach dla ciepła</w:t>
            </w:r>
            <w:r w:rsidR="006727C7" w:rsidRPr="00067D98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  <w:r w:rsidR="00CD6A2F">
              <w:rPr>
                <w:rFonts w:ascii="Times New Roman" w:eastAsia="Calibri" w:hAnsi="Times New Roman" w:cs="Times New Roman"/>
                <w:spacing w:val="-2"/>
              </w:rPr>
              <w:t xml:space="preserve">Przepisy ustawy – Prawo energetyczne stanowią o konieczności kalkulowania taryf dla ciepła w sposób zapewniający pokrycie kosztów uzasadnionych działalności gospodarczej przedsiębiorstw energetycznych wraz z uzasadnionym zwrotem z kapitału </w:t>
            </w:r>
            <w:r w:rsidR="00AE1D21">
              <w:rPr>
                <w:rFonts w:ascii="Times New Roman" w:eastAsia="Calibri" w:hAnsi="Times New Roman" w:cs="Times New Roman"/>
                <w:spacing w:val="-2"/>
              </w:rPr>
              <w:t>oraz ochronę interesów odbiorców przed nieuzasadnionym poziomem cen i stawek opłat. Projekt rozporządzenia ustala przepisy, które będą ograniczać</w:t>
            </w:r>
            <w:r w:rsidR="005016C7">
              <w:rPr>
                <w:rFonts w:ascii="Times New Roman" w:eastAsia="Calibri" w:hAnsi="Times New Roman" w:cs="Times New Roman"/>
                <w:spacing w:val="-2"/>
              </w:rPr>
              <w:t xml:space="preserve"> nieuzasadnione</w:t>
            </w:r>
            <w:r w:rsidR="00AE1D21">
              <w:rPr>
                <w:rFonts w:ascii="Times New Roman" w:eastAsia="Calibri" w:hAnsi="Times New Roman" w:cs="Times New Roman"/>
                <w:spacing w:val="-2"/>
              </w:rPr>
              <w:t xml:space="preserve"> przychody przedsiębiorstwa po okresie zwiększonych cen nośników energii oraz dynamicznych skoków notowań uprawnień do emisji.</w:t>
            </w:r>
            <w:r w:rsidR="001A67EB">
              <w:rPr>
                <w:rFonts w:ascii="Times New Roman" w:eastAsia="Calibri" w:hAnsi="Times New Roman" w:cs="Times New Roman"/>
                <w:spacing w:val="-2"/>
              </w:rPr>
              <w:t xml:space="preserve"> Projekt </w:t>
            </w:r>
            <w:r w:rsidR="005016C7">
              <w:rPr>
                <w:rFonts w:ascii="Times New Roman" w:eastAsia="Calibri" w:hAnsi="Times New Roman" w:cs="Times New Roman"/>
                <w:spacing w:val="-2"/>
              </w:rPr>
              <w:t>wpłynie na</w:t>
            </w:r>
            <w:r w:rsidR="001A67EB">
              <w:rPr>
                <w:rFonts w:ascii="Times New Roman" w:eastAsia="Calibri" w:hAnsi="Times New Roman" w:cs="Times New Roman"/>
                <w:spacing w:val="-2"/>
              </w:rPr>
              <w:t xml:space="preserve"> częstotliwość zmian taryf, co wpłynie na odbiorców ciepła i realizację ich obowiązków rozliczeniowych wobec mieszkańców i użytkowników lokali</w:t>
            </w:r>
            <w:r w:rsidR="005016C7">
              <w:rPr>
                <w:rFonts w:ascii="Times New Roman" w:eastAsia="Calibri" w:hAnsi="Times New Roman" w:cs="Times New Roman"/>
                <w:spacing w:val="-2"/>
              </w:rPr>
              <w:t xml:space="preserve"> w budynkach wielolokalowych.</w:t>
            </w:r>
          </w:p>
        </w:tc>
      </w:tr>
      <w:tr w:rsidR="00067D98" w:rsidRPr="00067D98" w14:paraId="298CF442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2F45F321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67D98" w:rsidRPr="00067D98" w14:paraId="2BE77172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FFFFFF"/>
          </w:tcPr>
          <w:p w14:paraId="633CBB39" w14:textId="2BF360A7" w:rsidR="006727C7" w:rsidRPr="00067D98" w:rsidRDefault="003C5133" w:rsidP="00A86566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Rozporządzenie wchodzi w życie </w:t>
            </w:r>
            <w:r w:rsidR="005320A2">
              <w:rPr>
                <w:rFonts w:ascii="Times New Roman" w:eastAsia="Calibri" w:hAnsi="Times New Roman" w:cs="Times New Roman"/>
                <w:spacing w:val="-2"/>
              </w:rPr>
              <w:t>po upływie 14 dni od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 xml:space="preserve"> ogłoszenia</w:t>
            </w:r>
            <w:r w:rsidR="00CC1055">
              <w:rPr>
                <w:rFonts w:ascii="Times New Roman" w:eastAsia="Calibri" w:hAnsi="Times New Roman" w:cs="Times New Roman"/>
                <w:spacing w:val="-2"/>
              </w:rPr>
              <w:t xml:space="preserve"> z </w:t>
            </w:r>
            <w:r w:rsidR="00CC1055" w:rsidRPr="00CC1055">
              <w:rPr>
                <w:rFonts w:ascii="Times New Roman" w:eastAsia="Calibri" w:hAnsi="Times New Roman" w:cs="Times New Roman"/>
                <w:spacing w:val="-2"/>
              </w:rPr>
              <w:t xml:space="preserve">wyjątkiem § 1 pkt 1 lit. </w:t>
            </w:r>
            <w:r w:rsidR="00A86566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="00CC1055" w:rsidRPr="00CC1055">
              <w:rPr>
                <w:rFonts w:ascii="Times New Roman" w:eastAsia="Calibri" w:hAnsi="Times New Roman" w:cs="Times New Roman"/>
                <w:spacing w:val="-2"/>
              </w:rPr>
              <w:t xml:space="preserve"> i </w:t>
            </w:r>
            <w:r w:rsidR="006D121E">
              <w:rPr>
                <w:rFonts w:ascii="Times New Roman" w:eastAsia="Calibri" w:hAnsi="Times New Roman" w:cs="Times New Roman"/>
                <w:spacing w:val="-2"/>
              </w:rPr>
              <w:t xml:space="preserve">lit. </w:t>
            </w:r>
            <w:r w:rsidR="00A86566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="00CC1055" w:rsidRPr="00CC1055">
              <w:rPr>
                <w:rFonts w:ascii="Times New Roman" w:eastAsia="Calibri" w:hAnsi="Times New Roman" w:cs="Times New Roman"/>
                <w:spacing w:val="-2"/>
              </w:rPr>
              <w:t>, które wchodzą w życie z dniem 1 stycznia 2028 r</w:t>
            </w:r>
            <w:r w:rsidRPr="00067D98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</w:tc>
      </w:tr>
      <w:tr w:rsidR="00067D98" w:rsidRPr="00067D98" w14:paraId="08568C2D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68F7DFEE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7D9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7D9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67D98" w:rsidRPr="00067D98" w14:paraId="38133936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FFFFFF"/>
          </w:tcPr>
          <w:p w14:paraId="62AD93FD" w14:textId="16EADA1A" w:rsidR="006727C7" w:rsidRPr="00067D98" w:rsidRDefault="006727C7" w:rsidP="00A86566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Ewaluacja efektów projektów prowadzona będzie na bieżąco.</w:t>
            </w:r>
          </w:p>
        </w:tc>
      </w:tr>
      <w:tr w:rsidR="00067D98" w:rsidRPr="00067D98" w14:paraId="4BC6B285" w14:textId="77777777" w:rsidTr="00066274">
        <w:trPr>
          <w:gridAfter w:val="2"/>
          <w:wAfter w:w="48" w:type="dxa"/>
          <w:trHeight w:val="142"/>
        </w:trPr>
        <w:tc>
          <w:tcPr>
            <w:tcW w:w="10899" w:type="dxa"/>
            <w:gridSpan w:val="26"/>
            <w:shd w:val="clear" w:color="auto" w:fill="99CCFF"/>
          </w:tcPr>
          <w:p w14:paraId="5486A076" w14:textId="77777777" w:rsidR="006727C7" w:rsidRPr="00067D98" w:rsidRDefault="006727C7" w:rsidP="006727C7">
            <w:pPr>
              <w:numPr>
                <w:ilvl w:val="0"/>
                <w:numId w:val="4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t xml:space="preserve">Załączniki </w:t>
            </w:r>
            <w:r w:rsidRPr="00067D9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67D98">
              <w:rPr>
                <w:rFonts w:ascii="Times New Roman" w:eastAsia="Calibri" w:hAnsi="Times New Roman" w:cs="Times New Roman"/>
                <w:b/>
                <w:spacing w:val="-2"/>
              </w:rPr>
              <w:t xml:space="preserve">) </w:t>
            </w:r>
          </w:p>
        </w:tc>
      </w:tr>
      <w:tr w:rsidR="00067D98" w:rsidRPr="00067D98" w14:paraId="14854D51" w14:textId="77777777" w:rsidTr="00066274">
        <w:trPr>
          <w:gridAfter w:val="2"/>
          <w:wAfter w:w="48" w:type="dxa"/>
          <w:trHeight w:val="464"/>
        </w:trPr>
        <w:tc>
          <w:tcPr>
            <w:tcW w:w="10899" w:type="dxa"/>
            <w:gridSpan w:val="26"/>
            <w:shd w:val="clear" w:color="auto" w:fill="FFFFFF"/>
          </w:tcPr>
          <w:p w14:paraId="38D312CE" w14:textId="4ABDCD65" w:rsidR="006727C7" w:rsidRPr="00067D98" w:rsidRDefault="00FB02B0" w:rsidP="00A86566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67D98">
              <w:rPr>
                <w:rFonts w:ascii="Times New Roman" w:eastAsia="Calibri" w:hAnsi="Times New Roman" w:cs="Times New Roman"/>
                <w:spacing w:val="-2"/>
              </w:rPr>
              <w:t>Brak</w:t>
            </w:r>
          </w:p>
        </w:tc>
      </w:tr>
    </w:tbl>
    <w:p w14:paraId="7D831F91" w14:textId="77777777" w:rsidR="00D91101" w:rsidRPr="00067D98" w:rsidRDefault="00D91101" w:rsidP="00745495"/>
    <w:sectPr w:rsidR="00D91101" w:rsidRPr="00067D98" w:rsidSect="0009302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9AF2" w14:textId="77777777" w:rsidR="00916B5E" w:rsidRDefault="00916B5E">
      <w:pPr>
        <w:spacing w:after="0" w:line="240" w:lineRule="auto"/>
      </w:pPr>
      <w:r>
        <w:separator/>
      </w:r>
    </w:p>
  </w:endnote>
  <w:endnote w:type="continuationSeparator" w:id="0">
    <w:p w14:paraId="15504AA7" w14:textId="77777777" w:rsidR="00916B5E" w:rsidRDefault="00916B5E">
      <w:pPr>
        <w:spacing w:after="0" w:line="240" w:lineRule="auto"/>
      </w:pPr>
      <w:r>
        <w:continuationSeparator/>
      </w:r>
    </w:p>
  </w:endnote>
  <w:endnote w:type="continuationNotice" w:id="1">
    <w:p w14:paraId="4CC6A9D1" w14:textId="77777777" w:rsidR="00916B5E" w:rsidRDefault="00916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BA32" w14:textId="77777777" w:rsidR="00916B5E" w:rsidRDefault="00916B5E">
      <w:pPr>
        <w:spacing w:after="0" w:line="240" w:lineRule="auto"/>
      </w:pPr>
      <w:r>
        <w:separator/>
      </w:r>
    </w:p>
  </w:footnote>
  <w:footnote w:type="continuationSeparator" w:id="0">
    <w:p w14:paraId="6D027B96" w14:textId="77777777" w:rsidR="00916B5E" w:rsidRDefault="00916B5E">
      <w:pPr>
        <w:spacing w:after="0" w:line="240" w:lineRule="auto"/>
      </w:pPr>
      <w:r>
        <w:continuationSeparator/>
      </w:r>
    </w:p>
  </w:footnote>
  <w:footnote w:type="continuationNotice" w:id="1">
    <w:p w14:paraId="67C0D342" w14:textId="77777777" w:rsidR="00916B5E" w:rsidRDefault="00916B5E">
      <w:pPr>
        <w:spacing w:after="0" w:line="240" w:lineRule="auto"/>
      </w:pPr>
    </w:p>
  </w:footnote>
  <w:footnote w:id="2">
    <w:p w14:paraId="2AA0EBB1" w14:textId="7C0238F4" w:rsidR="00197113" w:rsidRPr="00CD61AF" w:rsidRDefault="00197113" w:rsidP="00023CE6">
      <w:pPr>
        <w:pStyle w:val="Tekstprzypisudolnego"/>
        <w:spacing w:line="240" w:lineRule="auto"/>
        <w:rPr>
          <w:rFonts w:ascii="Times New Roman" w:hAnsi="Times New Roman"/>
        </w:rPr>
      </w:pPr>
      <w:r w:rsidRPr="00023CE6">
        <w:rPr>
          <w:rStyle w:val="Odwoanieprzypisudolnego"/>
          <w:rFonts w:ascii="Times New Roman" w:hAnsi="Times New Roman"/>
        </w:rPr>
        <w:footnoteRef/>
      </w:r>
      <w:r w:rsidRPr="001A67EB">
        <w:rPr>
          <w:rFonts w:ascii="Times New Roman" w:hAnsi="Times New Roman"/>
        </w:rPr>
        <w:t xml:space="preserve"> </w:t>
      </w:r>
      <w:r w:rsidRPr="00CD61AF">
        <w:rPr>
          <w:rFonts w:ascii="Times New Roman" w:hAnsi="Times New Roman"/>
        </w:rPr>
        <w:t>Energetyka</w:t>
      </w:r>
      <w:r w:rsidRPr="001A67EB">
        <w:rPr>
          <w:rFonts w:ascii="Times New Roman" w:hAnsi="Times New Roman"/>
        </w:rPr>
        <w:t xml:space="preserve"> </w:t>
      </w:r>
      <w:r w:rsidRPr="00CD61AF">
        <w:rPr>
          <w:rFonts w:ascii="Times New Roman" w:hAnsi="Times New Roman"/>
        </w:rPr>
        <w:t>cieplna</w:t>
      </w:r>
      <w:r w:rsidRPr="001A67EB">
        <w:rPr>
          <w:rFonts w:ascii="Times New Roman" w:hAnsi="Times New Roman"/>
        </w:rPr>
        <w:t xml:space="preserve"> </w:t>
      </w:r>
      <w:r w:rsidRPr="00CD61AF">
        <w:rPr>
          <w:rFonts w:ascii="Times New Roman" w:hAnsi="Times New Roman"/>
        </w:rPr>
        <w:t>w liczbach 2021</w:t>
      </w:r>
      <w:r>
        <w:rPr>
          <w:rFonts w:ascii="Times New Roman" w:hAnsi="Times New Roman"/>
        </w:rPr>
        <w:t xml:space="preserve"> – Wydawca: Urząd Regulacji Energetyki</w:t>
      </w:r>
    </w:p>
  </w:footnote>
  <w:footnote w:id="3">
    <w:p w14:paraId="06CE65D7" w14:textId="74ADB394" w:rsidR="00197113" w:rsidRPr="00E71C2C" w:rsidRDefault="00197113" w:rsidP="00023CE6">
      <w:pPr>
        <w:pStyle w:val="Tekstprzypisudolnego"/>
        <w:spacing w:line="240" w:lineRule="auto"/>
        <w:rPr>
          <w:lang w:val="en-GB"/>
        </w:rPr>
      </w:pPr>
      <w:r w:rsidRPr="00CD61AF">
        <w:rPr>
          <w:rStyle w:val="Odwoanieprzypisudolnego"/>
          <w:rFonts w:ascii="Times New Roman" w:hAnsi="Times New Roman"/>
        </w:rPr>
        <w:footnoteRef/>
      </w:r>
      <w:r w:rsidRPr="00CD61AF">
        <w:rPr>
          <w:rFonts w:ascii="Times New Roman" w:hAnsi="Times New Roman"/>
        </w:rPr>
        <w:t xml:space="preserve"> op. cit.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807"/>
    <w:multiLevelType w:val="hybridMultilevel"/>
    <w:tmpl w:val="6C1E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3878"/>
    <w:multiLevelType w:val="hybridMultilevel"/>
    <w:tmpl w:val="F5C665C8"/>
    <w:lvl w:ilvl="0" w:tplc="56927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C4385"/>
    <w:multiLevelType w:val="hybridMultilevel"/>
    <w:tmpl w:val="31087208"/>
    <w:lvl w:ilvl="0" w:tplc="37309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B41C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CC5D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9C82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3220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5636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4CFC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CEF8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92B7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2100"/>
    <w:multiLevelType w:val="hybridMultilevel"/>
    <w:tmpl w:val="02B2E76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859"/>
    <w:multiLevelType w:val="hybridMultilevel"/>
    <w:tmpl w:val="9FAAD202"/>
    <w:lvl w:ilvl="0" w:tplc="3BF6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04B8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C0C0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B85E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4EB1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C4F5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10C7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5AAF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B60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81BFC"/>
    <w:multiLevelType w:val="hybridMultilevel"/>
    <w:tmpl w:val="7A3813CC"/>
    <w:lvl w:ilvl="0" w:tplc="FFC4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45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69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45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2C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42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2A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C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0D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4AFB"/>
    <w:multiLevelType w:val="hybridMultilevel"/>
    <w:tmpl w:val="69C8B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EB4"/>
    <w:multiLevelType w:val="hybridMultilevel"/>
    <w:tmpl w:val="52E6C72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A67"/>
    <w:multiLevelType w:val="hybridMultilevel"/>
    <w:tmpl w:val="355C89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2B28"/>
    <w:multiLevelType w:val="hybridMultilevel"/>
    <w:tmpl w:val="92EA8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64B4"/>
    <w:multiLevelType w:val="hybridMultilevel"/>
    <w:tmpl w:val="282A4E32"/>
    <w:lvl w:ilvl="0" w:tplc="56927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09D506D"/>
    <w:multiLevelType w:val="hybridMultilevel"/>
    <w:tmpl w:val="B366F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44AD5"/>
    <w:multiLevelType w:val="hybridMultilevel"/>
    <w:tmpl w:val="871A96BA"/>
    <w:lvl w:ilvl="0" w:tplc="052E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541"/>
    <w:multiLevelType w:val="hybridMultilevel"/>
    <w:tmpl w:val="0880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E3209"/>
    <w:multiLevelType w:val="hybridMultilevel"/>
    <w:tmpl w:val="42B2FEA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066CE"/>
    <w:multiLevelType w:val="hybridMultilevel"/>
    <w:tmpl w:val="768AE9C4"/>
    <w:lvl w:ilvl="0" w:tplc="C91E30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20FC7"/>
    <w:multiLevelType w:val="hybridMultilevel"/>
    <w:tmpl w:val="FF9CC98C"/>
    <w:lvl w:ilvl="0" w:tplc="7630B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6CD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45A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50B8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08D4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F496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06AA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EA0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5ED6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761BA4"/>
    <w:multiLevelType w:val="hybridMultilevel"/>
    <w:tmpl w:val="3BA2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629EF"/>
    <w:multiLevelType w:val="hybridMultilevel"/>
    <w:tmpl w:val="9D72A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705FE"/>
    <w:multiLevelType w:val="hybridMultilevel"/>
    <w:tmpl w:val="35B4BE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F20D5"/>
    <w:multiLevelType w:val="hybridMultilevel"/>
    <w:tmpl w:val="64F8DBB6"/>
    <w:lvl w:ilvl="0" w:tplc="5BF2D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C54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45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29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86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8AE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1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2EB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08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3B31E83"/>
    <w:multiLevelType w:val="hybridMultilevel"/>
    <w:tmpl w:val="99F4AE44"/>
    <w:lvl w:ilvl="0" w:tplc="ECE6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4E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EA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63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AC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E4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A1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9A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4C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624340D"/>
    <w:multiLevelType w:val="hybridMultilevel"/>
    <w:tmpl w:val="885A723E"/>
    <w:lvl w:ilvl="0" w:tplc="1D42E8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A41E7"/>
    <w:multiLevelType w:val="hybridMultilevel"/>
    <w:tmpl w:val="02B2E76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A2A8A"/>
    <w:multiLevelType w:val="hybridMultilevel"/>
    <w:tmpl w:val="48B84B32"/>
    <w:lvl w:ilvl="0" w:tplc="84228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D7D158C"/>
    <w:multiLevelType w:val="hybridMultilevel"/>
    <w:tmpl w:val="A7202358"/>
    <w:lvl w:ilvl="0" w:tplc="B0FC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D5B6A"/>
    <w:multiLevelType w:val="hybridMultilevel"/>
    <w:tmpl w:val="42B2FEA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55538"/>
    <w:multiLevelType w:val="hybridMultilevel"/>
    <w:tmpl w:val="02C0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C102D"/>
    <w:multiLevelType w:val="hybridMultilevel"/>
    <w:tmpl w:val="F5C665C8"/>
    <w:lvl w:ilvl="0" w:tplc="56927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8C54F7"/>
    <w:multiLevelType w:val="hybridMultilevel"/>
    <w:tmpl w:val="B812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3" w15:restartNumberingAfterBreak="0">
    <w:nsid w:val="52000E16"/>
    <w:multiLevelType w:val="hybridMultilevel"/>
    <w:tmpl w:val="46DCE3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848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090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0E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729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223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686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6F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CB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2A3143"/>
    <w:multiLevelType w:val="hybridMultilevel"/>
    <w:tmpl w:val="AABA4726"/>
    <w:lvl w:ilvl="0" w:tplc="F44E024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55C"/>
    <w:multiLevelType w:val="hybridMultilevel"/>
    <w:tmpl w:val="481246F2"/>
    <w:lvl w:ilvl="0" w:tplc="37FE8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986AFB"/>
    <w:multiLevelType w:val="hybridMultilevel"/>
    <w:tmpl w:val="8A30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B3332B"/>
    <w:multiLevelType w:val="hybridMultilevel"/>
    <w:tmpl w:val="6CB60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55664"/>
    <w:multiLevelType w:val="hybridMultilevel"/>
    <w:tmpl w:val="1714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84345"/>
    <w:multiLevelType w:val="hybridMultilevel"/>
    <w:tmpl w:val="02C6A7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4486"/>
    <w:multiLevelType w:val="hybridMultilevel"/>
    <w:tmpl w:val="3F109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9F4420"/>
    <w:multiLevelType w:val="hybridMultilevel"/>
    <w:tmpl w:val="9BA2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52865"/>
    <w:multiLevelType w:val="hybridMultilevel"/>
    <w:tmpl w:val="D952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912D9"/>
    <w:multiLevelType w:val="hybridMultilevel"/>
    <w:tmpl w:val="2FE25F0E"/>
    <w:lvl w:ilvl="0" w:tplc="B0FC36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5644EAD"/>
    <w:multiLevelType w:val="hybridMultilevel"/>
    <w:tmpl w:val="30BE6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7142">
    <w:abstractNumId w:val="25"/>
  </w:num>
  <w:num w:numId="2" w16cid:durableId="1939630034">
    <w:abstractNumId w:val="11"/>
  </w:num>
  <w:num w:numId="3" w16cid:durableId="1174149279">
    <w:abstractNumId w:val="32"/>
  </w:num>
  <w:num w:numId="4" w16cid:durableId="1123882339">
    <w:abstractNumId w:val="36"/>
  </w:num>
  <w:num w:numId="5" w16cid:durableId="1838962444">
    <w:abstractNumId w:val="13"/>
  </w:num>
  <w:num w:numId="6" w16cid:durableId="908199356">
    <w:abstractNumId w:val="43"/>
  </w:num>
  <w:num w:numId="7" w16cid:durableId="392119319">
    <w:abstractNumId w:val="38"/>
  </w:num>
  <w:num w:numId="8" w16cid:durableId="594827771">
    <w:abstractNumId w:val="20"/>
  </w:num>
  <w:num w:numId="9" w16cid:durableId="1743484644">
    <w:abstractNumId w:val="12"/>
  </w:num>
  <w:num w:numId="10" w16cid:durableId="323970701">
    <w:abstractNumId w:val="24"/>
  </w:num>
  <w:num w:numId="11" w16cid:durableId="1864975960">
    <w:abstractNumId w:val="26"/>
  </w:num>
  <w:num w:numId="12" w16cid:durableId="890576979">
    <w:abstractNumId w:val="35"/>
  </w:num>
  <w:num w:numId="13" w16cid:durableId="608243983">
    <w:abstractNumId w:val="29"/>
  </w:num>
  <w:num w:numId="14" w16cid:durableId="1707372082">
    <w:abstractNumId w:val="2"/>
  </w:num>
  <w:num w:numId="15" w16cid:durableId="1504202378">
    <w:abstractNumId w:val="31"/>
  </w:num>
  <w:num w:numId="16" w16cid:durableId="1069155979">
    <w:abstractNumId w:val="39"/>
  </w:num>
  <w:num w:numId="17" w16cid:durableId="402684188">
    <w:abstractNumId w:val="4"/>
  </w:num>
  <w:num w:numId="18" w16cid:durableId="698314902">
    <w:abstractNumId w:val="44"/>
  </w:num>
  <w:num w:numId="19" w16cid:durableId="1707951382">
    <w:abstractNumId w:val="37"/>
  </w:num>
  <w:num w:numId="20" w16cid:durableId="266816718">
    <w:abstractNumId w:val="5"/>
  </w:num>
  <w:num w:numId="21" w16cid:durableId="1139418268">
    <w:abstractNumId w:val="0"/>
  </w:num>
  <w:num w:numId="22" w16cid:durableId="1760758059">
    <w:abstractNumId w:val="22"/>
  </w:num>
  <w:num w:numId="23" w16cid:durableId="1432169090">
    <w:abstractNumId w:val="23"/>
  </w:num>
  <w:num w:numId="24" w16cid:durableId="1426345515">
    <w:abstractNumId w:val="10"/>
  </w:num>
  <w:num w:numId="25" w16cid:durableId="535461014">
    <w:abstractNumId w:val="30"/>
  </w:num>
  <w:num w:numId="26" w16cid:durableId="285047448">
    <w:abstractNumId w:val="8"/>
  </w:num>
  <w:num w:numId="27" w16cid:durableId="187523162">
    <w:abstractNumId w:val="6"/>
  </w:num>
  <w:num w:numId="28" w16cid:durableId="464011147">
    <w:abstractNumId w:val="33"/>
  </w:num>
  <w:num w:numId="29" w16cid:durableId="973603466">
    <w:abstractNumId w:val="1"/>
  </w:num>
  <w:num w:numId="30" w16cid:durableId="1743063512">
    <w:abstractNumId w:val="16"/>
  </w:num>
  <w:num w:numId="31" w16cid:durableId="243221912">
    <w:abstractNumId w:val="7"/>
  </w:num>
  <w:num w:numId="32" w16cid:durableId="609899807">
    <w:abstractNumId w:val="15"/>
  </w:num>
  <w:num w:numId="33" w16cid:durableId="279604586">
    <w:abstractNumId w:val="19"/>
  </w:num>
  <w:num w:numId="34" w16cid:durableId="914362676">
    <w:abstractNumId w:val="47"/>
  </w:num>
  <w:num w:numId="35" w16cid:durableId="1580139021">
    <w:abstractNumId w:val="41"/>
  </w:num>
  <w:num w:numId="36" w16cid:durableId="1918516114">
    <w:abstractNumId w:val="21"/>
  </w:num>
  <w:num w:numId="37" w16cid:durableId="1318801072">
    <w:abstractNumId w:val="40"/>
  </w:num>
  <w:num w:numId="38" w16cid:durableId="1134834647">
    <w:abstractNumId w:val="46"/>
  </w:num>
  <w:num w:numId="39" w16cid:durableId="1676421492">
    <w:abstractNumId w:val="27"/>
  </w:num>
  <w:num w:numId="40" w16cid:durableId="1072123375">
    <w:abstractNumId w:val="3"/>
  </w:num>
  <w:num w:numId="41" w16cid:durableId="1528786885">
    <w:abstractNumId w:val="17"/>
  </w:num>
  <w:num w:numId="42" w16cid:durableId="773788928">
    <w:abstractNumId w:val="18"/>
  </w:num>
  <w:num w:numId="43" w16cid:durableId="1916865083">
    <w:abstractNumId w:val="14"/>
  </w:num>
  <w:num w:numId="44" w16cid:durableId="1952281983">
    <w:abstractNumId w:val="45"/>
  </w:num>
  <w:num w:numId="45" w16cid:durableId="1072040913">
    <w:abstractNumId w:val="34"/>
  </w:num>
  <w:num w:numId="46" w16cid:durableId="913662870">
    <w:abstractNumId w:val="9"/>
  </w:num>
  <w:num w:numId="47" w16cid:durableId="294919353">
    <w:abstractNumId w:val="28"/>
  </w:num>
  <w:num w:numId="48" w16cid:durableId="4579145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53"/>
    <w:rsid w:val="00001430"/>
    <w:rsid w:val="000057EE"/>
    <w:rsid w:val="0000654E"/>
    <w:rsid w:val="00006F06"/>
    <w:rsid w:val="00007E9E"/>
    <w:rsid w:val="00007F66"/>
    <w:rsid w:val="00012366"/>
    <w:rsid w:val="000132EE"/>
    <w:rsid w:val="00014C63"/>
    <w:rsid w:val="00015E86"/>
    <w:rsid w:val="00017AF0"/>
    <w:rsid w:val="00021143"/>
    <w:rsid w:val="00022011"/>
    <w:rsid w:val="00023210"/>
    <w:rsid w:val="00023CE6"/>
    <w:rsid w:val="00024570"/>
    <w:rsid w:val="00024857"/>
    <w:rsid w:val="00026BB5"/>
    <w:rsid w:val="00030BE3"/>
    <w:rsid w:val="00031B10"/>
    <w:rsid w:val="00033565"/>
    <w:rsid w:val="00034F1F"/>
    <w:rsid w:val="00035105"/>
    <w:rsid w:val="00035F42"/>
    <w:rsid w:val="000377D2"/>
    <w:rsid w:val="000404DB"/>
    <w:rsid w:val="0004557C"/>
    <w:rsid w:val="000500DD"/>
    <w:rsid w:val="0005042D"/>
    <w:rsid w:val="000510A5"/>
    <w:rsid w:val="00051E96"/>
    <w:rsid w:val="00052D5F"/>
    <w:rsid w:val="0005490A"/>
    <w:rsid w:val="00060A91"/>
    <w:rsid w:val="000624DF"/>
    <w:rsid w:val="0006328E"/>
    <w:rsid w:val="0006603B"/>
    <w:rsid w:val="00066274"/>
    <w:rsid w:val="00067D67"/>
    <w:rsid w:val="00067D98"/>
    <w:rsid w:val="0007578D"/>
    <w:rsid w:val="00081183"/>
    <w:rsid w:val="000833C8"/>
    <w:rsid w:val="00084D9B"/>
    <w:rsid w:val="00085A2D"/>
    <w:rsid w:val="000912F3"/>
    <w:rsid w:val="00093027"/>
    <w:rsid w:val="00093B2E"/>
    <w:rsid w:val="00094C7E"/>
    <w:rsid w:val="00097F81"/>
    <w:rsid w:val="000A0EDD"/>
    <w:rsid w:val="000A220C"/>
    <w:rsid w:val="000A3A56"/>
    <w:rsid w:val="000A47BF"/>
    <w:rsid w:val="000A62F4"/>
    <w:rsid w:val="000B24AD"/>
    <w:rsid w:val="000B36FE"/>
    <w:rsid w:val="000B3C39"/>
    <w:rsid w:val="000C02E2"/>
    <w:rsid w:val="000C0D17"/>
    <w:rsid w:val="000C0E9F"/>
    <w:rsid w:val="000C2CAD"/>
    <w:rsid w:val="000C4531"/>
    <w:rsid w:val="000D7077"/>
    <w:rsid w:val="000E09E5"/>
    <w:rsid w:val="000E164A"/>
    <w:rsid w:val="000E29B0"/>
    <w:rsid w:val="000E684F"/>
    <w:rsid w:val="000E7C0A"/>
    <w:rsid w:val="000F47FC"/>
    <w:rsid w:val="000F4F7D"/>
    <w:rsid w:val="000F6910"/>
    <w:rsid w:val="000F7AE7"/>
    <w:rsid w:val="00103897"/>
    <w:rsid w:val="001050CE"/>
    <w:rsid w:val="00111F1B"/>
    <w:rsid w:val="00117737"/>
    <w:rsid w:val="001207C7"/>
    <w:rsid w:val="00120CBF"/>
    <w:rsid w:val="00125508"/>
    <w:rsid w:val="00126531"/>
    <w:rsid w:val="001271F5"/>
    <w:rsid w:val="001277F5"/>
    <w:rsid w:val="001322F2"/>
    <w:rsid w:val="00133C91"/>
    <w:rsid w:val="00137BC7"/>
    <w:rsid w:val="00142433"/>
    <w:rsid w:val="00152399"/>
    <w:rsid w:val="0015424F"/>
    <w:rsid w:val="0015755E"/>
    <w:rsid w:val="001577F7"/>
    <w:rsid w:val="0016182F"/>
    <w:rsid w:val="001628AC"/>
    <w:rsid w:val="00163AF7"/>
    <w:rsid w:val="00165EAC"/>
    <w:rsid w:val="00167052"/>
    <w:rsid w:val="00170FBE"/>
    <w:rsid w:val="00173B44"/>
    <w:rsid w:val="001741FC"/>
    <w:rsid w:val="00187F7D"/>
    <w:rsid w:val="0019119A"/>
    <w:rsid w:val="00192B06"/>
    <w:rsid w:val="00192F3B"/>
    <w:rsid w:val="001948CD"/>
    <w:rsid w:val="00194975"/>
    <w:rsid w:val="00197113"/>
    <w:rsid w:val="001A1349"/>
    <w:rsid w:val="001A57B8"/>
    <w:rsid w:val="001A67EB"/>
    <w:rsid w:val="001A6CE2"/>
    <w:rsid w:val="001A7896"/>
    <w:rsid w:val="001B13ED"/>
    <w:rsid w:val="001B203F"/>
    <w:rsid w:val="001C13E5"/>
    <w:rsid w:val="001C2174"/>
    <w:rsid w:val="001C5080"/>
    <w:rsid w:val="001D3D8B"/>
    <w:rsid w:val="001E0D36"/>
    <w:rsid w:val="001E200B"/>
    <w:rsid w:val="001E3176"/>
    <w:rsid w:val="001F213F"/>
    <w:rsid w:val="001F289B"/>
    <w:rsid w:val="001F58FD"/>
    <w:rsid w:val="001F70A2"/>
    <w:rsid w:val="002047FC"/>
    <w:rsid w:val="00204C89"/>
    <w:rsid w:val="00205D87"/>
    <w:rsid w:val="00206FD6"/>
    <w:rsid w:val="0020778B"/>
    <w:rsid w:val="00213A7B"/>
    <w:rsid w:val="002159D2"/>
    <w:rsid w:val="00216B50"/>
    <w:rsid w:val="00232FA6"/>
    <w:rsid w:val="00242188"/>
    <w:rsid w:val="00244E1F"/>
    <w:rsid w:val="002476DB"/>
    <w:rsid w:val="00250885"/>
    <w:rsid w:val="0025357F"/>
    <w:rsid w:val="00253F6A"/>
    <w:rsid w:val="00256DCB"/>
    <w:rsid w:val="00257014"/>
    <w:rsid w:val="00260C6B"/>
    <w:rsid w:val="00261686"/>
    <w:rsid w:val="002627AE"/>
    <w:rsid w:val="0026325A"/>
    <w:rsid w:val="00264F15"/>
    <w:rsid w:val="00267DCB"/>
    <w:rsid w:val="00270D5B"/>
    <w:rsid w:val="002717EC"/>
    <w:rsid w:val="00273580"/>
    <w:rsid w:val="0027362D"/>
    <w:rsid w:val="00273DF9"/>
    <w:rsid w:val="00274AAB"/>
    <w:rsid w:val="00275F97"/>
    <w:rsid w:val="00280564"/>
    <w:rsid w:val="0028307C"/>
    <w:rsid w:val="002838A3"/>
    <w:rsid w:val="00284C44"/>
    <w:rsid w:val="00286C0A"/>
    <w:rsid w:val="002871F3"/>
    <w:rsid w:val="00287BB8"/>
    <w:rsid w:val="002909E7"/>
    <w:rsid w:val="002957A8"/>
    <w:rsid w:val="00295EA1"/>
    <w:rsid w:val="00296F5A"/>
    <w:rsid w:val="002A099E"/>
    <w:rsid w:val="002A5979"/>
    <w:rsid w:val="002A6EF3"/>
    <w:rsid w:val="002A74D8"/>
    <w:rsid w:val="002B3704"/>
    <w:rsid w:val="002C3936"/>
    <w:rsid w:val="002C39B3"/>
    <w:rsid w:val="002D0B7D"/>
    <w:rsid w:val="002D3834"/>
    <w:rsid w:val="002D4DD5"/>
    <w:rsid w:val="002D5624"/>
    <w:rsid w:val="002D7062"/>
    <w:rsid w:val="002E33D9"/>
    <w:rsid w:val="002E4015"/>
    <w:rsid w:val="002E60BD"/>
    <w:rsid w:val="002F1074"/>
    <w:rsid w:val="002F45F1"/>
    <w:rsid w:val="00301C45"/>
    <w:rsid w:val="003035CC"/>
    <w:rsid w:val="00303F85"/>
    <w:rsid w:val="0030422C"/>
    <w:rsid w:val="00304F15"/>
    <w:rsid w:val="003064D4"/>
    <w:rsid w:val="003065FC"/>
    <w:rsid w:val="00316FD3"/>
    <w:rsid w:val="003205F1"/>
    <w:rsid w:val="00322409"/>
    <w:rsid w:val="00323EE1"/>
    <w:rsid w:val="0032550F"/>
    <w:rsid w:val="0032677D"/>
    <w:rsid w:val="00326B7A"/>
    <w:rsid w:val="0032745F"/>
    <w:rsid w:val="0033052C"/>
    <w:rsid w:val="00330C8A"/>
    <w:rsid w:val="00332F45"/>
    <w:rsid w:val="003332D7"/>
    <w:rsid w:val="003341B8"/>
    <w:rsid w:val="00337501"/>
    <w:rsid w:val="003512EC"/>
    <w:rsid w:val="00354D87"/>
    <w:rsid w:val="00354D94"/>
    <w:rsid w:val="00357129"/>
    <w:rsid w:val="0036164F"/>
    <w:rsid w:val="00363DDC"/>
    <w:rsid w:val="003643FB"/>
    <w:rsid w:val="00372AE4"/>
    <w:rsid w:val="00374421"/>
    <w:rsid w:val="0037688E"/>
    <w:rsid w:val="00377C00"/>
    <w:rsid w:val="00377DE1"/>
    <w:rsid w:val="003800DA"/>
    <w:rsid w:val="00380E1C"/>
    <w:rsid w:val="00381C58"/>
    <w:rsid w:val="00383781"/>
    <w:rsid w:val="00383A87"/>
    <w:rsid w:val="00387268"/>
    <w:rsid w:val="00387F73"/>
    <w:rsid w:val="00393055"/>
    <w:rsid w:val="003A1532"/>
    <w:rsid w:val="003A2A2C"/>
    <w:rsid w:val="003A313E"/>
    <w:rsid w:val="003A34C7"/>
    <w:rsid w:val="003A3D10"/>
    <w:rsid w:val="003A580D"/>
    <w:rsid w:val="003A646A"/>
    <w:rsid w:val="003B063B"/>
    <w:rsid w:val="003B21A0"/>
    <w:rsid w:val="003B2758"/>
    <w:rsid w:val="003B2C14"/>
    <w:rsid w:val="003B4CA6"/>
    <w:rsid w:val="003B55C1"/>
    <w:rsid w:val="003B5B09"/>
    <w:rsid w:val="003B7D06"/>
    <w:rsid w:val="003C5133"/>
    <w:rsid w:val="003C5B3C"/>
    <w:rsid w:val="003C5EE4"/>
    <w:rsid w:val="003D0278"/>
    <w:rsid w:val="003D079A"/>
    <w:rsid w:val="003D76F7"/>
    <w:rsid w:val="003D7C97"/>
    <w:rsid w:val="003E1772"/>
    <w:rsid w:val="003E2C40"/>
    <w:rsid w:val="003E4A95"/>
    <w:rsid w:val="003E59CB"/>
    <w:rsid w:val="003F244F"/>
    <w:rsid w:val="003F5955"/>
    <w:rsid w:val="00401127"/>
    <w:rsid w:val="00401ED4"/>
    <w:rsid w:val="00403F35"/>
    <w:rsid w:val="00406846"/>
    <w:rsid w:val="00406975"/>
    <w:rsid w:val="00407754"/>
    <w:rsid w:val="00416B58"/>
    <w:rsid w:val="004200FD"/>
    <w:rsid w:val="00422221"/>
    <w:rsid w:val="004266EC"/>
    <w:rsid w:val="00435B25"/>
    <w:rsid w:val="00441F7C"/>
    <w:rsid w:val="00443BED"/>
    <w:rsid w:val="00445900"/>
    <w:rsid w:val="004467EE"/>
    <w:rsid w:val="00450ADF"/>
    <w:rsid w:val="0045315A"/>
    <w:rsid w:val="00453C55"/>
    <w:rsid w:val="00454834"/>
    <w:rsid w:val="00457018"/>
    <w:rsid w:val="00463066"/>
    <w:rsid w:val="00465096"/>
    <w:rsid w:val="00470153"/>
    <w:rsid w:val="00470384"/>
    <w:rsid w:val="00472056"/>
    <w:rsid w:val="004722E0"/>
    <w:rsid w:val="004724B8"/>
    <w:rsid w:val="00472EFD"/>
    <w:rsid w:val="00477E9E"/>
    <w:rsid w:val="00482137"/>
    <w:rsid w:val="0048369B"/>
    <w:rsid w:val="00485A09"/>
    <w:rsid w:val="00487635"/>
    <w:rsid w:val="004877E7"/>
    <w:rsid w:val="00491E76"/>
    <w:rsid w:val="00497693"/>
    <w:rsid w:val="004A1C43"/>
    <w:rsid w:val="004A2D53"/>
    <w:rsid w:val="004A2F43"/>
    <w:rsid w:val="004A3B05"/>
    <w:rsid w:val="004A56C0"/>
    <w:rsid w:val="004B0E5E"/>
    <w:rsid w:val="004B2D6A"/>
    <w:rsid w:val="004B5243"/>
    <w:rsid w:val="004B71BF"/>
    <w:rsid w:val="004B7B0B"/>
    <w:rsid w:val="004C08CA"/>
    <w:rsid w:val="004C139B"/>
    <w:rsid w:val="004C2212"/>
    <w:rsid w:val="004C4036"/>
    <w:rsid w:val="004C48B3"/>
    <w:rsid w:val="004C4C1E"/>
    <w:rsid w:val="004D5AD3"/>
    <w:rsid w:val="004D5F02"/>
    <w:rsid w:val="004E0C74"/>
    <w:rsid w:val="004E0D35"/>
    <w:rsid w:val="004E1B92"/>
    <w:rsid w:val="004E4299"/>
    <w:rsid w:val="004E581A"/>
    <w:rsid w:val="004E5F87"/>
    <w:rsid w:val="004E5F91"/>
    <w:rsid w:val="004F1A50"/>
    <w:rsid w:val="004F5898"/>
    <w:rsid w:val="005016C7"/>
    <w:rsid w:val="00501831"/>
    <w:rsid w:val="00503CA7"/>
    <w:rsid w:val="00505263"/>
    <w:rsid w:val="00506050"/>
    <w:rsid w:val="0050664E"/>
    <w:rsid w:val="005132B5"/>
    <w:rsid w:val="00514BAB"/>
    <w:rsid w:val="00515355"/>
    <w:rsid w:val="005156D2"/>
    <w:rsid w:val="00521255"/>
    <w:rsid w:val="00523A3E"/>
    <w:rsid w:val="00524785"/>
    <w:rsid w:val="005247DC"/>
    <w:rsid w:val="00531CA8"/>
    <w:rsid w:val="005320A2"/>
    <w:rsid w:val="00532B3A"/>
    <w:rsid w:val="00535917"/>
    <w:rsid w:val="0054052D"/>
    <w:rsid w:val="00540AE5"/>
    <w:rsid w:val="00540EB5"/>
    <w:rsid w:val="00542314"/>
    <w:rsid w:val="00544224"/>
    <w:rsid w:val="00545E3E"/>
    <w:rsid w:val="005530F4"/>
    <w:rsid w:val="00554960"/>
    <w:rsid w:val="00554E9A"/>
    <w:rsid w:val="005570CA"/>
    <w:rsid w:val="005617A2"/>
    <w:rsid w:val="0056227A"/>
    <w:rsid w:val="0056393D"/>
    <w:rsid w:val="005645BE"/>
    <w:rsid w:val="005704E2"/>
    <w:rsid w:val="005736A4"/>
    <w:rsid w:val="00573DF7"/>
    <w:rsid w:val="00574B38"/>
    <w:rsid w:val="00576856"/>
    <w:rsid w:val="0057695A"/>
    <w:rsid w:val="005803A0"/>
    <w:rsid w:val="0058287E"/>
    <w:rsid w:val="00582A18"/>
    <w:rsid w:val="00584B5D"/>
    <w:rsid w:val="00584CED"/>
    <w:rsid w:val="005859D9"/>
    <w:rsid w:val="00585CCD"/>
    <w:rsid w:val="00593FB2"/>
    <w:rsid w:val="005A1155"/>
    <w:rsid w:val="005A2E7C"/>
    <w:rsid w:val="005A5B38"/>
    <w:rsid w:val="005A6E75"/>
    <w:rsid w:val="005B0558"/>
    <w:rsid w:val="005B165F"/>
    <w:rsid w:val="005B3C4A"/>
    <w:rsid w:val="005B3EE3"/>
    <w:rsid w:val="005B4B43"/>
    <w:rsid w:val="005C3CED"/>
    <w:rsid w:val="005C4442"/>
    <w:rsid w:val="005C5D8E"/>
    <w:rsid w:val="005D017C"/>
    <w:rsid w:val="005D44BE"/>
    <w:rsid w:val="005D44CE"/>
    <w:rsid w:val="005D5382"/>
    <w:rsid w:val="005D5396"/>
    <w:rsid w:val="005E2BF3"/>
    <w:rsid w:val="005E40E0"/>
    <w:rsid w:val="005E5866"/>
    <w:rsid w:val="005E5B5D"/>
    <w:rsid w:val="005F0A3F"/>
    <w:rsid w:val="005F19BD"/>
    <w:rsid w:val="005F1AB5"/>
    <w:rsid w:val="005F3088"/>
    <w:rsid w:val="005F3A1B"/>
    <w:rsid w:val="005F3CC5"/>
    <w:rsid w:val="005F40FF"/>
    <w:rsid w:val="005F5249"/>
    <w:rsid w:val="00601E48"/>
    <w:rsid w:val="0061568D"/>
    <w:rsid w:val="00617911"/>
    <w:rsid w:val="006202AB"/>
    <w:rsid w:val="006236D5"/>
    <w:rsid w:val="00626D75"/>
    <w:rsid w:val="00630A59"/>
    <w:rsid w:val="006335BB"/>
    <w:rsid w:val="00640ABA"/>
    <w:rsid w:val="006446A5"/>
    <w:rsid w:val="00644C38"/>
    <w:rsid w:val="006458D0"/>
    <w:rsid w:val="00647FA3"/>
    <w:rsid w:val="006537C9"/>
    <w:rsid w:val="0065555D"/>
    <w:rsid w:val="00657F54"/>
    <w:rsid w:val="00663068"/>
    <w:rsid w:val="00663449"/>
    <w:rsid w:val="00667936"/>
    <w:rsid w:val="00670587"/>
    <w:rsid w:val="00671CBC"/>
    <w:rsid w:val="006727C7"/>
    <w:rsid w:val="006746DD"/>
    <w:rsid w:val="0067499A"/>
    <w:rsid w:val="00677438"/>
    <w:rsid w:val="006879EC"/>
    <w:rsid w:val="006913F0"/>
    <w:rsid w:val="00692C35"/>
    <w:rsid w:val="00694231"/>
    <w:rsid w:val="006951B9"/>
    <w:rsid w:val="00697219"/>
    <w:rsid w:val="006A13DF"/>
    <w:rsid w:val="006A16EC"/>
    <w:rsid w:val="006A27AE"/>
    <w:rsid w:val="006A324C"/>
    <w:rsid w:val="006A4BC5"/>
    <w:rsid w:val="006A5942"/>
    <w:rsid w:val="006A7C26"/>
    <w:rsid w:val="006B0051"/>
    <w:rsid w:val="006B03A4"/>
    <w:rsid w:val="006B3B27"/>
    <w:rsid w:val="006B5B6C"/>
    <w:rsid w:val="006C03ED"/>
    <w:rsid w:val="006C0BE1"/>
    <w:rsid w:val="006C3A70"/>
    <w:rsid w:val="006C5242"/>
    <w:rsid w:val="006D112C"/>
    <w:rsid w:val="006D121E"/>
    <w:rsid w:val="006D4E4F"/>
    <w:rsid w:val="006D6191"/>
    <w:rsid w:val="006E1D77"/>
    <w:rsid w:val="006F186A"/>
    <w:rsid w:val="006F1D96"/>
    <w:rsid w:val="006F27FC"/>
    <w:rsid w:val="006F2CC5"/>
    <w:rsid w:val="006F3BAC"/>
    <w:rsid w:val="006F7838"/>
    <w:rsid w:val="007039C9"/>
    <w:rsid w:val="00704FFD"/>
    <w:rsid w:val="00710E3A"/>
    <w:rsid w:val="00711BC3"/>
    <w:rsid w:val="00711FA2"/>
    <w:rsid w:val="00716B51"/>
    <w:rsid w:val="0072169F"/>
    <w:rsid w:val="00724301"/>
    <w:rsid w:val="0072444D"/>
    <w:rsid w:val="00735FB2"/>
    <w:rsid w:val="00737F41"/>
    <w:rsid w:val="0074030C"/>
    <w:rsid w:val="00742CEB"/>
    <w:rsid w:val="00742E1F"/>
    <w:rsid w:val="00743DF0"/>
    <w:rsid w:val="00744203"/>
    <w:rsid w:val="0074444A"/>
    <w:rsid w:val="00745495"/>
    <w:rsid w:val="00746788"/>
    <w:rsid w:val="00751957"/>
    <w:rsid w:val="00752B94"/>
    <w:rsid w:val="00753AC4"/>
    <w:rsid w:val="00753CE5"/>
    <w:rsid w:val="00764C81"/>
    <w:rsid w:val="0076522F"/>
    <w:rsid w:val="0076698F"/>
    <w:rsid w:val="00772A21"/>
    <w:rsid w:val="0077326B"/>
    <w:rsid w:val="007746F4"/>
    <w:rsid w:val="007752FB"/>
    <w:rsid w:val="00777411"/>
    <w:rsid w:val="00777742"/>
    <w:rsid w:val="00780730"/>
    <w:rsid w:val="00781CEC"/>
    <w:rsid w:val="00781FB8"/>
    <w:rsid w:val="007841C0"/>
    <w:rsid w:val="007854B5"/>
    <w:rsid w:val="00796AEF"/>
    <w:rsid w:val="00796B4E"/>
    <w:rsid w:val="0079726A"/>
    <w:rsid w:val="007A0716"/>
    <w:rsid w:val="007A2ACE"/>
    <w:rsid w:val="007A33B9"/>
    <w:rsid w:val="007A3DF0"/>
    <w:rsid w:val="007A46D9"/>
    <w:rsid w:val="007A7538"/>
    <w:rsid w:val="007B15E3"/>
    <w:rsid w:val="007B1DA2"/>
    <w:rsid w:val="007B31D4"/>
    <w:rsid w:val="007C0316"/>
    <w:rsid w:val="007C060C"/>
    <w:rsid w:val="007C2DB4"/>
    <w:rsid w:val="007C5C2A"/>
    <w:rsid w:val="007D281B"/>
    <w:rsid w:val="007D2D52"/>
    <w:rsid w:val="007D6951"/>
    <w:rsid w:val="007D7D4C"/>
    <w:rsid w:val="007D7DFE"/>
    <w:rsid w:val="007E0466"/>
    <w:rsid w:val="007E11EA"/>
    <w:rsid w:val="007E36B6"/>
    <w:rsid w:val="007F03E1"/>
    <w:rsid w:val="007F2C2D"/>
    <w:rsid w:val="007F4949"/>
    <w:rsid w:val="007F4994"/>
    <w:rsid w:val="007F6396"/>
    <w:rsid w:val="008002B4"/>
    <w:rsid w:val="00800830"/>
    <w:rsid w:val="008016C3"/>
    <w:rsid w:val="00801AF1"/>
    <w:rsid w:val="00801B5C"/>
    <w:rsid w:val="008066A9"/>
    <w:rsid w:val="0080698E"/>
    <w:rsid w:val="00817CAB"/>
    <w:rsid w:val="008207F2"/>
    <w:rsid w:val="00822F26"/>
    <w:rsid w:val="008305FC"/>
    <w:rsid w:val="0083122B"/>
    <w:rsid w:val="008318DF"/>
    <w:rsid w:val="00833249"/>
    <w:rsid w:val="008341F7"/>
    <w:rsid w:val="0083644D"/>
    <w:rsid w:val="00837697"/>
    <w:rsid w:val="00841253"/>
    <w:rsid w:val="00843163"/>
    <w:rsid w:val="00843406"/>
    <w:rsid w:val="00845051"/>
    <w:rsid w:val="0084668A"/>
    <w:rsid w:val="0084782A"/>
    <w:rsid w:val="00854D1A"/>
    <w:rsid w:val="00855EEA"/>
    <w:rsid w:val="00857808"/>
    <w:rsid w:val="00864713"/>
    <w:rsid w:val="008660F8"/>
    <w:rsid w:val="0086783C"/>
    <w:rsid w:val="0087183A"/>
    <w:rsid w:val="00872746"/>
    <w:rsid w:val="00874969"/>
    <w:rsid w:val="00874F7F"/>
    <w:rsid w:val="00875447"/>
    <w:rsid w:val="00876005"/>
    <w:rsid w:val="00881801"/>
    <w:rsid w:val="008848A7"/>
    <w:rsid w:val="00886BB0"/>
    <w:rsid w:val="00892175"/>
    <w:rsid w:val="00896541"/>
    <w:rsid w:val="00897D55"/>
    <w:rsid w:val="008A02B2"/>
    <w:rsid w:val="008A02DC"/>
    <w:rsid w:val="008A20EC"/>
    <w:rsid w:val="008A2A77"/>
    <w:rsid w:val="008A4875"/>
    <w:rsid w:val="008A7BC7"/>
    <w:rsid w:val="008B238D"/>
    <w:rsid w:val="008B2882"/>
    <w:rsid w:val="008C01F5"/>
    <w:rsid w:val="008C06E1"/>
    <w:rsid w:val="008C1461"/>
    <w:rsid w:val="008C3865"/>
    <w:rsid w:val="008C5F83"/>
    <w:rsid w:val="008C7872"/>
    <w:rsid w:val="008D018D"/>
    <w:rsid w:val="008D6EDE"/>
    <w:rsid w:val="008D72CB"/>
    <w:rsid w:val="008E35CA"/>
    <w:rsid w:val="008E5510"/>
    <w:rsid w:val="008F16BA"/>
    <w:rsid w:val="008F5A2E"/>
    <w:rsid w:val="008F7B5F"/>
    <w:rsid w:val="009003C1"/>
    <w:rsid w:val="00906A37"/>
    <w:rsid w:val="009102CD"/>
    <w:rsid w:val="00910F39"/>
    <w:rsid w:val="0091188B"/>
    <w:rsid w:val="0091382D"/>
    <w:rsid w:val="00916010"/>
    <w:rsid w:val="00916B5E"/>
    <w:rsid w:val="00921F08"/>
    <w:rsid w:val="00924E74"/>
    <w:rsid w:val="00925CA9"/>
    <w:rsid w:val="00926344"/>
    <w:rsid w:val="00926FEF"/>
    <w:rsid w:val="00927130"/>
    <w:rsid w:val="00931067"/>
    <w:rsid w:val="009311B9"/>
    <w:rsid w:val="0093120F"/>
    <w:rsid w:val="0093200F"/>
    <w:rsid w:val="00932D53"/>
    <w:rsid w:val="009333C6"/>
    <w:rsid w:val="00937349"/>
    <w:rsid w:val="00945112"/>
    <w:rsid w:val="00946EF6"/>
    <w:rsid w:val="00956175"/>
    <w:rsid w:val="0096754C"/>
    <w:rsid w:val="00967EB2"/>
    <w:rsid w:val="0097014B"/>
    <w:rsid w:val="0097477A"/>
    <w:rsid w:val="00974D0E"/>
    <w:rsid w:val="0097511A"/>
    <w:rsid w:val="0097670C"/>
    <w:rsid w:val="00976DA8"/>
    <w:rsid w:val="00977329"/>
    <w:rsid w:val="009811F2"/>
    <w:rsid w:val="00981227"/>
    <w:rsid w:val="009820CB"/>
    <w:rsid w:val="00983150"/>
    <w:rsid w:val="00983743"/>
    <w:rsid w:val="0098588F"/>
    <w:rsid w:val="009922A6"/>
    <w:rsid w:val="00995DDB"/>
    <w:rsid w:val="00996A6B"/>
    <w:rsid w:val="00997C9E"/>
    <w:rsid w:val="009A0B71"/>
    <w:rsid w:val="009A16F0"/>
    <w:rsid w:val="009A1DDF"/>
    <w:rsid w:val="009A419B"/>
    <w:rsid w:val="009B3595"/>
    <w:rsid w:val="009B5A7A"/>
    <w:rsid w:val="009B72F0"/>
    <w:rsid w:val="009C13E4"/>
    <w:rsid w:val="009C2163"/>
    <w:rsid w:val="009C7F0E"/>
    <w:rsid w:val="009D4E8A"/>
    <w:rsid w:val="009F57B9"/>
    <w:rsid w:val="00A016DB"/>
    <w:rsid w:val="00A037F6"/>
    <w:rsid w:val="00A056BE"/>
    <w:rsid w:val="00A057C1"/>
    <w:rsid w:val="00A0766D"/>
    <w:rsid w:val="00A11286"/>
    <w:rsid w:val="00A14248"/>
    <w:rsid w:val="00A1630A"/>
    <w:rsid w:val="00A169B8"/>
    <w:rsid w:val="00A17221"/>
    <w:rsid w:val="00A21067"/>
    <w:rsid w:val="00A250BD"/>
    <w:rsid w:val="00A262B3"/>
    <w:rsid w:val="00A262D2"/>
    <w:rsid w:val="00A300B8"/>
    <w:rsid w:val="00A30FCC"/>
    <w:rsid w:val="00A3151C"/>
    <w:rsid w:val="00A322DF"/>
    <w:rsid w:val="00A33F8F"/>
    <w:rsid w:val="00A36EBF"/>
    <w:rsid w:val="00A42B44"/>
    <w:rsid w:val="00A42FA7"/>
    <w:rsid w:val="00A454DA"/>
    <w:rsid w:val="00A455B6"/>
    <w:rsid w:val="00A4734C"/>
    <w:rsid w:val="00A53951"/>
    <w:rsid w:val="00A559B4"/>
    <w:rsid w:val="00A55B13"/>
    <w:rsid w:val="00A565DB"/>
    <w:rsid w:val="00A56E7D"/>
    <w:rsid w:val="00A6249B"/>
    <w:rsid w:val="00A6414A"/>
    <w:rsid w:val="00A6581E"/>
    <w:rsid w:val="00A6749A"/>
    <w:rsid w:val="00A71A41"/>
    <w:rsid w:val="00A72088"/>
    <w:rsid w:val="00A72CA4"/>
    <w:rsid w:val="00A734F8"/>
    <w:rsid w:val="00A74CC0"/>
    <w:rsid w:val="00A77D5A"/>
    <w:rsid w:val="00A80B13"/>
    <w:rsid w:val="00A8605A"/>
    <w:rsid w:val="00A86566"/>
    <w:rsid w:val="00A9055B"/>
    <w:rsid w:val="00A9101C"/>
    <w:rsid w:val="00A92549"/>
    <w:rsid w:val="00A9281F"/>
    <w:rsid w:val="00A92D07"/>
    <w:rsid w:val="00A9432E"/>
    <w:rsid w:val="00A949EB"/>
    <w:rsid w:val="00A94FA0"/>
    <w:rsid w:val="00AA5742"/>
    <w:rsid w:val="00AB0AEB"/>
    <w:rsid w:val="00AB253B"/>
    <w:rsid w:val="00AC058A"/>
    <w:rsid w:val="00AC34CD"/>
    <w:rsid w:val="00AC4109"/>
    <w:rsid w:val="00AC418D"/>
    <w:rsid w:val="00AC464D"/>
    <w:rsid w:val="00AD3B25"/>
    <w:rsid w:val="00AD51E2"/>
    <w:rsid w:val="00AD79CA"/>
    <w:rsid w:val="00AE1012"/>
    <w:rsid w:val="00AE1D21"/>
    <w:rsid w:val="00AE6FDE"/>
    <w:rsid w:val="00AF0F51"/>
    <w:rsid w:val="00AF3002"/>
    <w:rsid w:val="00AF30F7"/>
    <w:rsid w:val="00AF33E8"/>
    <w:rsid w:val="00AF37AB"/>
    <w:rsid w:val="00AF3A2A"/>
    <w:rsid w:val="00AF5B41"/>
    <w:rsid w:val="00AF6DBB"/>
    <w:rsid w:val="00B0247A"/>
    <w:rsid w:val="00B12699"/>
    <w:rsid w:val="00B15143"/>
    <w:rsid w:val="00B15960"/>
    <w:rsid w:val="00B1646C"/>
    <w:rsid w:val="00B16695"/>
    <w:rsid w:val="00B23718"/>
    <w:rsid w:val="00B2410B"/>
    <w:rsid w:val="00B24F1F"/>
    <w:rsid w:val="00B24F4F"/>
    <w:rsid w:val="00B25747"/>
    <w:rsid w:val="00B27A9E"/>
    <w:rsid w:val="00B37A8B"/>
    <w:rsid w:val="00B417F7"/>
    <w:rsid w:val="00B46319"/>
    <w:rsid w:val="00B463F8"/>
    <w:rsid w:val="00B471C0"/>
    <w:rsid w:val="00B474EB"/>
    <w:rsid w:val="00B50D1C"/>
    <w:rsid w:val="00B51D7B"/>
    <w:rsid w:val="00B57E6D"/>
    <w:rsid w:val="00B615B2"/>
    <w:rsid w:val="00B61815"/>
    <w:rsid w:val="00B643F6"/>
    <w:rsid w:val="00B64C51"/>
    <w:rsid w:val="00B6569F"/>
    <w:rsid w:val="00B65CCC"/>
    <w:rsid w:val="00B7189F"/>
    <w:rsid w:val="00B72C59"/>
    <w:rsid w:val="00B742E5"/>
    <w:rsid w:val="00B969D0"/>
    <w:rsid w:val="00B96CB8"/>
    <w:rsid w:val="00BA1E40"/>
    <w:rsid w:val="00BA6680"/>
    <w:rsid w:val="00BA7821"/>
    <w:rsid w:val="00BB2D77"/>
    <w:rsid w:val="00BB4F11"/>
    <w:rsid w:val="00BB5CAC"/>
    <w:rsid w:val="00BC110E"/>
    <w:rsid w:val="00BC2C5E"/>
    <w:rsid w:val="00BC439B"/>
    <w:rsid w:val="00BC6086"/>
    <w:rsid w:val="00BC712D"/>
    <w:rsid w:val="00BC7980"/>
    <w:rsid w:val="00BD1E89"/>
    <w:rsid w:val="00BD4005"/>
    <w:rsid w:val="00BD4B1A"/>
    <w:rsid w:val="00BD51CD"/>
    <w:rsid w:val="00BD5920"/>
    <w:rsid w:val="00BE56F7"/>
    <w:rsid w:val="00BF0FB0"/>
    <w:rsid w:val="00BF2B48"/>
    <w:rsid w:val="00BF3438"/>
    <w:rsid w:val="00BF41D2"/>
    <w:rsid w:val="00BF4B96"/>
    <w:rsid w:val="00BF7794"/>
    <w:rsid w:val="00C00C8D"/>
    <w:rsid w:val="00C03203"/>
    <w:rsid w:val="00C06A70"/>
    <w:rsid w:val="00C11B1F"/>
    <w:rsid w:val="00C157F4"/>
    <w:rsid w:val="00C22E17"/>
    <w:rsid w:val="00C2335D"/>
    <w:rsid w:val="00C31FB6"/>
    <w:rsid w:val="00C32BDF"/>
    <w:rsid w:val="00C37C14"/>
    <w:rsid w:val="00C40971"/>
    <w:rsid w:val="00C434B1"/>
    <w:rsid w:val="00C44B9C"/>
    <w:rsid w:val="00C45E95"/>
    <w:rsid w:val="00C47171"/>
    <w:rsid w:val="00C536CC"/>
    <w:rsid w:val="00C53713"/>
    <w:rsid w:val="00C54F47"/>
    <w:rsid w:val="00C55397"/>
    <w:rsid w:val="00C5597C"/>
    <w:rsid w:val="00C57E65"/>
    <w:rsid w:val="00C57ED8"/>
    <w:rsid w:val="00C60D1C"/>
    <w:rsid w:val="00C62DF2"/>
    <w:rsid w:val="00C632CC"/>
    <w:rsid w:val="00C704B2"/>
    <w:rsid w:val="00C74F5B"/>
    <w:rsid w:val="00C76CD5"/>
    <w:rsid w:val="00C80FA1"/>
    <w:rsid w:val="00C86526"/>
    <w:rsid w:val="00C920CF"/>
    <w:rsid w:val="00C921E8"/>
    <w:rsid w:val="00C9232B"/>
    <w:rsid w:val="00C96988"/>
    <w:rsid w:val="00C96FBF"/>
    <w:rsid w:val="00CA0BB0"/>
    <w:rsid w:val="00CA11F1"/>
    <w:rsid w:val="00CB007F"/>
    <w:rsid w:val="00CB21AC"/>
    <w:rsid w:val="00CB3C64"/>
    <w:rsid w:val="00CB3DC1"/>
    <w:rsid w:val="00CC01B9"/>
    <w:rsid w:val="00CC1055"/>
    <w:rsid w:val="00CD5824"/>
    <w:rsid w:val="00CD61AF"/>
    <w:rsid w:val="00CD61BC"/>
    <w:rsid w:val="00CD6A2F"/>
    <w:rsid w:val="00CE0C5F"/>
    <w:rsid w:val="00CE2549"/>
    <w:rsid w:val="00CE2646"/>
    <w:rsid w:val="00CE2CF8"/>
    <w:rsid w:val="00CE3FB2"/>
    <w:rsid w:val="00CE44B8"/>
    <w:rsid w:val="00CF1885"/>
    <w:rsid w:val="00CF4395"/>
    <w:rsid w:val="00CF4BD3"/>
    <w:rsid w:val="00CF4DA2"/>
    <w:rsid w:val="00CF4F30"/>
    <w:rsid w:val="00D031B5"/>
    <w:rsid w:val="00D0618D"/>
    <w:rsid w:val="00D07153"/>
    <w:rsid w:val="00D12508"/>
    <w:rsid w:val="00D150AD"/>
    <w:rsid w:val="00D15840"/>
    <w:rsid w:val="00D2000E"/>
    <w:rsid w:val="00D2059A"/>
    <w:rsid w:val="00D21DD5"/>
    <w:rsid w:val="00D220E8"/>
    <w:rsid w:val="00D22BCA"/>
    <w:rsid w:val="00D22FD9"/>
    <w:rsid w:val="00D329BE"/>
    <w:rsid w:val="00D337EA"/>
    <w:rsid w:val="00D33ECB"/>
    <w:rsid w:val="00D34C02"/>
    <w:rsid w:val="00D3652D"/>
    <w:rsid w:val="00D42BB8"/>
    <w:rsid w:val="00D45094"/>
    <w:rsid w:val="00D451C6"/>
    <w:rsid w:val="00D451FF"/>
    <w:rsid w:val="00D458B0"/>
    <w:rsid w:val="00D46361"/>
    <w:rsid w:val="00D46547"/>
    <w:rsid w:val="00D54E7E"/>
    <w:rsid w:val="00D55973"/>
    <w:rsid w:val="00D61B49"/>
    <w:rsid w:val="00D7025F"/>
    <w:rsid w:val="00D7184D"/>
    <w:rsid w:val="00D72CC6"/>
    <w:rsid w:val="00D908E0"/>
    <w:rsid w:val="00D91101"/>
    <w:rsid w:val="00D94731"/>
    <w:rsid w:val="00DA24BC"/>
    <w:rsid w:val="00DA2B1A"/>
    <w:rsid w:val="00DA30BF"/>
    <w:rsid w:val="00DA3A40"/>
    <w:rsid w:val="00DA4046"/>
    <w:rsid w:val="00DA4097"/>
    <w:rsid w:val="00DB1616"/>
    <w:rsid w:val="00DB189E"/>
    <w:rsid w:val="00DB4225"/>
    <w:rsid w:val="00DB5CBA"/>
    <w:rsid w:val="00DB6863"/>
    <w:rsid w:val="00DB76DA"/>
    <w:rsid w:val="00DC3B3D"/>
    <w:rsid w:val="00DC7BAB"/>
    <w:rsid w:val="00DD691D"/>
    <w:rsid w:val="00DD7C94"/>
    <w:rsid w:val="00DE037A"/>
    <w:rsid w:val="00DE53B1"/>
    <w:rsid w:val="00DF05D5"/>
    <w:rsid w:val="00DF0619"/>
    <w:rsid w:val="00DF1F8A"/>
    <w:rsid w:val="00DF42B2"/>
    <w:rsid w:val="00DF45E5"/>
    <w:rsid w:val="00DF4BB0"/>
    <w:rsid w:val="00DF4BF4"/>
    <w:rsid w:val="00DF4C82"/>
    <w:rsid w:val="00DF4D37"/>
    <w:rsid w:val="00DF5082"/>
    <w:rsid w:val="00DF5870"/>
    <w:rsid w:val="00DF6F50"/>
    <w:rsid w:val="00DF79A4"/>
    <w:rsid w:val="00E002F2"/>
    <w:rsid w:val="00E00FEE"/>
    <w:rsid w:val="00E02283"/>
    <w:rsid w:val="00E02FB6"/>
    <w:rsid w:val="00E1036D"/>
    <w:rsid w:val="00E12483"/>
    <w:rsid w:val="00E160AF"/>
    <w:rsid w:val="00E17BAE"/>
    <w:rsid w:val="00E214F1"/>
    <w:rsid w:val="00E21523"/>
    <w:rsid w:val="00E236D5"/>
    <w:rsid w:val="00E23FDF"/>
    <w:rsid w:val="00E24EF4"/>
    <w:rsid w:val="00E24F35"/>
    <w:rsid w:val="00E27E9A"/>
    <w:rsid w:val="00E33B87"/>
    <w:rsid w:val="00E35653"/>
    <w:rsid w:val="00E3693D"/>
    <w:rsid w:val="00E37D0F"/>
    <w:rsid w:val="00E42AC9"/>
    <w:rsid w:val="00E460FB"/>
    <w:rsid w:val="00E5425E"/>
    <w:rsid w:val="00E567F3"/>
    <w:rsid w:val="00E6163B"/>
    <w:rsid w:val="00E64887"/>
    <w:rsid w:val="00E648FC"/>
    <w:rsid w:val="00E66ADD"/>
    <w:rsid w:val="00E67889"/>
    <w:rsid w:val="00E6794B"/>
    <w:rsid w:val="00E709A7"/>
    <w:rsid w:val="00E71C2C"/>
    <w:rsid w:val="00E74E73"/>
    <w:rsid w:val="00E81178"/>
    <w:rsid w:val="00E81E97"/>
    <w:rsid w:val="00E83F4F"/>
    <w:rsid w:val="00E86D97"/>
    <w:rsid w:val="00E90A5B"/>
    <w:rsid w:val="00E93573"/>
    <w:rsid w:val="00E975AC"/>
    <w:rsid w:val="00EA0CB5"/>
    <w:rsid w:val="00EA2C0F"/>
    <w:rsid w:val="00EA4CCD"/>
    <w:rsid w:val="00EA4DB6"/>
    <w:rsid w:val="00EA516E"/>
    <w:rsid w:val="00EA71FC"/>
    <w:rsid w:val="00EA7A07"/>
    <w:rsid w:val="00EB333C"/>
    <w:rsid w:val="00EB6F8E"/>
    <w:rsid w:val="00EC215C"/>
    <w:rsid w:val="00EC3B8C"/>
    <w:rsid w:val="00EC43B6"/>
    <w:rsid w:val="00EC5F61"/>
    <w:rsid w:val="00ED1C35"/>
    <w:rsid w:val="00ED2176"/>
    <w:rsid w:val="00ED28BB"/>
    <w:rsid w:val="00EE0729"/>
    <w:rsid w:val="00EE3CB2"/>
    <w:rsid w:val="00EE7775"/>
    <w:rsid w:val="00EE7BF0"/>
    <w:rsid w:val="00EF015C"/>
    <w:rsid w:val="00EF0BFF"/>
    <w:rsid w:val="00EF24AB"/>
    <w:rsid w:val="00EF3B5B"/>
    <w:rsid w:val="00EF5B25"/>
    <w:rsid w:val="00EF6449"/>
    <w:rsid w:val="00EF6540"/>
    <w:rsid w:val="00EF7CC3"/>
    <w:rsid w:val="00F00E92"/>
    <w:rsid w:val="00F035E1"/>
    <w:rsid w:val="00F10A52"/>
    <w:rsid w:val="00F11E70"/>
    <w:rsid w:val="00F12031"/>
    <w:rsid w:val="00F13475"/>
    <w:rsid w:val="00F20761"/>
    <w:rsid w:val="00F211D0"/>
    <w:rsid w:val="00F225CD"/>
    <w:rsid w:val="00F23070"/>
    <w:rsid w:val="00F23655"/>
    <w:rsid w:val="00F25E7E"/>
    <w:rsid w:val="00F27D90"/>
    <w:rsid w:val="00F311D1"/>
    <w:rsid w:val="00F3439C"/>
    <w:rsid w:val="00F408BB"/>
    <w:rsid w:val="00F465E8"/>
    <w:rsid w:val="00F47A5C"/>
    <w:rsid w:val="00F47EF0"/>
    <w:rsid w:val="00F50653"/>
    <w:rsid w:val="00F51AF4"/>
    <w:rsid w:val="00F5274E"/>
    <w:rsid w:val="00F5435F"/>
    <w:rsid w:val="00F5567F"/>
    <w:rsid w:val="00F5617C"/>
    <w:rsid w:val="00F56C7F"/>
    <w:rsid w:val="00F609EA"/>
    <w:rsid w:val="00F61FB4"/>
    <w:rsid w:val="00F62853"/>
    <w:rsid w:val="00F66489"/>
    <w:rsid w:val="00F70BEC"/>
    <w:rsid w:val="00F71E17"/>
    <w:rsid w:val="00F805DD"/>
    <w:rsid w:val="00F80B88"/>
    <w:rsid w:val="00F84B86"/>
    <w:rsid w:val="00F8641C"/>
    <w:rsid w:val="00F873CF"/>
    <w:rsid w:val="00F90705"/>
    <w:rsid w:val="00F93121"/>
    <w:rsid w:val="00F9527F"/>
    <w:rsid w:val="00FA3064"/>
    <w:rsid w:val="00FB02B0"/>
    <w:rsid w:val="00FB243A"/>
    <w:rsid w:val="00FB3FB6"/>
    <w:rsid w:val="00FB667B"/>
    <w:rsid w:val="00FC4451"/>
    <w:rsid w:val="00FC759D"/>
    <w:rsid w:val="00FD0ABA"/>
    <w:rsid w:val="00FE0FC9"/>
    <w:rsid w:val="00FE2EE1"/>
    <w:rsid w:val="00FE3C75"/>
    <w:rsid w:val="00FE5D95"/>
    <w:rsid w:val="00FE5F1A"/>
    <w:rsid w:val="00FF0122"/>
    <w:rsid w:val="00FF0B00"/>
    <w:rsid w:val="00FF21E2"/>
    <w:rsid w:val="00FF22FB"/>
    <w:rsid w:val="00FF2610"/>
    <w:rsid w:val="00FF2A4B"/>
    <w:rsid w:val="00FF43A9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1E68"/>
  <w15:docId w15:val="{3924993D-8D04-4207-B1C5-EE59E1A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F7"/>
  </w:style>
  <w:style w:type="paragraph" w:styleId="Nagwek1">
    <w:name w:val="heading 1"/>
    <w:basedOn w:val="Normalny"/>
    <w:next w:val="Normalny"/>
    <w:link w:val="Nagwek1Znak"/>
    <w:qFormat/>
    <w:rsid w:val="00E356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6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6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35653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5653"/>
  </w:style>
  <w:style w:type="table" w:styleId="Tabela-Siatka">
    <w:name w:val="Table Grid"/>
    <w:basedOn w:val="Standardowy"/>
    <w:uiPriority w:val="99"/>
    <w:rsid w:val="00E35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56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5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56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3565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356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5653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E356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5653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56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653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653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6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653"/>
    <w:rPr>
      <w:vertAlign w:val="superscript"/>
    </w:rPr>
  </w:style>
  <w:style w:type="character" w:styleId="Hipercze">
    <w:name w:val="Hyperlink"/>
    <w:uiPriority w:val="99"/>
    <w:unhideWhenUsed/>
    <w:rsid w:val="00E356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35653"/>
    <w:rPr>
      <w:color w:val="800080"/>
      <w:u w:val="single"/>
    </w:rPr>
  </w:style>
  <w:style w:type="paragraph" w:customStyle="1" w:styleId="Default">
    <w:name w:val="Default"/>
    <w:rsid w:val="00E3565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71CB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833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300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1101"/>
    <w:rPr>
      <w:color w:val="605E5C"/>
      <w:shd w:val="clear" w:color="auto" w:fill="E1DFDD"/>
    </w:rPr>
  </w:style>
  <w:style w:type="paragraph" w:customStyle="1" w:styleId="WMATFIZCHEMwzrmatfizlubchem">
    <w:name w:val="W_MAT(FIZ|CHEM) – wzór mat. (fiz. lub chem.)"/>
    <w:uiPriority w:val="18"/>
    <w:qFormat/>
    <w:rsid w:val="003B7D06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0FB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1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4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1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1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4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ep.org.pl" TargetMode="External"/><Relationship Id="rId13" Type="http://schemas.openxmlformats.org/officeDocument/2006/relationships/hyperlink" Target="mailto:kig@ki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ig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uro@tgp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igeo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ptez.com.pl" TargetMode="External"/><Relationship Id="rId10" Type="http://schemas.openxmlformats.org/officeDocument/2006/relationships/hyperlink" Target="mailto:bi.warszawa@igc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iep.org.pl" TargetMode="External"/><Relationship Id="rId14" Type="http://schemas.openxmlformats.org/officeDocument/2006/relationships/hyperlink" Target="mailto:pkee@pke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5FA2A6-D6EF-43A1-A1E8-650A2F52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BOGUSŁAWSKI Paweł</dc:creator>
  <cp:lastModifiedBy>Banaszak Wojciech</cp:lastModifiedBy>
  <cp:revision>11</cp:revision>
  <dcterms:created xsi:type="dcterms:W3CDTF">2023-07-04T09:33:00Z</dcterms:created>
  <dcterms:modified xsi:type="dcterms:W3CDTF">2023-07-05T14:52:00Z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zofia.romanowska@fortum.com</vt:lpwstr>
  </property>
  <property fmtid="{D5CDD505-2E9C-101B-9397-08002B2CF9AE}" pid="5" name="MSIP_Label_65c3b1a5-3e25-4525-b923-a0572e679d8b_SetDate">
    <vt:lpwstr>2019-01-28T09:13:00.0695414Z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zofia.romanowska@fortum.com</vt:lpwstr>
  </property>
  <property fmtid="{D5CDD505-2E9C-101B-9397-08002B2CF9AE}" pid="12" name="MSIP_Label_f45044c0-b6aa-4b2b-834d-65c9ef8bb134_SetDate">
    <vt:lpwstr>2019-01-28T09:13:00.0695414Z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  <property fmtid="{D5CDD505-2E9C-101B-9397-08002B2CF9AE}" pid="18" name="_NewReviewCycle">
    <vt:lpwstr/>
  </property>
</Properties>
</file>