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142"/>
        <w:gridCol w:w="515"/>
        <w:gridCol w:w="451"/>
        <w:gridCol w:w="206"/>
        <w:gridCol w:w="136"/>
        <w:gridCol w:w="521"/>
        <w:gridCol w:w="416"/>
        <w:gridCol w:w="242"/>
        <w:gridCol w:w="43"/>
        <w:gridCol w:w="614"/>
        <w:gridCol w:w="39"/>
        <w:gridCol w:w="77"/>
        <w:gridCol w:w="541"/>
        <w:gridCol w:w="249"/>
        <w:gridCol w:w="71"/>
        <w:gridCol w:w="337"/>
        <w:gridCol w:w="195"/>
        <w:gridCol w:w="405"/>
        <w:gridCol w:w="329"/>
        <w:gridCol w:w="386"/>
        <w:gridCol w:w="223"/>
        <w:gridCol w:w="434"/>
        <w:gridCol w:w="504"/>
        <w:gridCol w:w="154"/>
        <w:gridCol w:w="1417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1E68F7" w:rsidRDefault="00FD25F0" w:rsidP="00AF049E">
            <w:pPr>
              <w:pStyle w:val="ARTartustawynprozporzdzenia"/>
              <w:rPr>
                <w:rFonts w:eastAsia="Calibri"/>
              </w:rPr>
            </w:pPr>
            <w:bookmarkStart w:id="0" w:name="t1"/>
            <w:bookmarkStart w:id="1" w:name="_GoBack"/>
            <w:bookmarkEnd w:id="1"/>
            <w:r w:rsidRPr="001E68F7">
              <w:rPr>
                <w:rFonts w:eastAsia="Calibri"/>
              </w:rPr>
              <w:t>Nazwa projektu</w:t>
            </w:r>
          </w:p>
          <w:p w14:paraId="6627A86B" w14:textId="05DDE70D" w:rsidR="00FD25F0" w:rsidRPr="001E68F7" w:rsidRDefault="009C21F5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</w:t>
            </w:r>
            <w:r w:rsidR="00FD25F0" w:rsidRPr="001E68F7">
              <w:rPr>
                <w:rFonts w:ascii="Times New Roman" w:eastAsia="Calibri" w:hAnsi="Times New Roman" w:cs="Times New Roman"/>
              </w:rPr>
              <w:t>ozporządzeni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rozporządzenie 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="00FD25F0" w:rsidRPr="001E68F7">
              <w:rPr>
                <w:rFonts w:ascii="Times New Roman" w:eastAsia="Calibri" w:hAnsi="Times New Roman" w:cs="Times New Roman"/>
              </w:rPr>
              <w:t>sprawie świadczeń gwarantowanych z zakresu ambulatoryjnej opieki specjalistycznej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0A10BB34" w:rsidR="00FD25F0" w:rsidRPr="001E68F7" w:rsidRDefault="00B7720E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Waldemar Kraska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S</w:t>
            </w:r>
            <w:r w:rsidR="00FD25F0" w:rsidRPr="001E68F7">
              <w:rPr>
                <w:rFonts w:ascii="Times New Roman" w:eastAsia="Calibri" w:hAnsi="Times New Roman" w:cs="Times New Roman"/>
              </w:rPr>
              <w:t>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2596C459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7" w:history="1">
              <w:r w:rsidRPr="001E68F7">
                <w:rPr>
                  <w:rFonts w:ascii="Times New Roman" w:eastAsia="Calibri" w:hAnsi="Times New Roman" w:cs="Times New Roman"/>
                  <w:u w:val="single"/>
                </w:rPr>
                <w:t>d.janiszewska</w:t>
              </w:r>
            </w:hyperlink>
            <w:r w:rsidRPr="001E68F7">
              <w:rPr>
                <w:rFonts w:ascii="Times New Roman" w:eastAsia="Calibri" w:hAnsi="Times New Roman" w:cs="Times New Roman"/>
                <w:u w:val="single"/>
              </w:rPr>
              <w:t>@mz.gov.pl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04C4EBD3" w:rsidR="00FD25F0" w:rsidRPr="001E68F7" w:rsidRDefault="009315BB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FD25F0" w:rsidRPr="001E68F7">
              <w:rPr>
                <w:rFonts w:ascii="Times New Roman" w:eastAsia="Calibri" w:hAnsi="Times New Roman" w:cs="Times New Roman"/>
              </w:rPr>
              <w:t>.</w:t>
            </w:r>
            <w:r w:rsidR="00FA42CF">
              <w:rPr>
                <w:rFonts w:ascii="Times New Roman" w:eastAsia="Calibri" w:hAnsi="Times New Roman" w:cs="Times New Roman"/>
              </w:rPr>
              <w:t>0</w:t>
            </w:r>
            <w:r w:rsidR="00F64635">
              <w:rPr>
                <w:rFonts w:ascii="Times New Roman" w:eastAsia="Calibri" w:hAnsi="Times New Roman" w:cs="Times New Roman"/>
              </w:rPr>
              <w:t>7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FA42CF">
              <w:rPr>
                <w:rFonts w:ascii="Times New Roman" w:eastAsia="Calibri" w:hAnsi="Times New Roman" w:cs="Times New Roman"/>
              </w:rPr>
              <w:t>3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102A28F6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(Dz. U. z 20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2</w:t>
            </w:r>
            <w:r w:rsidR="00455D57">
              <w:rPr>
                <w:rFonts w:ascii="Times New Roman" w:eastAsia="Times New Roman" w:hAnsi="Times New Roman" w:cs="Times New Roman"/>
              </w:rPr>
              <w:t>2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 r. poz. </w:t>
            </w:r>
            <w:r w:rsidR="00455D57">
              <w:rPr>
                <w:rFonts w:ascii="Times New Roman" w:eastAsia="Times New Roman" w:hAnsi="Times New Roman" w:cs="Times New Roman"/>
              </w:rPr>
              <w:t>2561</w:t>
            </w:r>
            <w:r w:rsidRPr="001E68F7">
              <w:rPr>
                <w:rFonts w:ascii="Times New Roman" w:eastAsia="Times New Roman" w:hAnsi="Times New Roman" w:cs="Times New Roman"/>
              </w:rPr>
              <w:t>, z późn.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6FDB7AED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584EFB47" w14:textId="2398DB0D" w:rsidR="00F33DBE" w:rsidRDefault="009315BB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MZ </w:t>
            </w:r>
            <w:r w:rsidR="00F33DBE">
              <w:rPr>
                <w:rFonts w:ascii="Times New Roman" w:eastAsia="Calibri" w:hAnsi="Times New Roman" w:cs="Times New Roman"/>
                <w:b/>
              </w:rPr>
              <w:t>1541</w:t>
            </w:r>
          </w:p>
          <w:p w14:paraId="641C75DA" w14:textId="4033340C" w:rsidR="00796656" w:rsidRPr="001E68F7" w:rsidRDefault="00796656" w:rsidP="00DA778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1E68F7" w:rsidRPr="001E68F7" w14:paraId="1C3BD251" w14:textId="77777777" w:rsidTr="00D16DD1">
        <w:trPr>
          <w:trHeight w:val="990"/>
        </w:trPr>
        <w:tc>
          <w:tcPr>
            <w:tcW w:w="11086" w:type="dxa"/>
            <w:gridSpan w:val="28"/>
            <w:shd w:val="clear" w:color="auto" w:fill="FFFFFF"/>
          </w:tcPr>
          <w:p w14:paraId="3FE35BF4" w14:textId="39AB8A64" w:rsidR="006A056C" w:rsidRPr="006A056C" w:rsidRDefault="008541E3" w:rsidP="006A05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B10">
              <w:rPr>
                <w:rFonts w:ascii="Times New Roman" w:hAnsi="Times New Roman" w:cs="Times New Roman"/>
              </w:rPr>
              <w:t xml:space="preserve">Celem projektowanego rozporządzenia zmieniającego rozporządzenie Ministra Zdrowia z dnia 6 listopada 2013 r. w sprawie świadczeń gwarantowanych z zakresu ambulatoryjnej opieki specjalistycznej (Dz. U. z 2016 r. poz. 357, z późn. zm.) jest zwiększenie dostępności do świadczenia gwarantowanego, które dotychczas nie było dostępne dla pacjentów w ramach ambulatoryjnej opieki specjalistycznej, a </w:t>
            </w:r>
            <w:r w:rsidR="00E8073A">
              <w:rPr>
                <w:rFonts w:ascii="Times New Roman" w:hAnsi="Times New Roman" w:cs="Times New Roman"/>
              </w:rPr>
              <w:t xml:space="preserve">to z kolei </w:t>
            </w:r>
            <w:r w:rsidRPr="00C13B10">
              <w:rPr>
                <w:rFonts w:ascii="Times New Roman" w:hAnsi="Times New Roman" w:cs="Times New Roman"/>
              </w:rPr>
              <w:t>ma znaczenie dla poprawy zdrowia pacjentów.</w:t>
            </w:r>
            <w:r w:rsidR="006A056C">
              <w:t xml:space="preserve"> </w:t>
            </w:r>
            <w:r w:rsidR="006A056C" w:rsidRPr="006A056C">
              <w:rPr>
                <w:rFonts w:ascii="Times New Roman" w:hAnsi="Times New Roman" w:cs="Times New Roman"/>
              </w:rPr>
              <w:t xml:space="preserve">Badanie nasienia (seminogram) jest podstawowym badaniem pierwszego rzutu wykorzystywanym w diagnostyce niepłodności męskiej, która powinna się rozpocząć równolegle z diagnostyką kobiety. W trakcie badania analizowane są ogólne parametry nasienia, takie jak objętość i lepkość ejakulatu, czas upłynnienia, pH, wygląd nasienia, ogólna liczba plemników w nasieniu, liczba plemników w 1 ml ejakulatu, odsetek żywych i poruszających się plemników, a także ewentualna aglutynacja (zgrupowanie) plemników i stopień jej zaawansowania. </w:t>
            </w:r>
          </w:p>
          <w:p w14:paraId="52943ED8" w14:textId="104B73F0" w:rsidR="002041EF" w:rsidRPr="00C81137" w:rsidRDefault="006A056C" w:rsidP="006A05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A056C">
              <w:rPr>
                <w:rFonts w:ascii="Times New Roman" w:hAnsi="Times New Roman" w:cs="Times New Roman"/>
              </w:rPr>
              <w:t>Badanie nasienia jest jednym z najważniejszych elementów procesu diagnostycznego w przypadku męskiej niepłodności. Prawidłowy wynik badania pozwala na wstrzymanie dalszej diagnostyki, natomiast nieprawidłowy – pozwala zaplanować dalsze działania związane z pogłębioną diagnostyką.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8"/>
            <w:shd w:val="clear" w:color="auto" w:fill="auto"/>
          </w:tcPr>
          <w:p w14:paraId="07E00240" w14:textId="76F5CD44" w:rsidR="00D9216E" w:rsidRPr="00BC0797" w:rsidRDefault="00DC4A72" w:rsidP="002A6A7F">
            <w:pPr>
              <w:pStyle w:val="ARTartustawynprozporzdzenia"/>
              <w:spacing w:before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D5F8F">
              <w:rPr>
                <w:rFonts w:ascii="Times New Roman" w:hAnsi="Times New Roman" w:cs="Times New Roman"/>
                <w:sz w:val="22"/>
                <w:szCs w:val="22"/>
              </w:rPr>
              <w:t xml:space="preserve">W rozporządzeniu Ministra Zdrowia z dnia </w:t>
            </w:r>
            <w:r w:rsidRPr="009D5F8F">
              <w:rPr>
                <w:rFonts w:ascii="Times New Roman" w:eastAsia="Calibri" w:hAnsi="Times New Roman" w:cs="Times New Roman"/>
                <w:sz w:val="22"/>
                <w:szCs w:val="22"/>
              </w:rPr>
              <w:t>6 listopada 2013 r.</w:t>
            </w:r>
            <w:r w:rsidRPr="009D5F8F">
              <w:rPr>
                <w:rFonts w:ascii="Times New Roman" w:hAnsi="Times New Roman" w:cs="Times New Roman"/>
                <w:sz w:val="22"/>
                <w:szCs w:val="22"/>
              </w:rPr>
              <w:t xml:space="preserve"> w sprawie świadczeń gwarantowanych z zakresu ambulatoryjnej opieki specjalistycznej </w:t>
            </w:r>
            <w:r w:rsidRPr="00281BA5">
              <w:rPr>
                <w:rFonts w:ascii="Times New Roman" w:hAnsi="Times New Roman" w:cs="Times New Roman"/>
                <w:sz w:val="22"/>
                <w:szCs w:val="22"/>
              </w:rPr>
              <w:t xml:space="preserve">do załącznika nr </w:t>
            </w:r>
            <w:r w:rsidR="006725B0" w:rsidRPr="00281BA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81BA5">
              <w:rPr>
                <w:rFonts w:ascii="Times New Roman" w:hAnsi="Times New Roman" w:cs="Times New Roman"/>
                <w:sz w:val="22"/>
                <w:szCs w:val="22"/>
              </w:rPr>
              <w:t xml:space="preserve"> dodaje się nowe świadczenie opieki zdrowotnej </w:t>
            </w:r>
            <w:r w:rsidR="006725B0" w:rsidRPr="00281BA5">
              <w:rPr>
                <w:rFonts w:ascii="Times New Roman" w:hAnsi="Times New Roman" w:cs="Times New Roman"/>
                <w:sz w:val="22"/>
                <w:szCs w:val="22"/>
              </w:rPr>
              <w:t>„Badanie nasienia (seminogram)”.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auto"/>
          </w:tcPr>
          <w:p w14:paraId="6B01D4AB" w14:textId="2B9991C2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Rozwiązania przyjęte w innych krajach pozostają bez wpływu na projekt rozporządzenia. 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4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11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0C9F2970" w14:textId="5A9896FB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Świadczeniobiorcy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10558C5" w14:textId="0B7D8667" w:rsidR="00BD0D8F" w:rsidRPr="002F211B" w:rsidRDefault="00B37DC9" w:rsidP="0079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B37DC9">
              <w:rPr>
                <w:rFonts w:ascii="Times New Roman" w:eastAsia="Times New Roman" w:hAnsi="Times New Roman" w:cs="Times New Roman"/>
                <w:lang w:eastAsia="pl-PL"/>
              </w:rPr>
              <w:t>8300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273752A6" w:rsidR="00BD0D8F" w:rsidRPr="00DF6C0E" w:rsidRDefault="007972D3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DF6C0E">
              <w:rPr>
                <w:rFonts w:ascii="Times New Roman" w:hAnsi="Times New Roman" w:cs="Times New Roman"/>
              </w:rPr>
              <w:t xml:space="preserve">Agencja Oceny Technologii Medycznych i Taryfikacji (AOTMiT) 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0BC66610" w:rsidR="00AC3491" w:rsidRPr="00DF6C0E" w:rsidRDefault="006D496B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 w:rsidRPr="00DF6C0E">
              <w:rPr>
                <w:rFonts w:ascii="Times New Roman" w:hAnsi="Times New Roman" w:cs="Times New Roman"/>
              </w:rPr>
              <w:t>Poprawa diagnostyki</w:t>
            </w:r>
            <w:r w:rsidR="000324AE" w:rsidRPr="00DF6C0E">
              <w:rPr>
                <w:rFonts w:ascii="Times New Roman" w:hAnsi="Times New Roman" w:cs="Times New Roman"/>
              </w:rPr>
              <w:t xml:space="preserve"> </w:t>
            </w:r>
            <w:r w:rsidR="004F7A5D" w:rsidRPr="00DF6C0E">
              <w:rPr>
                <w:rFonts w:ascii="Times New Roman" w:hAnsi="Times New Roman" w:cs="Times New Roman"/>
              </w:rPr>
              <w:t>pacjentów z niepłodnością</w:t>
            </w:r>
            <w:r w:rsidR="00BF2375" w:rsidRPr="00DF6C0E">
              <w:rPr>
                <w:rFonts w:ascii="Times New Roman" w:hAnsi="Times New Roman" w:cs="Times New Roman"/>
              </w:rPr>
              <w:t xml:space="preserve"> męską</w:t>
            </w:r>
            <w:r w:rsidR="004F7A5D" w:rsidRPr="00DF6C0E">
              <w:rPr>
                <w:rFonts w:ascii="Times New Roman" w:hAnsi="Times New Roman" w:cs="Times New Roman"/>
              </w:rPr>
              <w:t xml:space="preserve"> </w:t>
            </w:r>
            <w:r w:rsidR="00946A7F" w:rsidRPr="00DF6C0E">
              <w:rPr>
                <w:rFonts w:ascii="Times New Roman" w:hAnsi="Times New Roman" w:cs="Times New Roman"/>
              </w:rPr>
              <w:t xml:space="preserve"> </w:t>
            </w:r>
            <w:r w:rsidR="000324AE" w:rsidRPr="00DF6C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D8F" w:rsidRPr="001E68F7" w14:paraId="3F313EA5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608F363E" w14:textId="2EDD5EBB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D6E1E">
              <w:rPr>
                <w:rFonts w:ascii="Times New Roman" w:eastAsia="Calibri" w:hAnsi="Times New Roman" w:cs="Times New Roman"/>
                <w:spacing w:val="-2"/>
              </w:rPr>
              <w:t xml:space="preserve">Świadczeniodawcy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7120DFBB" w14:textId="05B2BE1F" w:rsidR="00BD0D8F" w:rsidRPr="002F211B" w:rsidRDefault="00F24066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F24066">
              <w:rPr>
                <w:rFonts w:ascii="Times New Roman" w:eastAsia="Times New Roman" w:hAnsi="Times New Roman" w:cs="Times New Roman"/>
                <w:lang w:eastAsia="pl-PL"/>
              </w:rPr>
              <w:t>2675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538C2369" w:rsidR="00BD0D8F" w:rsidRPr="006913BE" w:rsidRDefault="00F24066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  <w:highlight w:val="yellow"/>
              </w:rPr>
            </w:pPr>
            <w:r w:rsidRPr="00F24066">
              <w:rPr>
                <w:rFonts w:ascii="Times New Roman" w:hAnsi="Times New Roman" w:cs="Times New Roman"/>
              </w:rPr>
              <w:t>Krajowa Izba Diagnostów Laboratoryjnych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76588CFC" w:rsidR="00BD0D8F" w:rsidRPr="002F211B" w:rsidRDefault="007972D3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 w:rsidRPr="002F211B">
              <w:rPr>
                <w:rFonts w:ascii="Times New Roman" w:hAnsi="Times New Roman" w:cs="Times New Roman"/>
              </w:rPr>
              <w:t>Optymalizacja procesów diagnostycznych i leczniczych.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33B24EA9" w14:textId="71205A98" w:rsidR="00BD0D8F" w:rsidRPr="002F211B" w:rsidRDefault="00E8073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Narodowy Fundusz Zdrowia (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NFZ</w:t>
            </w:r>
            <w:r>
              <w:rPr>
                <w:rFonts w:ascii="Times New Roman" w:eastAsia="Calibri" w:hAnsi="Times New Roman" w:cs="Times New Roman"/>
                <w:spacing w:val="-2"/>
              </w:rPr>
              <w:t>)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12DFC2F0" w:rsidR="00BD0D8F" w:rsidRPr="002F211B" w:rsidRDefault="0030181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20817477" w14:textId="23921C8A" w:rsidR="00BD0D8F" w:rsidRPr="002F211B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Alokacja zasobów finansowych.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D16DD1">
        <w:trPr>
          <w:trHeight w:val="562"/>
        </w:trPr>
        <w:tc>
          <w:tcPr>
            <w:tcW w:w="11086" w:type="dxa"/>
            <w:gridSpan w:val="28"/>
            <w:shd w:val="clear" w:color="auto" w:fill="FFFFFF"/>
          </w:tcPr>
          <w:p w14:paraId="601D4131" w14:textId="77777777" w:rsidR="00C00A10" w:rsidRPr="001E68F7" w:rsidRDefault="00C00A10" w:rsidP="00C00A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pre-konsultacji. </w:t>
            </w:r>
          </w:p>
          <w:p w14:paraId="5BCC028B" w14:textId="08EE596D" w:rsidR="00C00A10" w:rsidRPr="00D8089C" w:rsidRDefault="00AF049E" w:rsidP="00C00A1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</w:rPr>
              <w:t>Projekt został skierowany do k</w:t>
            </w:r>
            <w:r w:rsidR="002E023B" w:rsidRPr="001E68F7">
              <w:rPr>
                <w:rFonts w:ascii="Times New Roman" w:hAnsi="Times New Roman"/>
                <w:spacing w:val="-2"/>
              </w:rPr>
              <w:t>onsultacj</w:t>
            </w:r>
            <w:r>
              <w:rPr>
                <w:rFonts w:ascii="Times New Roman" w:hAnsi="Times New Roman"/>
                <w:spacing w:val="-2"/>
              </w:rPr>
              <w:t>i</w:t>
            </w:r>
            <w:r w:rsidR="002E023B" w:rsidRPr="001E68F7">
              <w:rPr>
                <w:rFonts w:ascii="Times New Roman" w:hAnsi="Times New Roman"/>
                <w:spacing w:val="-2"/>
              </w:rPr>
              <w:t xml:space="preserve"> publiczn</w:t>
            </w:r>
            <w:r>
              <w:rPr>
                <w:rFonts w:ascii="Times New Roman" w:hAnsi="Times New Roman"/>
                <w:spacing w:val="-2"/>
              </w:rPr>
              <w:t>ych</w:t>
            </w:r>
            <w:r w:rsidR="002E023B" w:rsidRPr="001E68F7">
              <w:rPr>
                <w:rFonts w:ascii="Times New Roman" w:hAnsi="Times New Roman"/>
                <w:spacing w:val="-2"/>
              </w:rPr>
              <w:t xml:space="preserve"> </w:t>
            </w:r>
            <w:r w:rsidR="002E023B">
              <w:rPr>
                <w:rFonts w:ascii="Times New Roman" w:hAnsi="Times New Roman"/>
                <w:spacing w:val="-2"/>
              </w:rPr>
              <w:t>i opiniowani</w:t>
            </w:r>
            <w:r>
              <w:rPr>
                <w:rFonts w:ascii="Times New Roman" w:hAnsi="Times New Roman"/>
                <w:spacing w:val="-2"/>
              </w:rPr>
              <w:t xml:space="preserve">a z </w:t>
            </w:r>
            <w:r w:rsidR="00CB05B5">
              <w:rPr>
                <w:rFonts w:ascii="Times New Roman" w:hAnsi="Times New Roman"/>
                <w:spacing w:val="-2"/>
              </w:rPr>
              <w:t>21</w:t>
            </w:r>
            <w:r w:rsidR="002E023B">
              <w:rPr>
                <w:rFonts w:ascii="Times New Roman" w:hAnsi="Times New Roman"/>
                <w:spacing w:val="-2"/>
              </w:rPr>
              <w:t>-</w:t>
            </w:r>
            <w:r w:rsidR="002E023B" w:rsidRPr="001E68F7">
              <w:rPr>
                <w:rFonts w:ascii="Times New Roman" w:hAnsi="Times New Roman"/>
                <w:spacing w:val="-2"/>
              </w:rPr>
              <w:t>dni</w:t>
            </w:r>
            <w:r w:rsidR="002E023B">
              <w:rPr>
                <w:rFonts w:ascii="Times New Roman" w:hAnsi="Times New Roman"/>
                <w:spacing w:val="-2"/>
              </w:rPr>
              <w:t xml:space="preserve">owym terminie </w:t>
            </w:r>
            <w:r>
              <w:rPr>
                <w:rFonts w:ascii="Times New Roman" w:hAnsi="Times New Roman"/>
                <w:spacing w:val="-2"/>
              </w:rPr>
              <w:t>na</w:t>
            </w:r>
            <w:r w:rsidR="002E023B">
              <w:rPr>
                <w:rFonts w:ascii="Times New Roman" w:hAnsi="Times New Roman"/>
                <w:spacing w:val="-2"/>
              </w:rPr>
              <w:t xml:space="preserve"> zgłaszania uwag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E8073A">
              <w:rPr>
                <w:rFonts w:ascii="Times New Roman" w:hAnsi="Times New Roman"/>
                <w:shd w:val="clear" w:color="auto" w:fill="FFFFFF"/>
              </w:rPr>
              <w:t>do</w:t>
            </w:r>
            <w:r w:rsidR="00C00A10" w:rsidRPr="00D8089C">
              <w:rPr>
                <w:rFonts w:ascii="Times New Roman" w:hAnsi="Times New Roman"/>
                <w:shd w:val="clear" w:color="auto" w:fill="FFFFFF"/>
              </w:rPr>
              <w:t>:</w:t>
            </w:r>
          </w:p>
          <w:p w14:paraId="7CC74072" w14:textId="481526FE" w:rsidR="00CF4F83" w:rsidRPr="00D8089C" w:rsidRDefault="00E8073A" w:rsidP="00CF4F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</w:rPr>
              <w:t>k</w:t>
            </w:r>
            <w:r w:rsidR="00CF4F83" w:rsidRPr="00D8089C">
              <w:rPr>
                <w:rFonts w:ascii="Times New Roman" w:hAnsi="Times New Roman"/>
                <w:spacing w:val="-2"/>
              </w:rPr>
              <w:t>onsultant</w:t>
            </w:r>
            <w:r w:rsidR="001026DF">
              <w:rPr>
                <w:rFonts w:ascii="Times New Roman" w:hAnsi="Times New Roman"/>
                <w:spacing w:val="-2"/>
              </w:rPr>
              <w:t>a</w:t>
            </w:r>
            <w:r w:rsidR="00CF4F83" w:rsidRPr="00D8089C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</w:t>
            </w:r>
            <w:r w:rsidR="00CF4F83" w:rsidRPr="00D8089C">
              <w:rPr>
                <w:rFonts w:ascii="Times New Roman" w:hAnsi="Times New Roman"/>
                <w:spacing w:val="-2"/>
              </w:rPr>
              <w:t>rajow</w:t>
            </w:r>
            <w:r w:rsidR="001026DF">
              <w:rPr>
                <w:rFonts w:ascii="Times New Roman" w:hAnsi="Times New Roman"/>
                <w:spacing w:val="-2"/>
              </w:rPr>
              <w:t>ego</w:t>
            </w:r>
            <w:r w:rsidR="00CF4F83" w:rsidRPr="00D8089C">
              <w:rPr>
                <w:rFonts w:ascii="Times New Roman" w:hAnsi="Times New Roman"/>
                <w:spacing w:val="-2"/>
              </w:rPr>
              <w:t xml:space="preserve"> w dziedzinie </w:t>
            </w:r>
            <w:r w:rsidR="00D24852" w:rsidRPr="00D8089C">
              <w:rPr>
                <w:rFonts w:ascii="Times New Roman" w:hAnsi="Times New Roman"/>
                <w:spacing w:val="-2"/>
              </w:rPr>
              <w:t>endokrynologii</w:t>
            </w:r>
            <w:r w:rsidR="00CF4F83" w:rsidRPr="00D8089C">
              <w:rPr>
                <w:rFonts w:ascii="Times New Roman" w:hAnsi="Times New Roman"/>
                <w:spacing w:val="-2"/>
              </w:rPr>
              <w:t xml:space="preserve">; </w:t>
            </w:r>
          </w:p>
          <w:p w14:paraId="4D349272" w14:textId="59774517" w:rsidR="00CF4F83" w:rsidRPr="00D8089C" w:rsidRDefault="00E8073A" w:rsidP="00CF4F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</w:rPr>
              <w:t>k</w:t>
            </w:r>
            <w:r w:rsidR="00E02A2A" w:rsidRPr="00D8089C">
              <w:rPr>
                <w:rFonts w:ascii="Times New Roman" w:hAnsi="Times New Roman"/>
                <w:spacing w:val="-2"/>
              </w:rPr>
              <w:t>onsultant</w:t>
            </w:r>
            <w:r w:rsidR="001026DF">
              <w:rPr>
                <w:rFonts w:ascii="Times New Roman" w:hAnsi="Times New Roman"/>
                <w:spacing w:val="-2"/>
              </w:rPr>
              <w:t>a</w:t>
            </w:r>
            <w:r w:rsidR="00E02A2A" w:rsidRPr="00D8089C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</w:t>
            </w:r>
            <w:r w:rsidR="00E02A2A" w:rsidRPr="00D8089C">
              <w:rPr>
                <w:rFonts w:ascii="Times New Roman" w:hAnsi="Times New Roman"/>
                <w:spacing w:val="-2"/>
              </w:rPr>
              <w:t>rajow</w:t>
            </w:r>
            <w:r w:rsidR="001026DF">
              <w:rPr>
                <w:rFonts w:ascii="Times New Roman" w:hAnsi="Times New Roman"/>
                <w:spacing w:val="-2"/>
              </w:rPr>
              <w:t>ego</w:t>
            </w:r>
            <w:r w:rsidR="00E02A2A" w:rsidRPr="00D8089C">
              <w:rPr>
                <w:rFonts w:ascii="Times New Roman" w:hAnsi="Times New Roman"/>
                <w:spacing w:val="-2"/>
              </w:rPr>
              <w:t xml:space="preserve"> w dziedzinie </w:t>
            </w:r>
            <w:r w:rsidR="00D24852" w:rsidRPr="00D8089C">
              <w:rPr>
                <w:rFonts w:ascii="Times New Roman" w:hAnsi="Times New Roman"/>
                <w:spacing w:val="-2"/>
              </w:rPr>
              <w:t>endokrynologii ginekologicznej i rozrodczości</w:t>
            </w:r>
            <w:r w:rsidR="00CF4F83" w:rsidRPr="00D8089C">
              <w:rPr>
                <w:rFonts w:ascii="Times New Roman" w:hAnsi="Times New Roman"/>
                <w:spacing w:val="-2"/>
              </w:rPr>
              <w:t>;</w:t>
            </w:r>
            <w:r w:rsidR="00E02A2A" w:rsidRPr="00D8089C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C8A86E8" w14:textId="595C8DCF" w:rsidR="00C00A10" w:rsidRPr="00D8089C" w:rsidRDefault="00E8073A" w:rsidP="00CF4F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k</w:t>
            </w:r>
            <w:r w:rsidR="003F75D1" w:rsidRPr="00D8089C">
              <w:rPr>
                <w:rFonts w:ascii="Times New Roman" w:hAnsi="Times New Roman"/>
                <w:spacing w:val="-2"/>
              </w:rPr>
              <w:t>onsultant</w:t>
            </w:r>
            <w:r w:rsidR="001026DF">
              <w:rPr>
                <w:rFonts w:ascii="Times New Roman" w:hAnsi="Times New Roman"/>
                <w:spacing w:val="-2"/>
              </w:rPr>
              <w:t>a</w:t>
            </w:r>
            <w:r w:rsidR="003F75D1" w:rsidRPr="00D8089C">
              <w:rPr>
                <w:rFonts w:ascii="Times New Roman" w:hAnsi="Times New Roman"/>
                <w:spacing w:val="-2"/>
              </w:rPr>
              <w:t xml:space="preserve"> </w:t>
            </w:r>
            <w:r w:rsidR="001026DF">
              <w:rPr>
                <w:rFonts w:ascii="Times New Roman" w:hAnsi="Times New Roman"/>
                <w:spacing w:val="-2"/>
              </w:rPr>
              <w:t>k</w:t>
            </w:r>
            <w:r w:rsidR="003F75D1" w:rsidRPr="00D8089C">
              <w:rPr>
                <w:rFonts w:ascii="Times New Roman" w:hAnsi="Times New Roman"/>
                <w:spacing w:val="-2"/>
              </w:rPr>
              <w:t>rajow</w:t>
            </w:r>
            <w:r w:rsidR="001026DF">
              <w:rPr>
                <w:rFonts w:ascii="Times New Roman" w:hAnsi="Times New Roman"/>
                <w:spacing w:val="-2"/>
              </w:rPr>
              <w:t>ego</w:t>
            </w:r>
            <w:r w:rsidR="003F75D1" w:rsidRPr="00D8089C">
              <w:rPr>
                <w:rFonts w:ascii="Times New Roman" w:hAnsi="Times New Roman"/>
                <w:spacing w:val="-2"/>
              </w:rPr>
              <w:t xml:space="preserve"> w dziedzinie </w:t>
            </w:r>
            <w:r w:rsidR="00D8089C" w:rsidRPr="00D8089C">
              <w:rPr>
                <w:rFonts w:ascii="Times New Roman" w:hAnsi="Times New Roman"/>
                <w:spacing w:val="-2"/>
              </w:rPr>
              <w:t>położnictwa i ginekologii</w:t>
            </w:r>
            <w:r w:rsidR="00CF4F83" w:rsidRPr="00D8089C">
              <w:rPr>
                <w:rFonts w:ascii="Times New Roman" w:hAnsi="Times New Roman"/>
                <w:spacing w:val="-2"/>
              </w:rPr>
              <w:t>;</w:t>
            </w:r>
          </w:p>
          <w:p w14:paraId="07926EC2" w14:textId="27BA3EE3" w:rsidR="00D8089C" w:rsidRPr="00436245" w:rsidRDefault="00E8073A" w:rsidP="00CF4F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</w:rPr>
              <w:t>k</w:t>
            </w:r>
            <w:r w:rsidR="00436245" w:rsidRPr="00D8089C">
              <w:rPr>
                <w:rFonts w:ascii="Times New Roman" w:hAnsi="Times New Roman"/>
                <w:spacing w:val="-2"/>
              </w:rPr>
              <w:t>onsultant</w:t>
            </w:r>
            <w:r w:rsidR="001026DF">
              <w:rPr>
                <w:rFonts w:ascii="Times New Roman" w:hAnsi="Times New Roman"/>
                <w:spacing w:val="-2"/>
              </w:rPr>
              <w:t>a</w:t>
            </w:r>
            <w:r w:rsidR="00436245" w:rsidRPr="00D8089C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</w:t>
            </w:r>
            <w:r w:rsidR="00436245" w:rsidRPr="00D8089C">
              <w:rPr>
                <w:rFonts w:ascii="Times New Roman" w:hAnsi="Times New Roman"/>
                <w:spacing w:val="-2"/>
              </w:rPr>
              <w:t>rajow</w:t>
            </w:r>
            <w:r w:rsidR="001026DF">
              <w:rPr>
                <w:rFonts w:ascii="Times New Roman" w:hAnsi="Times New Roman"/>
                <w:spacing w:val="-2"/>
              </w:rPr>
              <w:t>ego</w:t>
            </w:r>
            <w:r w:rsidR="00436245" w:rsidRPr="00D8089C">
              <w:rPr>
                <w:rFonts w:ascii="Times New Roman" w:hAnsi="Times New Roman"/>
                <w:spacing w:val="-2"/>
              </w:rPr>
              <w:t xml:space="preserve"> w dziedzinie</w:t>
            </w:r>
            <w:r w:rsidR="00436245">
              <w:rPr>
                <w:rFonts w:ascii="Times New Roman" w:hAnsi="Times New Roman"/>
                <w:spacing w:val="-2"/>
              </w:rPr>
              <w:t xml:space="preserve"> seksuologii;</w:t>
            </w:r>
          </w:p>
          <w:p w14:paraId="2D2F5C9B" w14:textId="2AC3B751" w:rsidR="00436245" w:rsidRPr="00D8089C" w:rsidRDefault="00E8073A" w:rsidP="00CF4F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pacing w:val="-2"/>
              </w:rPr>
              <w:t>k</w:t>
            </w:r>
            <w:r w:rsidR="00436245" w:rsidRPr="00D8089C">
              <w:rPr>
                <w:rFonts w:ascii="Times New Roman" w:hAnsi="Times New Roman"/>
                <w:spacing w:val="-2"/>
              </w:rPr>
              <w:t>onsultant</w:t>
            </w:r>
            <w:r w:rsidR="001026DF">
              <w:rPr>
                <w:rFonts w:ascii="Times New Roman" w:hAnsi="Times New Roman"/>
                <w:spacing w:val="-2"/>
              </w:rPr>
              <w:t>a</w:t>
            </w:r>
            <w:r w:rsidR="00436245" w:rsidRPr="00D8089C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k</w:t>
            </w:r>
            <w:r w:rsidR="00436245" w:rsidRPr="00D8089C">
              <w:rPr>
                <w:rFonts w:ascii="Times New Roman" w:hAnsi="Times New Roman"/>
                <w:spacing w:val="-2"/>
              </w:rPr>
              <w:t>rajow</w:t>
            </w:r>
            <w:r w:rsidR="001026DF">
              <w:rPr>
                <w:rFonts w:ascii="Times New Roman" w:hAnsi="Times New Roman"/>
                <w:spacing w:val="-2"/>
              </w:rPr>
              <w:t xml:space="preserve">ego </w:t>
            </w:r>
            <w:r w:rsidR="00436245" w:rsidRPr="00D8089C">
              <w:rPr>
                <w:rFonts w:ascii="Times New Roman" w:hAnsi="Times New Roman"/>
                <w:spacing w:val="-2"/>
              </w:rPr>
              <w:t>w dziedzinie</w:t>
            </w:r>
            <w:r w:rsidR="00436245">
              <w:rPr>
                <w:rFonts w:ascii="Times New Roman" w:hAnsi="Times New Roman"/>
                <w:spacing w:val="-2"/>
              </w:rPr>
              <w:t xml:space="preserve"> urologii; </w:t>
            </w:r>
          </w:p>
          <w:p w14:paraId="786A15F0" w14:textId="669A2F06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</w:t>
            </w:r>
            <w:r w:rsidR="001026DF">
              <w:rPr>
                <w:rFonts w:ascii="Times New Roman" w:hAnsi="Times New Roman"/>
                <w:shd w:val="clear" w:color="auto" w:fill="FFFFFF"/>
              </w:rPr>
              <w:t>ej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1026DF">
              <w:rPr>
                <w:rFonts w:ascii="Times New Roman" w:hAnsi="Times New Roman"/>
                <w:shd w:val="clear" w:color="auto" w:fill="FFFFFF"/>
              </w:rPr>
              <w:t>y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Lekarsk</w:t>
            </w:r>
            <w:r w:rsidR="001026DF">
              <w:rPr>
                <w:rFonts w:ascii="Times New Roman" w:hAnsi="Times New Roman"/>
                <w:shd w:val="clear" w:color="auto" w:fill="FFFFFF"/>
              </w:rPr>
              <w:t>iej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4425684" w14:textId="5E6E692F" w:rsidR="00FD1D0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</w:t>
            </w:r>
            <w:r w:rsidR="001026DF">
              <w:rPr>
                <w:rFonts w:ascii="Times New Roman" w:hAnsi="Times New Roman"/>
                <w:shd w:val="clear" w:color="auto" w:fill="FFFFFF"/>
              </w:rPr>
              <w:t>ej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1026DF">
              <w:rPr>
                <w:rFonts w:ascii="Times New Roman" w:hAnsi="Times New Roman"/>
                <w:shd w:val="clear" w:color="auto" w:fill="FFFFFF"/>
              </w:rPr>
              <w:t>y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Aptekarsk</w:t>
            </w:r>
            <w:r w:rsidR="001026DF">
              <w:rPr>
                <w:rFonts w:ascii="Times New Roman" w:hAnsi="Times New Roman"/>
                <w:shd w:val="clear" w:color="auto" w:fill="FFFFFF"/>
              </w:rPr>
              <w:t>iej</w:t>
            </w:r>
            <w:r w:rsidR="00FD1D04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55637D5" w14:textId="1B011B91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Krajow</w:t>
            </w:r>
            <w:r w:rsidR="001026DF">
              <w:rPr>
                <w:rFonts w:ascii="Times New Roman" w:hAnsi="Times New Roman"/>
                <w:shd w:val="clear" w:color="auto" w:fill="FFFFFF"/>
              </w:rPr>
              <w:t>ej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1026DF">
              <w:rPr>
                <w:rFonts w:ascii="Times New Roman" w:hAnsi="Times New Roman"/>
                <w:shd w:val="clear" w:color="auto" w:fill="FFFFFF"/>
              </w:rPr>
              <w:t>y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Diagnostów Laboratoryjnych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1CF8C6A" w14:textId="497B1D26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</w:t>
            </w:r>
            <w:r w:rsidR="001026DF">
              <w:rPr>
                <w:rFonts w:ascii="Times New Roman" w:hAnsi="Times New Roman"/>
                <w:shd w:val="clear" w:color="auto" w:fill="FFFFFF"/>
              </w:rPr>
              <w:t>ej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1026DF">
              <w:rPr>
                <w:rFonts w:ascii="Times New Roman" w:hAnsi="Times New Roman"/>
                <w:shd w:val="clear" w:color="auto" w:fill="FFFFFF"/>
              </w:rPr>
              <w:t>y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Pielęgniarek i Położnych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9664827" w14:textId="18DB322E" w:rsidR="00C00A10" w:rsidRPr="006379DB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Krajow</w:t>
            </w:r>
            <w:r w:rsidR="001026DF">
              <w:rPr>
                <w:rFonts w:ascii="Times New Roman" w:hAnsi="Times New Roman"/>
                <w:shd w:val="clear" w:color="auto" w:fill="FFFFFF"/>
              </w:rPr>
              <w:t>ej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Izb</w:t>
            </w:r>
            <w:r w:rsidR="001026DF">
              <w:rPr>
                <w:rFonts w:ascii="Times New Roman" w:hAnsi="Times New Roman"/>
                <w:shd w:val="clear" w:color="auto" w:fill="FFFFFF"/>
              </w:rPr>
              <w:t>y</w:t>
            </w:r>
            <w:r w:rsidRPr="006379DB">
              <w:rPr>
                <w:rFonts w:ascii="Times New Roman" w:hAnsi="Times New Roman"/>
                <w:shd w:val="clear" w:color="auto" w:fill="FFFFFF"/>
              </w:rPr>
              <w:t xml:space="preserve"> Fizjoterapeutów;</w:t>
            </w:r>
          </w:p>
          <w:p w14:paraId="4BBC62C6" w14:textId="02AEFB9E" w:rsidR="00CF4F83" w:rsidRPr="00BF5BE0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F5BE0">
              <w:rPr>
                <w:rFonts w:ascii="Times New Roman" w:eastAsia="Times New Roman" w:hAnsi="Times New Roman"/>
                <w:bCs/>
                <w:lang w:eastAsia="pl-PL"/>
              </w:rPr>
              <w:t>Federacj</w:t>
            </w:r>
            <w:r w:rsidR="001026DF"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Pr="00BF5BE0">
              <w:rPr>
                <w:rFonts w:ascii="Times New Roman" w:eastAsia="Times New Roman" w:hAnsi="Times New Roman"/>
                <w:bCs/>
                <w:lang w:eastAsia="pl-PL"/>
              </w:rPr>
              <w:t xml:space="preserve"> Przedsiębiorców Polskich</w:t>
            </w:r>
            <w:r w:rsidR="00CF4F83" w:rsidRPr="00BF5BE0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8C09794" w14:textId="6E4BAB0E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Konfederacj</w:t>
            </w:r>
            <w:r w:rsidR="001026D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 xml:space="preserve"> Lewiatan</w:t>
            </w:r>
            <w:r w:rsidR="00CF4F8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2E87765" w14:textId="002F433F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Pracodawc</w:t>
            </w:r>
            <w:r w:rsidR="001026DF">
              <w:rPr>
                <w:rFonts w:ascii="Times New Roman" w:hAnsi="Times New Roman" w:cs="Times New Roman"/>
                <w:shd w:val="clear" w:color="auto" w:fill="FFFFFF"/>
              </w:rPr>
              <w:t>ów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 xml:space="preserve"> RP</w:t>
            </w:r>
            <w:r w:rsidR="00CF4F83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3EAB9C9" w14:textId="415878BC" w:rsidR="00C00A10" w:rsidRPr="00E50556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pacing w:val="-2"/>
              </w:rPr>
              <w:t>Stowarzyszeni</w:t>
            </w:r>
            <w:r w:rsidR="001026DF">
              <w:rPr>
                <w:rFonts w:ascii="Times New Roman" w:hAnsi="Times New Roman" w:cs="Times New Roman"/>
                <w:spacing w:val="-2"/>
              </w:rPr>
              <w:t>a</w:t>
            </w:r>
            <w:r w:rsidRPr="00755CE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50556">
              <w:rPr>
                <w:rFonts w:ascii="Times New Roman" w:hAnsi="Times New Roman" w:cs="Times New Roman"/>
                <w:spacing w:val="-2"/>
              </w:rPr>
              <w:t>Menedżerów Opieki Zdrowotnej</w:t>
            </w:r>
            <w:r w:rsidRPr="00E5055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6C697F4" w14:textId="384A269C" w:rsidR="00CF4F83" w:rsidRPr="00E50556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0556">
              <w:rPr>
                <w:rFonts w:ascii="Times New Roman" w:hAnsi="Times New Roman" w:cs="Times New Roman"/>
                <w:shd w:val="clear" w:color="auto" w:fill="FFFFFF"/>
              </w:rPr>
              <w:t>Stowarzyszeni</w:t>
            </w:r>
            <w:r w:rsidR="001026D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E50556">
              <w:rPr>
                <w:rFonts w:ascii="Times New Roman" w:hAnsi="Times New Roman" w:cs="Times New Roman"/>
                <w:shd w:val="clear" w:color="auto" w:fill="FFFFFF"/>
              </w:rPr>
              <w:t xml:space="preserve"> Primum Non Nocere</w:t>
            </w:r>
            <w:r w:rsidR="00CF4F83" w:rsidRPr="00E5055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10ADD316" w14:textId="217EE306" w:rsidR="00140B87" w:rsidRPr="00140B87" w:rsidRDefault="00E50556" w:rsidP="00140B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0556">
              <w:rPr>
                <w:rFonts w:ascii="Times New Roman" w:hAnsi="Times New Roman" w:cs="Times New Roman"/>
                <w:color w:val="292728"/>
                <w:shd w:val="clear" w:color="auto" w:fill="FFFFFF"/>
              </w:rPr>
              <w:t>Stowarzyszeni</w:t>
            </w:r>
            <w:r w:rsidR="001026DF">
              <w:rPr>
                <w:rFonts w:ascii="Times New Roman" w:hAnsi="Times New Roman" w:cs="Times New Roman"/>
                <w:color w:val="292728"/>
                <w:shd w:val="clear" w:color="auto" w:fill="FFFFFF"/>
              </w:rPr>
              <w:t>a</w:t>
            </w:r>
            <w:r w:rsidRPr="00E50556">
              <w:rPr>
                <w:rFonts w:ascii="Times New Roman" w:hAnsi="Times New Roman" w:cs="Times New Roman"/>
                <w:color w:val="292728"/>
                <w:shd w:val="clear" w:color="auto" w:fill="FFFFFF"/>
              </w:rPr>
              <w:t xml:space="preserve"> na Rzecz Leczenia Niepłodności i Wspierania Adopcji “Nasz Bocian”</w:t>
            </w:r>
            <w:r>
              <w:rPr>
                <w:rFonts w:ascii="Times New Roman" w:hAnsi="Times New Roman" w:cs="Times New Roman"/>
                <w:color w:val="292728"/>
                <w:shd w:val="clear" w:color="auto" w:fill="FFFFFF"/>
              </w:rPr>
              <w:t>;</w:t>
            </w:r>
          </w:p>
          <w:p w14:paraId="7AB7A98B" w14:textId="0D2D7C83" w:rsidR="00140B87" w:rsidRPr="00140B87" w:rsidRDefault="00140B87" w:rsidP="00140B87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40B87">
              <w:rPr>
                <w:rFonts w:ascii="Times New Roman" w:eastAsia="Times New Roman" w:hAnsi="Times New Roman" w:cs="Times New Roman"/>
                <w:lang w:eastAsia="pl-PL"/>
              </w:rPr>
              <w:t>Fundacj</w:t>
            </w:r>
            <w:r w:rsidR="001026D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140B87">
              <w:rPr>
                <w:rFonts w:ascii="Times New Roman" w:eastAsia="Times New Roman" w:hAnsi="Times New Roman" w:cs="Times New Roman"/>
                <w:lang w:eastAsia="pl-PL"/>
              </w:rPr>
              <w:t xml:space="preserve"> Instytut</w:t>
            </w:r>
            <w:r w:rsidR="001026DF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  <w:r w:rsidRPr="00140B87">
              <w:rPr>
                <w:rFonts w:ascii="Times New Roman" w:eastAsia="Times New Roman" w:hAnsi="Times New Roman" w:cs="Times New Roman"/>
                <w:lang w:eastAsia="pl-PL"/>
              </w:rPr>
              <w:t xml:space="preserve"> Leczenia Niepłodności Małżeńskiej im. Jana Pawła II</w:t>
            </w:r>
            <w:r w:rsidR="00AA6AC9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7B794350" w14:textId="32E843C6" w:rsidR="00CF4F83" w:rsidRPr="00E50556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0556">
              <w:rPr>
                <w:rFonts w:ascii="Times New Roman" w:hAnsi="Times New Roman" w:cs="Times New Roman"/>
                <w:shd w:val="clear" w:color="auto" w:fill="FFFFFF"/>
              </w:rPr>
              <w:t>Federacj</w:t>
            </w:r>
            <w:r w:rsidR="001026DF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E50556">
              <w:rPr>
                <w:rFonts w:ascii="Times New Roman" w:hAnsi="Times New Roman" w:cs="Times New Roman"/>
                <w:shd w:val="clear" w:color="auto" w:fill="FFFFFF"/>
              </w:rPr>
              <w:t xml:space="preserve"> Pacjentów Polskich</w:t>
            </w:r>
            <w:r w:rsidR="00CF4F83" w:rsidRPr="00E5055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0F194F3" w14:textId="137CC5C5" w:rsidR="00CF4F83" w:rsidRPr="00E50556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0556">
              <w:rPr>
                <w:rFonts w:ascii="Times New Roman" w:hAnsi="Times New Roman" w:cs="Times New Roman"/>
                <w:shd w:val="clear" w:color="auto" w:fill="FFFFFF"/>
              </w:rPr>
              <w:t>Instytut</w:t>
            </w:r>
            <w:r w:rsidR="001026DF">
              <w:rPr>
                <w:rFonts w:ascii="Times New Roman" w:hAnsi="Times New Roman" w:cs="Times New Roman"/>
                <w:shd w:val="clear" w:color="auto" w:fill="FFFFFF"/>
              </w:rPr>
              <w:t>u</w:t>
            </w:r>
            <w:r w:rsidRPr="00E50556">
              <w:rPr>
                <w:rFonts w:ascii="Times New Roman" w:hAnsi="Times New Roman" w:cs="Times New Roman"/>
                <w:shd w:val="clear" w:color="auto" w:fill="FFFFFF"/>
              </w:rPr>
              <w:t xml:space="preserve"> Praw Pacjenta i Edukacji Zdrowotnej</w:t>
            </w:r>
            <w:r w:rsidR="00CF4F83" w:rsidRPr="00E50556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EE64802" w14:textId="1ADB4F12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50556">
              <w:rPr>
                <w:rFonts w:ascii="Times New Roman" w:hAnsi="Times New Roman" w:cs="Times New Roman"/>
                <w:shd w:val="clear" w:color="auto" w:fill="FFFFFF"/>
              </w:rPr>
              <w:t>Obywatelskie</w:t>
            </w:r>
            <w:r w:rsidR="001026DF">
              <w:rPr>
                <w:rFonts w:ascii="Times New Roman" w:hAnsi="Times New Roman" w:cs="Times New Roman"/>
                <w:shd w:val="clear" w:color="auto" w:fill="FFFFFF"/>
              </w:rPr>
              <w:t>go</w:t>
            </w:r>
            <w:r w:rsidRPr="00E50556">
              <w:rPr>
                <w:rFonts w:ascii="Times New Roman" w:hAnsi="Times New Roman" w:cs="Times New Roman"/>
                <w:shd w:val="clear" w:color="auto" w:fill="FFFFFF"/>
              </w:rPr>
              <w:t xml:space="preserve"> Stowarzyszeni</w:t>
            </w:r>
            <w:r w:rsidR="001026DF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E50556">
              <w:rPr>
                <w:rFonts w:ascii="Times New Roman" w:hAnsi="Times New Roman" w:cs="Times New Roman"/>
                <w:shd w:val="clear" w:color="auto" w:fill="FFFFFF"/>
              </w:rPr>
              <w:t xml:space="preserve"> – Dla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 xml:space="preserve"> Dobra Pacjenta;</w:t>
            </w:r>
          </w:p>
          <w:p w14:paraId="13655576" w14:textId="38AF6009" w:rsidR="00C00A10" w:rsidRDefault="001B2134" w:rsidP="00C00A10">
            <w:pPr>
              <w:pStyle w:val="Teksttreci41"/>
              <w:numPr>
                <w:ilvl w:val="0"/>
                <w:numId w:val="1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Polskie</w:t>
            </w:r>
            <w:r w:rsidR="001026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go</w:t>
            </w:r>
            <w:r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Towarzystw</w:t>
            </w:r>
            <w:r w:rsidR="001026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</w:t>
            </w:r>
            <w:r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9A5164"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Medycyny Rozrodu i Embriologii</w:t>
            </w:r>
            <w:r w:rsidR="00C00A10"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  <w:r w:rsidR="001604E6"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6938A94B" w14:textId="69FADEBD" w:rsidR="00FF3714" w:rsidRPr="00FF3714" w:rsidRDefault="00FF3714" w:rsidP="00C00A10">
            <w:pPr>
              <w:pStyle w:val="Teksttreci41"/>
              <w:numPr>
                <w:ilvl w:val="0"/>
                <w:numId w:val="1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Polskie</w:t>
            </w:r>
            <w:r w:rsidR="001026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go</w:t>
            </w:r>
            <w:r w:rsidRPr="00FF371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Towarzystw</w:t>
            </w:r>
            <w:r w:rsidR="001026D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Ginekologów i Położników; </w:t>
            </w:r>
          </w:p>
          <w:p w14:paraId="5DC413E7" w14:textId="2CFDD350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Narodow</w:t>
            </w:r>
            <w:r w:rsidR="001026DF">
              <w:rPr>
                <w:rFonts w:ascii="Times New Roman" w:hAnsi="Times New Roman"/>
                <w:shd w:val="clear" w:color="auto" w:fill="FFFFFF"/>
              </w:rPr>
              <w:t>ego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Instytut</w:t>
            </w:r>
            <w:r w:rsidR="001026DF">
              <w:rPr>
                <w:rFonts w:ascii="Times New Roman" w:hAnsi="Times New Roman"/>
                <w:shd w:val="clear" w:color="auto" w:fill="FFFFFF"/>
              </w:rPr>
              <w:t>u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Onkologii im. Marii Skłodowskiej-Curie – Państwowy Instytut Badawczy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23D8937" w14:textId="64743C6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Narodow</w:t>
            </w:r>
            <w:r w:rsidR="001026DF">
              <w:rPr>
                <w:rFonts w:ascii="Times New Roman" w:hAnsi="Times New Roman"/>
                <w:shd w:val="clear" w:color="auto" w:fill="FFFFFF"/>
              </w:rPr>
              <w:t>ego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Instytut</w:t>
            </w:r>
            <w:r w:rsidR="001026DF">
              <w:rPr>
                <w:rFonts w:ascii="Times New Roman" w:hAnsi="Times New Roman"/>
                <w:shd w:val="clear" w:color="auto" w:fill="FFFFFF"/>
              </w:rPr>
              <w:t>u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Zdrowia Publicznego – Państwowy Zakład Higieny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318C5687" w14:textId="08D931DF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Specjalistyczne Centrum Medyczne im Jana Pawła II S.A. w Polanicy-Zdroju;</w:t>
            </w:r>
          </w:p>
          <w:p w14:paraId="6FE03788" w14:textId="43BB1431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Rad</w:t>
            </w:r>
            <w:r w:rsidR="001026DF">
              <w:rPr>
                <w:rFonts w:ascii="Times New Roman" w:hAnsi="Times New Roman"/>
                <w:shd w:val="clear" w:color="auto" w:fill="FFFFFF"/>
              </w:rPr>
              <w:t>y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Działalności Pożytku Publicznego; </w:t>
            </w:r>
          </w:p>
          <w:p w14:paraId="5822337F" w14:textId="1AA8866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Prokuratori</w:t>
            </w:r>
            <w:r w:rsidR="001026DF">
              <w:rPr>
                <w:rFonts w:ascii="Times New Roman" w:eastAsia="Times New Roman" w:hAnsi="Times New Roman"/>
                <w:bCs/>
                <w:lang w:eastAsia="pl-PL"/>
              </w:rPr>
              <w:t>i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Generaln</w:t>
            </w:r>
            <w:r w:rsidR="001026DF">
              <w:rPr>
                <w:rFonts w:ascii="Times New Roman" w:eastAsia="Times New Roman" w:hAnsi="Times New Roman"/>
                <w:bCs/>
                <w:lang w:eastAsia="pl-PL"/>
              </w:rPr>
              <w:t>ej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08EC92B" w14:textId="6F34AF61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Narodow</w:t>
            </w:r>
            <w:r w:rsidR="001026DF">
              <w:rPr>
                <w:rFonts w:ascii="Times New Roman" w:eastAsia="Times New Roman" w:hAnsi="Times New Roman"/>
                <w:bCs/>
                <w:lang w:eastAsia="pl-PL"/>
              </w:rPr>
              <w:t>ego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Fundusz</w:t>
            </w:r>
            <w:r w:rsidR="001026DF">
              <w:rPr>
                <w:rFonts w:ascii="Times New Roman" w:eastAsia="Times New Roman" w:hAnsi="Times New Roman"/>
                <w:bCs/>
                <w:lang w:eastAsia="pl-PL"/>
              </w:rPr>
              <w:t>u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Zdrowia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6CBC942C" w14:textId="533913C0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 w:rsidR="001026DF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Agencji Oceny Technologii Medycznych i Taryfikacji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34B846AD" w14:textId="4FB77BCC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Prezes</w:t>
            </w:r>
            <w:r w:rsidR="001026DF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Urzędu Rejestracji Produktów Leczniczych, Wyrobów Medycznych i Produktów Biobójczych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6CDFFD13" w14:textId="4D153326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Rzecznik</w:t>
            </w:r>
            <w:r w:rsidR="001026DF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Praw Pacjenta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53F417EC" w14:textId="4158242D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hAnsi="Times New Roman" w:cs="Times New Roman"/>
              </w:rPr>
              <w:t>Prezes</w:t>
            </w:r>
            <w:r w:rsidR="001026DF">
              <w:rPr>
                <w:rFonts w:ascii="Times New Roman" w:hAnsi="Times New Roman" w:cs="Times New Roman"/>
              </w:rPr>
              <w:t>a</w:t>
            </w:r>
            <w:r w:rsidRPr="00755CE4">
              <w:rPr>
                <w:rFonts w:ascii="Times New Roman" w:hAnsi="Times New Roman" w:cs="Times New Roman"/>
              </w:rPr>
              <w:t xml:space="preserve"> Urzędu Ochrony Danych Osobowych</w:t>
            </w:r>
            <w:r w:rsidR="00CF4F83">
              <w:rPr>
                <w:rFonts w:ascii="Times New Roman" w:hAnsi="Times New Roman" w:cs="Times New Roman"/>
              </w:rPr>
              <w:t>;</w:t>
            </w:r>
          </w:p>
          <w:p w14:paraId="07BF48FB" w14:textId="6D70B759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hAnsi="Times New Roman" w:cs="Times New Roman"/>
              </w:rPr>
              <w:t>Prezes</w:t>
            </w:r>
            <w:r w:rsidR="001026DF">
              <w:rPr>
                <w:rFonts w:ascii="Times New Roman" w:hAnsi="Times New Roman" w:cs="Times New Roman"/>
              </w:rPr>
              <w:t>a</w:t>
            </w:r>
            <w:r w:rsidRPr="00755CE4">
              <w:rPr>
                <w:rFonts w:ascii="Times New Roman" w:hAnsi="Times New Roman" w:cs="Times New Roman"/>
              </w:rPr>
              <w:t xml:space="preserve"> Urzędu Ochrony Konkurencji i Konsumentów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05F804D" w14:textId="77777777" w:rsidR="00C00A10" w:rsidRPr="001E68F7" w:rsidRDefault="00C00A10" w:rsidP="00C00A1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7AC9EFDF" w14:textId="26D064CF" w:rsidR="00C00A10" w:rsidRPr="001E68F7" w:rsidRDefault="00C00A10" w:rsidP="00C00A1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AF049E"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DA7785">
              <w:rPr>
                <w:rFonts w:ascii="Times New Roman" w:hAnsi="Times New Roman"/>
                <w:shd w:val="clear" w:color="auto" w:fill="FFFFFF"/>
              </w:rPr>
              <w:t>22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DA7785">
              <w:rPr>
                <w:rFonts w:ascii="Times New Roman" w:hAnsi="Times New Roman"/>
                <w:shd w:val="clear" w:color="auto" w:fill="FFFFFF"/>
              </w:rPr>
              <w:t>348</w:t>
            </w:r>
            <w:r w:rsidRPr="001E68F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299BBDD9" w14:textId="2FB62233" w:rsidR="00640BC2" w:rsidRPr="00FA504A" w:rsidRDefault="00640BC2" w:rsidP="00FA504A">
            <w:pPr>
              <w:pStyle w:val="pismamz"/>
              <w:spacing w:line="240" w:lineRule="auto"/>
              <w:rPr>
                <w:rFonts w:ascii="Times New Roman" w:hAnsi="Times New Roman"/>
                <w:color w:val="A6A6A6" w:themeColor="background1" w:themeShade="A6"/>
              </w:rPr>
            </w:pP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lastRenderedPageBreak/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2021 r.)</w:t>
            </w:r>
          </w:p>
        </w:tc>
        <w:tc>
          <w:tcPr>
            <w:tcW w:w="8647" w:type="dxa"/>
            <w:gridSpan w:val="25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0BEA06D2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5444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EA0D4B6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93F5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35D43EC" w14:textId="77777777" w:rsidTr="00A372B7">
        <w:trPr>
          <w:trHeight w:val="1096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58B182A1" w14:textId="77777777" w:rsidTr="002F211B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8F" w:rsidRPr="001E68F7" w14:paraId="57CBE8FE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7DA8E5D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339537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27FF8D1" w14:textId="77777777" w:rsidTr="002F211B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A68CC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434A0B28" w14:textId="77777777" w:rsidTr="002F211B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6A3BFB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20EAC27D" w14:textId="3B593E61" w:rsidR="00BD0D8F" w:rsidRPr="00B10202" w:rsidRDefault="007972D3" w:rsidP="00B102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9DE">
              <w:rPr>
                <w:rFonts w:ascii="Times New Roman" w:hAnsi="Times New Roman"/>
              </w:rPr>
              <w:t xml:space="preserve">Projektowana zmiana nie będzie miała wpływu na budżet państwa i budżety jednostek samorządu terytorialnego. </w:t>
            </w:r>
            <w:r w:rsidR="0039668A">
              <w:rPr>
                <w:rFonts w:ascii="Times New Roman" w:hAnsi="Times New Roman"/>
              </w:rPr>
              <w:t>Z uwagi na fakt, iż na etapie opracowania planu finansowanego NFZ na 2023</w:t>
            </w:r>
            <w:r w:rsidR="003B05F1">
              <w:rPr>
                <w:rFonts w:ascii="Times New Roman" w:hAnsi="Times New Roman"/>
              </w:rPr>
              <w:t xml:space="preserve"> r.</w:t>
            </w:r>
            <w:r w:rsidR="0039668A">
              <w:rPr>
                <w:rFonts w:ascii="Times New Roman" w:hAnsi="Times New Roman"/>
              </w:rPr>
              <w:t xml:space="preserve"> projektowana zmiana przepisów nie była znana NFZ, obowiązujący plan finansowy NFZ nie uwzględnia środków na sfinansowanie przedmiotowego zadania. Zatem zabezpieczenie w planie finansowym NFZ na 2023</w:t>
            </w:r>
            <w:r w:rsidR="003B05F1">
              <w:rPr>
                <w:rFonts w:ascii="Times New Roman" w:hAnsi="Times New Roman"/>
              </w:rPr>
              <w:t xml:space="preserve"> r.</w:t>
            </w:r>
            <w:r w:rsidR="0039668A">
              <w:rPr>
                <w:rFonts w:ascii="Times New Roman" w:hAnsi="Times New Roman"/>
              </w:rPr>
              <w:t xml:space="preserve"> środków na realizację wprowadzanej zmiany </w:t>
            </w:r>
            <w:r w:rsidR="00B10202">
              <w:rPr>
                <w:rFonts w:ascii="Times New Roman" w:hAnsi="Times New Roman"/>
                <w:color w:val="000000" w:themeColor="text1"/>
              </w:rPr>
              <w:t xml:space="preserve">będzie wymagało </w:t>
            </w:r>
            <w:r w:rsidR="00B10202" w:rsidRPr="00A00BA9">
              <w:rPr>
                <w:rFonts w:ascii="Times New Roman" w:hAnsi="Times New Roman"/>
                <w:color w:val="000000" w:themeColor="text1"/>
              </w:rPr>
              <w:t>zaangażowania dodatkowych środków z</w:t>
            </w:r>
            <w:r w:rsidR="00B10202">
              <w:rPr>
                <w:rFonts w:ascii="Times New Roman" w:hAnsi="Times New Roman"/>
                <w:color w:val="000000" w:themeColor="text1"/>
              </w:rPr>
              <w:t xml:space="preserve">  </w:t>
            </w:r>
            <w:r w:rsidR="00B10202" w:rsidRPr="00A00BA9">
              <w:rPr>
                <w:rFonts w:ascii="Times New Roman" w:hAnsi="Times New Roman"/>
                <w:color w:val="000000" w:themeColor="text1"/>
              </w:rPr>
              <w:t>rezerwy ogólnej</w:t>
            </w:r>
            <w:r w:rsidR="00B10202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39668A">
              <w:rPr>
                <w:rFonts w:ascii="Times New Roman" w:hAnsi="Times New Roman"/>
                <w:color w:val="000000" w:themeColor="text1"/>
              </w:rPr>
              <w:t>Z kolei w</w:t>
            </w:r>
            <w:r w:rsidR="00B1020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10202" w:rsidRPr="00A00BA9">
              <w:rPr>
                <w:rFonts w:ascii="Times New Roman" w:hAnsi="Times New Roman"/>
                <w:color w:val="000000" w:themeColor="text1"/>
              </w:rPr>
              <w:t xml:space="preserve">2024 r. </w:t>
            </w:r>
            <w:r w:rsidR="00B10202">
              <w:rPr>
                <w:rFonts w:ascii="Times New Roman" w:hAnsi="Times New Roman"/>
                <w:color w:val="000000" w:themeColor="text1"/>
              </w:rPr>
              <w:t>i latach następnych</w:t>
            </w:r>
            <w:r w:rsidR="00B10202" w:rsidRPr="00A00BA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9668A">
              <w:rPr>
                <w:rFonts w:ascii="Times New Roman" w:hAnsi="Times New Roman"/>
                <w:color w:val="000000" w:themeColor="text1"/>
              </w:rPr>
              <w:t>ś</w:t>
            </w:r>
            <w:r w:rsidR="00B10202" w:rsidRPr="00A00BA9">
              <w:rPr>
                <w:rFonts w:ascii="Times New Roman" w:hAnsi="Times New Roman"/>
                <w:color w:val="000000" w:themeColor="text1"/>
              </w:rPr>
              <w:t>rodki na finansowanie realizacji projektowane</w:t>
            </w:r>
            <w:r w:rsidR="00B10202">
              <w:rPr>
                <w:rFonts w:ascii="Times New Roman" w:hAnsi="Times New Roman"/>
                <w:color w:val="000000" w:themeColor="text1"/>
              </w:rPr>
              <w:t xml:space="preserve">j zmiany zostaną zabezpieczone w planach finansowych NFZ na 2024 r. i lata następne. </w:t>
            </w:r>
            <w:r w:rsidR="00B10202" w:rsidRPr="00E559DE">
              <w:rPr>
                <w:rFonts w:ascii="Times New Roman" w:hAnsi="Times New Roman" w:cs="Times New Roman"/>
              </w:rPr>
              <w:t xml:space="preserve">Środki finansowe zostaną pokryte z planu finansowego NFZ poz. B2 – Koszty świadczeń opieki zdrowotnej B2.2 ambulatoryjna opieka specjalistyczna. </w:t>
            </w:r>
            <w:r w:rsidR="00B10202">
              <w:rPr>
                <w:rFonts w:ascii="Times New Roman" w:hAnsi="Times New Roman" w:cs="Times New Roman"/>
              </w:rPr>
              <w:t xml:space="preserve"> </w:t>
            </w:r>
            <w:r w:rsidR="00B10202" w:rsidRPr="00E559DE">
              <w:t xml:space="preserve"> </w:t>
            </w:r>
          </w:p>
        </w:tc>
      </w:tr>
      <w:tr w:rsidR="00BD0D8F" w:rsidRPr="001E68F7" w14:paraId="761176B9" w14:textId="77777777" w:rsidTr="00BD0D8F">
        <w:trPr>
          <w:trHeight w:val="1528"/>
        </w:trPr>
        <w:tc>
          <w:tcPr>
            <w:tcW w:w="1589" w:type="dxa"/>
            <w:shd w:val="clear" w:color="auto" w:fill="FFFFFF"/>
          </w:tcPr>
          <w:p w14:paraId="07D8F9D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7"/>
            <w:shd w:val="clear" w:color="auto" w:fill="FFFFFF"/>
          </w:tcPr>
          <w:p w14:paraId="29F6A47F" w14:textId="18E8F2CB" w:rsidR="00944C3E" w:rsidRPr="008D40E6" w:rsidRDefault="008062B4" w:rsidP="008D40E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641DB1">
              <w:rPr>
                <w:rFonts w:ascii="Times New Roman" w:hAnsi="Times New Roman" w:cs="Times New Roman"/>
              </w:rPr>
              <w:t>Roczny k</w:t>
            </w:r>
            <w:r w:rsidR="007972D3" w:rsidRPr="00641DB1">
              <w:rPr>
                <w:rFonts w:ascii="Times New Roman" w:hAnsi="Times New Roman" w:cs="Times New Roman"/>
              </w:rPr>
              <w:t xml:space="preserve">oszt wprowadzenia </w:t>
            </w:r>
            <w:r w:rsidR="009E0C8F" w:rsidRPr="00641DB1">
              <w:rPr>
                <w:rFonts w:ascii="Times New Roman" w:hAnsi="Times New Roman" w:cs="Times New Roman"/>
              </w:rPr>
              <w:t xml:space="preserve">badania </w:t>
            </w:r>
            <w:r w:rsidRPr="00641DB1">
              <w:rPr>
                <w:rFonts w:ascii="Times New Roman" w:hAnsi="Times New Roman" w:cs="Times New Roman"/>
              </w:rPr>
              <w:t>nasienia (seminogramu)</w:t>
            </w:r>
            <w:r w:rsidR="007972D3" w:rsidRPr="00641DB1">
              <w:rPr>
                <w:rFonts w:ascii="Times New Roman" w:hAnsi="Times New Roman" w:cs="Times New Roman"/>
              </w:rPr>
              <w:t xml:space="preserve"> </w:t>
            </w:r>
            <w:r w:rsidRPr="00641DB1">
              <w:rPr>
                <w:rFonts w:ascii="Times New Roman" w:hAnsi="Times New Roman" w:cs="Times New Roman"/>
              </w:rPr>
              <w:t>będzie w</w:t>
            </w:r>
            <w:r w:rsidR="002A6A7F">
              <w:rPr>
                <w:rFonts w:ascii="Times New Roman" w:hAnsi="Times New Roman" w:cs="Times New Roman"/>
              </w:rPr>
              <w:t>y</w:t>
            </w:r>
            <w:r w:rsidRPr="00641DB1">
              <w:rPr>
                <w:rFonts w:ascii="Times New Roman" w:hAnsi="Times New Roman" w:cs="Times New Roman"/>
              </w:rPr>
              <w:t>nosił</w:t>
            </w:r>
            <w:r w:rsidR="007972D3" w:rsidRPr="00641DB1">
              <w:rPr>
                <w:rFonts w:ascii="Times New Roman" w:hAnsi="Times New Roman" w:cs="Times New Roman"/>
              </w:rPr>
              <w:t xml:space="preserve"> około </w:t>
            </w:r>
            <w:r w:rsidR="00B40143" w:rsidRPr="00641DB1">
              <w:rPr>
                <w:rFonts w:ascii="Times New Roman" w:hAnsi="Times New Roman" w:cs="Times New Roman"/>
              </w:rPr>
              <w:t>1,8</w:t>
            </w:r>
            <w:r w:rsidR="007972D3" w:rsidRPr="00641DB1">
              <w:rPr>
                <w:rFonts w:ascii="Times New Roman" w:hAnsi="Times New Roman" w:cs="Times New Roman"/>
              </w:rPr>
              <w:t xml:space="preserve"> mln zł</w:t>
            </w:r>
            <w:r w:rsidR="002A6A7F">
              <w:rPr>
                <w:rFonts w:ascii="Times New Roman" w:hAnsi="Times New Roman" w:cs="Times New Roman"/>
              </w:rPr>
              <w:t xml:space="preserve"> (8300 badań * 220 zł)</w:t>
            </w:r>
            <w:r w:rsidR="007972D3" w:rsidRPr="00641DB1">
              <w:rPr>
                <w:rFonts w:ascii="Times New Roman" w:hAnsi="Times New Roman" w:cs="Times New Roman"/>
              </w:rPr>
              <w:t>. Wyliczenie zostało oparte o dane z opracowania analitycznego AOTMiT „</w:t>
            </w:r>
            <w:r w:rsidR="00B40143" w:rsidRPr="00641DB1">
              <w:rPr>
                <w:rFonts w:ascii="Times New Roman" w:hAnsi="Times New Roman" w:cs="Times New Roman"/>
              </w:rPr>
              <w:t xml:space="preserve">Badanie </w:t>
            </w:r>
            <w:r w:rsidR="00641DB1" w:rsidRPr="00641DB1">
              <w:rPr>
                <w:rFonts w:ascii="Times New Roman" w:hAnsi="Times New Roman" w:cs="Times New Roman"/>
              </w:rPr>
              <w:t>nasienia</w:t>
            </w:r>
            <w:r w:rsidR="00641DB1">
              <w:rPr>
                <w:rFonts w:ascii="Times New Roman" w:hAnsi="Times New Roman" w:cs="Times New Roman"/>
              </w:rPr>
              <w:t xml:space="preserve"> (seminogram)</w:t>
            </w:r>
            <w:r w:rsidR="00FC667A">
              <w:rPr>
                <w:rFonts w:ascii="Times New Roman" w:hAnsi="Times New Roman" w:cs="Times New Roman"/>
              </w:rPr>
              <w:t>. Badanie MAR IgG/IgA (ocena przeciwciał przeciwplemnikowych)</w:t>
            </w:r>
            <w:r w:rsidR="008565FF">
              <w:rPr>
                <w:rFonts w:ascii="Times New Roman" w:hAnsi="Times New Roman" w:cs="Times New Roman"/>
              </w:rPr>
              <w:t xml:space="preserve"> – ocena zasadności kwalifikacji </w:t>
            </w:r>
            <w:r w:rsidR="001C7E63">
              <w:rPr>
                <w:rFonts w:ascii="Times New Roman" w:hAnsi="Times New Roman" w:cs="Times New Roman"/>
              </w:rPr>
              <w:t>świadczenia</w:t>
            </w:r>
            <w:r w:rsidR="008565FF">
              <w:rPr>
                <w:rFonts w:ascii="Times New Roman" w:hAnsi="Times New Roman" w:cs="Times New Roman"/>
              </w:rPr>
              <w:t xml:space="preserve"> opieki zdrowotnej jako </w:t>
            </w:r>
            <w:r w:rsidR="009B3187">
              <w:rPr>
                <w:rFonts w:ascii="Times New Roman" w:hAnsi="Times New Roman" w:cs="Times New Roman"/>
              </w:rPr>
              <w:t>świadczenia</w:t>
            </w:r>
            <w:r w:rsidR="008565FF">
              <w:rPr>
                <w:rFonts w:ascii="Times New Roman" w:hAnsi="Times New Roman" w:cs="Times New Roman"/>
              </w:rPr>
              <w:t xml:space="preserve"> </w:t>
            </w:r>
            <w:r w:rsidR="009B3187">
              <w:rPr>
                <w:rFonts w:ascii="Times New Roman" w:hAnsi="Times New Roman" w:cs="Times New Roman"/>
              </w:rPr>
              <w:t>gwarantowanego</w:t>
            </w:r>
            <w:r w:rsidR="008565FF">
              <w:rPr>
                <w:rFonts w:ascii="Times New Roman" w:hAnsi="Times New Roman" w:cs="Times New Roman"/>
              </w:rPr>
              <w:t xml:space="preserve"> z zakresu ambulatoryjnej opieki </w:t>
            </w:r>
            <w:r w:rsidR="009B3187">
              <w:rPr>
                <w:rFonts w:ascii="Times New Roman" w:hAnsi="Times New Roman" w:cs="Times New Roman"/>
              </w:rPr>
              <w:t>specjalistycznej</w:t>
            </w:r>
            <w:r w:rsidR="007972D3" w:rsidRPr="00641DB1">
              <w:rPr>
                <w:rFonts w:ascii="Times New Roman" w:hAnsi="Times New Roman" w:cs="Times New Roman"/>
              </w:rPr>
              <w:t>” nr W</w:t>
            </w:r>
            <w:r w:rsidR="00012EAB" w:rsidRPr="00641DB1">
              <w:rPr>
                <w:rFonts w:ascii="Times New Roman" w:hAnsi="Times New Roman" w:cs="Times New Roman"/>
              </w:rPr>
              <w:t>S</w:t>
            </w:r>
            <w:r w:rsidR="007972D3" w:rsidRPr="00641DB1">
              <w:rPr>
                <w:rFonts w:ascii="Times New Roman" w:hAnsi="Times New Roman" w:cs="Times New Roman"/>
              </w:rPr>
              <w:t>.</w:t>
            </w:r>
            <w:r w:rsidR="00012EAB" w:rsidRPr="00641DB1">
              <w:rPr>
                <w:rFonts w:ascii="Times New Roman" w:hAnsi="Times New Roman" w:cs="Times New Roman"/>
              </w:rPr>
              <w:t>420</w:t>
            </w:r>
            <w:r w:rsidR="007972D3" w:rsidRPr="00641DB1">
              <w:rPr>
                <w:rFonts w:ascii="Times New Roman" w:hAnsi="Times New Roman" w:cs="Times New Roman"/>
              </w:rPr>
              <w:t>.</w:t>
            </w:r>
            <w:r w:rsidR="00641DB1">
              <w:rPr>
                <w:rFonts w:ascii="Times New Roman" w:hAnsi="Times New Roman" w:cs="Times New Roman"/>
              </w:rPr>
              <w:t>12</w:t>
            </w:r>
            <w:r w:rsidR="007972D3" w:rsidRPr="00641DB1">
              <w:rPr>
                <w:rFonts w:ascii="Times New Roman" w:hAnsi="Times New Roman" w:cs="Times New Roman"/>
              </w:rPr>
              <w:t>.202</w:t>
            </w:r>
            <w:r w:rsidR="00641DB1">
              <w:rPr>
                <w:rFonts w:ascii="Times New Roman" w:hAnsi="Times New Roman" w:cs="Times New Roman"/>
              </w:rPr>
              <w:t>3</w:t>
            </w:r>
            <w:r w:rsidR="007972D3" w:rsidRPr="00641DB1">
              <w:rPr>
                <w:rFonts w:ascii="Times New Roman" w:hAnsi="Times New Roman" w:cs="Times New Roman"/>
              </w:rPr>
              <w:t xml:space="preserve">, data ukończenia </w:t>
            </w:r>
            <w:r w:rsidR="00641DB1">
              <w:rPr>
                <w:rFonts w:ascii="Times New Roman" w:hAnsi="Times New Roman" w:cs="Times New Roman"/>
              </w:rPr>
              <w:t>22</w:t>
            </w:r>
            <w:r w:rsidR="00623E31" w:rsidRPr="00641DB1">
              <w:rPr>
                <w:rFonts w:ascii="Times New Roman" w:hAnsi="Times New Roman" w:cs="Times New Roman"/>
              </w:rPr>
              <w:t xml:space="preserve"> ma</w:t>
            </w:r>
            <w:r w:rsidR="00641DB1">
              <w:rPr>
                <w:rFonts w:ascii="Times New Roman" w:hAnsi="Times New Roman" w:cs="Times New Roman"/>
              </w:rPr>
              <w:t>rca</w:t>
            </w:r>
            <w:r w:rsidR="00623E31" w:rsidRPr="00641DB1">
              <w:rPr>
                <w:rFonts w:ascii="Times New Roman" w:hAnsi="Times New Roman" w:cs="Times New Roman"/>
              </w:rPr>
              <w:t xml:space="preserve"> </w:t>
            </w:r>
            <w:r w:rsidR="007972D3" w:rsidRPr="00641DB1">
              <w:rPr>
                <w:rFonts w:ascii="Times New Roman" w:hAnsi="Times New Roman" w:cs="Times New Roman"/>
              </w:rPr>
              <w:t>202</w:t>
            </w:r>
            <w:r w:rsidR="00641DB1">
              <w:rPr>
                <w:rFonts w:ascii="Times New Roman" w:hAnsi="Times New Roman" w:cs="Times New Roman"/>
              </w:rPr>
              <w:t>3</w:t>
            </w:r>
            <w:r w:rsidR="007972D3" w:rsidRPr="00641DB1">
              <w:rPr>
                <w:rFonts w:ascii="Times New Roman" w:hAnsi="Times New Roman" w:cs="Times New Roman"/>
              </w:rPr>
              <w:t xml:space="preserve"> r.</w:t>
            </w:r>
            <w:r w:rsidR="007972D3" w:rsidRPr="00012E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D8F" w:rsidRPr="001E68F7" w14:paraId="23E9E312" w14:textId="77777777" w:rsidTr="00D16DD1">
        <w:trPr>
          <w:trHeight w:val="345"/>
        </w:trPr>
        <w:tc>
          <w:tcPr>
            <w:tcW w:w="11086" w:type="dxa"/>
            <w:gridSpan w:val="28"/>
            <w:shd w:val="clear" w:color="auto" w:fill="99CCFF"/>
          </w:tcPr>
          <w:p w14:paraId="17048834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D0D8F" w:rsidRPr="001E68F7" w14:paraId="79959F7C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FFFFFF"/>
          </w:tcPr>
          <w:p w14:paraId="5EB8FB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BD0D8F" w:rsidRPr="001E68F7" w14:paraId="1457FF22" w14:textId="77777777" w:rsidTr="00D16DD1">
        <w:trPr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63C23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BD0D8F" w:rsidRPr="001E68F7" w14:paraId="3E7D9E57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6D4015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01CBC34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071299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5056878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1F00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2988773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5362D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4FC35139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20C5FC8" w14:textId="3C39053C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  </w:t>
            </w:r>
          </w:p>
        </w:tc>
      </w:tr>
      <w:tr w:rsidR="00BD0D8F" w:rsidRPr="001E68F7" w14:paraId="33C3405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F784386" w14:textId="7BB07EC1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mikro-, małych i średnich przedsiębiorstw. </w:t>
            </w:r>
          </w:p>
        </w:tc>
      </w:tr>
      <w:tr w:rsidR="00BD0D8F" w:rsidRPr="001E68F7" w14:paraId="4FE21793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3206F497" w14:textId="47444470" w:rsidR="00AC3491" w:rsidRPr="008D40E6" w:rsidRDefault="00FB4747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D830D9">
              <w:rPr>
                <w:rFonts w:ascii="Times New Roman" w:hAnsi="Times New Roman" w:cs="Times New Roman"/>
              </w:rPr>
              <w:t xml:space="preserve">Wprowadzenie </w:t>
            </w:r>
            <w:r w:rsidR="00A27EFC" w:rsidRPr="00D830D9">
              <w:rPr>
                <w:rFonts w:ascii="Times New Roman" w:hAnsi="Times New Roman" w:cs="Times New Roman"/>
              </w:rPr>
              <w:t>badania nasienia (seminogramu)</w:t>
            </w:r>
            <w:r w:rsidRPr="00D830D9">
              <w:rPr>
                <w:rFonts w:ascii="Times New Roman" w:hAnsi="Times New Roman" w:cs="Times New Roman"/>
              </w:rPr>
              <w:t xml:space="preserve"> do wykazu świadczeń gwarantowanych</w:t>
            </w:r>
            <w:r w:rsidR="00F301F5" w:rsidRPr="00D830D9">
              <w:rPr>
                <w:rFonts w:ascii="Times New Roman" w:hAnsi="Times New Roman" w:cs="Times New Roman"/>
              </w:rPr>
              <w:t xml:space="preserve"> z zakresu AOS </w:t>
            </w:r>
            <w:r w:rsidR="00AC3491" w:rsidRPr="00D830D9">
              <w:rPr>
                <w:rFonts w:ascii="Times New Roman" w:hAnsi="Times New Roman" w:cs="Times New Roman"/>
              </w:rPr>
              <w:t xml:space="preserve">przyczyni się do </w:t>
            </w:r>
            <w:r w:rsidR="00A27EFC" w:rsidRPr="00D830D9">
              <w:rPr>
                <w:rFonts w:ascii="Times New Roman" w:hAnsi="Times New Roman" w:cs="Times New Roman"/>
              </w:rPr>
              <w:t xml:space="preserve">poprawy diagnostyki </w:t>
            </w:r>
            <w:r w:rsidR="00AF10EE">
              <w:rPr>
                <w:rFonts w:ascii="Times New Roman" w:hAnsi="Times New Roman" w:cs="Times New Roman"/>
              </w:rPr>
              <w:t xml:space="preserve">męskiej niepłodności. </w:t>
            </w:r>
            <w:r w:rsidR="00D830D9">
              <w:rPr>
                <w:rFonts w:ascii="Times New Roman" w:hAnsi="Times New Roman" w:cs="Times New Roman"/>
              </w:rPr>
              <w:t xml:space="preserve"> </w:t>
            </w:r>
            <w:r w:rsidR="00A27EF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0D8F" w:rsidRPr="001E68F7" w14:paraId="3BD9100A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78F721D0" w14:textId="26E8621E" w:rsidR="00BD0D8F" w:rsidRPr="00D527A0" w:rsidRDefault="00BD0D8F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Przedmiotowa regulacja zapewni osobom niepełnosprawnym i osobom starszym, na zasadach identycznych</w:t>
            </w:r>
            <w:r w:rsidR="00623E31">
              <w:rPr>
                <w:rFonts w:ascii="Times New Roman" w:hAnsi="Times New Roman" w:cs="Times New Roman"/>
                <w:spacing w:val="-2"/>
                <w:szCs w:val="21"/>
              </w:rPr>
              <w:t>,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jak w przypadku pozostałych obywateli, dostęp do </w:t>
            </w:r>
            <w:r w:rsidR="002041EF" w:rsidRPr="00D527A0">
              <w:rPr>
                <w:rFonts w:ascii="Times New Roman" w:hAnsi="Times New Roman" w:cs="Times New Roman"/>
                <w:spacing w:val="-2"/>
                <w:szCs w:val="21"/>
              </w:rPr>
              <w:t>świadcze</w:t>
            </w:r>
            <w:r w:rsidR="002041EF">
              <w:rPr>
                <w:rFonts w:ascii="Times New Roman" w:hAnsi="Times New Roman" w:cs="Times New Roman"/>
                <w:spacing w:val="-2"/>
                <w:szCs w:val="21"/>
              </w:rPr>
              <w:t>nia objętego projektem rozporządzenia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. </w:t>
            </w:r>
          </w:p>
        </w:tc>
      </w:tr>
      <w:tr w:rsidR="00BD0D8F" w:rsidRPr="001E68F7" w14:paraId="2E7C2326" w14:textId="77777777" w:rsidTr="00D16DD1">
        <w:trPr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7" w:type="dxa"/>
            <w:gridSpan w:val="20"/>
            <w:shd w:val="clear" w:color="auto" w:fill="FFFFFF"/>
          </w:tcPr>
          <w:p w14:paraId="20B72E6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BD0D8F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64B88991" w14:textId="05971F2F" w:rsidR="00BD0D8F" w:rsidRPr="001E68F7" w:rsidRDefault="00CC27FA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46A52" w:rsidRPr="001E68F7" w14:paraId="7C390287" w14:textId="77777777" w:rsidTr="00D16DD1">
        <w:trPr>
          <w:trHeight w:val="3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1CACD77" w14:textId="11CC88F3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46A52" w:rsidRPr="001E68F7" w14:paraId="00EB11DD" w14:textId="77777777" w:rsidTr="00D16DD1">
        <w:trPr>
          <w:trHeight w:val="151"/>
        </w:trPr>
        <w:tc>
          <w:tcPr>
            <w:tcW w:w="11086" w:type="dxa"/>
            <w:gridSpan w:val="28"/>
            <w:shd w:val="clear" w:color="auto" w:fill="FFFFFF"/>
          </w:tcPr>
          <w:p w14:paraId="3222ED01" w14:textId="53880C88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46A52" w:rsidRPr="001E68F7" w14:paraId="63CC26BC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5518FE3C" w14:textId="09D3DF02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62AD9DD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83EB7D7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44E00481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0E5EA31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46A52" w:rsidRPr="001E68F7" w14:paraId="300FC22D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191FA440" w14:textId="017BD03E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7925606D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1C10221" w14:textId="77777777" w:rsidTr="00D16DD1">
        <w:trPr>
          <w:trHeight w:val="320"/>
        </w:trPr>
        <w:tc>
          <w:tcPr>
            <w:tcW w:w="11086" w:type="dxa"/>
            <w:gridSpan w:val="28"/>
            <w:shd w:val="clear" w:color="auto" w:fill="FFFFFF"/>
          </w:tcPr>
          <w:p w14:paraId="6798F377" w14:textId="4B83049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B46A52" w:rsidRPr="001E68F7" w14:paraId="67B7A37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147BAD64" w14:textId="4B058FBF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46A52" w:rsidRPr="001E68F7" w14:paraId="368C4DB1" w14:textId="77777777" w:rsidTr="00727606">
        <w:trPr>
          <w:trHeight w:val="311"/>
        </w:trPr>
        <w:tc>
          <w:tcPr>
            <w:tcW w:w="11086" w:type="dxa"/>
            <w:gridSpan w:val="28"/>
            <w:shd w:val="clear" w:color="auto" w:fill="auto"/>
          </w:tcPr>
          <w:p w14:paraId="0B076A79" w14:textId="27EEA12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B46A52" w:rsidRPr="001E68F7" w14:paraId="2DA1603E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F8D5FCF" w14:textId="6601BF78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46A52" w:rsidRPr="001E68F7" w14:paraId="4E066891" w14:textId="77777777" w:rsidTr="00D16DD1">
        <w:trPr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1B445E30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5B7E55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BB50EF">
              <w:rPr>
                <w:rFonts w:ascii="Times New Roman" w:hAnsi="Times New Roman"/>
                <w:color w:val="000000"/>
              </w:rPr>
            </w:r>
            <w:r w:rsidR="00BB50E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46A52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B46A52" w:rsidRPr="001E68F7" w:rsidRDefault="00B46A52" w:rsidP="00AC3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317A62F8" w14:textId="388EF47E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przy jednoczesnym zachowaniu odpowiedniej jakości świadczeń.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46A52" w:rsidRPr="001E68F7" w14:paraId="7480695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5A42085" w14:textId="2DBB5B0D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46A52" w:rsidRPr="001E68F7" w14:paraId="5BD14771" w14:textId="77777777" w:rsidTr="00727606">
        <w:trPr>
          <w:trHeight w:val="246"/>
        </w:trPr>
        <w:tc>
          <w:tcPr>
            <w:tcW w:w="11086" w:type="dxa"/>
            <w:gridSpan w:val="28"/>
            <w:shd w:val="clear" w:color="auto" w:fill="FFFFFF"/>
          </w:tcPr>
          <w:p w14:paraId="7DCA7AAD" w14:textId="7A3B8F83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Planowany termin wejścia w życie rozporządzenia to</w:t>
            </w:r>
            <w:r w:rsidR="00211FFB"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14 dni od dnia ogłoszenia</w:t>
            </w:r>
            <w:r w:rsidR="00AD08A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11F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46A52" w:rsidRPr="001E68F7" w14:paraId="732FDAB4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06AE98FD" w14:textId="6E86716C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46A52" w:rsidRPr="001E68F7" w14:paraId="4E5D35DF" w14:textId="77777777" w:rsidTr="00F2789C">
        <w:trPr>
          <w:trHeight w:val="225"/>
        </w:trPr>
        <w:tc>
          <w:tcPr>
            <w:tcW w:w="11086" w:type="dxa"/>
            <w:gridSpan w:val="28"/>
            <w:shd w:val="clear" w:color="auto" w:fill="FFFFFF"/>
          </w:tcPr>
          <w:p w14:paraId="385FCD8C" w14:textId="76248B7A" w:rsidR="00B46A52" w:rsidRPr="001E68F7" w:rsidRDefault="00F2789C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Nie dotyczy</w:t>
            </w:r>
          </w:p>
        </w:tc>
      </w:tr>
      <w:tr w:rsidR="00B46A52" w:rsidRPr="001E68F7" w14:paraId="3B892C3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68E886D3" w14:textId="24E9BC42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6A52" w:rsidRPr="001E68F7" w14:paraId="40D83B7F" w14:textId="77777777" w:rsidTr="003217C3">
        <w:trPr>
          <w:trHeight w:val="934"/>
        </w:trPr>
        <w:tc>
          <w:tcPr>
            <w:tcW w:w="11086" w:type="dxa"/>
            <w:gridSpan w:val="28"/>
            <w:shd w:val="clear" w:color="auto" w:fill="FFFFFF"/>
          </w:tcPr>
          <w:p w14:paraId="5110F102" w14:textId="77777777" w:rsidR="00B46A52" w:rsidRDefault="00E91280" w:rsidP="00E32FB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Rekomendacja nr 35/2023 z dnia 29 marca 2023 r.</w:t>
            </w:r>
            <w:r w:rsidR="00763B89">
              <w:rPr>
                <w:rFonts w:ascii="Times New Roman" w:hAnsi="Times New Roman" w:cs="Times New Roman"/>
              </w:rPr>
              <w:t xml:space="preserve"> Prezesa AOTMiT w sprawie </w:t>
            </w:r>
            <w:r w:rsidR="008D0DD4">
              <w:rPr>
                <w:rFonts w:ascii="Times New Roman" w:hAnsi="Times New Roman" w:cs="Times New Roman"/>
              </w:rPr>
              <w:t>zasadności</w:t>
            </w:r>
            <w:r w:rsidR="00763B89">
              <w:rPr>
                <w:rFonts w:ascii="Times New Roman" w:hAnsi="Times New Roman" w:cs="Times New Roman"/>
              </w:rPr>
              <w:t xml:space="preserve"> kwalifikacji </w:t>
            </w:r>
            <w:r w:rsidR="008D0DD4">
              <w:rPr>
                <w:rFonts w:ascii="Times New Roman" w:hAnsi="Times New Roman" w:cs="Times New Roman"/>
              </w:rPr>
              <w:t>świadczenia</w:t>
            </w:r>
            <w:r w:rsidR="00763B89">
              <w:rPr>
                <w:rFonts w:ascii="Times New Roman" w:hAnsi="Times New Roman" w:cs="Times New Roman"/>
              </w:rPr>
              <w:t xml:space="preserve"> opieki zdrowotnej </w:t>
            </w:r>
            <w:r w:rsidR="00B20676">
              <w:rPr>
                <w:rFonts w:ascii="Times New Roman" w:hAnsi="Times New Roman" w:cs="Times New Roman"/>
              </w:rPr>
              <w:t>„</w:t>
            </w:r>
            <w:r w:rsidR="00763B89">
              <w:rPr>
                <w:rFonts w:ascii="Times New Roman" w:hAnsi="Times New Roman" w:cs="Times New Roman"/>
              </w:rPr>
              <w:t>Badanie nasienia (seminogram)</w:t>
            </w:r>
            <w:r w:rsidR="00B20676">
              <w:rPr>
                <w:rFonts w:ascii="Times New Roman" w:hAnsi="Times New Roman" w:cs="Times New Roman"/>
              </w:rPr>
              <w:t xml:space="preserve">” jako </w:t>
            </w:r>
            <w:r w:rsidR="008D0DD4">
              <w:rPr>
                <w:rFonts w:ascii="Times New Roman" w:hAnsi="Times New Roman" w:cs="Times New Roman"/>
              </w:rPr>
              <w:t>świadczenia</w:t>
            </w:r>
            <w:r w:rsidR="00B20676">
              <w:rPr>
                <w:rFonts w:ascii="Times New Roman" w:hAnsi="Times New Roman" w:cs="Times New Roman"/>
              </w:rPr>
              <w:t xml:space="preserve"> gwarantowanego z zakresu ambulatoryjnej opieki specjalistycznej</w:t>
            </w:r>
            <w:r w:rsidR="00D34D20">
              <w:rPr>
                <w:rFonts w:ascii="Times New Roman" w:hAnsi="Times New Roman" w:cs="Times New Roman"/>
              </w:rPr>
              <w:t>,</w:t>
            </w:r>
          </w:p>
          <w:p w14:paraId="1870F79F" w14:textId="10A0BE2B" w:rsidR="00D34D20" w:rsidRPr="00E32FB0" w:rsidRDefault="00D34D20" w:rsidP="00E32FB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Opracowanie analityczne „</w:t>
            </w:r>
            <w:r w:rsidRPr="00641DB1">
              <w:rPr>
                <w:rFonts w:ascii="Times New Roman" w:hAnsi="Times New Roman" w:cs="Times New Roman"/>
              </w:rPr>
              <w:t>Badanie nasienia</w:t>
            </w:r>
            <w:r>
              <w:rPr>
                <w:rFonts w:ascii="Times New Roman" w:hAnsi="Times New Roman" w:cs="Times New Roman"/>
              </w:rPr>
              <w:t xml:space="preserve"> (seminogram). Badanie MAR IgG/IgA (ocena przeciwciał przeciwplemnikowych) – ocena zasadności kwalifikacji świadczenia opieki zdrowotnej jako świadczenia gwarantowanego z zakresu ambulatoryjnej opieki specjalistycznej</w:t>
            </w:r>
            <w:r w:rsidRPr="00641DB1">
              <w:rPr>
                <w:rFonts w:ascii="Times New Roman" w:hAnsi="Times New Roman" w:cs="Times New Roman"/>
              </w:rPr>
              <w:t>” nr WS.420.</w:t>
            </w:r>
            <w:r>
              <w:rPr>
                <w:rFonts w:ascii="Times New Roman" w:hAnsi="Times New Roman" w:cs="Times New Roman"/>
              </w:rPr>
              <w:t>12</w:t>
            </w:r>
            <w:r w:rsidRPr="00641DB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641DB1">
              <w:rPr>
                <w:rFonts w:ascii="Times New Roman" w:hAnsi="Times New Roman" w:cs="Times New Roman"/>
              </w:rPr>
              <w:t xml:space="preserve">, data ukończenia </w:t>
            </w:r>
            <w:r>
              <w:rPr>
                <w:rFonts w:ascii="Times New Roman" w:hAnsi="Times New Roman" w:cs="Times New Roman"/>
              </w:rPr>
              <w:t>22</w:t>
            </w:r>
            <w:r w:rsidRPr="00641DB1">
              <w:rPr>
                <w:rFonts w:ascii="Times New Roman" w:hAnsi="Times New Roman" w:cs="Times New Roman"/>
              </w:rPr>
              <w:t xml:space="preserve"> ma</w:t>
            </w:r>
            <w:r>
              <w:rPr>
                <w:rFonts w:ascii="Times New Roman" w:hAnsi="Times New Roman" w:cs="Times New Roman"/>
              </w:rPr>
              <w:t>rca</w:t>
            </w:r>
            <w:r w:rsidRPr="00641DB1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641DB1">
              <w:rPr>
                <w:rFonts w:ascii="Times New Roman" w:hAnsi="Times New Roman" w:cs="Times New Roman"/>
              </w:rPr>
              <w:t xml:space="preserve"> r.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CA7C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1F36"/>
    <w:multiLevelType w:val="hybridMultilevel"/>
    <w:tmpl w:val="22382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C7248"/>
    <w:multiLevelType w:val="hybridMultilevel"/>
    <w:tmpl w:val="1060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A430A"/>
    <w:multiLevelType w:val="hybridMultilevel"/>
    <w:tmpl w:val="99A026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6"/>
  </w:num>
  <w:num w:numId="9">
    <w:abstractNumId w:val="21"/>
  </w:num>
  <w:num w:numId="10">
    <w:abstractNumId w:val="13"/>
  </w:num>
  <w:num w:numId="11">
    <w:abstractNumId w:val="15"/>
  </w:num>
  <w:num w:numId="12">
    <w:abstractNumId w:val="5"/>
  </w:num>
  <w:num w:numId="13">
    <w:abstractNumId w:val="18"/>
  </w:num>
  <w:num w:numId="14">
    <w:abstractNumId w:val="11"/>
  </w:num>
  <w:num w:numId="15">
    <w:abstractNumId w:val="4"/>
  </w:num>
  <w:num w:numId="16">
    <w:abstractNumId w:val="14"/>
  </w:num>
  <w:num w:numId="17">
    <w:abstractNumId w:val="19"/>
  </w:num>
  <w:num w:numId="18">
    <w:abstractNumId w:val="12"/>
  </w:num>
  <w:num w:numId="19">
    <w:abstractNumId w:val="0"/>
  </w:num>
  <w:num w:numId="20">
    <w:abstractNumId w:val="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F0"/>
    <w:rsid w:val="00000BE5"/>
    <w:rsid w:val="00003CEE"/>
    <w:rsid w:val="00003EB4"/>
    <w:rsid w:val="000056C5"/>
    <w:rsid w:val="00012EAB"/>
    <w:rsid w:val="00016742"/>
    <w:rsid w:val="000179FC"/>
    <w:rsid w:val="00023E73"/>
    <w:rsid w:val="00023F1C"/>
    <w:rsid w:val="000324AE"/>
    <w:rsid w:val="00036BC2"/>
    <w:rsid w:val="000377D8"/>
    <w:rsid w:val="00044AB8"/>
    <w:rsid w:val="00045E75"/>
    <w:rsid w:val="00047557"/>
    <w:rsid w:val="00053414"/>
    <w:rsid w:val="00054564"/>
    <w:rsid w:val="0005580B"/>
    <w:rsid w:val="000634B6"/>
    <w:rsid w:val="00065B4B"/>
    <w:rsid w:val="000670E4"/>
    <w:rsid w:val="00080628"/>
    <w:rsid w:val="00081090"/>
    <w:rsid w:val="00083B89"/>
    <w:rsid w:val="00087B28"/>
    <w:rsid w:val="0009242C"/>
    <w:rsid w:val="000A0372"/>
    <w:rsid w:val="000A0DAF"/>
    <w:rsid w:val="000A357C"/>
    <w:rsid w:val="000A3E45"/>
    <w:rsid w:val="000B19C3"/>
    <w:rsid w:val="000B41DF"/>
    <w:rsid w:val="000B749F"/>
    <w:rsid w:val="000C0BAB"/>
    <w:rsid w:val="000C34FC"/>
    <w:rsid w:val="000C544F"/>
    <w:rsid w:val="000C5E4B"/>
    <w:rsid w:val="000D0C4B"/>
    <w:rsid w:val="000D132E"/>
    <w:rsid w:val="000D3804"/>
    <w:rsid w:val="000D508B"/>
    <w:rsid w:val="000D7875"/>
    <w:rsid w:val="000E0148"/>
    <w:rsid w:val="000E58C0"/>
    <w:rsid w:val="000E7202"/>
    <w:rsid w:val="000F07DB"/>
    <w:rsid w:val="000F086A"/>
    <w:rsid w:val="000F72D5"/>
    <w:rsid w:val="000F7677"/>
    <w:rsid w:val="001026DF"/>
    <w:rsid w:val="00106A98"/>
    <w:rsid w:val="00116070"/>
    <w:rsid w:val="00127B36"/>
    <w:rsid w:val="00127FA9"/>
    <w:rsid w:val="001315C1"/>
    <w:rsid w:val="00131F8B"/>
    <w:rsid w:val="00134EF7"/>
    <w:rsid w:val="00140B87"/>
    <w:rsid w:val="001431A2"/>
    <w:rsid w:val="00147D4B"/>
    <w:rsid w:val="00152D3C"/>
    <w:rsid w:val="00152E9A"/>
    <w:rsid w:val="00155C90"/>
    <w:rsid w:val="001604E6"/>
    <w:rsid w:val="0016133E"/>
    <w:rsid w:val="0016295F"/>
    <w:rsid w:val="00170FFB"/>
    <w:rsid w:val="00173653"/>
    <w:rsid w:val="001738B1"/>
    <w:rsid w:val="00175CE9"/>
    <w:rsid w:val="00176880"/>
    <w:rsid w:val="001808AA"/>
    <w:rsid w:val="001821BB"/>
    <w:rsid w:val="001869DD"/>
    <w:rsid w:val="001915D4"/>
    <w:rsid w:val="0019262A"/>
    <w:rsid w:val="00196577"/>
    <w:rsid w:val="00196A40"/>
    <w:rsid w:val="001A7736"/>
    <w:rsid w:val="001B1E92"/>
    <w:rsid w:val="001B2134"/>
    <w:rsid w:val="001B4645"/>
    <w:rsid w:val="001B57FA"/>
    <w:rsid w:val="001B6CB7"/>
    <w:rsid w:val="001C2971"/>
    <w:rsid w:val="001C4747"/>
    <w:rsid w:val="001C7E63"/>
    <w:rsid w:val="001D398A"/>
    <w:rsid w:val="001D3DBB"/>
    <w:rsid w:val="001D6E1E"/>
    <w:rsid w:val="001D7686"/>
    <w:rsid w:val="001E0D0B"/>
    <w:rsid w:val="001E1209"/>
    <w:rsid w:val="001E3279"/>
    <w:rsid w:val="001E64CE"/>
    <w:rsid w:val="001E68F7"/>
    <w:rsid w:val="001E71D5"/>
    <w:rsid w:val="001F0B2E"/>
    <w:rsid w:val="001F0E6F"/>
    <w:rsid w:val="001F2C4E"/>
    <w:rsid w:val="001F4ECB"/>
    <w:rsid w:val="00203597"/>
    <w:rsid w:val="002041EF"/>
    <w:rsid w:val="00204850"/>
    <w:rsid w:val="0020656F"/>
    <w:rsid w:val="00211FFB"/>
    <w:rsid w:val="0021321D"/>
    <w:rsid w:val="002133C3"/>
    <w:rsid w:val="00213B8B"/>
    <w:rsid w:val="00217A12"/>
    <w:rsid w:val="00220DBF"/>
    <w:rsid w:val="00231F94"/>
    <w:rsid w:val="0023220D"/>
    <w:rsid w:val="00235677"/>
    <w:rsid w:val="002447B9"/>
    <w:rsid w:val="00246516"/>
    <w:rsid w:val="00250A69"/>
    <w:rsid w:val="00252516"/>
    <w:rsid w:val="002528F5"/>
    <w:rsid w:val="0025429F"/>
    <w:rsid w:val="00254C68"/>
    <w:rsid w:val="0025568F"/>
    <w:rsid w:val="002601CE"/>
    <w:rsid w:val="002651C5"/>
    <w:rsid w:val="0026596F"/>
    <w:rsid w:val="00271841"/>
    <w:rsid w:val="00272686"/>
    <w:rsid w:val="00277DAD"/>
    <w:rsid w:val="00281BA5"/>
    <w:rsid w:val="002837D2"/>
    <w:rsid w:val="0028705F"/>
    <w:rsid w:val="00291A18"/>
    <w:rsid w:val="002926C2"/>
    <w:rsid w:val="00294116"/>
    <w:rsid w:val="00297CE5"/>
    <w:rsid w:val="002A3C71"/>
    <w:rsid w:val="002A43FD"/>
    <w:rsid w:val="002A6A7F"/>
    <w:rsid w:val="002B7A7D"/>
    <w:rsid w:val="002B7D2D"/>
    <w:rsid w:val="002D615A"/>
    <w:rsid w:val="002D709D"/>
    <w:rsid w:val="002D7B40"/>
    <w:rsid w:val="002D7CBF"/>
    <w:rsid w:val="002E023B"/>
    <w:rsid w:val="002E3407"/>
    <w:rsid w:val="002E4269"/>
    <w:rsid w:val="002E5221"/>
    <w:rsid w:val="002E730C"/>
    <w:rsid w:val="002F11BF"/>
    <w:rsid w:val="002F211B"/>
    <w:rsid w:val="002F4120"/>
    <w:rsid w:val="002F45B5"/>
    <w:rsid w:val="0030181A"/>
    <w:rsid w:val="003039D3"/>
    <w:rsid w:val="00304FB7"/>
    <w:rsid w:val="003054A3"/>
    <w:rsid w:val="0031754E"/>
    <w:rsid w:val="003217C3"/>
    <w:rsid w:val="0032259E"/>
    <w:rsid w:val="00325E5F"/>
    <w:rsid w:val="00327345"/>
    <w:rsid w:val="00330268"/>
    <w:rsid w:val="00332032"/>
    <w:rsid w:val="00333248"/>
    <w:rsid w:val="00333E80"/>
    <w:rsid w:val="003349AA"/>
    <w:rsid w:val="00336A35"/>
    <w:rsid w:val="00337295"/>
    <w:rsid w:val="00340B28"/>
    <w:rsid w:val="0034264B"/>
    <w:rsid w:val="003448A0"/>
    <w:rsid w:val="00344B88"/>
    <w:rsid w:val="003538E7"/>
    <w:rsid w:val="00361677"/>
    <w:rsid w:val="003623F4"/>
    <w:rsid w:val="00363009"/>
    <w:rsid w:val="003636DA"/>
    <w:rsid w:val="00363868"/>
    <w:rsid w:val="00365EAD"/>
    <w:rsid w:val="00366941"/>
    <w:rsid w:val="00370488"/>
    <w:rsid w:val="00374B53"/>
    <w:rsid w:val="003813C5"/>
    <w:rsid w:val="00384B4B"/>
    <w:rsid w:val="00386730"/>
    <w:rsid w:val="003874A9"/>
    <w:rsid w:val="00393CE7"/>
    <w:rsid w:val="00394CC6"/>
    <w:rsid w:val="00395F63"/>
    <w:rsid w:val="0039668A"/>
    <w:rsid w:val="003A11B4"/>
    <w:rsid w:val="003A1CBC"/>
    <w:rsid w:val="003A24B3"/>
    <w:rsid w:val="003A28E5"/>
    <w:rsid w:val="003A7BD1"/>
    <w:rsid w:val="003B0397"/>
    <w:rsid w:val="003B05D2"/>
    <w:rsid w:val="003B05F1"/>
    <w:rsid w:val="003C3011"/>
    <w:rsid w:val="003D006C"/>
    <w:rsid w:val="003D181C"/>
    <w:rsid w:val="003D356B"/>
    <w:rsid w:val="003E359E"/>
    <w:rsid w:val="003E42B4"/>
    <w:rsid w:val="003E5B91"/>
    <w:rsid w:val="003F05BC"/>
    <w:rsid w:val="003F1E70"/>
    <w:rsid w:val="003F75D1"/>
    <w:rsid w:val="00400E33"/>
    <w:rsid w:val="00403A73"/>
    <w:rsid w:val="00403D22"/>
    <w:rsid w:val="004079CE"/>
    <w:rsid w:val="004108B1"/>
    <w:rsid w:val="004128D2"/>
    <w:rsid w:val="00417071"/>
    <w:rsid w:val="00417586"/>
    <w:rsid w:val="00422BDF"/>
    <w:rsid w:val="0042359A"/>
    <w:rsid w:val="00424472"/>
    <w:rsid w:val="00432C72"/>
    <w:rsid w:val="004347A1"/>
    <w:rsid w:val="00436245"/>
    <w:rsid w:val="00436BB1"/>
    <w:rsid w:val="00441B57"/>
    <w:rsid w:val="00444151"/>
    <w:rsid w:val="00444CE6"/>
    <w:rsid w:val="0045168A"/>
    <w:rsid w:val="00455D57"/>
    <w:rsid w:val="00455EBC"/>
    <w:rsid w:val="004578AA"/>
    <w:rsid w:val="00463DD6"/>
    <w:rsid w:val="00464E8A"/>
    <w:rsid w:val="0046557C"/>
    <w:rsid w:val="00470DFC"/>
    <w:rsid w:val="00474C6E"/>
    <w:rsid w:val="00475810"/>
    <w:rsid w:val="00481E1B"/>
    <w:rsid w:val="004851E0"/>
    <w:rsid w:val="004877EC"/>
    <w:rsid w:val="0049067D"/>
    <w:rsid w:val="00492710"/>
    <w:rsid w:val="00494247"/>
    <w:rsid w:val="00497B50"/>
    <w:rsid w:val="00497F37"/>
    <w:rsid w:val="004A0076"/>
    <w:rsid w:val="004A0EE7"/>
    <w:rsid w:val="004A11A1"/>
    <w:rsid w:val="004A653B"/>
    <w:rsid w:val="004A70FF"/>
    <w:rsid w:val="004A7ACB"/>
    <w:rsid w:val="004B28D3"/>
    <w:rsid w:val="004B331A"/>
    <w:rsid w:val="004B64C0"/>
    <w:rsid w:val="004D2491"/>
    <w:rsid w:val="004D2CF6"/>
    <w:rsid w:val="004D4B64"/>
    <w:rsid w:val="004D4BC4"/>
    <w:rsid w:val="004D7427"/>
    <w:rsid w:val="004E2CEF"/>
    <w:rsid w:val="004E5860"/>
    <w:rsid w:val="004E6B46"/>
    <w:rsid w:val="004F32C7"/>
    <w:rsid w:val="004F3A66"/>
    <w:rsid w:val="004F7A5D"/>
    <w:rsid w:val="005029FC"/>
    <w:rsid w:val="00507C5A"/>
    <w:rsid w:val="00516030"/>
    <w:rsid w:val="00525AA1"/>
    <w:rsid w:val="00525E55"/>
    <w:rsid w:val="005339C5"/>
    <w:rsid w:val="00533AEE"/>
    <w:rsid w:val="00541F6F"/>
    <w:rsid w:val="00542C6A"/>
    <w:rsid w:val="0054413D"/>
    <w:rsid w:val="005548E2"/>
    <w:rsid w:val="00557B58"/>
    <w:rsid w:val="00557E0E"/>
    <w:rsid w:val="005609EE"/>
    <w:rsid w:val="0056482D"/>
    <w:rsid w:val="00577B83"/>
    <w:rsid w:val="00584EA4"/>
    <w:rsid w:val="0058665A"/>
    <w:rsid w:val="005871C5"/>
    <w:rsid w:val="005871C7"/>
    <w:rsid w:val="005948A3"/>
    <w:rsid w:val="0059706F"/>
    <w:rsid w:val="00597A21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D4201"/>
    <w:rsid w:val="005D5CF7"/>
    <w:rsid w:val="005E0624"/>
    <w:rsid w:val="005E2389"/>
    <w:rsid w:val="005F1723"/>
    <w:rsid w:val="005F390B"/>
    <w:rsid w:val="005F63A0"/>
    <w:rsid w:val="0060099A"/>
    <w:rsid w:val="00606E1F"/>
    <w:rsid w:val="0062174A"/>
    <w:rsid w:val="00623E31"/>
    <w:rsid w:val="00627833"/>
    <w:rsid w:val="00627C9E"/>
    <w:rsid w:val="00632F41"/>
    <w:rsid w:val="006346A7"/>
    <w:rsid w:val="0063785F"/>
    <w:rsid w:val="006379DB"/>
    <w:rsid w:val="00640BC2"/>
    <w:rsid w:val="00641DB1"/>
    <w:rsid w:val="0064530D"/>
    <w:rsid w:val="00656625"/>
    <w:rsid w:val="0066095C"/>
    <w:rsid w:val="00663065"/>
    <w:rsid w:val="00665D1B"/>
    <w:rsid w:val="00665F3B"/>
    <w:rsid w:val="00670C16"/>
    <w:rsid w:val="006725B0"/>
    <w:rsid w:val="006745FF"/>
    <w:rsid w:val="00674F15"/>
    <w:rsid w:val="006770E9"/>
    <w:rsid w:val="0068248E"/>
    <w:rsid w:val="0068709F"/>
    <w:rsid w:val="00687EE3"/>
    <w:rsid w:val="006913BE"/>
    <w:rsid w:val="006917A1"/>
    <w:rsid w:val="006A056C"/>
    <w:rsid w:val="006B0A52"/>
    <w:rsid w:val="006B1DEA"/>
    <w:rsid w:val="006B23E6"/>
    <w:rsid w:val="006B26CE"/>
    <w:rsid w:val="006B3AF1"/>
    <w:rsid w:val="006B5407"/>
    <w:rsid w:val="006B7C1B"/>
    <w:rsid w:val="006C2751"/>
    <w:rsid w:val="006C29EA"/>
    <w:rsid w:val="006D15C3"/>
    <w:rsid w:val="006D257A"/>
    <w:rsid w:val="006D3208"/>
    <w:rsid w:val="006D496B"/>
    <w:rsid w:val="006D77E2"/>
    <w:rsid w:val="006E3537"/>
    <w:rsid w:val="006E681F"/>
    <w:rsid w:val="006E6C2C"/>
    <w:rsid w:val="006E7508"/>
    <w:rsid w:val="006E7794"/>
    <w:rsid w:val="006F52E0"/>
    <w:rsid w:val="006F5AD5"/>
    <w:rsid w:val="006F742A"/>
    <w:rsid w:val="00701043"/>
    <w:rsid w:val="0071441B"/>
    <w:rsid w:val="0072495E"/>
    <w:rsid w:val="007254E4"/>
    <w:rsid w:val="00727606"/>
    <w:rsid w:val="00730E56"/>
    <w:rsid w:val="00731A10"/>
    <w:rsid w:val="00732046"/>
    <w:rsid w:val="007330A3"/>
    <w:rsid w:val="007363A3"/>
    <w:rsid w:val="00742F48"/>
    <w:rsid w:val="00750984"/>
    <w:rsid w:val="00753F99"/>
    <w:rsid w:val="00755CE4"/>
    <w:rsid w:val="00755D92"/>
    <w:rsid w:val="007568F7"/>
    <w:rsid w:val="007621CD"/>
    <w:rsid w:val="00763B89"/>
    <w:rsid w:val="00764F8D"/>
    <w:rsid w:val="00767EEF"/>
    <w:rsid w:val="007744AC"/>
    <w:rsid w:val="00776076"/>
    <w:rsid w:val="0078693E"/>
    <w:rsid w:val="00790EBF"/>
    <w:rsid w:val="00794ED8"/>
    <w:rsid w:val="00796656"/>
    <w:rsid w:val="007972D3"/>
    <w:rsid w:val="007A552C"/>
    <w:rsid w:val="007B006B"/>
    <w:rsid w:val="007B1192"/>
    <w:rsid w:val="007B1A10"/>
    <w:rsid w:val="007B449D"/>
    <w:rsid w:val="007C05EE"/>
    <w:rsid w:val="007C2856"/>
    <w:rsid w:val="007C2CB8"/>
    <w:rsid w:val="007D75E4"/>
    <w:rsid w:val="007E4162"/>
    <w:rsid w:val="007E689A"/>
    <w:rsid w:val="007F74F7"/>
    <w:rsid w:val="008062B4"/>
    <w:rsid w:val="00811313"/>
    <w:rsid w:val="00811F89"/>
    <w:rsid w:val="00812EEB"/>
    <w:rsid w:val="0081399E"/>
    <w:rsid w:val="00815AD3"/>
    <w:rsid w:val="00820452"/>
    <w:rsid w:val="00832B5D"/>
    <w:rsid w:val="00834600"/>
    <w:rsid w:val="00845A61"/>
    <w:rsid w:val="00845C40"/>
    <w:rsid w:val="00850BBF"/>
    <w:rsid w:val="00850CAA"/>
    <w:rsid w:val="008541E3"/>
    <w:rsid w:val="008565FF"/>
    <w:rsid w:val="008679E3"/>
    <w:rsid w:val="00870050"/>
    <w:rsid w:val="008717E8"/>
    <w:rsid w:val="00872769"/>
    <w:rsid w:val="008818E1"/>
    <w:rsid w:val="00886242"/>
    <w:rsid w:val="00896A72"/>
    <w:rsid w:val="00897AD8"/>
    <w:rsid w:val="008A3BEE"/>
    <w:rsid w:val="008A4175"/>
    <w:rsid w:val="008A451D"/>
    <w:rsid w:val="008A4597"/>
    <w:rsid w:val="008A7EF3"/>
    <w:rsid w:val="008B0156"/>
    <w:rsid w:val="008B08C2"/>
    <w:rsid w:val="008B324F"/>
    <w:rsid w:val="008B5C8A"/>
    <w:rsid w:val="008C1339"/>
    <w:rsid w:val="008C4211"/>
    <w:rsid w:val="008C682C"/>
    <w:rsid w:val="008D01C3"/>
    <w:rsid w:val="008D0ACF"/>
    <w:rsid w:val="008D0DD4"/>
    <w:rsid w:val="008D1CDE"/>
    <w:rsid w:val="008D40E6"/>
    <w:rsid w:val="008D4302"/>
    <w:rsid w:val="008D7428"/>
    <w:rsid w:val="008E080C"/>
    <w:rsid w:val="008E13A2"/>
    <w:rsid w:val="008E1756"/>
    <w:rsid w:val="008E264C"/>
    <w:rsid w:val="008E5099"/>
    <w:rsid w:val="008E6693"/>
    <w:rsid w:val="008E72CE"/>
    <w:rsid w:val="008F1D8D"/>
    <w:rsid w:val="008F2250"/>
    <w:rsid w:val="008F4721"/>
    <w:rsid w:val="009041FC"/>
    <w:rsid w:val="0090551D"/>
    <w:rsid w:val="00913D79"/>
    <w:rsid w:val="00916141"/>
    <w:rsid w:val="009201FF"/>
    <w:rsid w:val="0092514D"/>
    <w:rsid w:val="00930D2D"/>
    <w:rsid w:val="009315BB"/>
    <w:rsid w:val="00932DDA"/>
    <w:rsid w:val="0094015D"/>
    <w:rsid w:val="00944C3E"/>
    <w:rsid w:val="009458EF"/>
    <w:rsid w:val="00946A7F"/>
    <w:rsid w:val="00957FC2"/>
    <w:rsid w:val="009656F2"/>
    <w:rsid w:val="00971774"/>
    <w:rsid w:val="0097472E"/>
    <w:rsid w:val="00975012"/>
    <w:rsid w:val="0098327D"/>
    <w:rsid w:val="00984DCC"/>
    <w:rsid w:val="00985464"/>
    <w:rsid w:val="00985630"/>
    <w:rsid w:val="00993E68"/>
    <w:rsid w:val="009A0A64"/>
    <w:rsid w:val="009A1CA3"/>
    <w:rsid w:val="009A5164"/>
    <w:rsid w:val="009A55CC"/>
    <w:rsid w:val="009A5DA2"/>
    <w:rsid w:val="009A6971"/>
    <w:rsid w:val="009A7796"/>
    <w:rsid w:val="009B3187"/>
    <w:rsid w:val="009B56F8"/>
    <w:rsid w:val="009B6776"/>
    <w:rsid w:val="009C21F5"/>
    <w:rsid w:val="009C2CD7"/>
    <w:rsid w:val="009C5C40"/>
    <w:rsid w:val="009C6D10"/>
    <w:rsid w:val="009D5F8F"/>
    <w:rsid w:val="009E0C8F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15926"/>
    <w:rsid w:val="00A26644"/>
    <w:rsid w:val="00A26F5D"/>
    <w:rsid w:val="00A27EFC"/>
    <w:rsid w:val="00A372B7"/>
    <w:rsid w:val="00A40097"/>
    <w:rsid w:val="00A4236B"/>
    <w:rsid w:val="00A47716"/>
    <w:rsid w:val="00A5386D"/>
    <w:rsid w:val="00A53B50"/>
    <w:rsid w:val="00A54E9B"/>
    <w:rsid w:val="00A57218"/>
    <w:rsid w:val="00A60318"/>
    <w:rsid w:val="00A61ED2"/>
    <w:rsid w:val="00A63207"/>
    <w:rsid w:val="00A64A98"/>
    <w:rsid w:val="00A65083"/>
    <w:rsid w:val="00A80C65"/>
    <w:rsid w:val="00A83E19"/>
    <w:rsid w:val="00A85157"/>
    <w:rsid w:val="00A851CD"/>
    <w:rsid w:val="00A92886"/>
    <w:rsid w:val="00A9383C"/>
    <w:rsid w:val="00AA31BB"/>
    <w:rsid w:val="00AA6AC9"/>
    <w:rsid w:val="00AB16B4"/>
    <w:rsid w:val="00AB7431"/>
    <w:rsid w:val="00AC3491"/>
    <w:rsid w:val="00AC3BE5"/>
    <w:rsid w:val="00AC4990"/>
    <w:rsid w:val="00AC5CD2"/>
    <w:rsid w:val="00AD08A9"/>
    <w:rsid w:val="00AD1688"/>
    <w:rsid w:val="00AD40DA"/>
    <w:rsid w:val="00AE2FFA"/>
    <w:rsid w:val="00AE4EBB"/>
    <w:rsid w:val="00AE58FC"/>
    <w:rsid w:val="00AF049E"/>
    <w:rsid w:val="00AF09F1"/>
    <w:rsid w:val="00AF10EE"/>
    <w:rsid w:val="00B04AAD"/>
    <w:rsid w:val="00B10202"/>
    <w:rsid w:val="00B20099"/>
    <w:rsid w:val="00B20676"/>
    <w:rsid w:val="00B30712"/>
    <w:rsid w:val="00B37DC9"/>
    <w:rsid w:val="00B40143"/>
    <w:rsid w:val="00B42857"/>
    <w:rsid w:val="00B455A3"/>
    <w:rsid w:val="00B46A52"/>
    <w:rsid w:val="00B47824"/>
    <w:rsid w:val="00B50611"/>
    <w:rsid w:val="00B52019"/>
    <w:rsid w:val="00B53A03"/>
    <w:rsid w:val="00B55187"/>
    <w:rsid w:val="00B563BD"/>
    <w:rsid w:val="00B56749"/>
    <w:rsid w:val="00B60537"/>
    <w:rsid w:val="00B6428B"/>
    <w:rsid w:val="00B75DEE"/>
    <w:rsid w:val="00B7720E"/>
    <w:rsid w:val="00B801A0"/>
    <w:rsid w:val="00B82C94"/>
    <w:rsid w:val="00B85430"/>
    <w:rsid w:val="00B873A0"/>
    <w:rsid w:val="00BA0245"/>
    <w:rsid w:val="00BA02E1"/>
    <w:rsid w:val="00BA1F9A"/>
    <w:rsid w:val="00BA563F"/>
    <w:rsid w:val="00BA7E14"/>
    <w:rsid w:val="00BB0489"/>
    <w:rsid w:val="00BB48AA"/>
    <w:rsid w:val="00BB50EF"/>
    <w:rsid w:val="00BB5C61"/>
    <w:rsid w:val="00BB708D"/>
    <w:rsid w:val="00BC0797"/>
    <w:rsid w:val="00BC6C03"/>
    <w:rsid w:val="00BC7371"/>
    <w:rsid w:val="00BD0D8F"/>
    <w:rsid w:val="00BD3212"/>
    <w:rsid w:val="00BE34E1"/>
    <w:rsid w:val="00BE3BD9"/>
    <w:rsid w:val="00BE612B"/>
    <w:rsid w:val="00BF2375"/>
    <w:rsid w:val="00BF5290"/>
    <w:rsid w:val="00BF53B2"/>
    <w:rsid w:val="00BF56AA"/>
    <w:rsid w:val="00BF5BE0"/>
    <w:rsid w:val="00BF5F55"/>
    <w:rsid w:val="00C00A10"/>
    <w:rsid w:val="00C05733"/>
    <w:rsid w:val="00C13B10"/>
    <w:rsid w:val="00C26F2A"/>
    <w:rsid w:val="00C275C5"/>
    <w:rsid w:val="00C30213"/>
    <w:rsid w:val="00C33B95"/>
    <w:rsid w:val="00C34969"/>
    <w:rsid w:val="00C4087C"/>
    <w:rsid w:val="00C41551"/>
    <w:rsid w:val="00C42CFB"/>
    <w:rsid w:val="00C43478"/>
    <w:rsid w:val="00C43D83"/>
    <w:rsid w:val="00C539B3"/>
    <w:rsid w:val="00C56382"/>
    <w:rsid w:val="00C610AD"/>
    <w:rsid w:val="00C6335B"/>
    <w:rsid w:val="00C679CC"/>
    <w:rsid w:val="00C7034C"/>
    <w:rsid w:val="00C724F4"/>
    <w:rsid w:val="00C737E1"/>
    <w:rsid w:val="00C74B91"/>
    <w:rsid w:val="00C75CC5"/>
    <w:rsid w:val="00C81137"/>
    <w:rsid w:val="00C84217"/>
    <w:rsid w:val="00C92B7C"/>
    <w:rsid w:val="00C97485"/>
    <w:rsid w:val="00C97CFE"/>
    <w:rsid w:val="00CA0888"/>
    <w:rsid w:val="00CA5B32"/>
    <w:rsid w:val="00CB05B5"/>
    <w:rsid w:val="00CB505B"/>
    <w:rsid w:val="00CB57B0"/>
    <w:rsid w:val="00CC27FA"/>
    <w:rsid w:val="00CC3952"/>
    <w:rsid w:val="00CD12E2"/>
    <w:rsid w:val="00CD2962"/>
    <w:rsid w:val="00CD494A"/>
    <w:rsid w:val="00CD6A34"/>
    <w:rsid w:val="00CE1FE5"/>
    <w:rsid w:val="00CE221F"/>
    <w:rsid w:val="00CE7B97"/>
    <w:rsid w:val="00CF11CF"/>
    <w:rsid w:val="00CF19FF"/>
    <w:rsid w:val="00CF324B"/>
    <w:rsid w:val="00CF4F83"/>
    <w:rsid w:val="00D00AEE"/>
    <w:rsid w:val="00D05127"/>
    <w:rsid w:val="00D14302"/>
    <w:rsid w:val="00D16DD1"/>
    <w:rsid w:val="00D21261"/>
    <w:rsid w:val="00D227CD"/>
    <w:rsid w:val="00D23BE6"/>
    <w:rsid w:val="00D24852"/>
    <w:rsid w:val="00D327D1"/>
    <w:rsid w:val="00D33926"/>
    <w:rsid w:val="00D34C08"/>
    <w:rsid w:val="00D34D20"/>
    <w:rsid w:val="00D44E33"/>
    <w:rsid w:val="00D45EF1"/>
    <w:rsid w:val="00D47A78"/>
    <w:rsid w:val="00D5233A"/>
    <w:rsid w:val="00D527A0"/>
    <w:rsid w:val="00D52F37"/>
    <w:rsid w:val="00D56DF0"/>
    <w:rsid w:val="00D57F38"/>
    <w:rsid w:val="00D625E7"/>
    <w:rsid w:val="00D70A49"/>
    <w:rsid w:val="00D70FCE"/>
    <w:rsid w:val="00D75E9A"/>
    <w:rsid w:val="00D764D2"/>
    <w:rsid w:val="00D8089C"/>
    <w:rsid w:val="00D830D9"/>
    <w:rsid w:val="00D85C43"/>
    <w:rsid w:val="00D9216E"/>
    <w:rsid w:val="00D95CA9"/>
    <w:rsid w:val="00DA45DB"/>
    <w:rsid w:val="00DA4669"/>
    <w:rsid w:val="00DA5F31"/>
    <w:rsid w:val="00DA7785"/>
    <w:rsid w:val="00DB2A1A"/>
    <w:rsid w:val="00DB3609"/>
    <w:rsid w:val="00DB43CF"/>
    <w:rsid w:val="00DB5234"/>
    <w:rsid w:val="00DB6EE3"/>
    <w:rsid w:val="00DB7042"/>
    <w:rsid w:val="00DB7BE0"/>
    <w:rsid w:val="00DC43EC"/>
    <w:rsid w:val="00DC4A72"/>
    <w:rsid w:val="00DD18BF"/>
    <w:rsid w:val="00DD493E"/>
    <w:rsid w:val="00DD53BC"/>
    <w:rsid w:val="00DD5E23"/>
    <w:rsid w:val="00DE25E3"/>
    <w:rsid w:val="00DE2803"/>
    <w:rsid w:val="00DF38CC"/>
    <w:rsid w:val="00DF6C0E"/>
    <w:rsid w:val="00E027C4"/>
    <w:rsid w:val="00E02A2A"/>
    <w:rsid w:val="00E11BF5"/>
    <w:rsid w:val="00E11CD7"/>
    <w:rsid w:val="00E1449D"/>
    <w:rsid w:val="00E232E7"/>
    <w:rsid w:val="00E247C1"/>
    <w:rsid w:val="00E247F0"/>
    <w:rsid w:val="00E24A97"/>
    <w:rsid w:val="00E32FB0"/>
    <w:rsid w:val="00E34725"/>
    <w:rsid w:val="00E36635"/>
    <w:rsid w:val="00E40C5E"/>
    <w:rsid w:val="00E43512"/>
    <w:rsid w:val="00E45052"/>
    <w:rsid w:val="00E45099"/>
    <w:rsid w:val="00E5032C"/>
    <w:rsid w:val="00E50556"/>
    <w:rsid w:val="00E53749"/>
    <w:rsid w:val="00E559DE"/>
    <w:rsid w:val="00E571F5"/>
    <w:rsid w:val="00E601E9"/>
    <w:rsid w:val="00E60C8C"/>
    <w:rsid w:val="00E64E5C"/>
    <w:rsid w:val="00E700E1"/>
    <w:rsid w:val="00E727B7"/>
    <w:rsid w:val="00E72D2C"/>
    <w:rsid w:val="00E7521E"/>
    <w:rsid w:val="00E76466"/>
    <w:rsid w:val="00E8073A"/>
    <w:rsid w:val="00E83D15"/>
    <w:rsid w:val="00E84EAA"/>
    <w:rsid w:val="00E86DC6"/>
    <w:rsid w:val="00E90524"/>
    <w:rsid w:val="00E91280"/>
    <w:rsid w:val="00E957DF"/>
    <w:rsid w:val="00E96285"/>
    <w:rsid w:val="00EA38C7"/>
    <w:rsid w:val="00EB090E"/>
    <w:rsid w:val="00EB19F4"/>
    <w:rsid w:val="00EB5604"/>
    <w:rsid w:val="00EB5D6D"/>
    <w:rsid w:val="00EB63D3"/>
    <w:rsid w:val="00EB7B93"/>
    <w:rsid w:val="00EC374E"/>
    <w:rsid w:val="00EC56D3"/>
    <w:rsid w:val="00EC64DB"/>
    <w:rsid w:val="00EC7027"/>
    <w:rsid w:val="00EC7AF7"/>
    <w:rsid w:val="00ED10E7"/>
    <w:rsid w:val="00ED6E56"/>
    <w:rsid w:val="00ED7A32"/>
    <w:rsid w:val="00EE0DB2"/>
    <w:rsid w:val="00EE3B10"/>
    <w:rsid w:val="00EE40FE"/>
    <w:rsid w:val="00EF4B7C"/>
    <w:rsid w:val="00EF7A94"/>
    <w:rsid w:val="00F03308"/>
    <w:rsid w:val="00F0614E"/>
    <w:rsid w:val="00F11E15"/>
    <w:rsid w:val="00F1393F"/>
    <w:rsid w:val="00F13D41"/>
    <w:rsid w:val="00F1716F"/>
    <w:rsid w:val="00F20DCD"/>
    <w:rsid w:val="00F21A14"/>
    <w:rsid w:val="00F24066"/>
    <w:rsid w:val="00F26D9A"/>
    <w:rsid w:val="00F2789C"/>
    <w:rsid w:val="00F301F5"/>
    <w:rsid w:val="00F33DBE"/>
    <w:rsid w:val="00F407BA"/>
    <w:rsid w:val="00F42A85"/>
    <w:rsid w:val="00F4638B"/>
    <w:rsid w:val="00F4697D"/>
    <w:rsid w:val="00F46E4B"/>
    <w:rsid w:val="00F55629"/>
    <w:rsid w:val="00F56037"/>
    <w:rsid w:val="00F57F23"/>
    <w:rsid w:val="00F6018C"/>
    <w:rsid w:val="00F621E8"/>
    <w:rsid w:val="00F63A41"/>
    <w:rsid w:val="00F64635"/>
    <w:rsid w:val="00F70B48"/>
    <w:rsid w:val="00F715BB"/>
    <w:rsid w:val="00F74710"/>
    <w:rsid w:val="00F768AA"/>
    <w:rsid w:val="00F86500"/>
    <w:rsid w:val="00F940F6"/>
    <w:rsid w:val="00F94105"/>
    <w:rsid w:val="00F95124"/>
    <w:rsid w:val="00F964B4"/>
    <w:rsid w:val="00F9782A"/>
    <w:rsid w:val="00FA42CF"/>
    <w:rsid w:val="00FA504A"/>
    <w:rsid w:val="00FA6A80"/>
    <w:rsid w:val="00FB1C19"/>
    <w:rsid w:val="00FB4747"/>
    <w:rsid w:val="00FB5BFA"/>
    <w:rsid w:val="00FC2AF9"/>
    <w:rsid w:val="00FC667A"/>
    <w:rsid w:val="00FD1D04"/>
    <w:rsid w:val="00FD25F0"/>
    <w:rsid w:val="00FD38E0"/>
    <w:rsid w:val="00FE4B38"/>
    <w:rsid w:val="00FF3714"/>
    <w:rsid w:val="00FF4295"/>
    <w:rsid w:val="00FF436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40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40B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140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40B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.malinowska@mz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72E05-A7F5-42A5-9B9E-3F3C85055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1600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Pracodawców Polska Miedź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Ilarska Joanna</dc:creator>
  <cp:lastModifiedBy>ZPPM</cp:lastModifiedBy>
  <cp:revision>2</cp:revision>
  <cp:lastPrinted>2020-01-09T15:21:00Z</cp:lastPrinted>
  <dcterms:created xsi:type="dcterms:W3CDTF">2023-07-24T10:14:00Z</dcterms:created>
  <dcterms:modified xsi:type="dcterms:W3CDTF">2023-07-24T10:14:00Z</dcterms:modified>
</cp:coreProperties>
</file>