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8" Type="http://schemas.openxmlformats.org/officeDocument/2006/relationships/extended-properties" Target="docProps/app.xml"/><Relationship Id="rId7" Type="http://schemas.openxmlformats.org/package/2006/relationships/metadata/core-properties" Target="docProps/core.xml"/><Relationship Id="rId1" Type="http://schemas.openxmlformats.org/officeDocument/2006/relationships/officeDocument" Target="word/document.xml"/><Relationship Id="rId6" Type="http://schemas.microsoft.com/office/2006/relationships/ui/userCustomization" Target="userCustomization/customUI.xml"/><Relationship Id="rId5" Type="http://schemas.microsoft.com/office/2006/relationships/ui/extensibility" Target="Makroinstrukcje2.xml"/><Relationship Id="rId9"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5B11A8" w14:textId="1D920AE2" w:rsidR="002D4237" w:rsidRPr="002D4237" w:rsidRDefault="002D4237" w:rsidP="00C60F22">
      <w:pPr>
        <w:pStyle w:val="OZNPROJEKTUwskazaniedatylubwersjiprojektu"/>
      </w:pPr>
      <w:bookmarkStart w:id="0" w:name="_GoBack"/>
      <w:bookmarkEnd w:id="0"/>
      <w:r w:rsidRPr="002D4237">
        <w:t xml:space="preserve">Projekt </w:t>
      </w:r>
      <w:r w:rsidR="00BC03EF">
        <w:t>1</w:t>
      </w:r>
      <w:r w:rsidR="00952ADD">
        <w:t>3</w:t>
      </w:r>
      <w:r w:rsidR="00EC5611">
        <w:t>.</w:t>
      </w:r>
      <w:r w:rsidR="00F2013F">
        <w:t>0</w:t>
      </w:r>
      <w:r w:rsidR="00291E53">
        <w:t>7</w:t>
      </w:r>
      <w:r w:rsidR="00A7732B">
        <w:t>.</w:t>
      </w:r>
      <w:r w:rsidRPr="002D4237">
        <w:t>2023 r.</w:t>
      </w:r>
    </w:p>
    <w:p w14:paraId="2DC12A0E" w14:textId="77777777" w:rsidR="002D4237" w:rsidRPr="00C60F22" w:rsidRDefault="002D4237" w:rsidP="00C60F22">
      <w:pPr>
        <w:pStyle w:val="OZNRODZAKTUtznustawalubrozporzdzenieiorganwydajcy"/>
      </w:pPr>
      <w:r w:rsidRPr="00C60F22">
        <w:t>Ustawa</w:t>
      </w:r>
    </w:p>
    <w:p w14:paraId="667734A0" w14:textId="332675D9" w:rsidR="002D4237" w:rsidRPr="002D4237" w:rsidRDefault="002D4237" w:rsidP="002D4237">
      <w:pPr>
        <w:pStyle w:val="DATAAKTUdatauchwalenialubwydaniaaktu"/>
      </w:pPr>
      <w:r w:rsidRPr="002D4237">
        <w:t>z dnia…</w:t>
      </w:r>
      <w:r w:rsidR="00BC03EF">
        <w:t>………..</w:t>
      </w:r>
      <w:r w:rsidRPr="002D4237">
        <w:t xml:space="preserve"> 2023 r.</w:t>
      </w:r>
    </w:p>
    <w:p w14:paraId="062ABA4A" w14:textId="77777777" w:rsidR="002D4237" w:rsidRPr="002D4237" w:rsidRDefault="002D4237" w:rsidP="002D4237">
      <w:pPr>
        <w:pStyle w:val="TYTUAKTUprzedmiotregulacjiustawylubrozporzdzenia"/>
      </w:pPr>
      <w:r w:rsidRPr="002D4237">
        <w:t>o zarządzaniu danymi</w:t>
      </w:r>
      <w:r w:rsidRPr="0060435B">
        <w:rPr>
          <w:rStyle w:val="IGindeksgrny"/>
        </w:rPr>
        <w:footnoteReference w:id="2"/>
      </w:r>
      <w:r w:rsidRPr="0060435B">
        <w:rPr>
          <w:rStyle w:val="IGindeksgrny"/>
        </w:rPr>
        <w:t>)</w:t>
      </w:r>
    </w:p>
    <w:p w14:paraId="30396C65" w14:textId="77777777" w:rsidR="002D4237" w:rsidRPr="002D4237" w:rsidRDefault="002D4237" w:rsidP="002D4237">
      <w:pPr>
        <w:pStyle w:val="ROZDZODDZOZNoznaczenierozdziauluboddziau"/>
      </w:pPr>
      <w:r w:rsidRPr="002D4237">
        <w:t>Rozdział 1</w:t>
      </w:r>
    </w:p>
    <w:p w14:paraId="26002B6B" w14:textId="77777777" w:rsidR="002D4237" w:rsidRPr="002D4237" w:rsidRDefault="002D4237" w:rsidP="0042722C">
      <w:pPr>
        <w:pStyle w:val="ROZDZODDZPRZEDMprzedmiotregulacjirozdziauluboddziau"/>
      </w:pPr>
      <w:r w:rsidRPr="002D4237">
        <w:t>Przepisy ogólne</w:t>
      </w:r>
    </w:p>
    <w:p w14:paraId="6F8E81B5" w14:textId="77777777" w:rsidR="002D4237" w:rsidRPr="002D4237" w:rsidRDefault="002D4237" w:rsidP="0042722C">
      <w:pPr>
        <w:pStyle w:val="ARTartustawynprozporzdzenia"/>
        <w:keepNext/>
      </w:pPr>
      <w:r w:rsidRPr="0042722C">
        <w:rPr>
          <w:rStyle w:val="Ppogrubienie"/>
        </w:rPr>
        <w:t>Art. 1.</w:t>
      </w:r>
      <w:r>
        <w:t> </w:t>
      </w:r>
      <w:r w:rsidRPr="002D4237">
        <w:t>Ustawa określa:</w:t>
      </w:r>
    </w:p>
    <w:p w14:paraId="4912F4CA" w14:textId="58C21D96" w:rsidR="002D4237" w:rsidRPr="00C60F22" w:rsidRDefault="002D4237" w:rsidP="00C60F22">
      <w:pPr>
        <w:pStyle w:val="PKTpunkt"/>
      </w:pPr>
      <w:r w:rsidRPr="002D4237">
        <w:t>1)</w:t>
      </w:r>
      <w:r>
        <w:tab/>
      </w:r>
      <w:r w:rsidRPr="00C60F22">
        <w:t>właściwy podmiot, o którym mowa w art. 7 rozporządzenia Parlamentu Europejskiego i Rady (UE) 2022/868 z dnia 30 maja 2022 r. w sprawie europejskiego zarządzania danymi i zmieniającego rozporządzenie (UE) 2018/1724 (akt w sprawie zarządzania danymi) (Dz. Urz. UE L 152 z 03.06.2022, str. 1</w:t>
      </w:r>
      <w:r w:rsidR="00BC03EF" w:rsidRPr="00BC03EF">
        <w:rPr>
          <w:rFonts w:ascii="Times New Roman" w:hAnsi="Times New Roman"/>
          <w:bCs w:val="0"/>
        </w:rPr>
        <w:t xml:space="preserve"> </w:t>
      </w:r>
      <w:r w:rsidR="00BC03EF" w:rsidRPr="00BC03EF">
        <w:t>oraz Dz. Urz. UE L 132 z 17.05.2023, str. 89</w:t>
      </w:r>
      <w:r w:rsidRPr="00C60F22">
        <w:t xml:space="preserve">), zwanego dalej </w:t>
      </w:r>
      <w:r w:rsidR="0042722C" w:rsidRPr="00C60F22">
        <w:t>„</w:t>
      </w:r>
      <w:r w:rsidRPr="00C60F22">
        <w:t>rozporządzeniem 2022/868</w:t>
      </w:r>
      <w:r w:rsidR="0042722C" w:rsidRPr="00C60F22">
        <w:t>”</w:t>
      </w:r>
      <w:r w:rsidRPr="00C60F22">
        <w:t>;</w:t>
      </w:r>
    </w:p>
    <w:p w14:paraId="7745C2EB" w14:textId="77777777" w:rsidR="002D4237" w:rsidRPr="00C60F22" w:rsidRDefault="002D4237" w:rsidP="00C60F22">
      <w:pPr>
        <w:pStyle w:val="PKTpunkt"/>
      </w:pPr>
      <w:r w:rsidRPr="00C60F22">
        <w:t>2)</w:t>
      </w:r>
      <w:r w:rsidRPr="00C60F22">
        <w:tab/>
        <w:t>organ właściwy do prowadzenia pojedynczego punktu informacyjnego, o którym mowa w art. 8 rozporządzenia 2022/868;</w:t>
      </w:r>
    </w:p>
    <w:p w14:paraId="4A53B3E5" w14:textId="77777777" w:rsidR="002D4237" w:rsidRPr="00C60F22" w:rsidRDefault="002D4237" w:rsidP="00C60F22">
      <w:pPr>
        <w:pStyle w:val="PKTpunkt"/>
      </w:pPr>
      <w:r w:rsidRPr="00C60F22">
        <w:t>3)</w:t>
      </w:r>
      <w:r w:rsidRPr="00C60F22">
        <w:tab/>
        <w:t>organ właściwy do spraw usług pośrednictwa danych, o którym mowa w art. 13 rozporządzenia 2022/868;</w:t>
      </w:r>
    </w:p>
    <w:p w14:paraId="08294238" w14:textId="78395638" w:rsidR="002D4237" w:rsidRPr="00C60F22" w:rsidRDefault="002D4237" w:rsidP="00C60F22">
      <w:pPr>
        <w:pStyle w:val="PKTpunkt"/>
      </w:pPr>
      <w:r w:rsidRPr="00C60F22">
        <w:t>4)</w:t>
      </w:r>
      <w:r w:rsidRPr="00C60F22">
        <w:tab/>
        <w:t>organ właściwy do spraw rejestracji organizacji altruizmu danych, o którym mowa w</w:t>
      </w:r>
      <w:r w:rsidR="00BC03EF">
        <w:t> </w:t>
      </w:r>
      <w:r w:rsidRPr="00C60F22">
        <w:t>art.</w:t>
      </w:r>
      <w:r w:rsidR="00BC03EF">
        <w:t> </w:t>
      </w:r>
      <w:r w:rsidRPr="00C60F22">
        <w:t>23 rozporządzenia 2022/868;</w:t>
      </w:r>
    </w:p>
    <w:p w14:paraId="31DE12A5" w14:textId="77777777" w:rsidR="002D4237" w:rsidRPr="00C60F22" w:rsidRDefault="002D4237" w:rsidP="00C60F22">
      <w:pPr>
        <w:pStyle w:val="PKTpunkt"/>
      </w:pPr>
      <w:r w:rsidRPr="00C60F22">
        <w:t>5)</w:t>
      </w:r>
      <w:r w:rsidRPr="00C60F22">
        <w:tab/>
        <w:t>tryb rozpatrywania wniosków o ponowne wykorzystywanie chronionych danych;</w:t>
      </w:r>
    </w:p>
    <w:p w14:paraId="2F7E158A" w14:textId="77777777" w:rsidR="002D4237" w:rsidRPr="00C60F22" w:rsidRDefault="002D4237" w:rsidP="00C60F22">
      <w:pPr>
        <w:pStyle w:val="PKTpunkt"/>
      </w:pPr>
      <w:r w:rsidRPr="00C60F22">
        <w:t>6)</w:t>
      </w:r>
      <w:r w:rsidRPr="00C60F22">
        <w:tab/>
        <w:t>tryb dokonywania zgłoszeń usług pośrednictwa danych oraz rejestracji uznanych organizacji altruizmu danych;</w:t>
      </w:r>
    </w:p>
    <w:p w14:paraId="130D218F" w14:textId="77777777" w:rsidR="002D4237" w:rsidRPr="00C60F22" w:rsidRDefault="002D4237" w:rsidP="00C60F22">
      <w:pPr>
        <w:pStyle w:val="PKTpunkt"/>
      </w:pPr>
      <w:r w:rsidRPr="00C60F22">
        <w:t>7)</w:t>
      </w:r>
      <w:r w:rsidRPr="00C60F22">
        <w:tab/>
        <w:t>tryb udostępniania wykazu chronionych danych;</w:t>
      </w:r>
    </w:p>
    <w:p w14:paraId="79CD16EE" w14:textId="72525BC1" w:rsidR="002D4237" w:rsidRPr="00C60F22" w:rsidRDefault="002D4237" w:rsidP="00C60F22">
      <w:pPr>
        <w:pStyle w:val="PKTpunkt"/>
      </w:pPr>
      <w:r w:rsidRPr="00C60F22">
        <w:t>8)</w:t>
      </w:r>
      <w:r w:rsidRPr="00C60F22">
        <w:tab/>
        <w:t>tryb monitorowania i nadzorowania spełniania przez dostawców usług pośrednictwa danych oraz uznane organizacje altruizmu danych wymogów określonych w</w:t>
      </w:r>
      <w:r w:rsidR="0035610E">
        <w:t> </w:t>
      </w:r>
      <w:r w:rsidRPr="00C60F22">
        <w:t>rozporządzeniu 2022/868;</w:t>
      </w:r>
    </w:p>
    <w:p w14:paraId="4BF59A34" w14:textId="77777777" w:rsidR="002D4237" w:rsidRPr="00C60F22" w:rsidRDefault="002D4237" w:rsidP="00C60F22">
      <w:pPr>
        <w:pStyle w:val="PKTpunkt"/>
      </w:pPr>
      <w:r w:rsidRPr="00C60F22">
        <w:t>9)</w:t>
      </w:r>
      <w:r w:rsidRPr="00C60F22">
        <w:tab/>
        <w:t>kary pieniężne za naruszenie przepisów rozporządzenia 2022/868.</w:t>
      </w:r>
    </w:p>
    <w:p w14:paraId="28298C8B" w14:textId="32E1B511" w:rsidR="002D4237" w:rsidRPr="002D4237" w:rsidRDefault="002D4237" w:rsidP="0042722C">
      <w:pPr>
        <w:pStyle w:val="ARTartustawynprozporzdzenia"/>
        <w:keepNext/>
      </w:pPr>
      <w:r w:rsidRPr="0042722C">
        <w:rPr>
          <w:rStyle w:val="Ppogrubienie"/>
        </w:rPr>
        <w:t>Art. 2.</w:t>
      </w:r>
      <w:r w:rsidR="00770CE3">
        <w:tab/>
      </w:r>
      <w:r w:rsidR="00011669">
        <w:t xml:space="preserve"> </w:t>
      </w:r>
      <w:r w:rsidRPr="002D4237">
        <w:t>Użyte w ustawie określenia oznaczają:</w:t>
      </w:r>
    </w:p>
    <w:p w14:paraId="5D016731" w14:textId="6E765AAC" w:rsidR="002D4237" w:rsidRPr="002D4237" w:rsidRDefault="00F94165" w:rsidP="002D4237">
      <w:pPr>
        <w:pStyle w:val="PKTpunkt"/>
      </w:pPr>
      <w:r>
        <w:t>1</w:t>
      </w:r>
      <w:r w:rsidR="002D4237" w:rsidRPr="002D4237">
        <w:t>)</w:t>
      </w:r>
      <w:r w:rsidR="002D4237">
        <w:tab/>
      </w:r>
      <w:r w:rsidR="002D4237" w:rsidRPr="002D4237">
        <w:t>chronione dane – dane</w:t>
      </w:r>
      <w:r w:rsidR="00DA4868">
        <w:t xml:space="preserve"> w rozumieniu </w:t>
      </w:r>
      <w:r w:rsidR="002D4237" w:rsidRPr="002D4237">
        <w:t>w art. 3 ust. 1 rozporządzenia 2022/868;</w:t>
      </w:r>
    </w:p>
    <w:p w14:paraId="19E0B392" w14:textId="77777777" w:rsidR="002D4237" w:rsidRPr="002D4237" w:rsidRDefault="00F94165" w:rsidP="002D4237">
      <w:pPr>
        <w:pStyle w:val="PKTpunkt"/>
      </w:pPr>
      <w:r>
        <w:lastRenderedPageBreak/>
        <w:t>2</w:t>
      </w:r>
      <w:r w:rsidR="002D4237" w:rsidRPr="002D4237">
        <w:t>)</w:t>
      </w:r>
      <w:r w:rsidR="002D4237">
        <w:tab/>
      </w:r>
      <w:r w:rsidR="002D4237" w:rsidRPr="002D4237">
        <w:t>dane – dane w rozumieniu art. 2 pkt 1 rozporządzenia 2022/868;</w:t>
      </w:r>
    </w:p>
    <w:p w14:paraId="5C55A9AD" w14:textId="77777777" w:rsidR="002D4237" w:rsidRPr="002D4237" w:rsidRDefault="00F94165" w:rsidP="002D4237">
      <w:pPr>
        <w:pStyle w:val="PKTpunkt"/>
      </w:pPr>
      <w:r>
        <w:t>3</w:t>
      </w:r>
      <w:r w:rsidR="002D4237" w:rsidRPr="002D4237">
        <w:t>)</w:t>
      </w:r>
      <w:r w:rsidR="002D4237">
        <w:tab/>
      </w:r>
      <w:r w:rsidR="002D4237" w:rsidRPr="002D4237">
        <w:t>dane nieosobowe – dane nieosobowe w rozumieniu art. 2 pkt 4 rozporządzenia 2022/868;</w:t>
      </w:r>
    </w:p>
    <w:p w14:paraId="5D5B302E" w14:textId="77777777" w:rsidR="002D4237" w:rsidRPr="002D4237" w:rsidRDefault="00F94165" w:rsidP="002D4237">
      <w:pPr>
        <w:pStyle w:val="PKTpunkt"/>
      </w:pPr>
      <w:r>
        <w:t>4</w:t>
      </w:r>
      <w:r w:rsidR="002D4237" w:rsidRPr="002D4237">
        <w:t>)</w:t>
      </w:r>
      <w:r w:rsidR="002D4237">
        <w:tab/>
      </w:r>
      <w:r w:rsidR="002D4237" w:rsidRPr="002D4237">
        <w:t xml:space="preserve">dane osobowe – dane w rozumieniu art. 4 pkt 1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 </w:t>
      </w:r>
      <w:proofErr w:type="spellStart"/>
      <w:r w:rsidR="002D4237" w:rsidRPr="002D4237">
        <w:t>późn</w:t>
      </w:r>
      <w:proofErr w:type="spellEnd"/>
      <w:r w:rsidR="002D4237" w:rsidRPr="002D4237">
        <w:t>. zm.</w:t>
      </w:r>
      <w:r w:rsidR="002D4237" w:rsidRPr="00F94165">
        <w:rPr>
          <w:rStyle w:val="IGindeksgrny"/>
        </w:rPr>
        <w:footnoteReference w:id="3"/>
      </w:r>
      <w:r w:rsidR="002D4237" w:rsidRPr="00F94165">
        <w:rPr>
          <w:rStyle w:val="IGindeksgrny"/>
        </w:rPr>
        <w:t>)</w:t>
      </w:r>
      <w:r w:rsidR="002D4237" w:rsidRPr="002D4237">
        <w:t xml:space="preserve">), zwanego dalej </w:t>
      </w:r>
      <w:r w:rsidR="0042722C">
        <w:t>„</w:t>
      </w:r>
      <w:r w:rsidR="002D4237" w:rsidRPr="002D4237">
        <w:t>rozporządzeniem 2016/679</w:t>
      </w:r>
      <w:r w:rsidR="0042722C">
        <w:t>”</w:t>
      </w:r>
      <w:r w:rsidR="002D4237" w:rsidRPr="002D4237">
        <w:t>;</w:t>
      </w:r>
    </w:p>
    <w:p w14:paraId="0E5448DA" w14:textId="264D27CD" w:rsidR="002D4237" w:rsidRPr="002D4237" w:rsidRDefault="00F94165" w:rsidP="002D4237">
      <w:pPr>
        <w:pStyle w:val="PKTpunkt"/>
      </w:pPr>
      <w:r>
        <w:t>5</w:t>
      </w:r>
      <w:r w:rsidR="002D4237" w:rsidRPr="002D4237">
        <w:t>)</w:t>
      </w:r>
      <w:r w:rsidR="002D4237">
        <w:tab/>
      </w:r>
      <w:r w:rsidR="002D4237" w:rsidRPr="002D4237">
        <w:t xml:space="preserve">dostawca usług pośrednictwa danych – podmiot świadczący usługi pośrednictwa danych, </w:t>
      </w:r>
      <w:r w:rsidR="00952ADD">
        <w:t>w rozumieniu</w:t>
      </w:r>
      <w:r w:rsidR="002D4237" w:rsidRPr="002D4237">
        <w:t xml:space="preserve"> w art. 10 rozporządzenia 2022/868;</w:t>
      </w:r>
    </w:p>
    <w:p w14:paraId="527B9B80" w14:textId="2D019F43" w:rsidR="002D4237" w:rsidRPr="002D4237" w:rsidRDefault="00F94165" w:rsidP="002D4237">
      <w:pPr>
        <w:pStyle w:val="PKTpunkt"/>
      </w:pPr>
      <w:r>
        <w:t>6</w:t>
      </w:r>
      <w:r w:rsidR="002D4237" w:rsidRPr="002D4237">
        <w:t>)</w:t>
      </w:r>
      <w:r w:rsidR="002D4237">
        <w:tab/>
      </w:r>
      <w:r w:rsidR="002D4237" w:rsidRPr="002D4237">
        <w:t>dostęp do celów ponownego wykorzystywania – dostęp do celów ponownego wykorzystywania chronionych danych udzielony użytkownikowi przez podmiot sektora publicznego na wniosek o ponowne wykorzystywanie chronionych danych;</w:t>
      </w:r>
    </w:p>
    <w:p w14:paraId="6B096234" w14:textId="2E2E0CFF" w:rsidR="002D4237" w:rsidRPr="002D4237" w:rsidRDefault="00F94165" w:rsidP="0042722C">
      <w:pPr>
        <w:pStyle w:val="PKTpunkt"/>
        <w:keepNext/>
      </w:pPr>
      <w:r>
        <w:t>7</w:t>
      </w:r>
      <w:r w:rsidR="002D4237" w:rsidRPr="002D4237">
        <w:t>)</w:t>
      </w:r>
      <w:r w:rsidR="002D4237">
        <w:tab/>
      </w:r>
      <w:r w:rsidR="002D4237" w:rsidRPr="000A2F1C">
        <w:t xml:space="preserve">podmiot sektora publicznego </w:t>
      </w:r>
      <w:r w:rsidR="002D4237" w:rsidRPr="002D4237">
        <w:t>– podmiot</w:t>
      </w:r>
      <w:r w:rsidR="00952ADD">
        <w:t xml:space="preserve">, o którym mowa w </w:t>
      </w:r>
      <w:r w:rsidR="002D4237" w:rsidRPr="002D4237">
        <w:t>art. 2 pkt 17 rozporządzenia 2022/868, przez który rozumie się:</w:t>
      </w:r>
    </w:p>
    <w:p w14:paraId="62094386" w14:textId="307104BA" w:rsidR="002D4237" w:rsidRPr="002D4237" w:rsidRDefault="002D4237" w:rsidP="002D4237">
      <w:pPr>
        <w:pStyle w:val="LITlitera"/>
      </w:pPr>
      <w:r w:rsidRPr="002D4237">
        <w:t>a)</w:t>
      </w:r>
      <w:r>
        <w:tab/>
      </w:r>
      <w:r w:rsidRPr="002D4237">
        <w:t>jednostki sektora finansów publicznych w rozumieniu przepisów ustawy z dnia 27 sierpnia 2009 r. o finansach publicznych (Dz. U. z 202</w:t>
      </w:r>
      <w:r w:rsidR="00B978A9">
        <w:t>3</w:t>
      </w:r>
      <w:r w:rsidRPr="002D4237">
        <w:t xml:space="preserve"> r. poz. </w:t>
      </w:r>
      <w:r w:rsidR="00B978A9">
        <w:t>1270 i 1273</w:t>
      </w:r>
      <w:r w:rsidRPr="002D4237">
        <w:t>),</w:t>
      </w:r>
    </w:p>
    <w:p w14:paraId="18705568" w14:textId="77777777" w:rsidR="002D4237" w:rsidRPr="002D4237" w:rsidRDefault="002D4237" w:rsidP="002D4237">
      <w:pPr>
        <w:pStyle w:val="LITlitera"/>
      </w:pPr>
      <w:r w:rsidRPr="002D4237">
        <w:t>b)</w:t>
      </w:r>
      <w:r>
        <w:tab/>
      </w:r>
      <w:r w:rsidRPr="002D4237">
        <w:t>inne niż określone w pkt 1 państwowe jednostki organizacyjne nieposiadające osobowości prawnej,</w:t>
      </w:r>
    </w:p>
    <w:p w14:paraId="28893593" w14:textId="0C5DA399" w:rsidR="002D4237" w:rsidRPr="002D4237" w:rsidRDefault="002D4237" w:rsidP="0042722C">
      <w:pPr>
        <w:pStyle w:val="LITlitera"/>
        <w:keepNext/>
      </w:pPr>
      <w:r w:rsidRPr="002D4237">
        <w:t>c)</w:t>
      </w:r>
      <w:r>
        <w:tab/>
      </w:r>
      <w:r w:rsidRPr="002D4237">
        <w:t>inne niż określone w pkt 1 osoby prawne, utworzone w szczególnym celu zaspokajania potrzeb o charakterze powszechnym, niemających charakteru przemysłowego ani handlowego, jeżeli podmioty, o których mowa w tym przepisie, oraz podmioty, o których mowa w</w:t>
      </w:r>
      <w:r w:rsidR="000A2F1C">
        <w:t xml:space="preserve"> lit. a i b</w:t>
      </w:r>
      <w:r w:rsidRPr="002D4237">
        <w:t>, pojedynczo lub wspólnie, bezpośrednio albo pośrednio przez inny podmiot:</w:t>
      </w:r>
    </w:p>
    <w:p w14:paraId="32D9041F" w14:textId="77777777" w:rsidR="002D4237" w:rsidRPr="002D4237" w:rsidRDefault="002D4237" w:rsidP="002D4237">
      <w:pPr>
        <w:pStyle w:val="TIRtiret"/>
      </w:pPr>
      <w:r w:rsidRPr="002D4237">
        <w:t>–</w:t>
      </w:r>
      <w:r>
        <w:tab/>
      </w:r>
      <w:r w:rsidRPr="002D4237">
        <w:t>finansują je w ponad 50% lub</w:t>
      </w:r>
    </w:p>
    <w:p w14:paraId="4A7FEA2F" w14:textId="77777777" w:rsidR="002D4237" w:rsidRPr="002D4237" w:rsidRDefault="002D4237" w:rsidP="00C60F22">
      <w:pPr>
        <w:pStyle w:val="TIRtiret"/>
      </w:pPr>
      <w:r w:rsidRPr="002D4237">
        <w:t>–</w:t>
      </w:r>
      <w:r w:rsidRPr="002D4237">
        <w:tab/>
        <w:t>posiadają ponad połowę udziałów albo akcji lub</w:t>
      </w:r>
    </w:p>
    <w:p w14:paraId="2847ED82" w14:textId="77777777" w:rsidR="002D4237" w:rsidRPr="002D4237" w:rsidRDefault="002D4237" w:rsidP="00C60F22">
      <w:pPr>
        <w:pStyle w:val="TIRtiret"/>
      </w:pPr>
      <w:r w:rsidRPr="002D4237">
        <w:t>–</w:t>
      </w:r>
      <w:r w:rsidRPr="002D4237">
        <w:tab/>
        <w:t>sprawują nadzór nad organem zarządzającym lub</w:t>
      </w:r>
    </w:p>
    <w:p w14:paraId="6A6F654C" w14:textId="77777777" w:rsidR="002D4237" w:rsidRPr="002D4237" w:rsidRDefault="002D4237" w:rsidP="00C60F22">
      <w:pPr>
        <w:pStyle w:val="TIRtiret"/>
      </w:pPr>
      <w:r w:rsidRPr="002D4237">
        <w:t>–</w:t>
      </w:r>
      <w:r w:rsidRPr="002D4237">
        <w:tab/>
        <w:t>mają prawo do powoływania ponad połowy składu organu nadzorczego lub zarządzającego,</w:t>
      </w:r>
    </w:p>
    <w:p w14:paraId="4E8E02FA" w14:textId="7E55DAE0" w:rsidR="002D4237" w:rsidRPr="002D4237" w:rsidRDefault="002D4237" w:rsidP="002D4237">
      <w:pPr>
        <w:pStyle w:val="LITlitera"/>
      </w:pPr>
      <w:r w:rsidRPr="002D4237">
        <w:t>d)</w:t>
      </w:r>
      <w:r>
        <w:tab/>
      </w:r>
      <w:r w:rsidRPr="002D4237">
        <w:t>związki podmiotów, o których mowa w</w:t>
      </w:r>
      <w:r w:rsidR="00837510">
        <w:t xml:space="preserve"> lit. a-c</w:t>
      </w:r>
      <w:r w:rsidRPr="002D4237">
        <w:t>;</w:t>
      </w:r>
    </w:p>
    <w:p w14:paraId="39152004" w14:textId="0BB1275F" w:rsidR="002D4237" w:rsidRPr="002D4237" w:rsidRDefault="00F94165" w:rsidP="002D4237">
      <w:pPr>
        <w:pStyle w:val="PKTpunkt"/>
      </w:pPr>
      <w:r>
        <w:lastRenderedPageBreak/>
        <w:t>8</w:t>
      </w:r>
      <w:r w:rsidR="002D4237" w:rsidRPr="002D4237">
        <w:t>)</w:t>
      </w:r>
      <w:r w:rsidR="002D4237">
        <w:tab/>
      </w:r>
      <w:r w:rsidR="002D4237" w:rsidRPr="002D4237">
        <w:t>pojedynczy punkt informacyjny – pojedynczy punkt informacyjny</w:t>
      </w:r>
      <w:r w:rsidR="00952ADD">
        <w:t xml:space="preserve"> w rozumieniu </w:t>
      </w:r>
      <w:r w:rsidR="002D4237" w:rsidRPr="002D4237">
        <w:t>art. 8 rozporządzenia 2022/868;</w:t>
      </w:r>
    </w:p>
    <w:p w14:paraId="7A7A0235" w14:textId="77777777" w:rsidR="002D4237" w:rsidRPr="002D4237" w:rsidRDefault="00F94165" w:rsidP="002D4237">
      <w:pPr>
        <w:pStyle w:val="PKTpunkt"/>
      </w:pPr>
      <w:r>
        <w:t>9</w:t>
      </w:r>
      <w:r w:rsidR="002D4237" w:rsidRPr="002D4237">
        <w:t>)</w:t>
      </w:r>
      <w:r w:rsidR="002D4237">
        <w:tab/>
      </w:r>
      <w:r w:rsidR="002D4237" w:rsidRPr="002D4237">
        <w:t>ponowne wykorzystywanie – ponowne wykorzystywanie w rozumieniu art. 2 pkt 2 rozporządzenia 2022/868;</w:t>
      </w:r>
    </w:p>
    <w:p w14:paraId="35B39368" w14:textId="77777777" w:rsidR="002D4237" w:rsidRPr="002D4237" w:rsidRDefault="00F94165" w:rsidP="002D4237">
      <w:pPr>
        <w:pStyle w:val="PKTpunkt"/>
      </w:pPr>
      <w:r>
        <w:t>10</w:t>
      </w:r>
      <w:r w:rsidR="002D4237" w:rsidRPr="002D4237">
        <w:t>)</w:t>
      </w:r>
      <w:r w:rsidR="002D4237">
        <w:tab/>
      </w:r>
      <w:r w:rsidR="002D4237" w:rsidRPr="002D4237">
        <w:t>pozwolenie – pozwolenie w rozumieniu art. 2 pkt 6 rozporządzenia 2022/868;</w:t>
      </w:r>
    </w:p>
    <w:p w14:paraId="452AC2D7" w14:textId="786CA981" w:rsidR="002D4237" w:rsidRPr="002D4237" w:rsidRDefault="00F94165" w:rsidP="002D4237">
      <w:pPr>
        <w:pStyle w:val="PKTpunkt"/>
      </w:pPr>
      <w:r>
        <w:t>11</w:t>
      </w:r>
      <w:r w:rsidR="002D4237" w:rsidRPr="002D4237">
        <w:t>)</w:t>
      </w:r>
      <w:r w:rsidR="002D4237">
        <w:tab/>
      </w:r>
      <w:r w:rsidR="002D4237" w:rsidRPr="002D4237">
        <w:t>usługa pośrednictwa danych – usług</w:t>
      </w:r>
      <w:r w:rsidR="00087B77">
        <w:t>ę</w:t>
      </w:r>
      <w:r w:rsidR="002D4237" w:rsidRPr="002D4237">
        <w:t xml:space="preserve"> pośrednictwa danych w rozumieniu art. 2 pkt 11 rozporządzenia 2022/</w:t>
      </w:r>
      <w:r w:rsidR="00DA4868">
        <w:t>8</w:t>
      </w:r>
      <w:r w:rsidR="002D4237" w:rsidRPr="002D4237">
        <w:t>68;</w:t>
      </w:r>
    </w:p>
    <w:p w14:paraId="14818594" w14:textId="77777777" w:rsidR="002D4237" w:rsidRPr="002D4237" w:rsidRDefault="00F94165" w:rsidP="002D4237">
      <w:pPr>
        <w:pStyle w:val="PKTpunkt"/>
      </w:pPr>
      <w:r>
        <w:t>12</w:t>
      </w:r>
      <w:r w:rsidR="002D4237" w:rsidRPr="002D4237">
        <w:t>)</w:t>
      </w:r>
      <w:r w:rsidR="002D4237">
        <w:tab/>
      </w:r>
      <w:r w:rsidR="002D4237" w:rsidRPr="002D4237">
        <w:t>uznana organizacja altruizmu danych – podmiot zarejestrowany w publicznym rejestrze uznanych organizacji altruizmu danych, o którym mowa w art. 17 rozporządzenia 2022/868;</w:t>
      </w:r>
    </w:p>
    <w:p w14:paraId="47EE3F94" w14:textId="490A58E8" w:rsidR="002D4237" w:rsidRPr="002D4237" w:rsidRDefault="00F94165" w:rsidP="002D4237">
      <w:pPr>
        <w:pStyle w:val="PKTpunkt"/>
      </w:pPr>
      <w:r>
        <w:t>13</w:t>
      </w:r>
      <w:r w:rsidR="002D4237" w:rsidRPr="002D4237">
        <w:t>)</w:t>
      </w:r>
      <w:r w:rsidR="002D4237">
        <w:tab/>
      </w:r>
      <w:r w:rsidR="002D4237" w:rsidRPr="002D4237">
        <w:t>użytkownik – użytkownik</w:t>
      </w:r>
      <w:r w:rsidR="00087B77">
        <w:t>a</w:t>
      </w:r>
      <w:r w:rsidR="002D4237" w:rsidRPr="002D4237">
        <w:t xml:space="preserve"> w rozumieniu art. 2 pkt 9 rozporządzenia 2022/868;</w:t>
      </w:r>
    </w:p>
    <w:p w14:paraId="1A09EF2E" w14:textId="3EBAB26B" w:rsidR="002D4237" w:rsidRPr="002D4237" w:rsidRDefault="00F94165" w:rsidP="002D4237">
      <w:pPr>
        <w:pStyle w:val="PKTpunkt"/>
      </w:pPr>
      <w:r>
        <w:t>14</w:t>
      </w:r>
      <w:r w:rsidR="002D4237" w:rsidRPr="002D4237">
        <w:t>)</w:t>
      </w:r>
      <w:r w:rsidR="002D4237">
        <w:tab/>
      </w:r>
      <w:r w:rsidR="002D4237" w:rsidRPr="002D4237">
        <w:t xml:space="preserve">zgłoszenie usług pośrednictwa danych – </w:t>
      </w:r>
      <w:r w:rsidR="00EB6C2C" w:rsidRPr="002D4237">
        <w:t>zgłoszeni</w:t>
      </w:r>
      <w:r w:rsidR="00EB6C2C">
        <w:t>e</w:t>
      </w:r>
      <w:r w:rsidR="00EB6C2C" w:rsidRPr="002D4237">
        <w:t xml:space="preserve"> </w:t>
      </w:r>
      <w:r w:rsidR="002D4237" w:rsidRPr="002D4237">
        <w:t>dokonywane przez dostawców usług pośrednictwa danych, o którym mowa w art. 11 ust. 1 rozporządzenia 2022/868;</w:t>
      </w:r>
    </w:p>
    <w:p w14:paraId="0A296618" w14:textId="77777777" w:rsidR="002D4237" w:rsidRPr="002D4237" w:rsidRDefault="00F94165" w:rsidP="002D4237">
      <w:pPr>
        <w:pStyle w:val="PKTpunkt"/>
      </w:pPr>
      <w:r>
        <w:t>15</w:t>
      </w:r>
      <w:r w:rsidR="002D4237" w:rsidRPr="002D4237">
        <w:t>)</w:t>
      </w:r>
      <w:r w:rsidR="002D4237">
        <w:tab/>
      </w:r>
      <w:r w:rsidR="002D4237" w:rsidRPr="002D4237">
        <w:t>zgoda – zgod</w:t>
      </w:r>
      <w:r w:rsidR="00087B77">
        <w:t>ę</w:t>
      </w:r>
      <w:r w:rsidR="002D4237" w:rsidRPr="002D4237">
        <w:t xml:space="preserve"> w rozumieniu art. 4 pkt 11 rozporządzenia 2016/679.</w:t>
      </w:r>
    </w:p>
    <w:p w14:paraId="713E6AE7" w14:textId="77777777" w:rsidR="002D4237" w:rsidRPr="002D4237" w:rsidRDefault="002D4237" w:rsidP="0042722C">
      <w:pPr>
        <w:pStyle w:val="ARTartustawynprozporzdzenia"/>
        <w:keepNext/>
      </w:pPr>
      <w:r w:rsidRPr="0042722C">
        <w:rPr>
          <w:rStyle w:val="Ppogrubienie"/>
        </w:rPr>
        <w:t>Art. 3.</w:t>
      </w:r>
      <w:r>
        <w:t> </w:t>
      </w:r>
      <w:r w:rsidRPr="002D4237">
        <w:t xml:space="preserve">Właściwym podmiotem, o którym mowa w art. 7 rozporządzenia 2022/868, zwanym dalej </w:t>
      </w:r>
      <w:r w:rsidR="0042722C">
        <w:t>„</w:t>
      </w:r>
      <w:r w:rsidRPr="002D4237">
        <w:t>właściwym podmiotem</w:t>
      </w:r>
      <w:r w:rsidR="0042722C">
        <w:t>”</w:t>
      </w:r>
      <w:r w:rsidRPr="002D4237">
        <w:t>, jest:</w:t>
      </w:r>
    </w:p>
    <w:p w14:paraId="02980500" w14:textId="77777777" w:rsidR="002D4237" w:rsidRPr="002D4237" w:rsidRDefault="002D4237" w:rsidP="002D4237">
      <w:pPr>
        <w:pStyle w:val="PKTpunkt"/>
      </w:pPr>
      <w:r w:rsidRPr="002D4237">
        <w:t>1)</w:t>
      </w:r>
      <w:r>
        <w:tab/>
      </w:r>
      <w:r w:rsidRPr="002D4237">
        <w:t xml:space="preserve">Naukowa i Akademicka Sieć Komputerowa </w:t>
      </w:r>
      <w:r w:rsidR="00BA652A" w:rsidRPr="002D4237">
        <w:t>–</w:t>
      </w:r>
      <w:r w:rsidRPr="002D4237">
        <w:t xml:space="preserve"> Państwowy Instytut Badawczy – w</w:t>
      </w:r>
      <w:r w:rsidR="001200AD">
        <w:t> </w:t>
      </w:r>
      <w:r w:rsidRPr="002D4237">
        <w:t>zakresie chronionych danych, o których mowa w art. 3 ust. 1 lit. a oraz c i d rozporządzenia 2022/868;</w:t>
      </w:r>
    </w:p>
    <w:p w14:paraId="1D0485D4" w14:textId="77777777" w:rsidR="002D4237" w:rsidRPr="002D4237" w:rsidRDefault="002D4237" w:rsidP="002D4237">
      <w:pPr>
        <w:pStyle w:val="PKTpunkt"/>
      </w:pPr>
      <w:r w:rsidRPr="002D4237">
        <w:t>2)</w:t>
      </w:r>
      <w:r>
        <w:tab/>
      </w:r>
      <w:r w:rsidRPr="002D4237">
        <w:t>Prezes Głównego Urzędu Statystycznego – w zakresie chronionych danych, o których mowa w art. 3 ust. 1 lit. b rozporządzenia 2022/868.</w:t>
      </w:r>
    </w:p>
    <w:p w14:paraId="518ECBAA" w14:textId="77777777" w:rsidR="002D4237" w:rsidRPr="002D4237" w:rsidRDefault="002D4237" w:rsidP="002D4237">
      <w:pPr>
        <w:pStyle w:val="ARTartustawynprozporzdzenia"/>
      </w:pPr>
      <w:r w:rsidRPr="0042722C">
        <w:rPr>
          <w:rStyle w:val="Ppogrubienie"/>
        </w:rPr>
        <w:t>Art. 4.</w:t>
      </w:r>
      <w:r>
        <w:t> </w:t>
      </w:r>
      <w:r w:rsidRPr="002D4237">
        <w:t>1. Minister właściwy do spraw informatyzacji</w:t>
      </w:r>
      <w:r w:rsidR="00F176D4">
        <w:t xml:space="preserve"> </w:t>
      </w:r>
      <w:r w:rsidRPr="002D4237">
        <w:t>jest organem właściwym do prowadzenia pojedynczego punktu informacyjnego.</w:t>
      </w:r>
    </w:p>
    <w:p w14:paraId="6E282BB2" w14:textId="03D53F98" w:rsidR="002D4237" w:rsidRPr="002D4237" w:rsidRDefault="002D4237" w:rsidP="00575DE5">
      <w:pPr>
        <w:pStyle w:val="USTustnpkodeksu"/>
      </w:pPr>
      <w:r w:rsidRPr="002D4237">
        <w:t>2.</w:t>
      </w:r>
      <w:r>
        <w:t> </w:t>
      </w:r>
      <w:r w:rsidRPr="002D4237">
        <w:t>Funkcję pojedynczego punktu informacyjnego pełni portal danych</w:t>
      </w:r>
      <w:r w:rsidR="00B562C5">
        <w:t>,</w:t>
      </w:r>
      <w:r w:rsidR="00B562C5" w:rsidRPr="00B562C5">
        <w:t xml:space="preserve"> </w:t>
      </w:r>
      <w:r w:rsidR="00714825">
        <w:t>o którym mowa w </w:t>
      </w:r>
      <w:r w:rsidR="00B562C5" w:rsidRPr="00FE475C">
        <w:t>art. 2 pkt 13 ustawy z dnia 11 sierpnia 2021 r. o otwartych danych i ponownym wykorzystywaniu informacji sektora publicznego (Dz. U. poz. 1641 oraz z 2022 r. poz. 1700)</w:t>
      </w:r>
      <w:r w:rsidRPr="002D4237">
        <w:t>.</w:t>
      </w:r>
    </w:p>
    <w:p w14:paraId="16213DEF" w14:textId="77777777" w:rsidR="002D4237" w:rsidRPr="002D4237" w:rsidRDefault="002D4237" w:rsidP="0042722C">
      <w:pPr>
        <w:pStyle w:val="ARTartustawynprozporzdzenia"/>
        <w:keepNext/>
      </w:pPr>
      <w:r w:rsidRPr="0042722C">
        <w:rPr>
          <w:rStyle w:val="Ppogrubienie"/>
        </w:rPr>
        <w:t>Art. 5.</w:t>
      </w:r>
      <w:r>
        <w:t> </w:t>
      </w:r>
      <w:r w:rsidRPr="002D4237">
        <w:t>Prezes Urzędu Ochrony Konkurencji i Konsumentów jest:</w:t>
      </w:r>
    </w:p>
    <w:p w14:paraId="1451AD74" w14:textId="4D8157B8" w:rsidR="002D4237" w:rsidRPr="002D4237" w:rsidRDefault="002D4237" w:rsidP="002D4237">
      <w:pPr>
        <w:pStyle w:val="PKTpunkt"/>
      </w:pPr>
      <w:r w:rsidRPr="002D4237">
        <w:t>1)</w:t>
      </w:r>
      <w:r>
        <w:tab/>
      </w:r>
      <w:r w:rsidRPr="002D4237">
        <w:t xml:space="preserve">organem właściwym do spraw usług pośrednictwa danych, o którym mowa w art. 13 rozporządzenia 2022/868, zwanym dalej </w:t>
      </w:r>
      <w:r w:rsidR="0042722C">
        <w:t>„</w:t>
      </w:r>
      <w:r w:rsidRPr="002D4237">
        <w:t>organem właściwym do spraw usług pośrednictwa danych</w:t>
      </w:r>
      <w:r w:rsidR="0042722C">
        <w:t>”</w:t>
      </w:r>
      <w:r w:rsidRPr="002D4237">
        <w:t>;</w:t>
      </w:r>
    </w:p>
    <w:p w14:paraId="1C77F463" w14:textId="77777777" w:rsidR="002D4237" w:rsidRDefault="002D4237" w:rsidP="002D4237">
      <w:pPr>
        <w:pStyle w:val="PKTpunkt"/>
      </w:pPr>
      <w:r w:rsidRPr="002D4237">
        <w:t>2)</w:t>
      </w:r>
      <w:r>
        <w:tab/>
      </w:r>
      <w:r w:rsidRPr="002D4237">
        <w:t xml:space="preserve">organem właściwym do spraw rejestracji organizacji altruizmu danych, o którym mowa w art. 23 rozporządzenia 2022/868, zwanym dalej </w:t>
      </w:r>
      <w:r w:rsidR="0042722C">
        <w:t>„</w:t>
      </w:r>
      <w:r w:rsidRPr="002D4237">
        <w:t>organem właściwym do spraw rejestracji organizacji altruizmu danych</w:t>
      </w:r>
      <w:r w:rsidR="0042722C">
        <w:t>”</w:t>
      </w:r>
      <w:r w:rsidRPr="002D4237">
        <w:t>.</w:t>
      </w:r>
    </w:p>
    <w:p w14:paraId="40E74B1D" w14:textId="77777777" w:rsidR="00A7561D" w:rsidRPr="002D4237" w:rsidRDefault="00A7561D" w:rsidP="004D7E83">
      <w:pPr>
        <w:pStyle w:val="ARTartustawynprozporzdzenia"/>
      </w:pPr>
      <w:r w:rsidRPr="00F94165">
        <w:rPr>
          <w:rStyle w:val="Ppogrubienie"/>
        </w:rPr>
        <w:lastRenderedPageBreak/>
        <w:t>A</w:t>
      </w:r>
      <w:r w:rsidR="001F5043">
        <w:rPr>
          <w:rStyle w:val="Ppogrubienie"/>
        </w:rPr>
        <w:t>rt. 6</w:t>
      </w:r>
      <w:r w:rsidRPr="00F94165">
        <w:rPr>
          <w:rStyle w:val="Ppogrubienie"/>
        </w:rPr>
        <w:t>.</w:t>
      </w:r>
      <w:r>
        <w:t xml:space="preserve"> </w:t>
      </w:r>
      <w:r w:rsidRPr="00A7561D">
        <w:t xml:space="preserve">Przepisy </w:t>
      </w:r>
      <w:r w:rsidR="00632F75">
        <w:t xml:space="preserve">niniejszej </w:t>
      </w:r>
      <w:r w:rsidRPr="00A7561D">
        <w:t>ustawy nie naruszają przepisów o ochronie danych osobowych</w:t>
      </w:r>
      <w:r>
        <w:t>.</w:t>
      </w:r>
    </w:p>
    <w:p w14:paraId="04396683" w14:textId="77777777" w:rsidR="002D4237" w:rsidRPr="002D4237" w:rsidRDefault="002D4237" w:rsidP="002D4237">
      <w:pPr>
        <w:pStyle w:val="ROZDZODDZOZNoznaczenierozdziauluboddziau"/>
      </w:pPr>
      <w:r w:rsidRPr="002D4237">
        <w:t>Rozdział 2</w:t>
      </w:r>
    </w:p>
    <w:p w14:paraId="291E744D" w14:textId="77777777" w:rsidR="002D4237" w:rsidRPr="002D4237" w:rsidRDefault="002D4237" w:rsidP="002D4237">
      <w:pPr>
        <w:pStyle w:val="ROZDZODDZPRZEDMprzedmiotregulacjirozdziauluboddziau"/>
      </w:pPr>
      <w:r w:rsidRPr="002D4237">
        <w:t>Ponowne wykorzystywanie chronionych danych</w:t>
      </w:r>
    </w:p>
    <w:p w14:paraId="1060771B" w14:textId="77777777" w:rsidR="002D4237" w:rsidRPr="002D4237" w:rsidRDefault="002D4237" w:rsidP="002D4237">
      <w:pPr>
        <w:pStyle w:val="ROZDZODDZOZNoznaczenierozdziauluboddziau"/>
      </w:pPr>
      <w:r w:rsidRPr="002D4237">
        <w:t>Oddział 1</w:t>
      </w:r>
    </w:p>
    <w:p w14:paraId="5FC60513" w14:textId="77777777" w:rsidR="002D4237" w:rsidRPr="002D4237" w:rsidRDefault="002D4237" w:rsidP="0042722C">
      <w:pPr>
        <w:pStyle w:val="ROZDZODDZPRZEDMprzedmiotregulacjirozdziauluboddziau"/>
      </w:pPr>
      <w:r w:rsidRPr="002D4237">
        <w:t>Przepisy ogólne</w:t>
      </w:r>
    </w:p>
    <w:p w14:paraId="4ABD8191" w14:textId="77777777" w:rsidR="002D4237" w:rsidRPr="002D4237" w:rsidRDefault="002D4237" w:rsidP="0042722C">
      <w:pPr>
        <w:pStyle w:val="ARTartustawynprozporzdzenia"/>
        <w:keepNext/>
      </w:pPr>
      <w:r w:rsidRPr="0042722C">
        <w:rPr>
          <w:rStyle w:val="Ppogrubienie"/>
        </w:rPr>
        <w:t>Art. </w:t>
      </w:r>
      <w:r w:rsidR="00711739">
        <w:rPr>
          <w:rStyle w:val="Ppogrubienie"/>
        </w:rPr>
        <w:t>7</w:t>
      </w:r>
      <w:r w:rsidRPr="0042722C">
        <w:rPr>
          <w:rStyle w:val="Ppogrubienie"/>
        </w:rPr>
        <w:t>.</w:t>
      </w:r>
      <w:r>
        <w:t> </w:t>
      </w:r>
      <w:r w:rsidRPr="002D4237">
        <w:t xml:space="preserve">1. Przepisów </w:t>
      </w:r>
      <w:r w:rsidR="00F176D4">
        <w:t>niniejszego rozdziału</w:t>
      </w:r>
      <w:r w:rsidRPr="002D4237">
        <w:t xml:space="preserve"> nie stosuje się do chronionych danych będących w posiadaniu:</w:t>
      </w:r>
    </w:p>
    <w:p w14:paraId="63208572" w14:textId="77777777" w:rsidR="002D4237" w:rsidRPr="002D4237" w:rsidRDefault="002D4237" w:rsidP="002D4237">
      <w:pPr>
        <w:pStyle w:val="PKTpunkt"/>
      </w:pPr>
      <w:r w:rsidRPr="002D4237">
        <w:t>1)</w:t>
      </w:r>
      <w:r>
        <w:tab/>
      </w:r>
      <w:r w:rsidRPr="002D4237">
        <w:t>jednostek publicznej radiofonii i telewizji w rozumieniu przepisów ustawy z dnia 29 grudnia 1992 r. o radiofonii i telewizji (Dz. U. z 2022 r. poz. 1722) oraz Polskiej Agencji Prasowej S.A.;</w:t>
      </w:r>
    </w:p>
    <w:p w14:paraId="71AC4439" w14:textId="77777777" w:rsidR="002D4237" w:rsidRPr="002D4237" w:rsidRDefault="002D4237" w:rsidP="002D4237">
      <w:pPr>
        <w:pStyle w:val="PKTpunkt"/>
      </w:pPr>
      <w:r w:rsidRPr="002D4237">
        <w:t>2)</w:t>
      </w:r>
      <w:r>
        <w:tab/>
      </w:r>
      <w:r w:rsidRPr="002D4237">
        <w:t>państwowych instytucji kultury, samorządowych instytucji kultury oraz innych podmiotów prowadzących działalność kulturalną, o których mowa w art. 2 ustawy z dnia 25 października 1991 r. o organizowaniu i prowadzeniu działalności kulturalnej (Dz. U. z 2020 r. poz. 194);</w:t>
      </w:r>
    </w:p>
    <w:p w14:paraId="78C2286D" w14:textId="77777777" w:rsidR="002D4237" w:rsidRPr="002D4237" w:rsidRDefault="002D4237" w:rsidP="002D4237">
      <w:pPr>
        <w:pStyle w:val="PKTpunkt"/>
      </w:pPr>
      <w:r w:rsidRPr="002D4237">
        <w:t>3)</w:t>
      </w:r>
      <w:r>
        <w:tab/>
      </w:r>
      <w:r w:rsidRPr="002D4237">
        <w:t>bibliotek w rozumieniu ustawy z dnia 27 czerwca 1997 r. o bibliotekach (Dz. U. z 2022 r. poz. 2393);</w:t>
      </w:r>
    </w:p>
    <w:p w14:paraId="4B95E930" w14:textId="78A66B78" w:rsidR="00DA53B1" w:rsidRPr="002D4237" w:rsidRDefault="002D4237" w:rsidP="00DA53B1">
      <w:pPr>
        <w:pStyle w:val="PKTpunkt"/>
      </w:pPr>
      <w:r w:rsidRPr="002D4237">
        <w:t>4)</w:t>
      </w:r>
      <w:r>
        <w:tab/>
      </w:r>
      <w:r w:rsidRPr="002D4237">
        <w:t xml:space="preserve">podmiotów, o których mowa w art. 2 ustawy z dnia 14 grudnia 2016 r. – Prawo oświatowe (Dz. U. z </w:t>
      </w:r>
      <w:r w:rsidR="005563C8" w:rsidRPr="002D4237">
        <w:t>202</w:t>
      </w:r>
      <w:r w:rsidR="005563C8">
        <w:t>3</w:t>
      </w:r>
      <w:r w:rsidR="005563C8" w:rsidRPr="002D4237">
        <w:t xml:space="preserve"> </w:t>
      </w:r>
      <w:r w:rsidRPr="002D4237">
        <w:t xml:space="preserve">r. poz. </w:t>
      </w:r>
      <w:r w:rsidR="004C6FCB">
        <w:t>900</w:t>
      </w:r>
      <w:r w:rsidRPr="002D4237">
        <w:t>)</w:t>
      </w:r>
      <w:r w:rsidR="00B978A9">
        <w:t>.</w:t>
      </w:r>
    </w:p>
    <w:p w14:paraId="511FBF90" w14:textId="77777777" w:rsidR="00D61EA2" w:rsidRDefault="002D4237" w:rsidP="002D4237">
      <w:pPr>
        <w:pStyle w:val="USTustnpkodeksu"/>
      </w:pPr>
      <w:r w:rsidRPr="002D4237">
        <w:t>2.</w:t>
      </w:r>
      <w:r>
        <w:t> </w:t>
      </w:r>
      <w:r w:rsidRPr="002D4237">
        <w:t xml:space="preserve">Przepisów </w:t>
      </w:r>
      <w:r w:rsidR="007E47FB" w:rsidRPr="007E47FB">
        <w:t xml:space="preserve">niniejszego rozdziału </w:t>
      </w:r>
      <w:r w:rsidRPr="002D4237">
        <w:t>nie stosuje się do chronionych danych</w:t>
      </w:r>
      <w:r w:rsidR="00D61EA2">
        <w:t>:</w:t>
      </w:r>
    </w:p>
    <w:p w14:paraId="4A04CB15" w14:textId="77777777" w:rsidR="00D61EA2" w:rsidRDefault="00D61EA2" w:rsidP="00F94165">
      <w:pPr>
        <w:pStyle w:val="PKTpunkt"/>
      </w:pPr>
      <w:r>
        <w:t>1)</w:t>
      </w:r>
      <w:r>
        <w:tab/>
      </w:r>
      <w:r w:rsidRPr="00D61EA2">
        <w:t>które są chronione ze względów bezpieczeństwa publicznego, obronności lub bezpieczeństwa narodowego;</w:t>
      </w:r>
    </w:p>
    <w:p w14:paraId="34EFC151" w14:textId="77777777" w:rsidR="002D4237" w:rsidRPr="002D4237" w:rsidRDefault="00D61EA2" w:rsidP="00F94165">
      <w:pPr>
        <w:pStyle w:val="PKTpunkt"/>
      </w:pPr>
      <w:r>
        <w:t>2)</w:t>
      </w:r>
      <w:r>
        <w:tab/>
      </w:r>
      <w:r w:rsidR="002D4237" w:rsidRPr="002D4237">
        <w:t>do których dostęp został uzależniony od wykazania przez użytkowników interesu prawnego lub faktycznego na podstawie odrębnych przepisów.</w:t>
      </w:r>
    </w:p>
    <w:p w14:paraId="6CD80E59" w14:textId="018BF917" w:rsidR="002D4237" w:rsidRPr="002D4237" w:rsidRDefault="002D4237" w:rsidP="002D4237">
      <w:pPr>
        <w:pStyle w:val="ARTartustawynprozporzdzenia"/>
      </w:pPr>
      <w:r w:rsidRPr="0042722C">
        <w:rPr>
          <w:rStyle w:val="Ppogrubienie"/>
        </w:rPr>
        <w:t>Art. </w:t>
      </w:r>
      <w:r w:rsidR="00711739">
        <w:rPr>
          <w:rStyle w:val="Ppogrubienie"/>
        </w:rPr>
        <w:t>8</w:t>
      </w:r>
      <w:r w:rsidRPr="0042722C">
        <w:rPr>
          <w:rStyle w:val="Ppogrubienie"/>
        </w:rPr>
        <w:t>.</w:t>
      </w:r>
      <w:r>
        <w:t> </w:t>
      </w:r>
      <w:r w:rsidRPr="002D4237">
        <w:t xml:space="preserve"> Przepisy </w:t>
      </w:r>
      <w:r w:rsidR="001200AD">
        <w:t xml:space="preserve">niniejszego rozdziału </w:t>
      </w:r>
      <w:r w:rsidRPr="002D4237">
        <w:t xml:space="preserve">nie naruszają prawa dostępu do informacji publicznej ani wolności jej rozpowszechniania </w:t>
      </w:r>
      <w:r w:rsidR="00F501EC">
        <w:t>oraz</w:t>
      </w:r>
      <w:r w:rsidR="00F501EC" w:rsidRPr="002D4237">
        <w:t xml:space="preserve"> </w:t>
      </w:r>
      <w:r w:rsidRPr="002D4237">
        <w:t>przepisów innych ustaw określających zasady, warunki i</w:t>
      </w:r>
      <w:r w:rsidR="00FD3448">
        <w:t xml:space="preserve"> </w:t>
      </w:r>
      <w:r w:rsidRPr="002D4237">
        <w:t>tryb dostępu lub ponownego wykorzystywania informacji będących informacjami sektora publicznego.</w:t>
      </w:r>
    </w:p>
    <w:p w14:paraId="37AB68F0" w14:textId="77777777" w:rsidR="002D4237" w:rsidRPr="002D4237" w:rsidRDefault="002D4237" w:rsidP="002D4237">
      <w:pPr>
        <w:pStyle w:val="USTustnpkodeksu"/>
        <w:rPr>
          <w:highlight w:val="yellow"/>
        </w:rPr>
      </w:pPr>
    </w:p>
    <w:p w14:paraId="45E59BB9" w14:textId="77777777" w:rsidR="002D4237" w:rsidRPr="002D4237" w:rsidRDefault="002D4237" w:rsidP="002D4237">
      <w:pPr>
        <w:pStyle w:val="ROZDZODDZOZNoznaczenierozdziauluboddziau"/>
      </w:pPr>
      <w:r w:rsidRPr="002D4237">
        <w:t>Oddział 2</w:t>
      </w:r>
    </w:p>
    <w:p w14:paraId="1493EE90" w14:textId="77777777" w:rsidR="002D4237" w:rsidRPr="002D4237" w:rsidRDefault="002D4237" w:rsidP="0042722C">
      <w:pPr>
        <w:pStyle w:val="ROZDZODDZPRZEDMprzedmiotregulacjirozdziauluboddziau"/>
      </w:pPr>
      <w:r w:rsidRPr="002D4237">
        <w:t>Dostęp do celów ponownego wykorzystywania chronionych danych</w:t>
      </w:r>
    </w:p>
    <w:p w14:paraId="0A33C270" w14:textId="0516BB4A" w:rsidR="00B562C5" w:rsidRDefault="002D4237" w:rsidP="002D4237">
      <w:pPr>
        <w:pStyle w:val="ARTartustawynprozporzdzenia"/>
      </w:pPr>
      <w:r w:rsidRPr="0042722C">
        <w:rPr>
          <w:rStyle w:val="Ppogrubienie"/>
        </w:rPr>
        <w:t>Art. </w:t>
      </w:r>
      <w:r w:rsidR="00711739">
        <w:rPr>
          <w:rStyle w:val="Ppogrubienie"/>
        </w:rPr>
        <w:t>9</w:t>
      </w:r>
      <w:r w:rsidRPr="0042722C">
        <w:rPr>
          <w:rStyle w:val="Ppogrubienie"/>
        </w:rPr>
        <w:t>.</w:t>
      </w:r>
      <w:r>
        <w:t> </w:t>
      </w:r>
      <w:r w:rsidRPr="002D4237">
        <w:t>1. Wniosek o ponowne wykorzystywanie chronionych danych</w:t>
      </w:r>
      <w:r w:rsidR="00E314B3">
        <w:t xml:space="preserve"> </w:t>
      </w:r>
      <w:r w:rsidRPr="002D4237">
        <w:t>wnosi się do</w:t>
      </w:r>
      <w:r w:rsidR="00B562C5">
        <w:t>:</w:t>
      </w:r>
    </w:p>
    <w:p w14:paraId="7EB6F808" w14:textId="77777777" w:rsidR="00B562C5" w:rsidRDefault="00B562C5" w:rsidP="005A4812">
      <w:pPr>
        <w:pStyle w:val="PKTpunkt"/>
      </w:pPr>
      <w:r>
        <w:lastRenderedPageBreak/>
        <w:t>1)</w:t>
      </w:r>
      <w:r>
        <w:tab/>
      </w:r>
      <w:r w:rsidR="002D4237" w:rsidRPr="002D4237">
        <w:t>podmiotu sektora publicznego, który posiada chronione dane</w:t>
      </w:r>
      <w:r w:rsidR="0065109D">
        <w:t xml:space="preserve"> </w:t>
      </w:r>
      <w:r>
        <w:t>lub</w:t>
      </w:r>
    </w:p>
    <w:p w14:paraId="07217042" w14:textId="3FED69D0" w:rsidR="00FD3448" w:rsidRPr="002D4237" w:rsidRDefault="00B562C5" w:rsidP="005A4812">
      <w:pPr>
        <w:pStyle w:val="PKTpunkt"/>
      </w:pPr>
      <w:r>
        <w:t>2)</w:t>
      </w:r>
      <w:r>
        <w:tab/>
        <w:t>podmiotu sektora publicznego, który posiada chronione dane</w:t>
      </w:r>
      <w:r w:rsidR="0065109D">
        <w:t>,</w:t>
      </w:r>
      <w:r w:rsidR="0065109D" w:rsidRPr="0065109D">
        <w:t xml:space="preserve"> za pośrednictwem pojedynczego punktu informacyjnego</w:t>
      </w:r>
      <w:r>
        <w:t>.</w:t>
      </w:r>
    </w:p>
    <w:p w14:paraId="276F2D32" w14:textId="120128C2" w:rsidR="002D4237" w:rsidRPr="002D4237" w:rsidRDefault="002D4237" w:rsidP="002D4237">
      <w:pPr>
        <w:pStyle w:val="USTustnpkodeksu"/>
      </w:pPr>
      <w:r w:rsidRPr="002D4237">
        <w:t>2.</w:t>
      </w:r>
      <w:r>
        <w:t> </w:t>
      </w:r>
      <w:r w:rsidRPr="002D4237">
        <w:t>Wniosek o ponowne wykorzystywanie chronionych danych wnosi się na piśmie utrwalonym w postaci elektronicznej, opatrzonym kwalifikowanym podpisem elektronicznym, podpisem zaufanym albo podpisem osobistym.</w:t>
      </w:r>
    </w:p>
    <w:p w14:paraId="6F258F5C" w14:textId="71DF8819" w:rsidR="002D4237" w:rsidRPr="002D4237" w:rsidRDefault="002D4237" w:rsidP="0042722C">
      <w:pPr>
        <w:pStyle w:val="USTustnpkodeksu"/>
        <w:keepNext/>
      </w:pPr>
      <w:r w:rsidRPr="00B73FE3">
        <w:t>3. Wniosek</w:t>
      </w:r>
      <w:r w:rsidRPr="002D4237">
        <w:t xml:space="preserve"> o ponowne wykorzystywanie </w:t>
      </w:r>
      <w:r w:rsidR="008711F2" w:rsidRPr="002D4237">
        <w:t xml:space="preserve">chronionych </w:t>
      </w:r>
      <w:r w:rsidRPr="002D4237">
        <w:t>danych zawiera:</w:t>
      </w:r>
    </w:p>
    <w:p w14:paraId="0EF99F1B" w14:textId="77777777" w:rsidR="002D4237" w:rsidRPr="002D4237" w:rsidRDefault="002D4237" w:rsidP="002D4237">
      <w:pPr>
        <w:pStyle w:val="PKTpunkt"/>
      </w:pPr>
      <w:r w:rsidRPr="002D4237">
        <w:t>1)</w:t>
      </w:r>
      <w:r>
        <w:tab/>
      </w:r>
      <w:r w:rsidRPr="002D4237">
        <w:t>wskazanie podmiotu sektora publicznego, który posiada chronione dane;</w:t>
      </w:r>
    </w:p>
    <w:p w14:paraId="19598AD4" w14:textId="61364404" w:rsidR="002D4237" w:rsidRPr="002D4237" w:rsidRDefault="002D4237" w:rsidP="002D4237">
      <w:pPr>
        <w:pStyle w:val="PKTpunkt"/>
      </w:pPr>
      <w:r w:rsidRPr="002D4237">
        <w:t>2)</w:t>
      </w:r>
      <w:r>
        <w:tab/>
      </w:r>
      <w:r w:rsidRPr="002D4237">
        <w:t xml:space="preserve">informacje o wnioskodawcy, w tym imię i nazwisko albo </w:t>
      </w:r>
      <w:r w:rsidR="00952ADD">
        <w:t xml:space="preserve">jego </w:t>
      </w:r>
      <w:r w:rsidRPr="002D4237">
        <w:t xml:space="preserve">nazwę oraz adres umożliwiający dostarczenie odpowiedzi do wnioskodawcy albo </w:t>
      </w:r>
      <w:r w:rsidR="00FA7043">
        <w:t xml:space="preserve">imię i nazwisko oraz adres </w:t>
      </w:r>
      <w:r w:rsidRPr="002D4237">
        <w:t>pełnomocnika tego wnioskodawcy w sposób lub w formie wskazanych we wniosku;</w:t>
      </w:r>
    </w:p>
    <w:p w14:paraId="1B2FAD73" w14:textId="77777777" w:rsidR="002D4237" w:rsidRPr="002D4237" w:rsidRDefault="002D4237" w:rsidP="002D4237">
      <w:pPr>
        <w:pStyle w:val="PKTpunkt"/>
      </w:pPr>
      <w:r w:rsidRPr="002D4237">
        <w:t>3)</w:t>
      </w:r>
      <w:r>
        <w:tab/>
      </w:r>
      <w:r w:rsidRPr="002D4237">
        <w:t>wskazanie chronionych danych, do których ma zostać udzielony dostęp do celów ponownego wykorzystywania;</w:t>
      </w:r>
    </w:p>
    <w:p w14:paraId="0F1DE4BB" w14:textId="77777777" w:rsidR="002D4237" w:rsidRPr="002D4237" w:rsidRDefault="002D4237" w:rsidP="002D4237">
      <w:pPr>
        <w:pStyle w:val="PKTpunkt"/>
      </w:pPr>
      <w:r w:rsidRPr="002D4237">
        <w:t>4)</w:t>
      </w:r>
      <w:r>
        <w:tab/>
      </w:r>
      <w:r w:rsidRPr="002D4237">
        <w:t>wskazanie celu ponownego wykorzystywania, w tym określenie rodzaju działalności, w której chronione dane będą ponownie wykorzystywane, w szczególności wskazanie dóbr, produktów lub usług;</w:t>
      </w:r>
    </w:p>
    <w:p w14:paraId="08DC8625" w14:textId="77777777" w:rsidR="002D4237" w:rsidRPr="002D4237" w:rsidRDefault="002D4237" w:rsidP="002D4237">
      <w:pPr>
        <w:pStyle w:val="PKTpunkt"/>
      </w:pPr>
      <w:r w:rsidRPr="002D4237">
        <w:t>5)</w:t>
      </w:r>
      <w:r>
        <w:tab/>
      </w:r>
      <w:r w:rsidRPr="002D4237">
        <w:t>wskazanie jednej z form dostępu do celów ponownego wykorzystywania chronionych danych, o których mowa w art. 5 ust. 3 rozporządzenia 2022/868;</w:t>
      </w:r>
    </w:p>
    <w:p w14:paraId="0F12F35D" w14:textId="77777777" w:rsidR="002D4237" w:rsidRDefault="002D4237" w:rsidP="002D4237">
      <w:pPr>
        <w:pStyle w:val="PKTpunkt"/>
      </w:pPr>
      <w:r w:rsidRPr="002D4237">
        <w:t>6)</w:t>
      </w:r>
      <w:r>
        <w:tab/>
      </w:r>
      <w:r w:rsidRPr="002D4237">
        <w:t>informacje o zamiarze przekazania do państwa trzeciego danych nieosobowych zawartych w chronionych danych, do których ma zostać udzielony dostęp do celów ponownego wykorzystywania oraz cel takiego przekazania.</w:t>
      </w:r>
    </w:p>
    <w:p w14:paraId="0A96A2FC" w14:textId="2996CA82" w:rsidR="0065109D" w:rsidRDefault="009A4D93" w:rsidP="008711F2">
      <w:pPr>
        <w:pStyle w:val="ARTartustawynprozporzdzenia"/>
      </w:pPr>
      <w:r w:rsidRPr="00E314B3">
        <w:rPr>
          <w:rStyle w:val="Ppogrubienie"/>
        </w:rPr>
        <w:t xml:space="preserve">Art. </w:t>
      </w:r>
      <w:r w:rsidR="00711739">
        <w:rPr>
          <w:rStyle w:val="Ppogrubienie"/>
        </w:rPr>
        <w:t>10</w:t>
      </w:r>
      <w:r w:rsidRPr="00E314B3">
        <w:rPr>
          <w:rStyle w:val="Ppogrubienie"/>
        </w:rPr>
        <w:t>.</w:t>
      </w:r>
      <w:r>
        <w:t xml:space="preserve"> 1. P</w:t>
      </w:r>
      <w:r w:rsidR="0065109D" w:rsidRPr="0065109D">
        <w:t>ojedynczy punkt informacyjny przekazuje wniosek o ponowne w</w:t>
      </w:r>
      <w:r w:rsidR="0065109D">
        <w:t xml:space="preserve">ykorzystywanie </w:t>
      </w:r>
      <w:r>
        <w:t xml:space="preserve">chronionych danych </w:t>
      </w:r>
      <w:r w:rsidR="0065109D">
        <w:t>do podmiotu sektora publicznego</w:t>
      </w:r>
      <w:r w:rsidR="0065109D" w:rsidRPr="0065109D">
        <w:t xml:space="preserve"> wskazanego we wniosku niezwłoczne, nie później jednak niż w </w:t>
      </w:r>
      <w:r w:rsidR="009014E5">
        <w:t xml:space="preserve">terminie </w:t>
      </w:r>
      <w:r w:rsidR="0065109D" w:rsidRPr="0065109D">
        <w:t>7 siedmiu dni od dnia jego otrzymania.</w:t>
      </w:r>
    </w:p>
    <w:p w14:paraId="08BE646C" w14:textId="05917E60" w:rsidR="008711F2" w:rsidRPr="0065109D" w:rsidRDefault="008711F2" w:rsidP="00E314B3">
      <w:pPr>
        <w:pStyle w:val="USTustnpkodeksu"/>
      </w:pPr>
      <w:r>
        <w:t xml:space="preserve">2. </w:t>
      </w:r>
      <w:r w:rsidRPr="009A4D93">
        <w:t>W przypadku niewskazania we wniosku o ponowne wykorzystywanie chronionych danych podmiotu sektora publicznego, do którego można przekazać wniosek, punkt informacyjny zwraca wniosek wnioskodawcy niezwłocznie, nie później jednak niż w</w:t>
      </w:r>
      <w:r>
        <w:t> </w:t>
      </w:r>
      <w:r w:rsidRPr="009A4D93">
        <w:t>terminie 7 dni od dnia jego otrzymania.</w:t>
      </w:r>
    </w:p>
    <w:p w14:paraId="4FF765A1" w14:textId="77777777" w:rsidR="002D4237" w:rsidRPr="002D4237" w:rsidRDefault="002D4237" w:rsidP="002D4237">
      <w:pPr>
        <w:pStyle w:val="ARTartustawynprozporzdzenia"/>
      </w:pPr>
      <w:r w:rsidRPr="0042722C">
        <w:rPr>
          <w:rStyle w:val="Ppogrubienie"/>
        </w:rPr>
        <w:t>Art. </w:t>
      </w:r>
      <w:r w:rsidR="00711739">
        <w:rPr>
          <w:rStyle w:val="Ppogrubienie"/>
        </w:rPr>
        <w:t>11</w:t>
      </w:r>
      <w:r w:rsidRPr="0042722C">
        <w:rPr>
          <w:rStyle w:val="Ppogrubienie"/>
        </w:rPr>
        <w:t>.</w:t>
      </w:r>
      <w:r>
        <w:t> </w:t>
      </w:r>
      <w:r w:rsidRPr="002D4237">
        <w:t>1. W przypadku niespełnienia wymogów formalnych wniosku o ponowne wykorzystywanie chronionych danych podmiot sektora publicznego wzywa wnioskodawcę do usunięcia braków formalnych, wraz z pouczeniem, że ich nieusunięcie w terminie 14 dni od dnia otrzymania wezwania spowoduje pozostawienie wniosku bez rozpoznania.</w:t>
      </w:r>
    </w:p>
    <w:p w14:paraId="6102A149" w14:textId="151F0AB7" w:rsidR="002D4237" w:rsidRPr="002D4237" w:rsidRDefault="002D4237" w:rsidP="002D4237">
      <w:pPr>
        <w:pStyle w:val="USTustnpkodeksu"/>
      </w:pPr>
      <w:r w:rsidRPr="002D4237">
        <w:lastRenderedPageBreak/>
        <w:t>2.</w:t>
      </w:r>
      <w:r>
        <w:t> </w:t>
      </w:r>
      <w:r w:rsidRPr="002D4237">
        <w:t xml:space="preserve">W zakresie nieuregulowanym ustawą lub rozporządzeniem 2022/868 do wniosku o ponowne wykorzystywanie chronionych danych stosuje się </w:t>
      </w:r>
      <w:r w:rsidR="00F501EC">
        <w:t xml:space="preserve">odpowiednio </w:t>
      </w:r>
      <w:r w:rsidR="00B76A44">
        <w:t xml:space="preserve">przepisy </w:t>
      </w:r>
      <w:r w:rsidRPr="002D4237">
        <w:t>art. 63 i</w:t>
      </w:r>
      <w:r w:rsidR="000B70E0">
        <w:t> </w:t>
      </w:r>
      <w:r w:rsidR="00F501EC">
        <w:t xml:space="preserve">art. </w:t>
      </w:r>
      <w:r w:rsidRPr="002D4237">
        <w:t xml:space="preserve">64 ustawy z dnia 14 czerwca 1960 r. </w:t>
      </w:r>
      <w:r w:rsidR="00770CE3" w:rsidRPr="002D4237">
        <w:t>–</w:t>
      </w:r>
      <w:r w:rsidRPr="002D4237">
        <w:t xml:space="preserve"> Kodeks postępowania administracyjnego (Dz. U. z </w:t>
      </w:r>
      <w:r w:rsidR="000B70E0" w:rsidRPr="002D4237">
        <w:t>202</w:t>
      </w:r>
      <w:r w:rsidR="000B70E0">
        <w:t>3</w:t>
      </w:r>
      <w:r w:rsidR="000B70E0" w:rsidRPr="002D4237">
        <w:t xml:space="preserve"> </w:t>
      </w:r>
      <w:r w:rsidRPr="002D4237">
        <w:t xml:space="preserve">r. poz. </w:t>
      </w:r>
      <w:r w:rsidR="000B70E0">
        <w:t>775 i 803</w:t>
      </w:r>
      <w:r w:rsidRPr="002D4237">
        <w:t>).</w:t>
      </w:r>
    </w:p>
    <w:p w14:paraId="3CF25885" w14:textId="77777777" w:rsidR="002D4237" w:rsidRPr="002D4237" w:rsidRDefault="002D4237" w:rsidP="002D4237">
      <w:pPr>
        <w:pStyle w:val="ARTartustawynprozporzdzenia"/>
      </w:pPr>
      <w:r w:rsidRPr="0042722C">
        <w:rPr>
          <w:rStyle w:val="Ppogrubienie"/>
        </w:rPr>
        <w:t>Art. 1</w:t>
      </w:r>
      <w:r w:rsidR="00711739">
        <w:rPr>
          <w:rStyle w:val="Ppogrubienie"/>
        </w:rPr>
        <w:t>2</w:t>
      </w:r>
      <w:r w:rsidRPr="0042722C">
        <w:rPr>
          <w:rStyle w:val="Ppogrubienie"/>
        </w:rPr>
        <w:t>.</w:t>
      </w:r>
      <w:r>
        <w:t> </w:t>
      </w:r>
      <w:r w:rsidRPr="002D4237">
        <w:t>1. Podmiot sektora publicznego rozpatrując wniosek</w:t>
      </w:r>
      <w:r w:rsidR="007E47FB">
        <w:t xml:space="preserve"> </w:t>
      </w:r>
      <w:r w:rsidRPr="002D4237">
        <w:t>o ponowne wyk</w:t>
      </w:r>
      <w:r w:rsidR="00C7702C">
        <w:t>orzystywanie chronionych danych</w:t>
      </w:r>
      <w:r w:rsidRPr="002D4237">
        <w:t xml:space="preserve"> może zwrócić się do Prezesa Urzędu Ochrony Danych Osobowych z wnioskiem o wydanie opinii dotyczącej zgodności ponownego wykorzystywania chronionych danych z przepisami o ochronie danych osobowych.</w:t>
      </w:r>
    </w:p>
    <w:p w14:paraId="383AA87B" w14:textId="4FEADF71" w:rsidR="002D4237" w:rsidRPr="002D4237" w:rsidRDefault="002D4237" w:rsidP="002D4237">
      <w:pPr>
        <w:pStyle w:val="USTustnpkodeksu"/>
      </w:pPr>
      <w:r w:rsidRPr="002D4237">
        <w:t>2.</w:t>
      </w:r>
      <w:r>
        <w:t> </w:t>
      </w:r>
      <w:r w:rsidRPr="002D4237">
        <w:t>Prezes Urzędu Ochrony Danych Osobowych wydaje opinię</w:t>
      </w:r>
      <w:r w:rsidR="00770CE3">
        <w:t>,</w:t>
      </w:r>
      <w:r w:rsidRPr="002D4237">
        <w:t xml:space="preserve"> w terminie 21 dni od dnia otrzymania wniosku o wydanie opinii.</w:t>
      </w:r>
    </w:p>
    <w:p w14:paraId="3D5E3912" w14:textId="12FA1FDA" w:rsidR="002D4237" w:rsidRPr="002D4237" w:rsidRDefault="002D4237" w:rsidP="002D4237">
      <w:pPr>
        <w:pStyle w:val="USTustnpkodeksu"/>
      </w:pPr>
      <w:r w:rsidRPr="002D4237">
        <w:t>3.</w:t>
      </w:r>
      <w:r>
        <w:t> </w:t>
      </w:r>
      <w:r w:rsidR="00AD6CA7">
        <w:t>Zwrócenie się z wnioskiem</w:t>
      </w:r>
      <w:r w:rsidRPr="002D4237">
        <w:t xml:space="preserve"> o wydanie opinii </w:t>
      </w:r>
      <w:r w:rsidR="00AD6CA7">
        <w:t xml:space="preserve">do Prezesa Urzędu Ochrony Danych Osobowych </w:t>
      </w:r>
      <w:r w:rsidRPr="002D4237">
        <w:t>wstrzymuje bieg terminu rozpatrzenia wniosku o ponowne wykorzystywanie</w:t>
      </w:r>
      <w:r w:rsidR="0017728F">
        <w:t xml:space="preserve"> chronionych danych</w:t>
      </w:r>
      <w:r w:rsidRPr="002D4237">
        <w:t xml:space="preserve"> </w:t>
      </w:r>
      <w:r w:rsidR="001A12D1">
        <w:t xml:space="preserve">przez </w:t>
      </w:r>
      <w:r w:rsidR="001A12D1" w:rsidRPr="001A12D1">
        <w:t xml:space="preserve">podmiot sektora publicznego </w:t>
      </w:r>
      <w:r w:rsidRPr="002D4237">
        <w:t>na okres nie dłuższy niż do dnia otrzymania opinii przez podmiot sektora publicznego, o czym podmiot sektora publicznego zawiadamia wnioskodawcę.</w:t>
      </w:r>
    </w:p>
    <w:p w14:paraId="62C03ED4" w14:textId="77777777" w:rsidR="002D4237" w:rsidRPr="002D4237" w:rsidRDefault="002D4237" w:rsidP="0042722C">
      <w:pPr>
        <w:pStyle w:val="ARTartustawynprozporzdzenia"/>
        <w:keepNext/>
      </w:pPr>
      <w:r w:rsidRPr="0042722C">
        <w:rPr>
          <w:rStyle w:val="Ppogrubienie"/>
        </w:rPr>
        <w:t>Art. 1</w:t>
      </w:r>
      <w:r w:rsidR="00711739">
        <w:rPr>
          <w:rStyle w:val="Ppogrubienie"/>
        </w:rPr>
        <w:t>3</w:t>
      </w:r>
      <w:r w:rsidRPr="0042722C">
        <w:rPr>
          <w:rStyle w:val="Ppogrubienie"/>
        </w:rPr>
        <w:t>.</w:t>
      </w:r>
      <w:r>
        <w:t> </w:t>
      </w:r>
      <w:r w:rsidRPr="002D4237">
        <w:t>Podmiot sektora publicznego po rozpatrzeniu wniosku</w:t>
      </w:r>
      <w:r w:rsidR="00C7702C">
        <w:t xml:space="preserve"> </w:t>
      </w:r>
      <w:r w:rsidRPr="002D4237">
        <w:t>o ponowne wykorzystywanie chronionych danych:</w:t>
      </w:r>
    </w:p>
    <w:p w14:paraId="04373C50" w14:textId="77777777" w:rsidR="002D4237" w:rsidRPr="002D4237" w:rsidRDefault="002D4237" w:rsidP="002D4237">
      <w:pPr>
        <w:pStyle w:val="PKTpunkt"/>
      </w:pPr>
      <w:r w:rsidRPr="002D4237">
        <w:t>1)</w:t>
      </w:r>
      <w:r>
        <w:tab/>
      </w:r>
      <w:r w:rsidRPr="002D4237">
        <w:t>składa wnioskodawcy ofertę</w:t>
      </w:r>
      <w:r w:rsidR="001A12D1">
        <w:t xml:space="preserve"> dotyczącą</w:t>
      </w:r>
      <w:r w:rsidR="001A12D1" w:rsidRPr="001A12D1">
        <w:rPr>
          <w:rFonts w:ascii="Times New Roman" w:hAnsi="Times New Roman"/>
          <w:bCs w:val="0"/>
        </w:rPr>
        <w:t xml:space="preserve"> </w:t>
      </w:r>
      <w:r w:rsidR="001A12D1" w:rsidRPr="001A12D1">
        <w:t>udzielenia dostępu do celów ponownego wykorzystywania chronionych danych</w:t>
      </w:r>
      <w:r w:rsidR="00FA7043">
        <w:t>, zwaną dalej „ofertą”</w:t>
      </w:r>
      <w:r w:rsidRPr="002D4237">
        <w:t>;</w:t>
      </w:r>
    </w:p>
    <w:p w14:paraId="56116EC0" w14:textId="12E938E1" w:rsidR="002D4237" w:rsidRPr="002D4237" w:rsidRDefault="002D4237" w:rsidP="0042722C">
      <w:pPr>
        <w:pStyle w:val="PKTpunkt"/>
        <w:keepNext/>
      </w:pPr>
      <w:r w:rsidRPr="002D4237">
        <w:t>2)</w:t>
      </w:r>
      <w:r>
        <w:tab/>
      </w:r>
      <w:r w:rsidR="002B770F" w:rsidRPr="002D4237">
        <w:t>odm</w:t>
      </w:r>
      <w:r w:rsidR="002B770F">
        <w:t>a</w:t>
      </w:r>
      <w:r w:rsidR="002B770F" w:rsidRPr="002D4237">
        <w:t>wi</w:t>
      </w:r>
      <w:r w:rsidR="002B770F">
        <w:t>a</w:t>
      </w:r>
      <w:r w:rsidRPr="002D4237">
        <w:t>, w drodze decyzji, udzielenia dostępu do celów ponownego wykorzystywania chronionych danych</w:t>
      </w:r>
      <w:r w:rsidR="003C6EA9">
        <w:t xml:space="preserve"> w przypadku</w:t>
      </w:r>
      <w:r w:rsidRPr="002D4237">
        <w:t>:</w:t>
      </w:r>
    </w:p>
    <w:p w14:paraId="75D2A399" w14:textId="59B922D7" w:rsidR="002D4237" w:rsidRPr="002D4237" w:rsidRDefault="002D4237" w:rsidP="002D4237">
      <w:pPr>
        <w:pStyle w:val="LITlitera"/>
      </w:pPr>
      <w:r w:rsidRPr="002D4237">
        <w:t>a)</w:t>
      </w:r>
      <w:r>
        <w:tab/>
      </w:r>
      <w:r w:rsidR="003F161D" w:rsidRPr="003F161D">
        <w:t>nieuzyskania z</w:t>
      </w:r>
      <w:r w:rsidR="003F161D">
        <w:t>go</w:t>
      </w:r>
      <w:r w:rsidR="003F161D" w:rsidRPr="003F161D">
        <w:t>d</w:t>
      </w:r>
      <w:r w:rsidR="003F161D">
        <w:t>y osoby, której</w:t>
      </w:r>
      <w:r w:rsidR="003F161D" w:rsidRPr="003F161D">
        <w:t xml:space="preserve"> dane dotyczą </w:t>
      </w:r>
      <w:r w:rsidR="003F161D">
        <w:t xml:space="preserve">lub </w:t>
      </w:r>
      <w:r w:rsidR="002B770F" w:rsidRPr="002B770F">
        <w:t>braku</w:t>
      </w:r>
      <w:r w:rsidR="003F161D">
        <w:t xml:space="preserve"> innej</w:t>
      </w:r>
      <w:r w:rsidR="002B770F" w:rsidRPr="002B770F">
        <w:t xml:space="preserve"> podstawy  przetwarzania danych na podstawie rozporządzenia 2016/679</w:t>
      </w:r>
      <w:r w:rsidR="002B770F">
        <w:t xml:space="preserve"> lub </w:t>
      </w:r>
      <w:r w:rsidR="003F161D">
        <w:t xml:space="preserve">nieuzyskania </w:t>
      </w:r>
      <w:r w:rsidRPr="002D4237">
        <w:t>pozwole</w:t>
      </w:r>
      <w:r w:rsidR="003F161D">
        <w:t>nia</w:t>
      </w:r>
      <w:r w:rsidRPr="002D4237">
        <w:t xml:space="preserve"> posiadac</w:t>
      </w:r>
      <w:r w:rsidR="003F161D">
        <w:t>za</w:t>
      </w:r>
      <w:r w:rsidRPr="002D4237">
        <w:t xml:space="preserve"> danych, zgodnie z art. 5 ust. 6 rozporządzenia 2022/868, </w:t>
      </w:r>
      <w:r w:rsidR="002B770F">
        <w:t xml:space="preserve"> </w:t>
      </w:r>
    </w:p>
    <w:p w14:paraId="2CDB1B58" w14:textId="2E7A7B88" w:rsidR="002B770F" w:rsidRPr="002D4237" w:rsidRDefault="002B770F" w:rsidP="002D4237">
      <w:pPr>
        <w:pStyle w:val="LITlitera"/>
      </w:pPr>
      <w:r>
        <w:t>b)</w:t>
      </w:r>
      <w:r>
        <w:tab/>
      </w:r>
      <w:r w:rsidRPr="002B770F">
        <w:t>nieuzyskania pozwolenia, zgodnie z art. 5 ust. 9 rozporządzenia 2022/868</w:t>
      </w:r>
      <w:r>
        <w:t>;</w:t>
      </w:r>
    </w:p>
    <w:p w14:paraId="6CB4D50F" w14:textId="1837CB9C" w:rsidR="002D4237" w:rsidRPr="002D4237" w:rsidRDefault="002D4237" w:rsidP="0042722C">
      <w:pPr>
        <w:pStyle w:val="PKTpunkt"/>
        <w:keepNext/>
      </w:pPr>
      <w:r w:rsidRPr="002D4237">
        <w:t>3)</w:t>
      </w:r>
      <w:r>
        <w:tab/>
      </w:r>
      <w:r w:rsidRPr="002D4237">
        <w:t>odmawia, w drodze decyzji, udzielenia dostępu do celów ponownego wykorzystywania chronionych danych:</w:t>
      </w:r>
    </w:p>
    <w:p w14:paraId="705E9556" w14:textId="77777777" w:rsidR="002D4237" w:rsidRPr="002D4237" w:rsidRDefault="002D4237" w:rsidP="002D4237">
      <w:pPr>
        <w:pStyle w:val="LITlitera"/>
      </w:pPr>
      <w:r w:rsidRPr="002D4237">
        <w:t>a)</w:t>
      </w:r>
      <w:r>
        <w:tab/>
      </w:r>
      <w:r w:rsidRPr="002D4237">
        <w:t>które są wyłączone z dostępu lub do których dostęp jest ograniczony w zakresie i na zasadach określonych w przepisach o ochronie informacji niejawnych oraz o ochronie innych tajemnic ustawowo chronionych, chyba że możliwe jest udzielenie dostępu do celów ponownego wykorzystywania zgodnie z art. 5 rozporządzenia 2022/868,</w:t>
      </w:r>
    </w:p>
    <w:p w14:paraId="7793EBDD" w14:textId="77777777" w:rsidR="002D4237" w:rsidRPr="002D4237" w:rsidRDefault="002D4237" w:rsidP="002D4237">
      <w:pPr>
        <w:pStyle w:val="LITlitera"/>
      </w:pPr>
      <w:r w:rsidRPr="002D4237">
        <w:lastRenderedPageBreak/>
        <w:t>b)</w:t>
      </w:r>
      <w:r>
        <w:tab/>
      </w:r>
      <w:r w:rsidRPr="002D4237">
        <w:t xml:space="preserve">które są wyłączone z dostępu lub do których dostęp jest ograniczony ze względu na ochronę infrastruktury krytycznej w rozumieniu przepisów ustawy z dnia 26 kwietnia 2007 r. o zarządzaniu kryzysowym (Dz. U. z </w:t>
      </w:r>
      <w:r w:rsidR="0069640F">
        <w:t>2023 r. poz. 122</w:t>
      </w:r>
      <w:r w:rsidRPr="002D4237">
        <w:t>),</w:t>
      </w:r>
    </w:p>
    <w:p w14:paraId="00CC8595" w14:textId="77777777" w:rsidR="002D4237" w:rsidRPr="002D4237" w:rsidRDefault="002D4237" w:rsidP="002D4237">
      <w:pPr>
        <w:pStyle w:val="LITlitera"/>
      </w:pPr>
      <w:r w:rsidRPr="002D4237">
        <w:t>c)</w:t>
      </w:r>
      <w:r>
        <w:tab/>
      </w:r>
      <w:r w:rsidRPr="002D4237">
        <w:t>do których dostęp jest ograniczony na podstawie innych ustaw, chyba że możliwe jest udzielenie dostępu do celów ponownego wykorzystywania zgodnie z art. 5 rozporządzenia 2022/868,</w:t>
      </w:r>
    </w:p>
    <w:p w14:paraId="412D6831" w14:textId="77777777" w:rsidR="002D4237" w:rsidRDefault="002D4237" w:rsidP="002D4237">
      <w:pPr>
        <w:pStyle w:val="LITlitera"/>
      </w:pPr>
      <w:r w:rsidRPr="002D4237">
        <w:t>d)</w:t>
      </w:r>
      <w:r>
        <w:tab/>
      </w:r>
      <w:r w:rsidRPr="002D4237">
        <w:t>których wytwarzanie przez podmioty sektora publicznego nie należy do zakresu ich zadań publicznych określonych prawem</w:t>
      </w:r>
      <w:r w:rsidR="002B770F">
        <w:t>;</w:t>
      </w:r>
    </w:p>
    <w:p w14:paraId="0602E916" w14:textId="12690125" w:rsidR="002B770F" w:rsidRPr="002D4237" w:rsidRDefault="002B770F" w:rsidP="003462C5">
      <w:pPr>
        <w:pStyle w:val="PKTpunkt"/>
      </w:pPr>
      <w:r>
        <w:t>4)</w:t>
      </w:r>
      <w:r>
        <w:tab/>
        <w:t xml:space="preserve">może odmówić, w drodze decyzji, </w:t>
      </w:r>
      <w:r w:rsidRPr="002B770F">
        <w:t>udzielenia dostępu do celów ponownego wykorzystywania chronionych danych</w:t>
      </w:r>
      <w:r w:rsidR="003F161D">
        <w:t>,</w:t>
      </w:r>
      <w:r w:rsidR="003C6EA9">
        <w:t xml:space="preserve"> </w:t>
      </w:r>
      <w:r w:rsidRPr="002B770F">
        <w:t>jeżeli uzysk</w:t>
      </w:r>
      <w:r>
        <w:t xml:space="preserve">anie </w:t>
      </w:r>
      <w:r w:rsidRPr="002B770F">
        <w:t>zgód osób, których dane dotyczą lub pozwoleń posiadaczy danych, zgodnie z art. 5 ust. 6 rozporządzenia 2022/868</w:t>
      </w:r>
      <w:r>
        <w:t>, lub</w:t>
      </w:r>
      <w:r w:rsidRPr="002B770F">
        <w:t xml:space="preserve"> uzyskanie</w:t>
      </w:r>
      <w:r>
        <w:t xml:space="preserve"> </w:t>
      </w:r>
      <w:r w:rsidRPr="002B770F">
        <w:t>pozwolenia, zgodnie z art. 5 ust. 9 rozporządzenia 2022/868</w:t>
      </w:r>
      <w:r>
        <w:t xml:space="preserve">, </w:t>
      </w:r>
      <w:r w:rsidRPr="002B770F">
        <w:t>spowoduje podjęcie nieproporcjonalnych działań</w:t>
      </w:r>
      <w:r>
        <w:t>.</w:t>
      </w:r>
    </w:p>
    <w:p w14:paraId="38B4A24C" w14:textId="77777777" w:rsidR="002D4237" w:rsidRPr="002D4237" w:rsidRDefault="002D4237" w:rsidP="0042722C">
      <w:pPr>
        <w:pStyle w:val="ARTartustawynprozporzdzenia"/>
        <w:keepNext/>
      </w:pPr>
      <w:r w:rsidRPr="0042722C">
        <w:rPr>
          <w:rStyle w:val="Ppogrubienie"/>
        </w:rPr>
        <w:t>Art. 1</w:t>
      </w:r>
      <w:r w:rsidR="00711739">
        <w:rPr>
          <w:rStyle w:val="Ppogrubienie"/>
        </w:rPr>
        <w:t>4</w:t>
      </w:r>
      <w:r w:rsidRPr="0042722C">
        <w:rPr>
          <w:rStyle w:val="Ppogrubienie"/>
        </w:rPr>
        <w:t>.</w:t>
      </w:r>
      <w:r>
        <w:t> </w:t>
      </w:r>
      <w:r w:rsidRPr="002D4237">
        <w:t>1. Oferta zawiera:</w:t>
      </w:r>
    </w:p>
    <w:p w14:paraId="04C30505" w14:textId="77777777" w:rsidR="002D4237" w:rsidRPr="002D4237" w:rsidRDefault="002D4237" w:rsidP="002D4237">
      <w:pPr>
        <w:pStyle w:val="PKTpunkt"/>
      </w:pPr>
      <w:r w:rsidRPr="002D4237">
        <w:t>1)</w:t>
      </w:r>
      <w:r>
        <w:tab/>
      </w:r>
      <w:r w:rsidRPr="002D4237">
        <w:t>wskazanie jednej z form dostępu, o których mowa w art. 5 ust. 3 rozporządzenia 2022/868, w ramach której dostęp ten może zostać udzielony;</w:t>
      </w:r>
    </w:p>
    <w:p w14:paraId="48A44843" w14:textId="77777777" w:rsidR="002D4237" w:rsidRPr="002D4237" w:rsidRDefault="002D4237" w:rsidP="002D4237">
      <w:pPr>
        <w:pStyle w:val="PKTpunkt"/>
      </w:pPr>
      <w:r w:rsidRPr="002D4237">
        <w:t>2)</w:t>
      </w:r>
      <w:r>
        <w:tab/>
      </w:r>
      <w:r w:rsidRPr="002D4237">
        <w:t>warunki ponownego wykorzystywania chronionych danych określone zgodnie z art. 5 rozporządzenia 2022/868;</w:t>
      </w:r>
    </w:p>
    <w:p w14:paraId="61751C10" w14:textId="205658F5" w:rsidR="002D4237" w:rsidRPr="002D4237" w:rsidRDefault="002D4237" w:rsidP="002D4237">
      <w:pPr>
        <w:pStyle w:val="PKTpunkt"/>
      </w:pPr>
      <w:r w:rsidRPr="002D4237">
        <w:t>3)</w:t>
      </w:r>
      <w:r>
        <w:tab/>
      </w:r>
      <w:r w:rsidRPr="002D4237">
        <w:t xml:space="preserve">informację o wysokości opłaty za zezwolenie na ponowne wykorzystywanie chronionych danych określonej zgodnie art. 6 rozporządzenia 2022/868 oraz </w:t>
      </w:r>
      <w:r w:rsidR="00A2753F">
        <w:t xml:space="preserve">wskazanie </w:t>
      </w:r>
      <w:r w:rsidRPr="002D4237">
        <w:t>rachun</w:t>
      </w:r>
      <w:r w:rsidR="00A2753F">
        <w:t>ku</w:t>
      </w:r>
      <w:r w:rsidRPr="002D4237">
        <w:t xml:space="preserve"> bankow</w:t>
      </w:r>
      <w:r w:rsidR="00A2753F">
        <w:t>ego</w:t>
      </w:r>
      <w:r w:rsidRPr="002D4237">
        <w:t>, na który należy uiścić opłatę</w:t>
      </w:r>
      <w:r w:rsidR="00A2753F">
        <w:t>,</w:t>
      </w:r>
      <w:r w:rsidRPr="002D4237">
        <w:t xml:space="preserve"> albo informację o braku takiej opłaty.</w:t>
      </w:r>
    </w:p>
    <w:p w14:paraId="64C276F7" w14:textId="414307B2" w:rsidR="002D4237" w:rsidRPr="002D4237" w:rsidRDefault="002D4237" w:rsidP="0042722C">
      <w:pPr>
        <w:pStyle w:val="USTustnpkodeksu"/>
        <w:keepNext/>
      </w:pPr>
      <w:r w:rsidRPr="002D4237">
        <w:t>2.</w:t>
      </w:r>
      <w:r>
        <w:t> </w:t>
      </w:r>
      <w:r w:rsidRPr="002D4237">
        <w:t>Warunki ponownego wykorzystywania chronionych danych, o których mowa w ust. 1 pkt 2</w:t>
      </w:r>
      <w:r w:rsidR="00A2753F">
        <w:t>,</w:t>
      </w:r>
      <w:r w:rsidRPr="002D4237">
        <w:t xml:space="preserve"> mogą dotyczyć w szczególności:</w:t>
      </w:r>
    </w:p>
    <w:p w14:paraId="135AC3D1" w14:textId="77777777" w:rsidR="002D4237" w:rsidRPr="002D4237" w:rsidRDefault="002D4237" w:rsidP="002D4237">
      <w:pPr>
        <w:pStyle w:val="PKTpunkt"/>
      </w:pPr>
      <w:r w:rsidRPr="002D4237">
        <w:t>1)</w:t>
      </w:r>
      <w:r>
        <w:tab/>
      </w:r>
      <w:r w:rsidRPr="002D4237">
        <w:t>zachowania integralności funkcjonowania systemów technicznych bezpiecznego środowiska przetwarzania, o której mowa w art. 5 ust. 4 rozporządzenia 2022/868;</w:t>
      </w:r>
    </w:p>
    <w:p w14:paraId="1C16D37D" w14:textId="77777777" w:rsidR="002D4237" w:rsidRPr="002D4237" w:rsidRDefault="002D4237" w:rsidP="002D4237">
      <w:pPr>
        <w:pStyle w:val="PKTpunkt"/>
      </w:pPr>
      <w:r w:rsidRPr="002D4237">
        <w:t>2)</w:t>
      </w:r>
      <w:r>
        <w:tab/>
      </w:r>
      <w:r w:rsidRPr="002D4237">
        <w:t>przestrzegania przez ponownego użytkownika obowiązku w zakresie zachowania poufności, o którym mowa w art. 5 ust. 5 rozporządzenia 2022/868;</w:t>
      </w:r>
    </w:p>
    <w:p w14:paraId="32BC1C7B" w14:textId="4CA541B9" w:rsidR="002D4237" w:rsidRPr="002D4237" w:rsidRDefault="002D4237" w:rsidP="002D4237">
      <w:pPr>
        <w:pStyle w:val="PKTpunkt"/>
      </w:pPr>
      <w:r w:rsidRPr="002D4237">
        <w:t>3)</w:t>
      </w:r>
      <w:r>
        <w:tab/>
      </w:r>
      <w:r w:rsidRPr="002D4237">
        <w:t xml:space="preserve">konieczności uzyskania </w:t>
      </w:r>
      <w:r w:rsidR="00BB653D" w:rsidRPr="002D4237">
        <w:t>zg</w:t>
      </w:r>
      <w:r w:rsidR="00BB653D">
        <w:t>ody</w:t>
      </w:r>
      <w:r w:rsidR="00BB653D" w:rsidRPr="002D4237">
        <w:t xml:space="preserve"> os</w:t>
      </w:r>
      <w:r w:rsidR="00BB653D">
        <w:t>oby</w:t>
      </w:r>
      <w:r w:rsidRPr="002D4237">
        <w:t xml:space="preserve">, </w:t>
      </w:r>
      <w:r w:rsidR="00BB653D" w:rsidRPr="002D4237">
        <w:t>któr</w:t>
      </w:r>
      <w:r w:rsidR="00BB653D">
        <w:t>ej</w:t>
      </w:r>
      <w:r w:rsidR="00BB653D" w:rsidRPr="002D4237">
        <w:t xml:space="preserve"> </w:t>
      </w:r>
      <w:r w:rsidRPr="002D4237">
        <w:t>dane dotyczą</w:t>
      </w:r>
      <w:r w:rsidR="00A2753F">
        <w:t>,</w:t>
      </w:r>
      <w:r w:rsidRPr="002D4237">
        <w:t xml:space="preserve"> lub </w:t>
      </w:r>
      <w:r w:rsidR="00BB653D" w:rsidRPr="002D4237">
        <w:t>pozwole</w:t>
      </w:r>
      <w:r w:rsidR="00BB653D">
        <w:t>nia</w:t>
      </w:r>
      <w:r w:rsidR="00BB653D" w:rsidRPr="002D4237">
        <w:t xml:space="preserve"> posiadacz</w:t>
      </w:r>
      <w:r w:rsidR="00BB653D">
        <w:t>a</w:t>
      </w:r>
      <w:r w:rsidR="00BB653D" w:rsidRPr="002D4237">
        <w:t xml:space="preserve"> </w:t>
      </w:r>
      <w:r w:rsidRPr="002D4237">
        <w:t xml:space="preserve">danych zgodnie z art. 5 ust. 6 rozporządzenia 2022/868 oraz zakresu pomocy jakiej podmiot sektora publicznego może udzielić wnioskodawcy w uzyskaniu </w:t>
      </w:r>
      <w:r w:rsidR="00BB653D">
        <w:t>takiej</w:t>
      </w:r>
      <w:r w:rsidR="00BB653D" w:rsidRPr="002D4237">
        <w:t xml:space="preserve"> zg</w:t>
      </w:r>
      <w:r w:rsidR="00BB653D">
        <w:t>ody</w:t>
      </w:r>
      <w:r w:rsidR="00BB653D" w:rsidRPr="002D4237">
        <w:t xml:space="preserve"> </w:t>
      </w:r>
      <w:r w:rsidRPr="002D4237">
        <w:t xml:space="preserve">lub </w:t>
      </w:r>
      <w:r w:rsidR="00BB653D" w:rsidRPr="002D4237">
        <w:t>taki</w:t>
      </w:r>
      <w:r w:rsidR="00184701">
        <w:t>ego</w:t>
      </w:r>
      <w:r w:rsidR="00BB653D" w:rsidRPr="002D4237">
        <w:t xml:space="preserve"> pozwole</w:t>
      </w:r>
      <w:r w:rsidR="00BB653D">
        <w:t>ni</w:t>
      </w:r>
      <w:r w:rsidR="00184701">
        <w:t>a</w:t>
      </w:r>
      <w:r w:rsidRPr="002D4237">
        <w:t>;</w:t>
      </w:r>
    </w:p>
    <w:p w14:paraId="759D6BC1" w14:textId="29073657" w:rsidR="002D4237" w:rsidRPr="002D4237" w:rsidRDefault="002D4237" w:rsidP="002D4237">
      <w:pPr>
        <w:pStyle w:val="PKTpunkt"/>
      </w:pPr>
      <w:r w:rsidRPr="002D4237">
        <w:t>4)</w:t>
      </w:r>
      <w:r>
        <w:tab/>
      </w:r>
      <w:r w:rsidRPr="002D4237">
        <w:t>konieczności uzyskania pozwolenia zgodnie z art. 5 ust. 9 rozporządzenia 2022/868 oraz zakresu pomocy</w:t>
      </w:r>
      <w:r w:rsidR="00A2753F">
        <w:t>,</w:t>
      </w:r>
      <w:r w:rsidRPr="002D4237">
        <w:t xml:space="preserve"> jakiej podmiot sektora publicznego może udzielić wnioskodawcy w</w:t>
      </w:r>
      <w:r w:rsidR="00BB653D">
        <w:t> </w:t>
      </w:r>
      <w:r w:rsidRPr="002D4237">
        <w:t>uzyskaniu takiego pozwolenia;</w:t>
      </w:r>
    </w:p>
    <w:p w14:paraId="333BB97C" w14:textId="77777777" w:rsidR="002D4237" w:rsidRPr="002D4237" w:rsidRDefault="002D4237" w:rsidP="002D4237">
      <w:pPr>
        <w:pStyle w:val="PKTpunkt"/>
      </w:pPr>
      <w:r w:rsidRPr="002D4237">
        <w:lastRenderedPageBreak/>
        <w:t>5)</w:t>
      </w:r>
      <w:r>
        <w:tab/>
      </w:r>
      <w:r w:rsidRPr="002D4237">
        <w:t>spełnienia wymogów, o których mowa w art. 5 ust. 10 rozporządzenia 2022/868.</w:t>
      </w:r>
    </w:p>
    <w:p w14:paraId="154792F4" w14:textId="0B83C48B" w:rsidR="002D4237" w:rsidRPr="002D4237" w:rsidRDefault="002D4237" w:rsidP="002D4237">
      <w:pPr>
        <w:pStyle w:val="USTustnpkodeksu"/>
      </w:pPr>
      <w:r w:rsidRPr="002D4237">
        <w:t>3.</w:t>
      </w:r>
      <w:r>
        <w:t> </w:t>
      </w:r>
      <w:r w:rsidRPr="002D4237">
        <w:t>Podmiot sektora publicznego może oznaczyć w ofercie termin</w:t>
      </w:r>
      <w:r w:rsidR="00F1749F">
        <w:t xml:space="preserve"> lub terminy</w:t>
      </w:r>
      <w:r w:rsidRPr="002D4237">
        <w:t>, w jakim spełnione muszą zostać poszczególne warunki ponownego wykorzystywania</w:t>
      </w:r>
      <w:r w:rsidR="00A2753F">
        <w:t>,</w:t>
      </w:r>
      <w:r w:rsidRPr="002D4237">
        <w:t xml:space="preserve"> oraz sposób udokumentowania ich spełnienia.</w:t>
      </w:r>
    </w:p>
    <w:p w14:paraId="75DD6A5D" w14:textId="77777777" w:rsidR="002D4237" w:rsidRPr="002D4237" w:rsidRDefault="002D4237" w:rsidP="0042722C">
      <w:pPr>
        <w:pStyle w:val="ARTartustawynprozporzdzenia"/>
        <w:keepNext/>
      </w:pPr>
      <w:r w:rsidRPr="0042722C">
        <w:rPr>
          <w:rStyle w:val="Ppogrubienie"/>
        </w:rPr>
        <w:t>Art. 1</w:t>
      </w:r>
      <w:r w:rsidR="00711739">
        <w:rPr>
          <w:rStyle w:val="Ppogrubienie"/>
        </w:rPr>
        <w:t>5</w:t>
      </w:r>
      <w:r w:rsidRPr="0042722C">
        <w:rPr>
          <w:rStyle w:val="Ppogrubienie"/>
        </w:rPr>
        <w:t>.</w:t>
      </w:r>
      <w:r>
        <w:t> </w:t>
      </w:r>
      <w:r w:rsidRPr="002D4237">
        <w:t>1. Wnioskodawca, który otrzymał ofertę</w:t>
      </w:r>
      <w:r w:rsidR="00A2753F">
        <w:t>,</w:t>
      </w:r>
      <w:r w:rsidRPr="002D4237">
        <w:t xml:space="preserve"> może w terminie 14 dni od dnia </w:t>
      </w:r>
      <w:r w:rsidR="00317F4D">
        <w:t xml:space="preserve">jej </w:t>
      </w:r>
      <w:r w:rsidR="00C7702C">
        <w:t>otrzymania</w:t>
      </w:r>
      <w:r w:rsidRPr="002D4237">
        <w:t>:</w:t>
      </w:r>
    </w:p>
    <w:p w14:paraId="4A4655D0" w14:textId="77777777" w:rsidR="002D4237" w:rsidRPr="002D4237" w:rsidRDefault="002D4237" w:rsidP="002D4237">
      <w:pPr>
        <w:pStyle w:val="PKTpunkt"/>
      </w:pPr>
      <w:r w:rsidRPr="002D4237">
        <w:t>1)</w:t>
      </w:r>
      <w:r>
        <w:tab/>
      </w:r>
      <w:r w:rsidRPr="002D4237">
        <w:t>zawiadomić podmiot sektora publicznego o przyjęciu oferty albo</w:t>
      </w:r>
    </w:p>
    <w:p w14:paraId="0756F94A" w14:textId="14BC6D71" w:rsidR="002D4237" w:rsidRPr="002D4237" w:rsidRDefault="002D4237" w:rsidP="002D4237">
      <w:pPr>
        <w:pStyle w:val="PKTpunkt"/>
      </w:pPr>
      <w:r w:rsidRPr="002D4237">
        <w:t>2)</w:t>
      </w:r>
      <w:r>
        <w:tab/>
      </w:r>
      <w:r w:rsidRPr="002D4237">
        <w:t xml:space="preserve">przedstawić propozycje zmian </w:t>
      </w:r>
      <w:r w:rsidR="00597D60">
        <w:t>w ofercie</w:t>
      </w:r>
      <w:r w:rsidRPr="002D4237">
        <w:t xml:space="preserve"> albo</w:t>
      </w:r>
    </w:p>
    <w:p w14:paraId="2EA62E80" w14:textId="77777777" w:rsidR="002D4237" w:rsidRPr="002D4237" w:rsidRDefault="002D4237" w:rsidP="002D4237">
      <w:pPr>
        <w:pStyle w:val="PKTpunkt"/>
      </w:pPr>
      <w:r w:rsidRPr="002D4237">
        <w:t>3)</w:t>
      </w:r>
      <w:r>
        <w:tab/>
      </w:r>
      <w:r w:rsidRPr="002D4237">
        <w:t>złożyć sprzeciw z powodu naruszenia przepisów ustawy lub rozporządzenia 2022/868.</w:t>
      </w:r>
    </w:p>
    <w:p w14:paraId="3852BB31" w14:textId="77777777" w:rsidR="007625DB" w:rsidRDefault="002D4237" w:rsidP="005A4812">
      <w:pPr>
        <w:pStyle w:val="USTustnpkodeksu"/>
      </w:pPr>
      <w:r w:rsidRPr="002D4237">
        <w:t>2.</w:t>
      </w:r>
      <w:r>
        <w:t> </w:t>
      </w:r>
      <w:r w:rsidRPr="002D4237">
        <w:t>W przypadku, w którym w ofercie zawarto informację o wysokości opłaty za zezwolenie na ponowne wykorzystywanie chronionych danych wraz z zawiadomieniem o przyjęciu oferty</w:t>
      </w:r>
      <w:r w:rsidR="00A2753F">
        <w:t>,</w:t>
      </w:r>
      <w:r w:rsidRPr="002D4237">
        <w:t xml:space="preserve"> wnioskodawca przedkłada dowód uiszczenia opłaty za zezwolenie na ponowne wykorzystywanie chronionych danych. Dowód uiszczenia opłaty może mieć postać pliku potwierdzającego dokonanie operacji bankowej generowanego elektronicznie z systemu bankowego.</w:t>
      </w:r>
    </w:p>
    <w:p w14:paraId="58E426B5" w14:textId="1D9B2E5E" w:rsidR="00E53A98" w:rsidRPr="005A4812" w:rsidRDefault="00E53A98" w:rsidP="00E53A98">
      <w:pPr>
        <w:pStyle w:val="USTustnpkodeksu"/>
      </w:pPr>
      <w:r w:rsidRPr="005A4812">
        <w:t>3. Brak podjęcia jednej z czynności, o których mowa w ust. 1</w:t>
      </w:r>
      <w:r w:rsidR="007625DB" w:rsidRPr="005A4812">
        <w:t>,</w:t>
      </w:r>
      <w:r w:rsidRPr="005A4812">
        <w:t xml:space="preserve"> w terminie 14 dni od dnia otrzymania oferty</w:t>
      </w:r>
      <w:r w:rsidR="007625DB" w:rsidRPr="005A4812">
        <w:t>,</w:t>
      </w:r>
      <w:r w:rsidRPr="005A4812">
        <w:t xml:space="preserve"> jest </w:t>
      </w:r>
      <w:r w:rsidR="00532C7C" w:rsidRPr="005A4812">
        <w:t>równoznaczn</w:t>
      </w:r>
      <w:r w:rsidR="00532C7C">
        <w:t>y</w:t>
      </w:r>
      <w:r w:rsidR="004C6FCB">
        <w:t xml:space="preserve"> </w:t>
      </w:r>
      <w:r w:rsidRPr="005A4812">
        <w:t>z wycofaniem wniosku</w:t>
      </w:r>
      <w:r w:rsidR="000C78A2">
        <w:t xml:space="preserve"> o ponowne wykorzystywanie chronionych danych</w:t>
      </w:r>
      <w:r w:rsidRPr="005A4812">
        <w:t>.</w:t>
      </w:r>
    </w:p>
    <w:p w14:paraId="43ADDAC6" w14:textId="1B5B2CB1" w:rsidR="002D4237" w:rsidRPr="002D4237" w:rsidRDefault="002D4237" w:rsidP="002D4237">
      <w:pPr>
        <w:pStyle w:val="USTustnpkodeksu"/>
      </w:pPr>
      <w:r w:rsidRPr="002D4237">
        <w:t>4.</w:t>
      </w:r>
      <w:r>
        <w:t> </w:t>
      </w:r>
      <w:r w:rsidRPr="002D4237">
        <w:t xml:space="preserve">W przypadku przedstawienia przez wnioskodawcę propozycji zmian </w:t>
      </w:r>
      <w:r w:rsidR="00597D60">
        <w:t>w ofercie</w:t>
      </w:r>
      <w:r w:rsidRPr="002D4237">
        <w:t xml:space="preserve"> podmiot sektora publicznego w terminie 14 dni od dnia </w:t>
      </w:r>
      <w:r w:rsidR="00F33E71">
        <w:t xml:space="preserve">otrzymania </w:t>
      </w:r>
      <w:r w:rsidRPr="002D4237">
        <w:t>takiej propozycji składa wnioskodawcy zmienioną ofertę, w której może zawrzeć niektóre lub wszystkie propozycje zmian przedstawione przez wnioskodawcę</w:t>
      </w:r>
      <w:r w:rsidR="00A2753F">
        <w:t>,</w:t>
      </w:r>
      <w:r w:rsidRPr="002D4237">
        <w:t xml:space="preserve"> lub ponawia ofertę.</w:t>
      </w:r>
    </w:p>
    <w:p w14:paraId="7FAEC2C8" w14:textId="13CE3B40" w:rsidR="002D4237" w:rsidRPr="002D4237" w:rsidRDefault="002D4237" w:rsidP="0042722C">
      <w:pPr>
        <w:pStyle w:val="USTustnpkodeksu"/>
        <w:keepNext/>
      </w:pPr>
      <w:r w:rsidRPr="002D4237">
        <w:t>5.</w:t>
      </w:r>
      <w:r>
        <w:t> </w:t>
      </w:r>
      <w:r w:rsidRPr="002D4237">
        <w:t>Wnioskodawca, który otrzymał zmienioną ofertę lub ponowioną ofertę</w:t>
      </w:r>
      <w:r w:rsidR="00A2753F">
        <w:t>,</w:t>
      </w:r>
      <w:r w:rsidRPr="002D4237">
        <w:t xml:space="preserve"> może w</w:t>
      </w:r>
      <w:r w:rsidR="00421931">
        <w:t> </w:t>
      </w:r>
      <w:r w:rsidRPr="002D4237">
        <w:t>terminie 14 dni od dnia otrzymania oferty:</w:t>
      </w:r>
    </w:p>
    <w:p w14:paraId="6E735F3A" w14:textId="77777777" w:rsidR="002D4237" w:rsidRPr="002D4237" w:rsidRDefault="002D4237" w:rsidP="002D4237">
      <w:pPr>
        <w:pStyle w:val="PKTpunkt"/>
      </w:pPr>
      <w:r w:rsidRPr="002D4237">
        <w:t>1)</w:t>
      </w:r>
      <w:r>
        <w:tab/>
      </w:r>
      <w:r w:rsidRPr="002D4237">
        <w:t>zawiadomić podmiot sektora publicznego o przyjęciu oferty albo</w:t>
      </w:r>
    </w:p>
    <w:p w14:paraId="5B19158D" w14:textId="77777777" w:rsidR="002D4237" w:rsidRPr="002D4237" w:rsidRDefault="002D4237" w:rsidP="002D4237">
      <w:pPr>
        <w:pStyle w:val="PKTpunkt"/>
      </w:pPr>
      <w:r w:rsidRPr="002D4237">
        <w:t>2)</w:t>
      </w:r>
      <w:r>
        <w:tab/>
      </w:r>
      <w:r w:rsidRPr="002D4237">
        <w:t>złożyć sprzeciw z powodu naruszenia przepisów ustawy lub rozporządzenia 2022/868.</w:t>
      </w:r>
    </w:p>
    <w:p w14:paraId="6C5CA833" w14:textId="2A8CFAD4" w:rsidR="001D6D07" w:rsidRDefault="002D4237" w:rsidP="002D4237">
      <w:r w:rsidRPr="002D4237">
        <w:t>Przepis ust. 2 stosuje się odpowiednio.</w:t>
      </w:r>
      <w:r w:rsidR="001D6D07">
        <w:t xml:space="preserve"> </w:t>
      </w:r>
    </w:p>
    <w:p w14:paraId="39AD8E89" w14:textId="5F54B9A5" w:rsidR="00E53A98" w:rsidRPr="002D4237" w:rsidRDefault="00E53A98" w:rsidP="002D4237">
      <w:r>
        <w:tab/>
      </w:r>
      <w:r>
        <w:tab/>
      </w:r>
      <w:r>
        <w:tab/>
        <w:t>6. Brak podjęcia jednej z czynności, o których mowa w ust. 5</w:t>
      </w:r>
      <w:r w:rsidR="00F82848">
        <w:t>,</w:t>
      </w:r>
      <w:r>
        <w:t xml:space="preserve"> w terminie 14 dni od dnia otrzymania oferty</w:t>
      </w:r>
      <w:r w:rsidR="00F82848">
        <w:t>,</w:t>
      </w:r>
      <w:r>
        <w:t xml:space="preserve"> jest równoznaczne z wycofaniem wniosku</w:t>
      </w:r>
      <w:r w:rsidR="000C78A2">
        <w:t xml:space="preserve"> o ponowne wykorzystywanie chronionych danych.</w:t>
      </w:r>
    </w:p>
    <w:p w14:paraId="5241E7B9" w14:textId="77777777" w:rsidR="002D4237" w:rsidRPr="002D4237" w:rsidRDefault="001D6D07" w:rsidP="0042722C">
      <w:pPr>
        <w:pStyle w:val="USTustnpkodeksu"/>
        <w:keepNext/>
      </w:pPr>
      <w:r>
        <w:lastRenderedPageBreak/>
        <w:t>7</w:t>
      </w:r>
      <w:r w:rsidR="005A4812">
        <w:t>.</w:t>
      </w:r>
      <w:r w:rsidR="002D4237">
        <w:t> </w:t>
      </w:r>
      <w:r w:rsidR="002D4237" w:rsidRPr="002D4237">
        <w:t>Podmiot sektora publicznego udziela dostępu do celów ponownego wykorzystywania chronionych danych w przypadku:</w:t>
      </w:r>
    </w:p>
    <w:p w14:paraId="456388C3" w14:textId="77777777" w:rsidR="002D4237" w:rsidRPr="002D4237" w:rsidRDefault="002D4237" w:rsidP="002D4237">
      <w:pPr>
        <w:pStyle w:val="PKTpunkt"/>
      </w:pPr>
      <w:r w:rsidRPr="002D4237">
        <w:t>1)</w:t>
      </w:r>
      <w:r>
        <w:tab/>
      </w:r>
      <w:r w:rsidRPr="002D4237">
        <w:t>przyjęcia przez wnioskodawcę oferty – po uiszczeniu opłaty za zezwolenie na ponowne wykorzystywanie chronionych danych określonej zgodnie art. 6 rozporządzenia 2022/868, jeżeli w ofercie zawarto informację o wysokości takiej opłaty;</w:t>
      </w:r>
    </w:p>
    <w:p w14:paraId="1682718A" w14:textId="6AFF9F49" w:rsidR="002D4237" w:rsidRPr="002D4237" w:rsidRDefault="002D4237" w:rsidP="0042722C">
      <w:pPr>
        <w:pStyle w:val="PKTpunkt"/>
        <w:keepNext/>
      </w:pPr>
      <w:r w:rsidRPr="002D4237">
        <w:t>2)</w:t>
      </w:r>
      <w:r>
        <w:tab/>
      </w:r>
      <w:r w:rsidRPr="002D4237">
        <w:t>przyjęcia przez wnioskodawcę oferty zawierającej termin</w:t>
      </w:r>
      <w:r w:rsidR="00F1749F">
        <w:t xml:space="preserve"> lub terminy</w:t>
      </w:r>
      <w:r w:rsidRPr="002D4237">
        <w:t xml:space="preserve">, o </w:t>
      </w:r>
      <w:r w:rsidR="00F1749F" w:rsidRPr="002D4237">
        <w:t>który</w:t>
      </w:r>
      <w:r w:rsidR="00F1749F">
        <w:t>ch</w:t>
      </w:r>
      <w:r w:rsidR="00F1749F" w:rsidRPr="002D4237">
        <w:t xml:space="preserve"> </w:t>
      </w:r>
      <w:r w:rsidRPr="002D4237">
        <w:t>mowa w</w:t>
      </w:r>
      <w:r w:rsidR="00421931">
        <w:t> </w:t>
      </w:r>
      <w:r w:rsidRPr="002D4237">
        <w:t xml:space="preserve">art. </w:t>
      </w:r>
      <w:r w:rsidR="00326A1E" w:rsidRPr="002D4237">
        <w:t>1</w:t>
      </w:r>
      <w:r w:rsidR="00326A1E">
        <w:t>4</w:t>
      </w:r>
      <w:r w:rsidR="00326A1E" w:rsidRPr="002D4237">
        <w:t xml:space="preserve"> </w:t>
      </w:r>
      <w:r w:rsidRPr="002D4237">
        <w:t>ust. 3:</w:t>
      </w:r>
    </w:p>
    <w:p w14:paraId="254A86AA" w14:textId="77777777" w:rsidR="002D4237" w:rsidRPr="002D4237" w:rsidRDefault="002D4237" w:rsidP="002D4237">
      <w:pPr>
        <w:pStyle w:val="LITlitera"/>
      </w:pPr>
      <w:r w:rsidRPr="002D4237">
        <w:t>a)</w:t>
      </w:r>
      <w:r>
        <w:tab/>
      </w:r>
      <w:r w:rsidRPr="002D4237">
        <w:t>po uiszczeniu opłaty za zezwolenie na ponowne wykorzystywanie chronionych danych określonej zgodnie art. 6 rozporządzenia 2022/868, jeżeli w ofercie zawarto informację o wysokości takiej opłaty oraz</w:t>
      </w:r>
    </w:p>
    <w:p w14:paraId="371CDED5" w14:textId="6B8EB119" w:rsidR="002D4237" w:rsidRPr="002D4237" w:rsidRDefault="002D4237" w:rsidP="002D4237">
      <w:pPr>
        <w:pStyle w:val="LITlitera"/>
      </w:pPr>
      <w:r w:rsidRPr="002D4237">
        <w:t>b)</w:t>
      </w:r>
      <w:r>
        <w:tab/>
      </w:r>
      <w:r w:rsidRPr="002D4237">
        <w:t xml:space="preserve">po spełnieniu warunków ponownego wykorzystywania w terminie </w:t>
      </w:r>
      <w:r w:rsidR="00F1749F">
        <w:t>lub terminach oznaczonych</w:t>
      </w:r>
      <w:r w:rsidR="00F1749F" w:rsidRPr="002D4237">
        <w:t xml:space="preserve"> </w:t>
      </w:r>
      <w:r w:rsidRPr="002D4237">
        <w:t>w ofercie.</w:t>
      </w:r>
    </w:p>
    <w:p w14:paraId="699D5842" w14:textId="77777777" w:rsidR="002D4237" w:rsidRPr="002D4237" w:rsidRDefault="001D6D07" w:rsidP="0042722C">
      <w:pPr>
        <w:pStyle w:val="USTustnpkodeksu"/>
        <w:keepNext/>
      </w:pPr>
      <w:r>
        <w:t>8</w:t>
      </w:r>
      <w:r w:rsidR="002D4237" w:rsidRPr="002D4237">
        <w:t>.</w:t>
      </w:r>
      <w:r w:rsidR="002D4237">
        <w:t> </w:t>
      </w:r>
      <w:r w:rsidR="002D4237" w:rsidRPr="002D4237">
        <w:t>Podmiot sektora publicznego, w drodze decyzji, odmawia udzielenia dostępu do celów ponownego wykorzystywania chronionych danych w przypadku:</w:t>
      </w:r>
    </w:p>
    <w:p w14:paraId="544FD5BC" w14:textId="5C2CF667" w:rsidR="002D4237" w:rsidRPr="002D4237" w:rsidRDefault="002D4237" w:rsidP="002D4237">
      <w:pPr>
        <w:pStyle w:val="PKTpunkt"/>
      </w:pPr>
      <w:r w:rsidRPr="002D4237">
        <w:t>1)</w:t>
      </w:r>
      <w:r>
        <w:tab/>
      </w:r>
      <w:r w:rsidRPr="002D4237">
        <w:t>niespełnienia warunków ponownego wykorzystywania w terminie</w:t>
      </w:r>
      <w:r w:rsidR="00F1749F">
        <w:t xml:space="preserve"> lub terminach</w:t>
      </w:r>
      <w:r w:rsidRPr="002D4237">
        <w:t>, o</w:t>
      </w:r>
      <w:r w:rsidR="00421931">
        <w:t> </w:t>
      </w:r>
      <w:r w:rsidR="00F1749F" w:rsidRPr="002D4237">
        <w:t>który</w:t>
      </w:r>
      <w:r w:rsidR="00F1749F">
        <w:t>ch</w:t>
      </w:r>
      <w:r w:rsidR="00F1749F" w:rsidRPr="002D4237">
        <w:t xml:space="preserve"> </w:t>
      </w:r>
      <w:r w:rsidRPr="002D4237">
        <w:t>mowa w art. 1</w:t>
      </w:r>
      <w:r w:rsidR="004C7D88">
        <w:t>4</w:t>
      </w:r>
      <w:r w:rsidRPr="002D4237">
        <w:t xml:space="preserve"> ust. 3;</w:t>
      </w:r>
    </w:p>
    <w:p w14:paraId="15C76D82" w14:textId="77777777" w:rsidR="002D4237" w:rsidRPr="002D4237" w:rsidRDefault="002D4237" w:rsidP="002D4237">
      <w:pPr>
        <w:pStyle w:val="PKTpunkt"/>
      </w:pPr>
      <w:r w:rsidRPr="002D4237">
        <w:t>2)</w:t>
      </w:r>
      <w:r>
        <w:tab/>
      </w:r>
      <w:r w:rsidRPr="002D4237">
        <w:t>otrzymania sprzeciwu, o którym mowa w ust. 1 pkt 3 lub ust. 5 pkt 2.</w:t>
      </w:r>
    </w:p>
    <w:p w14:paraId="1EC0D065" w14:textId="77777777" w:rsidR="002D4237" w:rsidRPr="002D4237" w:rsidRDefault="002D4237" w:rsidP="002D4237">
      <w:pPr>
        <w:pStyle w:val="ARTartustawynprozporzdzenia"/>
      </w:pPr>
      <w:r w:rsidRPr="0042722C">
        <w:rPr>
          <w:rStyle w:val="Ppogrubienie"/>
        </w:rPr>
        <w:t>Art. 1</w:t>
      </w:r>
      <w:r w:rsidR="00711739">
        <w:rPr>
          <w:rStyle w:val="Ppogrubienie"/>
        </w:rPr>
        <w:t>6</w:t>
      </w:r>
      <w:r w:rsidRPr="0042722C">
        <w:rPr>
          <w:rStyle w:val="Ppogrubienie"/>
        </w:rPr>
        <w:t>.</w:t>
      </w:r>
      <w:r>
        <w:t> </w:t>
      </w:r>
      <w:r w:rsidRPr="002D4237">
        <w:t xml:space="preserve">1. Organem odwoławczym od decyzji o odmowie udzielenia dostępu do celów ponownego wykorzystywania chronionych danych jest minister właściwy do spraw informatyzacji. Przepis art. 127 § 3 ustawy </w:t>
      </w:r>
      <w:r w:rsidR="0069640F" w:rsidRPr="002D4237">
        <w:t>z dnia 14 czerwca 1960 r.</w:t>
      </w:r>
      <w:r w:rsidR="0069640F">
        <w:t xml:space="preserve"> </w:t>
      </w:r>
      <w:r w:rsidRPr="002D4237">
        <w:t>– Kodeks postępowania administracyjnego stosuje się</w:t>
      </w:r>
      <w:r w:rsidR="00B76A44">
        <w:t xml:space="preserve"> odpowiednio</w:t>
      </w:r>
      <w:r w:rsidRPr="002D4237">
        <w:t>.</w:t>
      </w:r>
    </w:p>
    <w:p w14:paraId="6607870F" w14:textId="77777777" w:rsidR="002D4237" w:rsidRPr="002D4237" w:rsidRDefault="002D4237" w:rsidP="002D4237">
      <w:pPr>
        <w:pStyle w:val="USTustnpkodeksu"/>
      </w:pPr>
      <w:r w:rsidRPr="002D4237">
        <w:t>2.</w:t>
      </w:r>
      <w:r>
        <w:t> </w:t>
      </w:r>
      <w:r w:rsidRPr="002D4237">
        <w:t>W zakresie nieuregulowanym ustawą lub rozporządzeniem 2022/868 do decyzji, o której mowa w ust. 1</w:t>
      </w:r>
      <w:r w:rsidR="00A2753F">
        <w:t>,</w:t>
      </w:r>
      <w:r w:rsidRPr="002D4237">
        <w:t xml:space="preserve"> stosuje się </w:t>
      </w:r>
      <w:r w:rsidR="004545EA">
        <w:t xml:space="preserve">odpowiednio </w:t>
      </w:r>
      <w:r w:rsidRPr="002D4237">
        <w:t xml:space="preserve">przepisy ustawy z dnia 14 czerwca 1960 r. </w:t>
      </w:r>
      <w:r w:rsidR="0069640F" w:rsidRPr="002D4237">
        <w:t>–</w:t>
      </w:r>
      <w:r w:rsidRPr="002D4237">
        <w:t xml:space="preserve"> Kodeks postępowania administracyjnego.</w:t>
      </w:r>
    </w:p>
    <w:p w14:paraId="49D53885" w14:textId="3247A528" w:rsidR="002D4237" w:rsidRPr="002D4237" w:rsidRDefault="002D4237" w:rsidP="002D4237">
      <w:pPr>
        <w:pStyle w:val="ARTartustawynprozporzdzenia"/>
      </w:pPr>
      <w:r w:rsidRPr="0042722C">
        <w:rPr>
          <w:rStyle w:val="Ppogrubienie"/>
        </w:rPr>
        <w:t>Art. 1</w:t>
      </w:r>
      <w:r w:rsidR="00711739">
        <w:rPr>
          <w:rStyle w:val="Ppogrubienie"/>
        </w:rPr>
        <w:t>7</w:t>
      </w:r>
      <w:r w:rsidRPr="0042722C">
        <w:rPr>
          <w:rStyle w:val="Ppogrubienie"/>
        </w:rPr>
        <w:t>.</w:t>
      </w:r>
      <w:r>
        <w:t> </w:t>
      </w:r>
      <w:r w:rsidRPr="002D4237">
        <w:t>1. Prawo wyłączne</w:t>
      </w:r>
      <w:r w:rsidR="002F0B33">
        <w:t xml:space="preserve">, </w:t>
      </w:r>
      <w:r w:rsidR="002F0B33" w:rsidRPr="002D4237">
        <w:t>o którym mowa w art. 4 rozporządzenia 2022/868</w:t>
      </w:r>
      <w:r w:rsidR="002F0B33">
        <w:t>,</w:t>
      </w:r>
      <w:r w:rsidRPr="002D4237">
        <w:t xml:space="preserve"> może zostać udzielone w drodze umowy o udzielenie prawa wyłącznego zawartej z użytkownikiem.</w:t>
      </w:r>
    </w:p>
    <w:p w14:paraId="13E619A4" w14:textId="77777777" w:rsidR="003E47DA" w:rsidRDefault="002D4237" w:rsidP="002D4237">
      <w:pPr>
        <w:pStyle w:val="USTustnpkodeksu"/>
      </w:pPr>
      <w:r w:rsidRPr="002D4237">
        <w:t>2.</w:t>
      </w:r>
      <w:r>
        <w:t> </w:t>
      </w:r>
      <w:r w:rsidRPr="002D4237">
        <w:t>W przypadku zawarcia umowy o udzielenie prawa wyłącznego podmiot sektora publicznego udostępnia informacje, o których mowa w art. 4 ust. 5 rozporządzenia 2022/868, w tym w szczególności umowę o udzielenie prawa wyłącznego lub jej odwzorowanie cyfrowe oraz uzasadnienie udzielenia prawa wyłącznego</w:t>
      </w:r>
      <w:r w:rsidR="003E47DA">
        <w:t>:</w:t>
      </w:r>
    </w:p>
    <w:p w14:paraId="7D725B73" w14:textId="77777777" w:rsidR="003E47DA" w:rsidRDefault="003E47DA" w:rsidP="005A4812">
      <w:pPr>
        <w:pStyle w:val="PKTpunkt"/>
      </w:pPr>
      <w:r>
        <w:t xml:space="preserve">1) </w:t>
      </w:r>
      <w:r>
        <w:tab/>
      </w:r>
      <w:r w:rsidRPr="003E47DA">
        <w:t>w Biuletynie Informacji Publicznej w menu przedmiotowym w kategorii „Ponowne wykorzystywanie”</w:t>
      </w:r>
      <w:r>
        <w:t>;</w:t>
      </w:r>
    </w:p>
    <w:p w14:paraId="4B448149" w14:textId="0C0D6FB6" w:rsidR="00661FA9" w:rsidRPr="00E423CB" w:rsidRDefault="003E47DA" w:rsidP="00514401">
      <w:pPr>
        <w:pStyle w:val="PKTpunkt"/>
      </w:pPr>
      <w:r>
        <w:lastRenderedPageBreak/>
        <w:t>2)</w:t>
      </w:r>
      <w:r>
        <w:tab/>
      </w:r>
      <w:r w:rsidR="000868BB">
        <w:t xml:space="preserve">w sposób, o którym mowa w rozporządzeniu wykonawczym </w:t>
      </w:r>
      <w:r w:rsidR="000868BB" w:rsidRPr="000868BB">
        <w:t>Komisji (UE) 2019/1780 z</w:t>
      </w:r>
      <w:r w:rsidR="00251439">
        <w:t> </w:t>
      </w:r>
      <w:r w:rsidR="000868BB" w:rsidRPr="000868BB">
        <w:t xml:space="preserve">dnia 23 września 2019 r. </w:t>
      </w:r>
      <w:r w:rsidR="00645955" w:rsidRPr="00645955">
        <w:t>ustanawiając</w:t>
      </w:r>
      <w:r w:rsidR="00645955">
        <w:t>ym</w:t>
      </w:r>
      <w:r w:rsidR="00645955" w:rsidRPr="00645955">
        <w:t xml:space="preserve"> standardowe formularze do publikacji ogłoszeń w dziedzinie zamówień publicznych i uchylając</w:t>
      </w:r>
      <w:r w:rsidR="00645955">
        <w:t>ym</w:t>
      </w:r>
      <w:r w:rsidR="00645955" w:rsidRPr="00645955">
        <w:t xml:space="preserve"> rozporządzenie wykonawcze (UE) 2015/1986 („e-formularze”) </w:t>
      </w:r>
      <w:r w:rsidR="000868BB">
        <w:t xml:space="preserve">(Dz. Urz. UE L </w:t>
      </w:r>
      <w:r w:rsidR="000868BB" w:rsidRPr="000868BB">
        <w:t xml:space="preserve">272 z </w:t>
      </w:r>
      <w:r w:rsidR="000868BB">
        <w:t>25.10.2019</w:t>
      </w:r>
      <w:r w:rsidR="000868BB" w:rsidRPr="000868BB">
        <w:t xml:space="preserve">, str. </w:t>
      </w:r>
      <w:r w:rsidR="000868BB">
        <w:t xml:space="preserve">7, z </w:t>
      </w:r>
      <w:proofErr w:type="spellStart"/>
      <w:r w:rsidR="000868BB">
        <w:t>późn</w:t>
      </w:r>
      <w:proofErr w:type="spellEnd"/>
      <w:r w:rsidR="000868BB">
        <w:t>. zm.</w:t>
      </w:r>
      <w:r w:rsidR="000868BB">
        <w:rPr>
          <w:rStyle w:val="Odwoanieprzypisudolnego"/>
        </w:rPr>
        <w:footnoteReference w:id="4"/>
      </w:r>
      <w:r w:rsidR="000868BB">
        <w:rPr>
          <w:rStyle w:val="IGindeksgrny"/>
        </w:rPr>
        <w:t>)</w:t>
      </w:r>
      <w:r w:rsidR="000868BB">
        <w:t>)</w:t>
      </w:r>
      <w:r w:rsidR="002D4237" w:rsidRPr="002D4237">
        <w:t>.</w:t>
      </w:r>
    </w:p>
    <w:p w14:paraId="44D3DAE4" w14:textId="77777777" w:rsidR="002D4237" w:rsidRPr="002D4237" w:rsidRDefault="002D4237" w:rsidP="002D4237">
      <w:pPr>
        <w:pStyle w:val="ROZDZODDZOZNoznaczenierozdziauluboddziau"/>
      </w:pPr>
      <w:r w:rsidRPr="002D4237">
        <w:t>Oddział 3</w:t>
      </w:r>
    </w:p>
    <w:p w14:paraId="0E8135FF" w14:textId="77777777" w:rsidR="002D4237" w:rsidRPr="002D4237" w:rsidRDefault="002D4237" w:rsidP="0042722C">
      <w:pPr>
        <w:pStyle w:val="ROZDZODDZPRZEDMprzedmiotregulacjirozdziauluboddziau"/>
      </w:pPr>
      <w:r w:rsidRPr="002D4237">
        <w:t>Pomoc udzielana przez właściwy podmiot</w:t>
      </w:r>
    </w:p>
    <w:p w14:paraId="0E0130F6" w14:textId="77777777" w:rsidR="002D4237" w:rsidRPr="002D4237" w:rsidRDefault="002D4237" w:rsidP="002D4237">
      <w:pPr>
        <w:pStyle w:val="ARTartustawynprozporzdzenia"/>
      </w:pPr>
      <w:r w:rsidRPr="0042722C">
        <w:rPr>
          <w:rStyle w:val="Ppogrubienie"/>
        </w:rPr>
        <w:t>Art. 1</w:t>
      </w:r>
      <w:r w:rsidR="00711739">
        <w:rPr>
          <w:rStyle w:val="Ppogrubienie"/>
        </w:rPr>
        <w:t>8</w:t>
      </w:r>
      <w:r w:rsidRPr="0042722C">
        <w:rPr>
          <w:rStyle w:val="Ppogrubienie"/>
        </w:rPr>
        <w:t>.</w:t>
      </w:r>
      <w:r>
        <w:t> </w:t>
      </w:r>
      <w:r w:rsidRPr="002D4237">
        <w:t>1. Podmiot sektora publicznego, rozpatrując wniosek</w:t>
      </w:r>
      <w:r w:rsidR="005A4812">
        <w:t xml:space="preserve"> </w:t>
      </w:r>
      <w:r w:rsidRPr="002D4237">
        <w:t xml:space="preserve">o ponowne wykorzystywanie chronionych danych, może zwrócić się do właściwego podmiotu z wnioskiem o udzielenie pomocy, o której mowa w art. 7 ust. 1 rozporządzenia 2022/868, zwany dalej </w:t>
      </w:r>
      <w:r w:rsidR="0042722C">
        <w:t>„</w:t>
      </w:r>
      <w:r w:rsidRPr="002D4237">
        <w:t>wnioskiem o udzielenie pomocy</w:t>
      </w:r>
      <w:r w:rsidR="0042722C">
        <w:t>”</w:t>
      </w:r>
      <w:r w:rsidRPr="002D4237">
        <w:t>.</w:t>
      </w:r>
    </w:p>
    <w:p w14:paraId="5EBFFF1E" w14:textId="77777777" w:rsidR="002D4237" w:rsidRPr="002D4237" w:rsidRDefault="002D4237" w:rsidP="002D4237">
      <w:pPr>
        <w:pStyle w:val="USTustnpkodeksu"/>
      </w:pPr>
      <w:r w:rsidRPr="002D4237">
        <w:t>2.</w:t>
      </w:r>
      <w:r>
        <w:t> </w:t>
      </w:r>
      <w:r w:rsidRPr="002D4237">
        <w:t>Właściwy podmiot rozpatruje wniosek o udzielenie pomocy niezwłocznie, nie później jednak niż w terminie 14 dni od dnia jego otrzymania.</w:t>
      </w:r>
    </w:p>
    <w:p w14:paraId="06AB131E" w14:textId="77777777" w:rsidR="002D4237" w:rsidRPr="002D4237" w:rsidRDefault="002D4237" w:rsidP="0042722C">
      <w:pPr>
        <w:pStyle w:val="USTustnpkodeksu"/>
        <w:keepNext/>
      </w:pPr>
      <w:r w:rsidRPr="002D4237">
        <w:t>3.</w:t>
      </w:r>
      <w:r>
        <w:t> </w:t>
      </w:r>
      <w:r w:rsidRPr="002D4237">
        <w:t>Właściwy podmiot po rozpatrzeniu wniosku o udzielenie pomocy:</w:t>
      </w:r>
    </w:p>
    <w:p w14:paraId="6C092AFB" w14:textId="77777777" w:rsidR="002D4237" w:rsidRPr="002D4237" w:rsidRDefault="002D4237" w:rsidP="002D4237">
      <w:pPr>
        <w:pStyle w:val="PKTpunkt"/>
      </w:pPr>
      <w:r w:rsidRPr="002D4237">
        <w:t>1)</w:t>
      </w:r>
      <w:r>
        <w:tab/>
      </w:r>
      <w:r w:rsidRPr="002D4237">
        <w:t>przedstawia podmiotowi sektora publicznego informację o sposobie i zakresie udzielenia pomocy albo</w:t>
      </w:r>
    </w:p>
    <w:p w14:paraId="36C2CB28" w14:textId="77777777" w:rsidR="002D4237" w:rsidRPr="002D4237" w:rsidRDefault="002D4237" w:rsidP="002D4237">
      <w:pPr>
        <w:pStyle w:val="PKTpunkt"/>
      </w:pPr>
      <w:r w:rsidRPr="002D4237">
        <w:t>2)</w:t>
      </w:r>
      <w:r>
        <w:tab/>
      </w:r>
      <w:r w:rsidRPr="002D4237">
        <w:t xml:space="preserve">informuje podmiot sektora publicznego o braku możliwości </w:t>
      </w:r>
      <w:r w:rsidR="007070B0" w:rsidRPr="002D4237">
        <w:t>udzieleni</w:t>
      </w:r>
      <w:r w:rsidR="007070B0">
        <w:t>a</w:t>
      </w:r>
      <w:r w:rsidR="007070B0" w:rsidRPr="002D4237">
        <w:t xml:space="preserve"> </w:t>
      </w:r>
      <w:r w:rsidRPr="002D4237">
        <w:t>pomocy w zakresie wskazanym we wniosku o udzielenie pomocy.</w:t>
      </w:r>
    </w:p>
    <w:p w14:paraId="69F88DA1" w14:textId="77777777" w:rsidR="002D4237" w:rsidRPr="002D4237" w:rsidRDefault="002D4237" w:rsidP="0042722C">
      <w:pPr>
        <w:pStyle w:val="USTustnpkodeksu"/>
        <w:keepNext/>
      </w:pPr>
      <w:r w:rsidRPr="002D4237">
        <w:t>4.</w:t>
      </w:r>
      <w:r>
        <w:t> </w:t>
      </w:r>
      <w:r w:rsidRPr="002D4237">
        <w:t xml:space="preserve">Informacja, o której mowa w ust. </w:t>
      </w:r>
      <w:r w:rsidR="00945514">
        <w:t>3</w:t>
      </w:r>
      <w:r w:rsidR="00945514" w:rsidRPr="002D4237">
        <w:t xml:space="preserve"> </w:t>
      </w:r>
      <w:r w:rsidRPr="002D4237">
        <w:t>pkt 1</w:t>
      </w:r>
      <w:r w:rsidR="00A2753F">
        <w:t>,</w:t>
      </w:r>
      <w:r w:rsidRPr="002D4237">
        <w:t xml:space="preserve"> zawiera w szczególności:</w:t>
      </w:r>
    </w:p>
    <w:p w14:paraId="7F5E39FE" w14:textId="77777777" w:rsidR="002D4237" w:rsidRPr="002D4237" w:rsidRDefault="002D4237" w:rsidP="002D4237">
      <w:pPr>
        <w:pStyle w:val="PKTpunkt"/>
      </w:pPr>
      <w:r w:rsidRPr="002D4237">
        <w:t>1)</w:t>
      </w:r>
      <w:r>
        <w:tab/>
      </w:r>
      <w:r w:rsidRPr="002D4237">
        <w:t>wskazanie co najmniej jednej z form pomocy, o których mowa w art. 7 ust. 4 rozporządzenia 2022/868;</w:t>
      </w:r>
    </w:p>
    <w:p w14:paraId="5CE3C3AD" w14:textId="0D964A13" w:rsidR="002D4237" w:rsidRPr="002D4237" w:rsidRDefault="002D4237" w:rsidP="002D4237">
      <w:pPr>
        <w:pStyle w:val="PKTpunkt"/>
      </w:pPr>
      <w:r w:rsidRPr="002D4237">
        <w:t>2)</w:t>
      </w:r>
      <w:r>
        <w:tab/>
      </w:r>
      <w:r w:rsidRPr="002D4237">
        <w:t>elementy oferty, które podmiot sektora publicznego powinien uwzględnić;</w:t>
      </w:r>
    </w:p>
    <w:p w14:paraId="28D6AE2C" w14:textId="38DCA141" w:rsidR="002D4237" w:rsidRPr="002D4237" w:rsidRDefault="002D4237" w:rsidP="002D4237">
      <w:pPr>
        <w:pStyle w:val="PKTpunkt"/>
      </w:pPr>
      <w:r w:rsidRPr="002D4237">
        <w:t>3)</w:t>
      </w:r>
      <w:r>
        <w:tab/>
      </w:r>
      <w:r w:rsidRPr="002D4237">
        <w:t>wskazanie wysokości</w:t>
      </w:r>
      <w:r w:rsidR="00E13D43">
        <w:t xml:space="preserve"> </w:t>
      </w:r>
      <w:r w:rsidRPr="002D4237">
        <w:t>kosztów udzielenia pomocy</w:t>
      </w:r>
      <w:r w:rsidR="002E722F">
        <w:t>,</w:t>
      </w:r>
      <w:r w:rsidR="00E12562">
        <w:t xml:space="preserve"> </w:t>
      </w:r>
      <w:r w:rsidR="00E13D43" w:rsidRPr="002D4237">
        <w:t xml:space="preserve">określonych </w:t>
      </w:r>
      <w:r w:rsidR="00E13D43">
        <w:t xml:space="preserve">zgodnie z </w:t>
      </w:r>
      <w:r w:rsidR="00E13D43" w:rsidRPr="002D4237">
        <w:t>art. 6 rozporządzenia 2022/868</w:t>
      </w:r>
      <w:r w:rsidR="00E13D43">
        <w:t xml:space="preserve">, </w:t>
      </w:r>
      <w:r w:rsidR="00E12562">
        <w:t xml:space="preserve">jakie </w:t>
      </w:r>
      <w:r w:rsidR="00475F07" w:rsidRPr="00475F07">
        <w:t xml:space="preserve">podmiot sektora publicznego powinien uwzględnić </w:t>
      </w:r>
      <w:r w:rsidR="00475F07">
        <w:t>w</w:t>
      </w:r>
      <w:r w:rsidR="00CE1EAA">
        <w:t> </w:t>
      </w:r>
      <w:r w:rsidR="0047478B">
        <w:t xml:space="preserve">informacji o wysokości </w:t>
      </w:r>
      <w:r w:rsidR="002E722F">
        <w:t>opł</w:t>
      </w:r>
      <w:r w:rsidR="0047478B">
        <w:t>aty</w:t>
      </w:r>
      <w:r w:rsidR="002E722F">
        <w:t xml:space="preserve"> </w:t>
      </w:r>
      <w:r w:rsidR="00E13D43" w:rsidRPr="00E13D43">
        <w:t>za zezwolenie na ponowne wykorzystywanie chronionych danych</w:t>
      </w:r>
      <w:r w:rsidR="00EA5B47">
        <w:t xml:space="preserve"> zawartej</w:t>
      </w:r>
      <w:r w:rsidR="00EC5611">
        <w:t xml:space="preserve"> w ofercie oraz numer rachunku bankowego właściwego podmiotu na jaki </w:t>
      </w:r>
      <w:r w:rsidR="00EA5B47">
        <w:t xml:space="preserve">wnioskodawca powinien uiścić część opłaty </w:t>
      </w:r>
      <w:r w:rsidR="00EA5B47" w:rsidRPr="00E13D43">
        <w:t>za zezwolenie na ponowne wykorzystywanie chronionych danych</w:t>
      </w:r>
      <w:r w:rsidR="00EA5B47">
        <w:t xml:space="preserve"> odpowiadającej </w:t>
      </w:r>
      <w:r w:rsidR="00EA5B47" w:rsidRPr="002D4237">
        <w:t>koszt</w:t>
      </w:r>
      <w:r w:rsidR="00EA5B47">
        <w:t>om</w:t>
      </w:r>
      <w:r w:rsidR="00EA5B47" w:rsidRPr="002D4237">
        <w:t xml:space="preserve"> udzielenia pomocy</w:t>
      </w:r>
      <w:r w:rsidR="00E12562">
        <w:t>,</w:t>
      </w:r>
      <w:r w:rsidRPr="002D4237">
        <w:t xml:space="preserve"> lub </w:t>
      </w:r>
      <w:r w:rsidR="002E722F">
        <w:t xml:space="preserve">wskazanie </w:t>
      </w:r>
      <w:r w:rsidRPr="002D4237">
        <w:t>informacj</w:t>
      </w:r>
      <w:r w:rsidR="002E722F">
        <w:t>i</w:t>
      </w:r>
      <w:r w:rsidRPr="002D4237">
        <w:t xml:space="preserve"> o braku takich kosztów.</w:t>
      </w:r>
    </w:p>
    <w:p w14:paraId="4EE49E28" w14:textId="627FAB2E" w:rsidR="003739F7" w:rsidRPr="002D4237" w:rsidRDefault="002D4237" w:rsidP="00945514">
      <w:pPr>
        <w:pStyle w:val="ARTartustawynprozporzdzenia"/>
      </w:pPr>
      <w:r w:rsidRPr="0042722C">
        <w:rPr>
          <w:rStyle w:val="Ppogrubienie"/>
        </w:rPr>
        <w:t>Art. 1</w:t>
      </w:r>
      <w:r w:rsidR="004C7D88">
        <w:rPr>
          <w:rStyle w:val="Ppogrubienie"/>
        </w:rPr>
        <w:t>9</w:t>
      </w:r>
      <w:r w:rsidRPr="0042722C">
        <w:rPr>
          <w:rStyle w:val="Ppogrubienie"/>
        </w:rPr>
        <w:t>.</w:t>
      </w:r>
      <w:r>
        <w:t> </w:t>
      </w:r>
      <w:r w:rsidRPr="002D4237">
        <w:t xml:space="preserve">1. Właściwy podmiot rozpatrując wniosek o udzielnie pomocy może zwrócić się do Prezesa Urzędu Ochrony Danych Osobowych z wnioskiem o wydanie opinii dotyczącej </w:t>
      </w:r>
      <w:r w:rsidRPr="002D4237">
        <w:lastRenderedPageBreak/>
        <w:t>zgodności ponownego wykorzystywania chronionych danych z przepisami o ochronie danych osobowych.</w:t>
      </w:r>
    </w:p>
    <w:p w14:paraId="33944C02" w14:textId="55280CE6" w:rsidR="002D4237" w:rsidRPr="002D4237" w:rsidRDefault="002D4237" w:rsidP="002D4237">
      <w:pPr>
        <w:pStyle w:val="USTustnpkodeksu"/>
      </w:pPr>
      <w:r w:rsidRPr="002D4237">
        <w:t>2.</w:t>
      </w:r>
      <w:r>
        <w:t> </w:t>
      </w:r>
      <w:r w:rsidRPr="002D4237">
        <w:t xml:space="preserve">Prezes </w:t>
      </w:r>
      <w:r w:rsidR="000A3BC7" w:rsidRPr="002D4237">
        <w:t>Urzędu Ochrony</w:t>
      </w:r>
      <w:r w:rsidRPr="002D4237">
        <w:t xml:space="preserve"> Danych Osobowych wydaje opinię</w:t>
      </w:r>
      <w:r w:rsidR="00A10EF7">
        <w:t xml:space="preserve"> </w:t>
      </w:r>
      <w:r w:rsidRPr="002D4237">
        <w:t>w terminie 21 dni od dnia otrzymania wniosku o wydanie opinii.</w:t>
      </w:r>
    </w:p>
    <w:p w14:paraId="5B34BCA5" w14:textId="4EF24443" w:rsidR="002D4237" w:rsidRPr="002D4237" w:rsidRDefault="002D4237" w:rsidP="002D4237">
      <w:pPr>
        <w:pStyle w:val="USTustnpkodeksu"/>
      </w:pPr>
      <w:r w:rsidRPr="002D4237">
        <w:t>3.</w:t>
      </w:r>
      <w:r>
        <w:t> </w:t>
      </w:r>
      <w:r w:rsidRPr="002D4237">
        <w:t>Z</w:t>
      </w:r>
      <w:r w:rsidR="00A10EF7">
        <w:t xml:space="preserve">wrócenie się z </w:t>
      </w:r>
      <w:r w:rsidRPr="002D4237">
        <w:t>wniosk</w:t>
      </w:r>
      <w:r w:rsidR="00A10EF7">
        <w:t>iem</w:t>
      </w:r>
      <w:r w:rsidRPr="002D4237">
        <w:t xml:space="preserve"> o wydanie opinii </w:t>
      </w:r>
      <w:r w:rsidR="00A10EF7">
        <w:t xml:space="preserve">do Prezesa Urzędu Ochrony Danych Osobowych </w:t>
      </w:r>
      <w:r w:rsidRPr="002D4237">
        <w:t>wstrzymuje bieg terminu rozpatrzenia wniosku</w:t>
      </w:r>
      <w:r w:rsidR="00087B77">
        <w:t xml:space="preserve"> </w:t>
      </w:r>
      <w:r w:rsidRPr="002D4237">
        <w:t>o ponowne wykorzyst</w:t>
      </w:r>
      <w:r w:rsidR="00E13D43">
        <w:t>yw</w:t>
      </w:r>
      <w:r w:rsidRPr="002D4237">
        <w:t>anie chronionych danych oraz bieg terminu rozpatrzenia wniosku o udzielenie pomocy na okres nie dłuższy niż do dnia otrzymania opinii przez właściwy podmiot, o czym właściwy podmiot informuje podmiot sektora publicznego. Podmiot sektora publicznego zawiadamia o tym wnioskodawcę.</w:t>
      </w:r>
    </w:p>
    <w:p w14:paraId="1135F091" w14:textId="444EFCC0" w:rsidR="002D4237" w:rsidRPr="002D4237" w:rsidRDefault="00297C4A" w:rsidP="0042722C">
      <w:pPr>
        <w:pStyle w:val="ARTartustawynprozporzdzenia"/>
        <w:keepNext/>
      </w:pPr>
      <w:r>
        <w:rPr>
          <w:rStyle w:val="Ppogrubienie"/>
        </w:rPr>
        <w:t xml:space="preserve"> </w:t>
      </w:r>
      <w:r w:rsidR="002D4237" w:rsidRPr="0042722C">
        <w:rPr>
          <w:rStyle w:val="Ppogrubienie"/>
        </w:rPr>
        <w:t>Art. </w:t>
      </w:r>
      <w:r w:rsidR="004C7D88">
        <w:rPr>
          <w:rStyle w:val="Ppogrubienie"/>
        </w:rPr>
        <w:t>20</w:t>
      </w:r>
      <w:r w:rsidR="002D4237" w:rsidRPr="0042722C">
        <w:rPr>
          <w:rStyle w:val="Ppogrubienie"/>
        </w:rPr>
        <w:t>.</w:t>
      </w:r>
      <w:r w:rsidR="002D4237">
        <w:t> </w:t>
      </w:r>
      <w:r w:rsidR="00DD11AB">
        <w:t xml:space="preserve">1. </w:t>
      </w:r>
      <w:r w:rsidR="002D4237" w:rsidRPr="002D4237">
        <w:t>W przypadku przyjęcia pomocy właściwego podmiotu podmiot sektora publicznego może złożyć wnioskodawcy ofertę, w której uwzględnia:</w:t>
      </w:r>
    </w:p>
    <w:p w14:paraId="5D5AB05C" w14:textId="77777777" w:rsidR="002D4237" w:rsidRPr="002D4237" w:rsidRDefault="002D4237" w:rsidP="002D4237">
      <w:pPr>
        <w:pStyle w:val="PKTpunkt"/>
      </w:pPr>
      <w:r w:rsidRPr="002D4237">
        <w:t>1)</w:t>
      </w:r>
      <w:r>
        <w:tab/>
      </w:r>
      <w:r w:rsidRPr="002D4237">
        <w:t>elementy oferty, o których mowa w art. 1</w:t>
      </w:r>
      <w:r w:rsidR="004C7D88">
        <w:t>8</w:t>
      </w:r>
      <w:r w:rsidRPr="002D4237">
        <w:t xml:space="preserve"> ust</w:t>
      </w:r>
      <w:r w:rsidR="005A4812">
        <w:t xml:space="preserve">. </w:t>
      </w:r>
      <w:r w:rsidR="00945514">
        <w:t>4</w:t>
      </w:r>
      <w:r w:rsidRPr="002D4237">
        <w:t xml:space="preserve"> pkt 2;</w:t>
      </w:r>
    </w:p>
    <w:p w14:paraId="7B2C9069" w14:textId="543E9807" w:rsidR="002D4237" w:rsidRDefault="002D4237" w:rsidP="00DD11AB">
      <w:pPr>
        <w:pStyle w:val="PKTpunkt"/>
      </w:pPr>
      <w:r w:rsidRPr="002D4237">
        <w:t>2)</w:t>
      </w:r>
      <w:r>
        <w:tab/>
      </w:r>
      <w:r w:rsidRPr="002D4237">
        <w:t>koszty udzielenia pomocy, o których mowa w art. 1</w:t>
      </w:r>
      <w:r w:rsidR="004C7D88">
        <w:t>8</w:t>
      </w:r>
      <w:r w:rsidRPr="002D4237">
        <w:t xml:space="preserve"> ust. </w:t>
      </w:r>
      <w:r w:rsidR="00945514">
        <w:t>4</w:t>
      </w:r>
      <w:r w:rsidR="00945514" w:rsidRPr="002D4237">
        <w:t xml:space="preserve"> </w:t>
      </w:r>
      <w:r w:rsidR="00DD11AB">
        <w:t xml:space="preserve">pkt 3. </w:t>
      </w:r>
    </w:p>
    <w:p w14:paraId="79DC4651" w14:textId="523260B5" w:rsidR="0044213A" w:rsidRDefault="00DD11AB" w:rsidP="00895134">
      <w:pPr>
        <w:pStyle w:val="USTustnpkodeksu"/>
      </w:pPr>
      <w:r>
        <w:t xml:space="preserve">2. </w:t>
      </w:r>
      <w:r w:rsidR="00895134">
        <w:tab/>
      </w:r>
      <w:r>
        <w:t xml:space="preserve">Podmiot sektora publicznego uwzględniając w ofercie koszty </w:t>
      </w:r>
      <w:r w:rsidR="0044213A" w:rsidRPr="0044213A">
        <w:t>udzielenia pomocy</w:t>
      </w:r>
      <w:r w:rsidR="0044213A">
        <w:t>,</w:t>
      </w:r>
      <w:r w:rsidR="0044213A" w:rsidRPr="0044213A">
        <w:t xml:space="preserve"> </w:t>
      </w:r>
      <w:r w:rsidR="0044213A" w:rsidRPr="002D4237">
        <w:t>o</w:t>
      </w:r>
      <w:r w:rsidR="00CE1EAA">
        <w:t> </w:t>
      </w:r>
      <w:r w:rsidR="0044213A" w:rsidRPr="002D4237">
        <w:t>których mowa w art. 1</w:t>
      </w:r>
      <w:r w:rsidR="0044213A">
        <w:t>8</w:t>
      </w:r>
      <w:r w:rsidR="0044213A" w:rsidRPr="002D4237">
        <w:t xml:space="preserve"> ust. </w:t>
      </w:r>
      <w:r w:rsidR="0044213A">
        <w:t>4</w:t>
      </w:r>
      <w:r w:rsidR="0044213A" w:rsidRPr="002D4237">
        <w:t xml:space="preserve"> </w:t>
      </w:r>
      <w:r w:rsidR="0044213A">
        <w:t xml:space="preserve">pkt 3, wskazuje w </w:t>
      </w:r>
      <w:r w:rsidR="0044213A" w:rsidRPr="0044213A">
        <w:t>informacji o wysokości opłaty za zezwolenie na ponowne wykorzystywanie chronionych danych</w:t>
      </w:r>
      <w:r w:rsidR="0044213A">
        <w:t>:</w:t>
      </w:r>
    </w:p>
    <w:p w14:paraId="36574F69" w14:textId="0C10AA63" w:rsidR="00CE1EAA" w:rsidRDefault="009B775E" w:rsidP="00514401">
      <w:pPr>
        <w:pStyle w:val="PKTpunkt"/>
      </w:pPr>
      <w:r>
        <w:t>1</w:t>
      </w:r>
      <w:r w:rsidR="0044213A">
        <w:t xml:space="preserve">) </w:t>
      </w:r>
      <w:r w:rsidR="00895134">
        <w:tab/>
      </w:r>
      <w:r w:rsidR="00CE1EAA">
        <w:t>część opłaty odpowiadającej kosztom ponoszonym przez podmiot sektora publicznego, określonym</w:t>
      </w:r>
      <w:r w:rsidR="00CE1EAA" w:rsidRPr="00DD11AB">
        <w:t xml:space="preserve"> zgodnie z art. 6 rozporządzenia 2022/868</w:t>
      </w:r>
      <w:r w:rsidR="00CE1EAA">
        <w:t xml:space="preserve">, oraz </w:t>
      </w:r>
      <w:r w:rsidR="00CE1EAA" w:rsidRPr="0044213A">
        <w:t xml:space="preserve">numer rachunku bankowego </w:t>
      </w:r>
      <w:r w:rsidR="00CE1EAA">
        <w:t xml:space="preserve">podmiotu sektora publicznego </w:t>
      </w:r>
      <w:r w:rsidR="00CE1EAA" w:rsidRPr="00DD11AB">
        <w:t xml:space="preserve">na jaki wnioskodawca powinien uiścić </w:t>
      </w:r>
      <w:r w:rsidR="00CE1EAA">
        <w:t xml:space="preserve">taką </w:t>
      </w:r>
      <w:r w:rsidR="00CE1EAA" w:rsidRPr="00DD11AB">
        <w:t>część opłaty</w:t>
      </w:r>
      <w:r w:rsidR="00CE1EAA">
        <w:t xml:space="preserve"> lub wskazanie </w:t>
      </w:r>
      <w:r w:rsidR="00CE1EAA" w:rsidRPr="00895134">
        <w:t>informacji o braku takich kosztów</w:t>
      </w:r>
      <w:r>
        <w:t>;</w:t>
      </w:r>
    </w:p>
    <w:p w14:paraId="20DF28E5" w14:textId="176CD019" w:rsidR="00DD11AB" w:rsidRPr="002D4237" w:rsidRDefault="009B775E" w:rsidP="00514401">
      <w:pPr>
        <w:pStyle w:val="PKTpunkt"/>
      </w:pPr>
      <w:r>
        <w:t>2</w:t>
      </w:r>
      <w:r w:rsidR="00CE1EAA">
        <w:t xml:space="preserve">) </w:t>
      </w:r>
      <w:r w:rsidR="00CE1EAA">
        <w:tab/>
      </w:r>
      <w:r w:rsidR="0044213A">
        <w:t xml:space="preserve">część opłaty odpowiadającej kosztom </w:t>
      </w:r>
      <w:r w:rsidR="0044213A" w:rsidRPr="0044213A">
        <w:t>udzielenia pomocy</w:t>
      </w:r>
      <w:r w:rsidR="00895134">
        <w:t>, o których mowa</w:t>
      </w:r>
      <w:r w:rsidR="0044213A" w:rsidRPr="0044213A">
        <w:t xml:space="preserve"> </w:t>
      </w:r>
      <w:r w:rsidR="0044213A" w:rsidRPr="002D4237">
        <w:t>w art. 1</w:t>
      </w:r>
      <w:r w:rsidR="0044213A">
        <w:t>8</w:t>
      </w:r>
      <w:r w:rsidR="0044213A" w:rsidRPr="002D4237">
        <w:t xml:space="preserve"> ust. </w:t>
      </w:r>
      <w:r w:rsidR="0044213A">
        <w:t>4</w:t>
      </w:r>
      <w:r w:rsidR="0044213A" w:rsidRPr="002D4237">
        <w:t xml:space="preserve"> </w:t>
      </w:r>
      <w:r w:rsidR="0044213A">
        <w:t>pkt 3</w:t>
      </w:r>
      <w:r w:rsidR="00351FA7">
        <w:t>,</w:t>
      </w:r>
      <w:r w:rsidR="0044213A">
        <w:t xml:space="preserve"> oraz </w:t>
      </w:r>
      <w:r w:rsidR="0044213A" w:rsidRPr="0044213A">
        <w:t>numer rachunku bankowego właściwego podmiotu</w:t>
      </w:r>
      <w:r>
        <w:t>,</w:t>
      </w:r>
      <w:r w:rsidR="0044213A">
        <w:t xml:space="preserve"> </w:t>
      </w:r>
      <w:r w:rsidR="0044213A" w:rsidRPr="00DD11AB">
        <w:t xml:space="preserve">na jaki wnioskodawca powinien uiścić </w:t>
      </w:r>
      <w:r w:rsidR="00895134">
        <w:t xml:space="preserve">taką </w:t>
      </w:r>
      <w:r w:rsidR="0044213A" w:rsidRPr="00DD11AB">
        <w:t>część opłaty</w:t>
      </w:r>
      <w:r w:rsidR="00CE1EAA">
        <w:t>.</w:t>
      </w:r>
    </w:p>
    <w:p w14:paraId="77AD07EC" w14:textId="60AAAA19" w:rsidR="002D4237" w:rsidRPr="002D4237" w:rsidRDefault="00DD11AB" w:rsidP="002D4237">
      <w:r>
        <w:t xml:space="preserve">3. </w:t>
      </w:r>
      <w:r w:rsidR="002D4237" w:rsidRPr="002D4237">
        <w:t>Przepis art. 1</w:t>
      </w:r>
      <w:r w:rsidR="004C7D88">
        <w:t>4</w:t>
      </w:r>
      <w:r w:rsidR="005A4812">
        <w:rPr>
          <w:rFonts w:cs="Times New Roman"/>
        </w:rPr>
        <w:t xml:space="preserve"> ‒</w:t>
      </w:r>
      <w:r w:rsidR="005A4812">
        <w:t xml:space="preserve"> </w:t>
      </w:r>
      <w:r w:rsidR="00317F4D">
        <w:t xml:space="preserve">art. </w:t>
      </w:r>
      <w:r w:rsidR="002D4237" w:rsidRPr="002D4237">
        <w:t>1</w:t>
      </w:r>
      <w:r w:rsidR="004C7D88">
        <w:t>6</w:t>
      </w:r>
      <w:r w:rsidR="002D4237" w:rsidRPr="002D4237">
        <w:t xml:space="preserve"> stosuje się odpowiednio.</w:t>
      </w:r>
    </w:p>
    <w:p w14:paraId="4415EBA2" w14:textId="77777777" w:rsidR="002D4237" w:rsidRPr="002D4237" w:rsidRDefault="002D4237" w:rsidP="002D4237">
      <w:pPr>
        <w:pStyle w:val="ROZDZODDZOZNoznaczenierozdziauluboddziau"/>
      </w:pPr>
      <w:r w:rsidRPr="002D4237">
        <w:t>Oddział 4</w:t>
      </w:r>
    </w:p>
    <w:p w14:paraId="17FD8C48" w14:textId="77777777" w:rsidR="002D4237" w:rsidRPr="002D4237" w:rsidRDefault="002D4237" w:rsidP="0042722C">
      <w:pPr>
        <w:pStyle w:val="ROZDZODDZPRZEDMprzedmiotregulacjirozdziauluboddziau"/>
      </w:pPr>
      <w:r w:rsidRPr="00421E4D">
        <w:t>Pojedynczy punkt informacyjny</w:t>
      </w:r>
    </w:p>
    <w:p w14:paraId="74FB653E" w14:textId="77777777" w:rsidR="002D4237" w:rsidRPr="002D4237" w:rsidRDefault="002D4237" w:rsidP="0042722C">
      <w:pPr>
        <w:pStyle w:val="ARTartustawynprozporzdzenia"/>
        <w:keepNext/>
      </w:pPr>
      <w:r w:rsidRPr="0042722C">
        <w:rPr>
          <w:rStyle w:val="Ppogrubienie"/>
        </w:rPr>
        <w:t>Art. 2</w:t>
      </w:r>
      <w:r w:rsidR="004C7D88">
        <w:rPr>
          <w:rStyle w:val="Ppogrubienie"/>
        </w:rPr>
        <w:t>1</w:t>
      </w:r>
      <w:r w:rsidRPr="0042722C">
        <w:rPr>
          <w:rStyle w:val="Ppogrubienie"/>
        </w:rPr>
        <w:t>.</w:t>
      </w:r>
      <w:r>
        <w:t> </w:t>
      </w:r>
      <w:r w:rsidRPr="002D4237">
        <w:t>1. Podmioty sektora publicznego udostępniają w pojedynczym punkcie informacyjnym:</w:t>
      </w:r>
    </w:p>
    <w:p w14:paraId="6B67F97A" w14:textId="77777777" w:rsidR="002D4237" w:rsidRPr="002D4237" w:rsidRDefault="002D4237" w:rsidP="002D4237">
      <w:pPr>
        <w:pStyle w:val="PKTpunkt"/>
      </w:pPr>
      <w:r w:rsidRPr="002D4237">
        <w:t>1)</w:t>
      </w:r>
      <w:r>
        <w:tab/>
      </w:r>
      <w:r w:rsidRPr="002D4237">
        <w:t>wykaz zasobów chronionych danych będących w ich posiadaniu, o którym mowa w art. 8 ust. 2 rozporządzenia 2022/868;</w:t>
      </w:r>
    </w:p>
    <w:p w14:paraId="0EDAA433" w14:textId="77777777" w:rsidR="002D4237" w:rsidRPr="002D4237" w:rsidRDefault="002D4237" w:rsidP="002D4237">
      <w:pPr>
        <w:pStyle w:val="PKTpunkt"/>
        <w:rPr>
          <w:highlight w:val="yellow"/>
        </w:rPr>
      </w:pPr>
      <w:r w:rsidRPr="002D4237">
        <w:t>2)</w:t>
      </w:r>
      <w:r>
        <w:tab/>
      </w:r>
      <w:r w:rsidRPr="002D4237">
        <w:t>informacje, o których mowa w art. 5 ust. 1 rozporządzenia 2022/868.</w:t>
      </w:r>
    </w:p>
    <w:p w14:paraId="74D9FB23" w14:textId="77777777" w:rsidR="002D4237" w:rsidRPr="002D4237" w:rsidRDefault="002D4237" w:rsidP="002D4237">
      <w:pPr>
        <w:pStyle w:val="USTustnpkodeksu"/>
        <w:rPr>
          <w:highlight w:val="yellow"/>
        </w:rPr>
      </w:pPr>
      <w:r w:rsidRPr="002D4237">
        <w:lastRenderedPageBreak/>
        <w:t>2.</w:t>
      </w:r>
      <w:r>
        <w:t> </w:t>
      </w:r>
      <w:r w:rsidRPr="002D4237">
        <w:t>Podmioty sektora publicznego systematycznie weryfikują oraz aktualizują informacje, o których mowa w ust. 1.</w:t>
      </w:r>
    </w:p>
    <w:p w14:paraId="698459E9" w14:textId="77777777" w:rsidR="002D4237" w:rsidRPr="002D4237" w:rsidRDefault="002D4237" w:rsidP="002D4237">
      <w:pPr>
        <w:pStyle w:val="ROZDZODDZOZNoznaczenierozdziauluboddziau"/>
      </w:pPr>
      <w:r w:rsidRPr="002D4237">
        <w:t>Rozdział 3</w:t>
      </w:r>
    </w:p>
    <w:p w14:paraId="157A2493" w14:textId="77777777" w:rsidR="002D4237" w:rsidRPr="002D4237" w:rsidRDefault="002D4237" w:rsidP="0042722C">
      <w:pPr>
        <w:pStyle w:val="ROZDZODDZPRZEDMprzedmiotregulacjirozdziauluboddziau"/>
      </w:pPr>
      <w:r w:rsidRPr="002D4237">
        <w:t>Usługi pośrednictwa danych</w:t>
      </w:r>
    </w:p>
    <w:p w14:paraId="09D9E895" w14:textId="77777777" w:rsidR="002D4237" w:rsidRPr="002D4237" w:rsidRDefault="002D4237" w:rsidP="002D4237">
      <w:pPr>
        <w:pStyle w:val="ARTartustawynprozporzdzenia"/>
      </w:pPr>
      <w:r w:rsidRPr="0042722C">
        <w:rPr>
          <w:rStyle w:val="Ppogrubienie"/>
        </w:rPr>
        <w:t>Art. 2</w:t>
      </w:r>
      <w:r w:rsidR="004C7D88">
        <w:rPr>
          <w:rStyle w:val="Ppogrubienie"/>
        </w:rPr>
        <w:t>2</w:t>
      </w:r>
      <w:r w:rsidRPr="0042722C">
        <w:rPr>
          <w:rStyle w:val="Ppogrubienie"/>
        </w:rPr>
        <w:t>.</w:t>
      </w:r>
      <w:r>
        <w:t> </w:t>
      </w:r>
      <w:r w:rsidRPr="002D4237">
        <w:t>1. Świadczenie usług pośrednictwa danych podlega zgłoszeniu organowi właściwemu do spraw usług pośrednictwa danych.</w:t>
      </w:r>
    </w:p>
    <w:p w14:paraId="07BC530E" w14:textId="77777777" w:rsidR="002D4237" w:rsidRPr="002D4237" w:rsidRDefault="002D4237" w:rsidP="002D4237">
      <w:pPr>
        <w:pStyle w:val="USTustnpkodeksu"/>
      </w:pPr>
      <w:r w:rsidRPr="002D4237">
        <w:t>2.</w:t>
      </w:r>
      <w:r>
        <w:t> </w:t>
      </w:r>
      <w:r w:rsidRPr="002D4237">
        <w:t>Zgłoszenia usług pośrednictwa danych dokonuje się na piśmie utrwalonym w postaci elektronicznej opatrzonym kwalifikowanym podpisem elektronicznym, podpisem zaufanym albo podpisem osobistym.</w:t>
      </w:r>
    </w:p>
    <w:p w14:paraId="5ECAF908" w14:textId="421C8D9C" w:rsidR="002D4237" w:rsidRPr="002D4237" w:rsidRDefault="002D4237" w:rsidP="002D4237">
      <w:pPr>
        <w:pStyle w:val="USTustnpkodeksu"/>
      </w:pPr>
      <w:r w:rsidRPr="002D4237">
        <w:t>3.</w:t>
      </w:r>
      <w:r>
        <w:t> </w:t>
      </w:r>
      <w:r w:rsidRPr="002D4237">
        <w:t xml:space="preserve">W zakresie nieuregulowanym ustawą lub rozporządzeniem 2022/868 do zgłoszenia usług pośrednictwa danych stosuje się </w:t>
      </w:r>
      <w:r w:rsidR="004545EA">
        <w:t xml:space="preserve">odpowiednio </w:t>
      </w:r>
      <w:r w:rsidR="00B76A44">
        <w:t xml:space="preserve">przepisy </w:t>
      </w:r>
      <w:r w:rsidRPr="002D4237">
        <w:t xml:space="preserve">art. 63 i </w:t>
      </w:r>
      <w:r w:rsidR="002960A3">
        <w:t xml:space="preserve">art. </w:t>
      </w:r>
      <w:r w:rsidRPr="002D4237">
        <w:t xml:space="preserve">64 ustawy z dnia 14 czerwca 1960 r. </w:t>
      </w:r>
      <w:r w:rsidR="008E3490">
        <w:rPr>
          <w:rFonts w:cs="Times"/>
        </w:rPr>
        <w:t>‒</w:t>
      </w:r>
      <w:r w:rsidRPr="002D4237">
        <w:t xml:space="preserve"> Kodeks postępowania administracyjnego.</w:t>
      </w:r>
    </w:p>
    <w:p w14:paraId="2BC0838C" w14:textId="3162B0AF" w:rsidR="002D4237" w:rsidRPr="002D4237" w:rsidRDefault="002D4237" w:rsidP="002D4237">
      <w:pPr>
        <w:pStyle w:val="USTustnpkodeksu"/>
      </w:pPr>
      <w:r w:rsidRPr="002D4237">
        <w:t>4.</w:t>
      </w:r>
      <w:r>
        <w:t> </w:t>
      </w:r>
      <w:r w:rsidRPr="002D4237">
        <w:t xml:space="preserve">Przepisy ust. 2 i 3 stosuje się odpowiednio do innych pism wnoszonych do organu właściwego do spraw usług pośrednictwa danych przez dostawców usług pośrednictwa danych, w szczególności do wniosków, powiadomienia oraz zgłoszenia zaprzestania działalności, o których mowa odpowiednio w art. 11 ust. 8, 9, 12 </w:t>
      </w:r>
      <w:r w:rsidR="00A10EF7">
        <w:t>i</w:t>
      </w:r>
      <w:r w:rsidRPr="002D4237">
        <w:t xml:space="preserve"> 13 rozporządzenia 2022/868.</w:t>
      </w:r>
    </w:p>
    <w:p w14:paraId="13834AF5" w14:textId="52178556" w:rsidR="002D4237" w:rsidRPr="002D4237" w:rsidRDefault="002D4237" w:rsidP="002D4237">
      <w:pPr>
        <w:pStyle w:val="ARTartustawynprozporzdzenia"/>
      </w:pPr>
      <w:r w:rsidRPr="0042722C">
        <w:rPr>
          <w:rStyle w:val="Ppogrubienie"/>
        </w:rPr>
        <w:t>Art. 2</w:t>
      </w:r>
      <w:r w:rsidR="004C7D88">
        <w:rPr>
          <w:rStyle w:val="Ppogrubienie"/>
        </w:rPr>
        <w:t>3</w:t>
      </w:r>
      <w:r w:rsidRPr="0042722C">
        <w:rPr>
          <w:rStyle w:val="Ppogrubienie"/>
        </w:rPr>
        <w:t>.</w:t>
      </w:r>
      <w:r>
        <w:t> </w:t>
      </w:r>
      <w:r w:rsidRPr="002D4237">
        <w:t xml:space="preserve">1. Organ właściwy do spraw usług pośrednictwa danych </w:t>
      </w:r>
      <w:r w:rsidR="00E9617F">
        <w:t xml:space="preserve">wydaje standardowe oświadczenie </w:t>
      </w:r>
      <w:r w:rsidRPr="002D4237">
        <w:t>oraz potwierdzenie, o których mowa odpowiednio w art. 11 ust. 8 i 9 rozporządzenia 2022/868</w:t>
      </w:r>
      <w:r w:rsidR="008E3490">
        <w:t>,</w:t>
      </w:r>
      <w:r w:rsidRPr="002D4237">
        <w:t xml:space="preserve"> na piśmie utrwalonym w postaci elektronicznej opatrzonym kwalifikowanym podpisem elektronicznym, podpisem zaufanym albo podpisem osobistym.</w:t>
      </w:r>
    </w:p>
    <w:p w14:paraId="2EDF5C37" w14:textId="77777777" w:rsidR="002D4237" w:rsidRPr="002D4237" w:rsidRDefault="002D4237" w:rsidP="002D4237">
      <w:pPr>
        <w:pStyle w:val="USTustnpkodeksu"/>
      </w:pPr>
      <w:r w:rsidRPr="002D4237">
        <w:t>2.</w:t>
      </w:r>
      <w:r>
        <w:t> </w:t>
      </w:r>
      <w:r w:rsidRPr="002D4237">
        <w:t>Na wniosek dostawcy usług pośrednictwa danych organ właściwy do spraw usług pośrednictwa danych może dodatkowo wydać standardowe oświadczenie oraz potwierdzenie, o których mowa w ust. 1</w:t>
      </w:r>
      <w:r w:rsidR="00E15605">
        <w:t>,</w:t>
      </w:r>
      <w:r w:rsidRPr="002D4237">
        <w:t xml:space="preserve"> na piśmie utrwalonym w postaci papierowej opatrzonym własnoręcznym podpisem.</w:t>
      </w:r>
    </w:p>
    <w:p w14:paraId="36449C96" w14:textId="08A3E1E1" w:rsidR="002D4237" w:rsidRPr="002D4237" w:rsidRDefault="002D4237" w:rsidP="0042722C">
      <w:pPr>
        <w:pStyle w:val="ARTartustawynprozporzdzenia"/>
        <w:keepNext/>
      </w:pPr>
      <w:r w:rsidRPr="0042722C">
        <w:rPr>
          <w:rStyle w:val="Ppogrubienie"/>
        </w:rPr>
        <w:t>Art. </w:t>
      </w:r>
      <w:r w:rsidR="00EC5D7D">
        <w:rPr>
          <w:rStyle w:val="Ppogrubienie"/>
        </w:rPr>
        <w:t>24</w:t>
      </w:r>
      <w:r w:rsidRPr="0042722C">
        <w:rPr>
          <w:rStyle w:val="Ppogrubienie"/>
        </w:rPr>
        <w:t>.</w:t>
      </w:r>
      <w:r>
        <w:t> </w:t>
      </w:r>
      <w:r w:rsidRPr="002D4237">
        <w:t xml:space="preserve">W przypadku </w:t>
      </w:r>
      <w:r w:rsidR="00A423B1">
        <w:t>niezaprzestania naruszeń,</w:t>
      </w:r>
      <w:r w:rsidR="00AB49DF">
        <w:t xml:space="preserve"> </w:t>
      </w:r>
      <w:r w:rsidRPr="002D4237">
        <w:t>o których mowa w art. 14 ust. 3 rozporządzenia 2022/868</w:t>
      </w:r>
      <w:r w:rsidR="006675FB">
        <w:t>,</w:t>
      </w:r>
      <w:r w:rsidRPr="002D4237">
        <w:t xml:space="preserve"> organ właściwy do spraw usług pośrednictwa danych:</w:t>
      </w:r>
    </w:p>
    <w:p w14:paraId="58C2B8F8" w14:textId="4F0C3F76" w:rsidR="002D4237" w:rsidRPr="002D4237" w:rsidRDefault="00AB49DF" w:rsidP="0042722C">
      <w:pPr>
        <w:pStyle w:val="PKTpunkt"/>
        <w:keepNext/>
      </w:pPr>
      <w:r>
        <w:t>1</w:t>
      </w:r>
      <w:r w:rsidR="002D4237" w:rsidRPr="002D4237">
        <w:t>)</w:t>
      </w:r>
      <w:r w:rsidR="002D4237">
        <w:tab/>
      </w:r>
      <w:r w:rsidR="002D4237" w:rsidRPr="002D4237">
        <w:t xml:space="preserve">na podstawie art. 14 ust. 4 rozporządzenia 2022/868 wzywa dostawcę usług pośrednictwa danych do zaprzestania naruszania wymogów </w:t>
      </w:r>
      <w:r w:rsidR="00754782" w:rsidRPr="00754782">
        <w:t xml:space="preserve">określonych w rozdziale 3 rozporządzenia 2022/868, zwanych dalej </w:t>
      </w:r>
      <w:r w:rsidR="00754782">
        <w:t xml:space="preserve">„wymogami </w:t>
      </w:r>
      <w:r w:rsidR="002D4237" w:rsidRPr="002D4237">
        <w:t>świadczenia usług pośrednictwa danych</w:t>
      </w:r>
      <w:r w:rsidR="00754782">
        <w:t>”</w:t>
      </w:r>
      <w:r w:rsidR="002D4237" w:rsidRPr="002D4237">
        <w:t xml:space="preserve"> w wyznaczonym terminie, nie dłuższym niż 30 dni od dnia doręczenia wezwania oraz wskazuje w wezwaniu:</w:t>
      </w:r>
    </w:p>
    <w:p w14:paraId="413EE47A" w14:textId="3EA0794C" w:rsidR="002D4237" w:rsidRPr="002D4237" w:rsidRDefault="002D4237" w:rsidP="002D4237">
      <w:pPr>
        <w:pStyle w:val="LITlitera"/>
      </w:pPr>
      <w:r w:rsidRPr="002D4237">
        <w:t>a)</w:t>
      </w:r>
      <w:r>
        <w:tab/>
      </w:r>
      <w:r w:rsidRPr="002D4237">
        <w:tab/>
        <w:t>środki, o których mowa w art. 14 ust. 4 li</w:t>
      </w:r>
      <w:r w:rsidR="000600F8">
        <w:t>t</w:t>
      </w:r>
      <w:r w:rsidRPr="002D4237">
        <w:t xml:space="preserve">. b-c rozporządzenia 2022/868, jakie </w:t>
      </w:r>
      <w:r w:rsidR="000600F8">
        <w:t>mogą zostać</w:t>
      </w:r>
      <w:r w:rsidRPr="002D4237">
        <w:t xml:space="preserve"> zastosowane w przypadku niezaprzestania w wyznaczonym terminie </w:t>
      </w:r>
      <w:r w:rsidRPr="002D4237">
        <w:lastRenderedPageBreak/>
        <w:t>naruszania wymogów świadczenia usług pośrednictwa danych</w:t>
      </w:r>
      <w:r w:rsidR="009B775E">
        <w:t>,</w:t>
      </w:r>
      <w:r w:rsidRPr="002D4237">
        <w:t xml:space="preserve"> oraz powody ich zastosowania,</w:t>
      </w:r>
    </w:p>
    <w:p w14:paraId="24CFEE38" w14:textId="77777777" w:rsidR="002D4237" w:rsidRPr="002D4237" w:rsidRDefault="002D4237" w:rsidP="002D4237">
      <w:pPr>
        <w:pStyle w:val="LITlitera"/>
      </w:pPr>
      <w:r w:rsidRPr="002D4237">
        <w:t>b)</w:t>
      </w:r>
      <w:r>
        <w:tab/>
      </w:r>
      <w:r w:rsidRPr="002D4237">
        <w:tab/>
        <w:t>środki, o których mowa w art. 14 ust. 6 rozporządzenia 2022/868, jakie należy wprowadzić w celu zaprzestania naruszania wymogów świadczenia usług pośrednictwa danych oraz sposób udokumentowania ich wprowadzenia lub</w:t>
      </w:r>
    </w:p>
    <w:p w14:paraId="57F2A246" w14:textId="279D2D20" w:rsidR="002D4237" w:rsidRPr="002D4237" w:rsidRDefault="00AB49DF" w:rsidP="002D4237">
      <w:pPr>
        <w:pStyle w:val="PKTpunkt"/>
      </w:pPr>
      <w:r>
        <w:t>2</w:t>
      </w:r>
      <w:r w:rsidR="002D4237" w:rsidRPr="002D4237">
        <w:t>)</w:t>
      </w:r>
      <w:r w:rsidR="002D4237">
        <w:tab/>
      </w:r>
      <w:r w:rsidR="002D4237" w:rsidRPr="002D4237">
        <w:t>informuje Prezesa Urzędu Ochrony Danych Osobowych o podjętych ustaleniach w przypadku zidentyfikowania ryzyka naruszenia ochrony danych osobowych.</w:t>
      </w:r>
    </w:p>
    <w:p w14:paraId="12483FA8" w14:textId="3EF4DC26" w:rsidR="002D4237" w:rsidRPr="002D4237" w:rsidRDefault="002D4237" w:rsidP="0042722C">
      <w:pPr>
        <w:pStyle w:val="ARTartustawynprozporzdzenia"/>
        <w:keepNext/>
      </w:pPr>
      <w:r w:rsidRPr="0042722C">
        <w:rPr>
          <w:rStyle w:val="Ppogrubienie"/>
        </w:rPr>
        <w:t>Art. </w:t>
      </w:r>
      <w:r w:rsidR="00754782">
        <w:rPr>
          <w:rStyle w:val="Ppogrubienie"/>
        </w:rPr>
        <w:t>25</w:t>
      </w:r>
      <w:r w:rsidRPr="0042722C">
        <w:rPr>
          <w:rStyle w:val="Ppogrubienie"/>
        </w:rPr>
        <w:t>.</w:t>
      </w:r>
      <w:r>
        <w:t> </w:t>
      </w:r>
      <w:r w:rsidRPr="002D4237">
        <w:t xml:space="preserve">1. W przypadku niezaprzestania naruszania wymogów świadczenia usług pośrednictwa danych w terminie wyznaczonym w wezwaniu, o którym mowa w art. 24 pkt </w:t>
      </w:r>
      <w:r w:rsidR="00754782">
        <w:t>1</w:t>
      </w:r>
      <w:r w:rsidRPr="002D4237">
        <w:t>, organ właściwy do spraw usług pośrednictwa danych może, w drodze decyzji:</w:t>
      </w:r>
    </w:p>
    <w:p w14:paraId="78BEDCE8" w14:textId="783DE909" w:rsidR="002D4237" w:rsidRPr="002D4237" w:rsidRDefault="002D4237" w:rsidP="002D4237">
      <w:pPr>
        <w:pStyle w:val="PKTpunkt"/>
      </w:pPr>
      <w:r w:rsidRPr="002D4237">
        <w:t>1)</w:t>
      </w:r>
      <w:r>
        <w:tab/>
      </w:r>
      <w:r w:rsidRPr="002D4237">
        <w:t>nakazać przesunięcie rozpoczęcia świadczenia usług pośrednictwa danych, na podstawie art. 14 ust. 4 lit. b rozporządzenia 2022/868;</w:t>
      </w:r>
      <w:r w:rsidR="007E4A3A">
        <w:t xml:space="preserve"> </w:t>
      </w:r>
    </w:p>
    <w:p w14:paraId="4D2D980E" w14:textId="77777777" w:rsidR="002D4237" w:rsidRPr="002D4237" w:rsidRDefault="002D4237" w:rsidP="002D4237">
      <w:pPr>
        <w:pStyle w:val="PKTpunkt"/>
      </w:pPr>
      <w:r w:rsidRPr="002D4237">
        <w:t>2)</w:t>
      </w:r>
      <w:r>
        <w:tab/>
      </w:r>
      <w:r w:rsidRPr="002D4237">
        <w:t>nakazać zawieszenie świadczenia usług pośrednictwa danych, na podstawie art. 14 ust. 4 lit. b rozporządzenia 2022/868;</w:t>
      </w:r>
      <w:r w:rsidR="007E4A3A">
        <w:t xml:space="preserve"> </w:t>
      </w:r>
    </w:p>
    <w:p w14:paraId="692F40F4" w14:textId="52AE7DA3" w:rsidR="002D4237" w:rsidRPr="002D4237" w:rsidRDefault="002D4237" w:rsidP="002D4237">
      <w:pPr>
        <w:pStyle w:val="PKTpunkt"/>
      </w:pPr>
      <w:r w:rsidRPr="002D4237">
        <w:t>3)</w:t>
      </w:r>
      <w:r>
        <w:tab/>
      </w:r>
      <w:r w:rsidR="0088665B">
        <w:t>nakazać zaprzestanie</w:t>
      </w:r>
      <w:r w:rsidRPr="002D4237">
        <w:t xml:space="preserve"> świadczenia usług pośrednictwa danych, na podstawie art. 14 ust. 4 lit. c rozporządzenia 2022/868.</w:t>
      </w:r>
    </w:p>
    <w:p w14:paraId="54DBB1BF" w14:textId="77777777" w:rsidR="002D4237" w:rsidRPr="002D4237" w:rsidRDefault="002D4237" w:rsidP="002D4237">
      <w:pPr>
        <w:pStyle w:val="USTustnpkodeksu"/>
      </w:pPr>
      <w:r w:rsidRPr="002D4237">
        <w:t>2.</w:t>
      </w:r>
      <w:r>
        <w:t> </w:t>
      </w:r>
      <w:r w:rsidRPr="002D4237">
        <w:t>Decyzje, o których mowa w ust. 1</w:t>
      </w:r>
      <w:r w:rsidR="004545EA">
        <w:t>,</w:t>
      </w:r>
      <w:r w:rsidRPr="002D4237">
        <w:t xml:space="preserve"> są natychmiast wykonalne.</w:t>
      </w:r>
    </w:p>
    <w:p w14:paraId="0B3ED5D0" w14:textId="77777777" w:rsidR="002D4237" w:rsidRPr="002D4237" w:rsidRDefault="002D4237" w:rsidP="002D4237">
      <w:pPr>
        <w:pStyle w:val="USTustnpkodeksu"/>
      </w:pPr>
      <w:r w:rsidRPr="002D4237">
        <w:t>3.</w:t>
      </w:r>
      <w:r>
        <w:t> </w:t>
      </w:r>
      <w:r w:rsidRPr="002D4237">
        <w:t>Informacje o wydaniu decyzji, o których mowa w ust. 1, podlegają udostępnieniu w Biuletynie Informacji Publicznej Urzędu Ochrony Konkurencji i Konsumentów.</w:t>
      </w:r>
    </w:p>
    <w:p w14:paraId="049D55D9" w14:textId="77777777" w:rsidR="002D4237" w:rsidRPr="002D4237" w:rsidRDefault="002D4237" w:rsidP="0042722C">
      <w:pPr>
        <w:pStyle w:val="USTustnpkodeksu"/>
        <w:keepNext/>
      </w:pPr>
      <w:r w:rsidRPr="002D4237">
        <w:t>4.</w:t>
      </w:r>
      <w:r>
        <w:t> </w:t>
      </w:r>
      <w:r w:rsidRPr="002D4237">
        <w:t>W przypadku ustania przyczyn wydania ostatecznej i prawomocnej decyzji, o której mowa w:</w:t>
      </w:r>
    </w:p>
    <w:p w14:paraId="22F30BAC" w14:textId="77777777" w:rsidR="002D4237" w:rsidRPr="002D4237" w:rsidRDefault="002D4237" w:rsidP="002D4237">
      <w:pPr>
        <w:pStyle w:val="PKTpunkt"/>
      </w:pPr>
      <w:r w:rsidRPr="002D4237">
        <w:t>1)</w:t>
      </w:r>
      <w:r>
        <w:tab/>
      </w:r>
      <w:r w:rsidRPr="002D4237">
        <w:t xml:space="preserve">ust. 1 pkt 1 </w:t>
      </w:r>
      <w:r w:rsidR="006D597A">
        <w:rPr>
          <w:rFonts w:cs="Times"/>
        </w:rPr>
        <w:t>‒</w:t>
      </w:r>
      <w:r w:rsidR="006D597A">
        <w:t xml:space="preserve"> </w:t>
      </w:r>
      <w:r w:rsidRPr="002D4237">
        <w:t>organ właściwy do spraw usług pośrednictwa danych może, na wniosek dostawcy usług pośrednictwa danych, uchylić lub zmienić tę decyzję;</w:t>
      </w:r>
    </w:p>
    <w:p w14:paraId="611394E8" w14:textId="77777777" w:rsidR="002D4237" w:rsidRPr="002D4237" w:rsidRDefault="002D4237" w:rsidP="002D4237">
      <w:pPr>
        <w:pStyle w:val="PKTpunkt"/>
      </w:pPr>
      <w:r w:rsidRPr="002D4237">
        <w:t>2)</w:t>
      </w:r>
      <w:r>
        <w:tab/>
      </w:r>
      <w:r w:rsidRPr="002D4237">
        <w:t xml:space="preserve">ust. 1 pkt 2 </w:t>
      </w:r>
      <w:r w:rsidR="006D597A">
        <w:rPr>
          <w:rFonts w:cs="Times"/>
        </w:rPr>
        <w:t>‒</w:t>
      </w:r>
      <w:r w:rsidR="006D597A">
        <w:t xml:space="preserve"> </w:t>
      </w:r>
      <w:r w:rsidRPr="002D4237">
        <w:t>organ właściwy do spraw usług pośrednictwa danych może, na wniosek dostawcy usług pośrednictwa danych, uchylić tę decyzję.</w:t>
      </w:r>
    </w:p>
    <w:p w14:paraId="474476CD" w14:textId="0B16BC45" w:rsidR="002D4237" w:rsidRPr="002D4237" w:rsidRDefault="002D4237" w:rsidP="002D4237">
      <w:pPr>
        <w:pStyle w:val="USTustnpkodeksu"/>
      </w:pPr>
      <w:r w:rsidRPr="002D4237">
        <w:t>5.</w:t>
      </w:r>
      <w:r>
        <w:t> </w:t>
      </w:r>
      <w:r w:rsidRPr="002D4237">
        <w:t xml:space="preserve">W zakresie nieuregulowanym ustawą </w:t>
      </w:r>
      <w:r w:rsidR="005B5F34">
        <w:t xml:space="preserve">lub rozporządzeniem 2022/868 </w:t>
      </w:r>
      <w:r w:rsidRPr="002D4237">
        <w:t>do decyzji o</w:t>
      </w:r>
      <w:r w:rsidR="00283607">
        <w:t> </w:t>
      </w:r>
      <w:r w:rsidRPr="002D4237">
        <w:t>nakazie przesunięcia rozpoczęcia świadczenia usług pośrednictwa danych, decyzji o nakazie zawieszenia świadczenia usług pośrednictwa danych, decyzji o nakazie zaprzestania świadczenia usług pośrednictwa danych, decyzji o uchyleniu lub zmianie decyzji o nakazie przesunięcia rozpoczęcia świadczenia usług pośrednictwa danych oraz decyzji o uchyleniu decyzji o nakazie zawieszenia świadczenia usług pośrednictwa danych</w:t>
      </w:r>
      <w:r w:rsidR="006D597A">
        <w:t>,</w:t>
      </w:r>
      <w:r w:rsidRPr="002D4237">
        <w:t xml:space="preserve"> stosuje się </w:t>
      </w:r>
      <w:r w:rsidR="004545EA">
        <w:t xml:space="preserve">odpowiednio </w:t>
      </w:r>
      <w:r w:rsidRPr="002D4237">
        <w:t>przepisy ustawy z dnia 14 czerwca 1960 r. – Kodeks postępowania administracyjnego.</w:t>
      </w:r>
    </w:p>
    <w:p w14:paraId="288E6D3E" w14:textId="6C0CB900" w:rsidR="002D4237" w:rsidRPr="002D4237" w:rsidRDefault="002D4237" w:rsidP="002D4237">
      <w:pPr>
        <w:pStyle w:val="ARTartustawynprozporzdzenia"/>
      </w:pPr>
      <w:r w:rsidRPr="0042722C">
        <w:rPr>
          <w:rStyle w:val="Ppogrubienie"/>
        </w:rPr>
        <w:lastRenderedPageBreak/>
        <w:t>Art. </w:t>
      </w:r>
      <w:r w:rsidR="00754782">
        <w:rPr>
          <w:rStyle w:val="Ppogrubienie"/>
        </w:rPr>
        <w:t>26</w:t>
      </w:r>
      <w:r w:rsidRPr="0042722C">
        <w:rPr>
          <w:rStyle w:val="Ppogrubienie"/>
        </w:rPr>
        <w:t>.</w:t>
      </w:r>
      <w:r>
        <w:t> </w:t>
      </w:r>
      <w:r w:rsidRPr="002D4237">
        <w:t>1. Skargę przeciwko dostawcy usług pośrednictwa danych, o której mowa w art. 27 rozporządzenia 2022/868</w:t>
      </w:r>
      <w:r w:rsidR="007E4A3A">
        <w:t>,</w:t>
      </w:r>
      <w:r w:rsidRPr="002D4237">
        <w:t xml:space="preserve"> wnosi się do organu właściwego do spraw usług pośrednictwa danych na piśmie utrwalonym w postaci papierowej, opatrzonym własnoręcznym podpisem </w:t>
      </w:r>
      <w:r w:rsidR="00105E82">
        <w:t>albo</w:t>
      </w:r>
      <w:r w:rsidRPr="002D4237">
        <w:t xml:space="preserve"> </w:t>
      </w:r>
      <w:r w:rsidR="006D597A">
        <w:t xml:space="preserve">na piśmie utrwalonym </w:t>
      </w:r>
      <w:r w:rsidRPr="002D4237">
        <w:t>w postaci elektronicznej, opatrzonym kwalifikowanym podpisem elektronicznym, podpisem zaufanym albo podpisem osobistym.</w:t>
      </w:r>
    </w:p>
    <w:p w14:paraId="7B01A409" w14:textId="1B51B5EB" w:rsidR="002D4237" w:rsidRPr="002D4237" w:rsidRDefault="002D4237" w:rsidP="002D4237">
      <w:pPr>
        <w:pStyle w:val="USTustnpkodeksu"/>
      </w:pPr>
      <w:r w:rsidRPr="002D4237">
        <w:t>2.</w:t>
      </w:r>
      <w:r>
        <w:t> </w:t>
      </w:r>
      <w:r w:rsidRPr="002D4237">
        <w:t xml:space="preserve">W zakresie nieuregulowanym ustawą </w:t>
      </w:r>
      <w:r w:rsidR="00F10A94">
        <w:t xml:space="preserve">lub rozporządzeniem 2022/868 </w:t>
      </w:r>
      <w:r w:rsidRPr="002D4237">
        <w:t xml:space="preserve">do skargi przeciwko dostawcy usług pośrednictwa danych stosuje się </w:t>
      </w:r>
      <w:r w:rsidR="004545EA">
        <w:t xml:space="preserve">odpowiednio </w:t>
      </w:r>
      <w:r w:rsidR="00B76A44">
        <w:t xml:space="preserve">przepisy </w:t>
      </w:r>
      <w:r w:rsidRPr="002D4237">
        <w:t>art. 63 i</w:t>
      </w:r>
      <w:r w:rsidR="00105E82">
        <w:t> </w:t>
      </w:r>
      <w:r w:rsidR="002960A3">
        <w:t>art.</w:t>
      </w:r>
      <w:r w:rsidR="00105E82">
        <w:t> </w:t>
      </w:r>
      <w:r w:rsidRPr="002D4237">
        <w:t xml:space="preserve">64 ustawy z dnia 14 czerwca 1960 r. </w:t>
      </w:r>
      <w:r w:rsidR="007E4A3A">
        <w:rPr>
          <w:rFonts w:cs="Times"/>
        </w:rPr>
        <w:t>‒</w:t>
      </w:r>
      <w:r w:rsidRPr="002D4237">
        <w:t xml:space="preserve"> Kodeks postępowania administracyjnego.</w:t>
      </w:r>
    </w:p>
    <w:p w14:paraId="08FED62C" w14:textId="1EBA4C04" w:rsidR="002D4237" w:rsidRPr="002D4237" w:rsidRDefault="002D4237" w:rsidP="002D4237">
      <w:pPr>
        <w:pStyle w:val="ARTartustawynprozporzdzenia"/>
      </w:pPr>
      <w:r w:rsidRPr="0042722C">
        <w:rPr>
          <w:rStyle w:val="Ppogrubienie"/>
        </w:rPr>
        <w:t>Art. </w:t>
      </w:r>
      <w:r w:rsidR="00754782">
        <w:rPr>
          <w:rStyle w:val="Ppogrubienie"/>
        </w:rPr>
        <w:t>27</w:t>
      </w:r>
      <w:r w:rsidRPr="0042722C">
        <w:rPr>
          <w:rStyle w:val="Ppogrubienie"/>
        </w:rPr>
        <w:t>.</w:t>
      </w:r>
      <w:r>
        <w:t> </w:t>
      </w:r>
      <w:r w:rsidRPr="002D4237">
        <w:t xml:space="preserve">1. Organ właściwy do spraw usług pośrednictwa danych rozpatruje skargę przeciwko dostawcy usług pośrednictwa danych bez zbędnej zwłoki, nie później jednak niż </w:t>
      </w:r>
      <w:r w:rsidR="006837B0">
        <w:t>w</w:t>
      </w:r>
      <w:r w:rsidR="00283607">
        <w:t> </w:t>
      </w:r>
      <w:r w:rsidRPr="002D4237">
        <w:t xml:space="preserve">terminie 2 miesięcy od dnia </w:t>
      </w:r>
      <w:r w:rsidR="006837B0">
        <w:t xml:space="preserve">jej </w:t>
      </w:r>
      <w:r w:rsidRPr="002D4237">
        <w:t>wpływu.</w:t>
      </w:r>
    </w:p>
    <w:p w14:paraId="336B14DA" w14:textId="77777777" w:rsidR="002D4237" w:rsidRPr="002D4237" w:rsidRDefault="002D4237" w:rsidP="002D4237">
      <w:pPr>
        <w:pStyle w:val="USTustnpkodeksu"/>
      </w:pPr>
      <w:r w:rsidRPr="002D4237">
        <w:t>2.</w:t>
      </w:r>
      <w:r>
        <w:t> </w:t>
      </w:r>
      <w:r w:rsidRPr="002D4237">
        <w:t>Jeżeli skarga nie może zostać rozpatrzona w terminie</w:t>
      </w:r>
      <w:r w:rsidR="006837B0">
        <w:t>, o którym mowa w ust. 1,</w:t>
      </w:r>
      <w:r w:rsidRPr="002D4237">
        <w:t xml:space="preserve"> organ właściwy do spraw usług pośrednictwa danych zawiadamia skarżącego o przyczynach opóźnienia oraz o terminie, w jakim rozpatrzy skargę, nie dłuższym jednak niż 4 miesiące od dnia </w:t>
      </w:r>
      <w:r w:rsidR="001C4FBE">
        <w:t xml:space="preserve">jej </w:t>
      </w:r>
      <w:r w:rsidRPr="002D4237">
        <w:t>wpływu.</w:t>
      </w:r>
    </w:p>
    <w:p w14:paraId="2E0BB1E2" w14:textId="77777777" w:rsidR="002D4237" w:rsidRPr="002D4237" w:rsidRDefault="002D4237" w:rsidP="002D4237">
      <w:pPr>
        <w:pStyle w:val="ROZDZODDZOZNoznaczenierozdziauluboddziau"/>
      </w:pPr>
      <w:r w:rsidRPr="002D4237">
        <w:t>Rozdział 4</w:t>
      </w:r>
    </w:p>
    <w:p w14:paraId="11B3F7E8" w14:textId="77777777" w:rsidR="002D4237" w:rsidRPr="002D4237" w:rsidRDefault="002D4237" w:rsidP="0042722C">
      <w:pPr>
        <w:pStyle w:val="ROZDZODDZPRZEDMprzedmiotregulacjirozdziauluboddziau"/>
      </w:pPr>
      <w:r w:rsidRPr="002D4237">
        <w:t>Altruizm danych</w:t>
      </w:r>
    </w:p>
    <w:p w14:paraId="403A39BA" w14:textId="47A03945" w:rsidR="002D4237" w:rsidRPr="002D4237" w:rsidRDefault="002D4237" w:rsidP="002D4237">
      <w:pPr>
        <w:pStyle w:val="ARTartustawynprozporzdzenia"/>
      </w:pPr>
      <w:r w:rsidRPr="0042722C">
        <w:rPr>
          <w:rStyle w:val="Ppogrubienie"/>
        </w:rPr>
        <w:t>Art. </w:t>
      </w:r>
      <w:r w:rsidR="00ED6456">
        <w:rPr>
          <w:rStyle w:val="Ppogrubienie"/>
        </w:rPr>
        <w:t>28</w:t>
      </w:r>
      <w:r w:rsidRPr="0042722C">
        <w:rPr>
          <w:rStyle w:val="Ppogrubienie"/>
        </w:rPr>
        <w:t>.</w:t>
      </w:r>
      <w:r>
        <w:t> </w:t>
      </w:r>
      <w:r w:rsidRPr="002D4237">
        <w:t>1. Organ właściwy do spraw rejestracji organi</w:t>
      </w:r>
      <w:r w:rsidR="00F10A94">
        <w:t xml:space="preserve">zacji altruizmu danych prowadzi, </w:t>
      </w:r>
      <w:r w:rsidRPr="002D4237">
        <w:t>przy użyciu systemu teleinformatycznego</w:t>
      </w:r>
      <w:r w:rsidR="00F10A94">
        <w:t>,</w:t>
      </w:r>
      <w:r w:rsidRPr="002D4237">
        <w:t xml:space="preserve"> publiczny krajowy rejestr uznanych organizacji altruizmu danych, o którym mowa w art. 17 ust. 1 rozporządzenia 2022/868</w:t>
      </w:r>
      <w:r w:rsidR="004A6F91">
        <w:t>, zwany dalej „krajowym rejestrem”</w:t>
      </w:r>
      <w:r w:rsidRPr="002D4237">
        <w:t>.</w:t>
      </w:r>
    </w:p>
    <w:p w14:paraId="14C56220" w14:textId="7308C9D0" w:rsidR="002D4237" w:rsidRPr="002D4237" w:rsidRDefault="002D4237" w:rsidP="002D4237">
      <w:pPr>
        <w:pStyle w:val="USTustnpkodeksu"/>
      </w:pPr>
      <w:r w:rsidRPr="002D4237">
        <w:t>2.</w:t>
      </w:r>
      <w:r>
        <w:t> </w:t>
      </w:r>
      <w:r w:rsidRPr="002D4237">
        <w:t>W krajowym rejestrze gromadzi się dane, o których mowa w art. 19 ust. 6 rozporządzenia 2022/868.</w:t>
      </w:r>
    </w:p>
    <w:p w14:paraId="73521906" w14:textId="716FC905" w:rsidR="002D4237" w:rsidRPr="002D4237" w:rsidRDefault="002D4237" w:rsidP="002D4237">
      <w:pPr>
        <w:pStyle w:val="USTustnpkodeksu"/>
      </w:pPr>
      <w:r w:rsidRPr="002D4237">
        <w:t>3.</w:t>
      </w:r>
      <w:r>
        <w:t> </w:t>
      </w:r>
      <w:r w:rsidRPr="002D4237">
        <w:t>Organ właściwy do spraw rejestracji organizacji altruizmu danych udostępnia krajowy rejestr w Biuletynie Informacji Publicznej Urzędu Ochrony Konkurencji i Konsumentów w</w:t>
      </w:r>
      <w:r w:rsidR="00283607">
        <w:t> </w:t>
      </w:r>
      <w:r w:rsidRPr="002D4237">
        <w:t xml:space="preserve">menu przedmiotowym w kategorii </w:t>
      </w:r>
      <w:r w:rsidR="0042722C">
        <w:t>„</w:t>
      </w:r>
      <w:r w:rsidR="00283607">
        <w:t>Krajowy r</w:t>
      </w:r>
      <w:r w:rsidR="00283607" w:rsidRPr="002D4237">
        <w:t xml:space="preserve">ejestr </w:t>
      </w:r>
      <w:r w:rsidRPr="002D4237">
        <w:t>uznanych organizacji altruizmu</w:t>
      </w:r>
      <w:r w:rsidR="00283607">
        <w:t xml:space="preserve"> danych</w:t>
      </w:r>
      <w:r w:rsidR="0042722C">
        <w:t>”</w:t>
      </w:r>
      <w:r w:rsidRPr="002D4237">
        <w:t>.</w:t>
      </w:r>
    </w:p>
    <w:p w14:paraId="2F96EC3F" w14:textId="687FB9C7" w:rsidR="002D4237" w:rsidRPr="002D4237" w:rsidRDefault="002D4237" w:rsidP="002D4237">
      <w:pPr>
        <w:pStyle w:val="ARTartustawynprozporzdzenia"/>
      </w:pPr>
      <w:r w:rsidRPr="0042722C">
        <w:rPr>
          <w:rStyle w:val="Ppogrubienie"/>
        </w:rPr>
        <w:t>Art. </w:t>
      </w:r>
      <w:r w:rsidR="00ED6456">
        <w:rPr>
          <w:rStyle w:val="Ppogrubienie"/>
        </w:rPr>
        <w:t>29</w:t>
      </w:r>
      <w:r w:rsidRPr="0042722C">
        <w:rPr>
          <w:rStyle w:val="Ppogrubienie"/>
        </w:rPr>
        <w:t>.</w:t>
      </w:r>
      <w:r>
        <w:t> </w:t>
      </w:r>
      <w:r w:rsidRPr="002D4237">
        <w:t xml:space="preserve">1. Wniosek o rejestrację w krajowym rejestrze, o którym mowa w art. 19 rozporządzenia 2022/868, zwany dalej </w:t>
      </w:r>
      <w:r w:rsidR="0042722C">
        <w:t>„</w:t>
      </w:r>
      <w:r w:rsidRPr="002D4237">
        <w:t>wnioskiem o rejestrację</w:t>
      </w:r>
      <w:r w:rsidR="0042722C">
        <w:t>”</w:t>
      </w:r>
      <w:r w:rsidR="00B76A44">
        <w:t>,</w:t>
      </w:r>
      <w:r w:rsidRPr="002D4237">
        <w:t xml:space="preserve"> wnosi się do organu właściwego do spraw rejestracji organizacji altruizmu danych na piśmie utrwalonym w postaci elektronicznej opatrzonym kwalifikowanym podpisem elektronicznym, podpisem zaufanym albo podpisem osobistym.</w:t>
      </w:r>
    </w:p>
    <w:p w14:paraId="4BF20A79" w14:textId="3116C312" w:rsidR="002D4237" w:rsidRPr="002D4237" w:rsidRDefault="002D4237" w:rsidP="002D4237">
      <w:pPr>
        <w:pStyle w:val="USTustnpkodeksu"/>
      </w:pPr>
      <w:r w:rsidRPr="002D4237">
        <w:lastRenderedPageBreak/>
        <w:t>2.</w:t>
      </w:r>
      <w:r>
        <w:t> </w:t>
      </w:r>
      <w:r w:rsidRPr="002D4237">
        <w:t xml:space="preserve">W zakresie nieuregulowanym ustawą </w:t>
      </w:r>
      <w:r w:rsidR="00B306BF">
        <w:t xml:space="preserve">lub rozporządzeniem 2022/868 </w:t>
      </w:r>
      <w:r w:rsidRPr="002D4237">
        <w:t>do wniosku o</w:t>
      </w:r>
      <w:r w:rsidR="000E4AFE">
        <w:t> </w:t>
      </w:r>
      <w:r w:rsidRPr="002D4237">
        <w:t>rejestrację stosuje się</w:t>
      </w:r>
      <w:r w:rsidR="004545EA">
        <w:t xml:space="preserve"> odpowiednio</w:t>
      </w:r>
      <w:r w:rsidRPr="002D4237">
        <w:t xml:space="preserve"> </w:t>
      </w:r>
      <w:r w:rsidR="00B76A44">
        <w:t xml:space="preserve">przepisy </w:t>
      </w:r>
      <w:r w:rsidRPr="002D4237">
        <w:t xml:space="preserve">art. 63 i </w:t>
      </w:r>
      <w:r w:rsidR="00822EAB">
        <w:t xml:space="preserve">art. </w:t>
      </w:r>
      <w:r w:rsidRPr="002D4237">
        <w:t>64 ustawy z dnia 14 czerwca 1960</w:t>
      </w:r>
      <w:r w:rsidR="000E4AFE">
        <w:t> </w:t>
      </w:r>
      <w:r w:rsidRPr="002D4237">
        <w:t xml:space="preserve">r. </w:t>
      </w:r>
      <w:r w:rsidR="00B76A44">
        <w:rPr>
          <w:rFonts w:cs="Times"/>
        </w:rPr>
        <w:t>‒</w:t>
      </w:r>
      <w:r w:rsidRPr="002D4237">
        <w:t xml:space="preserve"> Kodeks postępowania administracyjnego.</w:t>
      </w:r>
    </w:p>
    <w:p w14:paraId="1F8898C7" w14:textId="70E98B29" w:rsidR="002D4237" w:rsidRPr="002D4237" w:rsidRDefault="002D4237" w:rsidP="002D4237">
      <w:pPr>
        <w:pStyle w:val="USTustnpkodeksu"/>
      </w:pPr>
      <w:r w:rsidRPr="002D4237">
        <w:t>3.</w:t>
      </w:r>
      <w:r>
        <w:t> </w:t>
      </w:r>
      <w:r w:rsidRPr="002D4237">
        <w:t xml:space="preserve">Przepisy ust. 1 i 2 stosuje się odpowiednio do innych pism wnoszonych do organu właściwego do spraw rejestracji organizacji altruizmu danych przez </w:t>
      </w:r>
      <w:r w:rsidR="001B44A9">
        <w:t>uznane</w:t>
      </w:r>
      <w:r w:rsidRPr="002D4237">
        <w:t xml:space="preserve"> organizacje altruizmu danych, w szczególności do powiadomień</w:t>
      </w:r>
      <w:r w:rsidR="003D6E3C">
        <w:t xml:space="preserve"> oraz</w:t>
      </w:r>
      <w:r w:rsidRPr="002D4237">
        <w:t xml:space="preserve"> rocznych sprawozdań, o których mowa odpowiednio w art. 19 ust. 7</w:t>
      </w:r>
      <w:r w:rsidR="003D6E3C">
        <w:t xml:space="preserve"> i</w:t>
      </w:r>
      <w:r w:rsidRPr="002D4237">
        <w:t xml:space="preserve"> art. 20 ust. 2 rozporządzenia 2022/868.</w:t>
      </w:r>
    </w:p>
    <w:p w14:paraId="714AB2FF" w14:textId="6C402FC9" w:rsidR="002D4237" w:rsidRPr="002D4237" w:rsidRDefault="002D4237" w:rsidP="0042722C">
      <w:pPr>
        <w:pStyle w:val="ARTartustawynprozporzdzenia"/>
        <w:keepNext/>
      </w:pPr>
      <w:r w:rsidRPr="0042722C">
        <w:rPr>
          <w:rStyle w:val="Ppogrubienie"/>
        </w:rPr>
        <w:t>Art. </w:t>
      </w:r>
      <w:r w:rsidR="00ED6456">
        <w:rPr>
          <w:rStyle w:val="Ppogrubienie"/>
        </w:rPr>
        <w:t>30</w:t>
      </w:r>
      <w:r w:rsidRPr="0042722C">
        <w:rPr>
          <w:rStyle w:val="Ppogrubienie"/>
        </w:rPr>
        <w:t>.</w:t>
      </w:r>
      <w:r w:rsidRPr="002D4237">
        <w:t xml:space="preserve"> </w:t>
      </w:r>
      <w:r w:rsidRPr="00047CFA">
        <w:t>W przypadku</w:t>
      </w:r>
      <w:r w:rsidRPr="002D4237">
        <w:t xml:space="preserve"> </w:t>
      </w:r>
      <w:r w:rsidR="00AB49DF">
        <w:t xml:space="preserve">niezaprzestania naruszeń, </w:t>
      </w:r>
      <w:r w:rsidRPr="002D4237">
        <w:t>o których mowa w art. 24  ust. 3 rozporządzenia 2022/868</w:t>
      </w:r>
      <w:r w:rsidR="0024352A">
        <w:t>,</w:t>
      </w:r>
      <w:r w:rsidRPr="002D4237">
        <w:t xml:space="preserve"> organ właściwy do spraw rejestracji organizacji altruizmu danych:</w:t>
      </w:r>
    </w:p>
    <w:p w14:paraId="7C9C5821" w14:textId="45F59EF9" w:rsidR="002D4237" w:rsidRPr="002D4237" w:rsidRDefault="00AB49DF" w:rsidP="0042722C">
      <w:pPr>
        <w:pStyle w:val="PKTpunkt"/>
        <w:keepNext/>
      </w:pPr>
      <w:r>
        <w:t>1</w:t>
      </w:r>
      <w:r w:rsidR="002D4237" w:rsidRPr="002D4237">
        <w:t>)</w:t>
      </w:r>
      <w:r w:rsidR="002D4237">
        <w:tab/>
      </w:r>
      <w:r w:rsidR="002D4237" w:rsidRPr="002D4237">
        <w:t xml:space="preserve">na podstawie art. 24 ust. 4 rozporządzenia 2022/868 wzywa uznaną organizację altruizmu danych do zaprzestania, w wyznaczonym terminie, naruszeń wymogów </w:t>
      </w:r>
      <w:r w:rsidR="00047CFA">
        <w:t>określonych w </w:t>
      </w:r>
      <w:r w:rsidR="00ED6456" w:rsidRPr="00ED6456">
        <w:t xml:space="preserve">rozdziale 4 rozporządzenia 2022/868, zwanych dalej „wymogami </w:t>
      </w:r>
      <w:r w:rsidR="002D4237" w:rsidRPr="002D4237">
        <w:t>świadczenia usług altruizmu danych</w:t>
      </w:r>
      <w:r w:rsidR="00ED6456">
        <w:t>”</w:t>
      </w:r>
      <w:r w:rsidR="002D4237" w:rsidRPr="002D4237">
        <w:t xml:space="preserve"> wskazuj</w:t>
      </w:r>
      <w:r w:rsidR="0024352A">
        <w:t>ąc</w:t>
      </w:r>
      <w:r w:rsidR="002D4237" w:rsidRPr="002D4237">
        <w:t>:</w:t>
      </w:r>
    </w:p>
    <w:p w14:paraId="14EDE6D2" w14:textId="7AE0946A" w:rsidR="002D4237" w:rsidRPr="002D4237" w:rsidRDefault="002D4237" w:rsidP="002D4237">
      <w:pPr>
        <w:pStyle w:val="LITlitera"/>
      </w:pPr>
      <w:r w:rsidRPr="002D4237">
        <w:t>a)</w:t>
      </w:r>
      <w:r>
        <w:tab/>
      </w:r>
      <w:r w:rsidRPr="002D4237">
        <w:tab/>
        <w:t xml:space="preserve">środki, o których mowa w art. 24 ust. 5 lit. a i b rozporządzenia 2022/868, jakie </w:t>
      </w:r>
      <w:r w:rsidR="00B841E7">
        <w:t xml:space="preserve">mogą zostać </w:t>
      </w:r>
      <w:r w:rsidRPr="002D4237">
        <w:t>zastosowane w przypadku niezaprzestania w wyznaczonym terminie naruszeń wymogów świadczenia usług altruizmu danych,</w:t>
      </w:r>
    </w:p>
    <w:p w14:paraId="05BCD172" w14:textId="77777777" w:rsidR="002D4237" w:rsidRPr="002D4237" w:rsidRDefault="002D4237" w:rsidP="002D4237">
      <w:pPr>
        <w:pStyle w:val="LITlitera"/>
      </w:pPr>
      <w:r w:rsidRPr="002D4237">
        <w:t>b)</w:t>
      </w:r>
      <w:r>
        <w:tab/>
      </w:r>
      <w:r w:rsidRPr="002D4237">
        <w:tab/>
        <w:t>środki</w:t>
      </w:r>
      <w:r w:rsidR="0024352A">
        <w:t>,</w:t>
      </w:r>
      <w:r w:rsidRPr="002D4237">
        <w:t xml:space="preserve"> jakie należy wprowadzić w celu usunięcia naruszenia wymogów świadczenia usług altruizmu danych oraz sposób udokumentowania ich wprowadzenia lub</w:t>
      </w:r>
    </w:p>
    <w:p w14:paraId="37BBBD02" w14:textId="14AA9E2C" w:rsidR="002D4237" w:rsidRPr="002D4237" w:rsidRDefault="00B306BF" w:rsidP="002D4237">
      <w:pPr>
        <w:pStyle w:val="PKTpunkt"/>
      </w:pPr>
      <w:r>
        <w:t>2</w:t>
      </w:r>
      <w:r w:rsidR="002D4237" w:rsidRPr="002D4237">
        <w:t>)</w:t>
      </w:r>
      <w:r w:rsidR="002D4237">
        <w:tab/>
      </w:r>
      <w:r w:rsidR="002D4237" w:rsidRPr="002D4237">
        <w:t>informuje Prezesa Urzędu Ochrony Danych Osobowych o podjętych ustaleniach w przypadku zidentyfikowania ryzyka naruszenia danych osobowych.</w:t>
      </w:r>
    </w:p>
    <w:p w14:paraId="384ED137" w14:textId="1BAB1CE2" w:rsidR="002D4237" w:rsidRPr="002D4237" w:rsidRDefault="002D4237" w:rsidP="0042722C">
      <w:pPr>
        <w:pStyle w:val="ARTartustawynprozporzdzenia"/>
        <w:keepNext/>
      </w:pPr>
      <w:r w:rsidRPr="0042722C">
        <w:rPr>
          <w:rStyle w:val="Ppogrubienie"/>
        </w:rPr>
        <w:t>Art. </w:t>
      </w:r>
      <w:r w:rsidR="00ED6456">
        <w:rPr>
          <w:rStyle w:val="Ppogrubienie"/>
        </w:rPr>
        <w:t>31</w:t>
      </w:r>
      <w:r w:rsidRPr="0042722C">
        <w:rPr>
          <w:rStyle w:val="Ppogrubienie"/>
        </w:rPr>
        <w:t>.</w:t>
      </w:r>
      <w:r>
        <w:t> </w:t>
      </w:r>
      <w:r w:rsidRPr="002D4237">
        <w:t xml:space="preserve">1. W przypadku niezaprzestania naruszeń wymogów świadczenia usług altruizmu danych w terminie wyznaczonym w wezwaniu, o którym mowa w art. </w:t>
      </w:r>
      <w:r w:rsidR="00ED6456">
        <w:t>30</w:t>
      </w:r>
      <w:r w:rsidR="00ED6456" w:rsidRPr="002D4237">
        <w:t xml:space="preserve"> </w:t>
      </w:r>
      <w:r w:rsidRPr="002D4237">
        <w:t>ust. 1 pkt</w:t>
      </w:r>
      <w:r w:rsidR="00105E82">
        <w:t> </w:t>
      </w:r>
      <w:r w:rsidR="00ED6456">
        <w:t>1</w:t>
      </w:r>
      <w:r w:rsidR="0024352A">
        <w:t>,</w:t>
      </w:r>
      <w:r w:rsidRPr="002D4237">
        <w:t xml:space="preserve"> organ właściwy do spraw rejestracji organizacji altruizmu danych może, w drodze decyzji</w:t>
      </w:r>
      <w:r w:rsidR="003D7665" w:rsidRPr="003D7665">
        <w:t xml:space="preserve"> wykreślić uznaną organizację altruizmu danych z krajowego rejestru oraz z publicznego unijnego rejestru uznanych organizacji altruizmu danych, na podstawie art. 24 ust. 5 lit. b rozporządzenia 2022/868</w:t>
      </w:r>
      <w:r w:rsidRPr="002D4237">
        <w:t>:</w:t>
      </w:r>
    </w:p>
    <w:p w14:paraId="42BCFC81" w14:textId="75ADA121" w:rsidR="002D4237" w:rsidRPr="002D4237" w:rsidRDefault="002D4237" w:rsidP="002D4237">
      <w:pPr>
        <w:pStyle w:val="USTustnpkodeksu"/>
      </w:pPr>
      <w:r w:rsidRPr="002D4237">
        <w:t>2.</w:t>
      </w:r>
      <w:r>
        <w:t> </w:t>
      </w:r>
      <w:r w:rsidRPr="002D4237">
        <w:t>Informacje o wydaniu decyzji, o któr</w:t>
      </w:r>
      <w:r w:rsidR="00047CFA">
        <w:t>ej</w:t>
      </w:r>
      <w:r w:rsidRPr="002D4237">
        <w:t xml:space="preserve"> mowa w ust. 1, podlegają udostępnieniu w Biuletynie Informacji Publicznej Urzędu Ochrony Konkurencji i Konsumentów.</w:t>
      </w:r>
    </w:p>
    <w:p w14:paraId="2AF275E5" w14:textId="01A6A5D2" w:rsidR="002D4237" w:rsidRPr="002D4237" w:rsidRDefault="00ED6456" w:rsidP="002D4237">
      <w:pPr>
        <w:pStyle w:val="USTustnpkodeksu"/>
      </w:pPr>
      <w:r>
        <w:t>3</w:t>
      </w:r>
      <w:r w:rsidR="002D4237" w:rsidRPr="002D4237">
        <w:t>.</w:t>
      </w:r>
      <w:r w:rsidR="002D4237">
        <w:t> </w:t>
      </w:r>
      <w:r w:rsidR="002D4237" w:rsidRPr="002D4237">
        <w:t xml:space="preserve">W zakresie nieuregulowanym ustawą </w:t>
      </w:r>
      <w:r w:rsidR="00685AC1">
        <w:t xml:space="preserve">lub rozporządzeniem 2022/868 </w:t>
      </w:r>
      <w:r w:rsidR="00047CFA">
        <w:t>do decyzji o </w:t>
      </w:r>
      <w:r w:rsidR="002D4237" w:rsidRPr="002D4237">
        <w:t xml:space="preserve">wykreśleniu uznanej organizacji altruizmu danych z krajowego rejestru oraz z publicznego unijnego rejestru uznanych organizacji altruizmu danych stosuje się </w:t>
      </w:r>
      <w:r w:rsidR="005629DF">
        <w:t xml:space="preserve">odpowiednio </w:t>
      </w:r>
      <w:r w:rsidR="002D4237" w:rsidRPr="002D4237">
        <w:t>przepisy ustawy z dnia 14 czerwca 1960 r. – Kodeks postępowania administracyjnego.</w:t>
      </w:r>
    </w:p>
    <w:p w14:paraId="32A19D32" w14:textId="50914C83" w:rsidR="002D4237" w:rsidRPr="002D4237" w:rsidRDefault="002D4237" w:rsidP="002D4237">
      <w:pPr>
        <w:pStyle w:val="ARTartustawynprozporzdzenia"/>
      </w:pPr>
      <w:r w:rsidRPr="0042722C">
        <w:rPr>
          <w:rStyle w:val="Ppogrubienie"/>
        </w:rPr>
        <w:lastRenderedPageBreak/>
        <w:t>Art. </w:t>
      </w:r>
      <w:r w:rsidR="00ED6456">
        <w:rPr>
          <w:rStyle w:val="Ppogrubienie"/>
        </w:rPr>
        <w:t>32</w:t>
      </w:r>
      <w:r w:rsidRPr="0042722C">
        <w:rPr>
          <w:rStyle w:val="Ppogrubienie"/>
        </w:rPr>
        <w:t>.</w:t>
      </w:r>
      <w:r>
        <w:t> </w:t>
      </w:r>
      <w:r w:rsidRPr="002D4237">
        <w:t>1. Skargę przeciwko uznanej organizacji altruizmu danych, o której mowa w art. 27 rozporządzenia 2022/868</w:t>
      </w:r>
      <w:r w:rsidR="005629DF">
        <w:t>,</w:t>
      </w:r>
      <w:r w:rsidRPr="002D4237">
        <w:t xml:space="preserve"> wnosi się do organu właściwego do spraw rejestracji organizacji altruizmu danych na piśmie utrwalonym w postaci papierowej, opatrzonym własnoręcznym podpisem </w:t>
      </w:r>
      <w:r w:rsidR="00105E82">
        <w:t>albo</w:t>
      </w:r>
      <w:r w:rsidRPr="002D4237">
        <w:t xml:space="preserve"> </w:t>
      </w:r>
      <w:r w:rsidR="005629DF">
        <w:t xml:space="preserve">na piśmie utrwalonym </w:t>
      </w:r>
      <w:r w:rsidRPr="002D4237">
        <w:t>w postaci elektronicznej, opatrzonym kwalifikowanym podpisem elektronicznym, podpisem zaufanym albo podpisem osobistym</w:t>
      </w:r>
      <w:r w:rsidR="00105E82">
        <w:t>.</w:t>
      </w:r>
    </w:p>
    <w:p w14:paraId="7D185A2E" w14:textId="2ACF051A" w:rsidR="002D4237" w:rsidRPr="002D4237" w:rsidRDefault="002D4237" w:rsidP="002D4237">
      <w:pPr>
        <w:pStyle w:val="USTustnpkodeksu"/>
      </w:pPr>
      <w:r w:rsidRPr="002D4237">
        <w:t>2.</w:t>
      </w:r>
      <w:r>
        <w:t> </w:t>
      </w:r>
      <w:r w:rsidRPr="002D4237">
        <w:t xml:space="preserve">W zakresie nieuregulowanym ustawą </w:t>
      </w:r>
      <w:r w:rsidR="00685AC1">
        <w:t xml:space="preserve">lub rozporządzeniem </w:t>
      </w:r>
      <w:r w:rsidRPr="002D4237">
        <w:t xml:space="preserve">do skargi przeciwko uznanej organizacji altruizmu danych stosuje się </w:t>
      </w:r>
      <w:r w:rsidR="005629DF">
        <w:t xml:space="preserve">odpowiednio </w:t>
      </w:r>
      <w:r w:rsidR="004545EA">
        <w:t xml:space="preserve">przepisy </w:t>
      </w:r>
      <w:r w:rsidRPr="002D4237">
        <w:t xml:space="preserve">art. 63 i </w:t>
      </w:r>
      <w:r w:rsidR="004545EA">
        <w:t xml:space="preserve">art. </w:t>
      </w:r>
      <w:r w:rsidRPr="002D4237">
        <w:t xml:space="preserve">64 ustawy z dnia 14 czerwca 1960 r. </w:t>
      </w:r>
      <w:r w:rsidR="005629DF">
        <w:rPr>
          <w:rFonts w:cs="Times"/>
        </w:rPr>
        <w:t>‒</w:t>
      </w:r>
      <w:r w:rsidRPr="002D4237">
        <w:t xml:space="preserve"> Kodeks postępowania administracyjnego.</w:t>
      </w:r>
    </w:p>
    <w:p w14:paraId="2A48A0CE" w14:textId="16239200" w:rsidR="002D4237" w:rsidRPr="002D4237" w:rsidRDefault="002D4237" w:rsidP="002D4237">
      <w:pPr>
        <w:pStyle w:val="ARTartustawynprozporzdzenia"/>
      </w:pPr>
      <w:r w:rsidRPr="0042722C">
        <w:rPr>
          <w:rStyle w:val="Ppogrubienie"/>
        </w:rPr>
        <w:t>Art. </w:t>
      </w:r>
      <w:r w:rsidR="00ED6456">
        <w:rPr>
          <w:rStyle w:val="Ppogrubienie"/>
        </w:rPr>
        <w:t>33</w:t>
      </w:r>
      <w:r w:rsidRPr="0042722C">
        <w:rPr>
          <w:rStyle w:val="Ppogrubienie"/>
        </w:rPr>
        <w:t>.</w:t>
      </w:r>
      <w:r>
        <w:t> </w:t>
      </w:r>
      <w:r w:rsidRPr="002D4237">
        <w:t xml:space="preserve">1. Prezes Urzędu </w:t>
      </w:r>
      <w:r w:rsidR="007B5B86" w:rsidRPr="007B5B86">
        <w:t xml:space="preserve">Ochrony Konkurencji i Konsumentów </w:t>
      </w:r>
      <w:r w:rsidRPr="002D4237">
        <w:t>rozpatruje skargę przeciwko uznanej organizacji altruizmu danych bez zbędnej zwłoki, nie później jednak niż w</w:t>
      </w:r>
      <w:r w:rsidR="00636859">
        <w:t> </w:t>
      </w:r>
      <w:r w:rsidRPr="002D4237">
        <w:t xml:space="preserve">terminie 2 miesięcy od dnia </w:t>
      </w:r>
      <w:r w:rsidR="005629DF">
        <w:t xml:space="preserve">jej </w:t>
      </w:r>
      <w:r w:rsidRPr="002D4237">
        <w:t>wpływu.</w:t>
      </w:r>
    </w:p>
    <w:p w14:paraId="3F4DCFAF" w14:textId="77777777" w:rsidR="002D4237" w:rsidRPr="002D4237" w:rsidRDefault="002D4237" w:rsidP="002D4237">
      <w:pPr>
        <w:pStyle w:val="USTustnpkodeksu"/>
      </w:pPr>
      <w:r w:rsidRPr="002D4237">
        <w:t>2.</w:t>
      </w:r>
      <w:r>
        <w:t> </w:t>
      </w:r>
      <w:r w:rsidRPr="002D4237">
        <w:t>Jeżeli skarga nie może zostać rozpatrzona w terminie</w:t>
      </w:r>
      <w:r w:rsidR="00674921">
        <w:t>, o którym mowa w ust. 1,</w:t>
      </w:r>
      <w:r w:rsidRPr="002D4237">
        <w:t xml:space="preserve"> Prezes Urzędu </w:t>
      </w:r>
      <w:r w:rsidR="007B5B86" w:rsidRPr="007B5B86">
        <w:t xml:space="preserve">Ochrony Konkurencji i Konsumentów </w:t>
      </w:r>
      <w:r w:rsidRPr="002D4237">
        <w:t xml:space="preserve">zawiadamia skarżącego o przyczynach opóźnienia oraz o terminie, w jakim rozpatrzy skargę, nie dłuższym jednak niż 4 miesiące od dnia </w:t>
      </w:r>
      <w:r w:rsidR="005629DF">
        <w:t xml:space="preserve">jej </w:t>
      </w:r>
      <w:r w:rsidRPr="002D4237">
        <w:t>wpływu.</w:t>
      </w:r>
    </w:p>
    <w:p w14:paraId="2725460A" w14:textId="77777777" w:rsidR="002D4237" w:rsidRPr="002D4237" w:rsidRDefault="002D4237" w:rsidP="002D4237">
      <w:pPr>
        <w:pStyle w:val="ROZDZODDZOZNoznaczenierozdziauluboddziau"/>
      </w:pPr>
      <w:r w:rsidRPr="002D4237">
        <w:t>Rozdział 5</w:t>
      </w:r>
    </w:p>
    <w:p w14:paraId="5BFCC2D3" w14:textId="77777777" w:rsidR="002D4237" w:rsidRPr="002D4237" w:rsidRDefault="002D4237" w:rsidP="0042722C">
      <w:pPr>
        <w:pStyle w:val="ROZDZODDZPRZEDMprzedmiotregulacjirozdziauluboddziau"/>
      </w:pPr>
      <w:r w:rsidRPr="002D4237">
        <w:t>Przepisy o karach pieniężnych</w:t>
      </w:r>
    </w:p>
    <w:p w14:paraId="0ACB06A7" w14:textId="5174D157" w:rsidR="002D4237" w:rsidRPr="002D4237" w:rsidRDefault="002D4237" w:rsidP="0042722C">
      <w:pPr>
        <w:pStyle w:val="ARTartustawynprozporzdzenia"/>
        <w:keepNext/>
      </w:pPr>
      <w:r w:rsidRPr="0042722C">
        <w:rPr>
          <w:rStyle w:val="Ppogrubienie"/>
        </w:rPr>
        <w:t>Art. </w:t>
      </w:r>
      <w:r w:rsidR="00486978">
        <w:rPr>
          <w:rStyle w:val="Ppogrubienie"/>
        </w:rPr>
        <w:t>34</w:t>
      </w:r>
      <w:r w:rsidRPr="0042722C">
        <w:rPr>
          <w:rStyle w:val="Ppogrubienie"/>
        </w:rPr>
        <w:t>.</w:t>
      </w:r>
      <w:r>
        <w:t> </w:t>
      </w:r>
      <w:r w:rsidRPr="002D4237">
        <w:t>1. Organ właściwy do spraw usług pośrednictwa danych może nałożyć na dostawcę usług pośrednictwa danych, w drodze decyzji, karę pieniężną w wysokości nie większej niż 10% obrotu osiągniętego w roku obrotowym poprzedzającym rok nałożenia kary, jeżeli dostawca ten, choćby nieumyślnie:</w:t>
      </w:r>
    </w:p>
    <w:p w14:paraId="29CADAA9" w14:textId="77777777" w:rsidR="002D4237" w:rsidRPr="002D4237" w:rsidRDefault="002D4237" w:rsidP="002D4237">
      <w:pPr>
        <w:pStyle w:val="PKTpunkt"/>
      </w:pPr>
      <w:r w:rsidRPr="002D4237">
        <w:t>1)</w:t>
      </w:r>
      <w:r>
        <w:tab/>
      </w:r>
      <w:r w:rsidRPr="002D4237">
        <w:t>nie wykonuje obowiązku dotyczącego zgłoszenia zgodnie z art. 11 rozporządzenia 2022/868</w:t>
      </w:r>
      <w:r w:rsidR="0054070B">
        <w:t xml:space="preserve"> </w:t>
      </w:r>
      <w:r w:rsidR="00674921">
        <w:t>lub</w:t>
      </w:r>
    </w:p>
    <w:p w14:paraId="66333C64" w14:textId="77777777" w:rsidR="002D4237" w:rsidRPr="002D4237" w:rsidRDefault="002D4237" w:rsidP="002D4237">
      <w:pPr>
        <w:pStyle w:val="PKTpunkt"/>
      </w:pPr>
      <w:r w:rsidRPr="002D4237">
        <w:t>2)</w:t>
      </w:r>
      <w:r>
        <w:tab/>
      </w:r>
      <w:r w:rsidRPr="002D4237">
        <w:t>narusza warunki świadczenia usług pośrednictwa danych, o których mowa w art. 12 rozporządzenia 2022/868</w:t>
      </w:r>
      <w:r w:rsidR="0054070B">
        <w:t xml:space="preserve"> </w:t>
      </w:r>
      <w:r w:rsidR="00674921">
        <w:t>lub</w:t>
      </w:r>
    </w:p>
    <w:p w14:paraId="56A0AE9B" w14:textId="77777777" w:rsidR="002D4237" w:rsidRPr="002D4237" w:rsidRDefault="002D4237" w:rsidP="002D4237">
      <w:pPr>
        <w:pStyle w:val="PKTpunkt"/>
      </w:pPr>
      <w:r w:rsidRPr="002D4237">
        <w:t>3)</w:t>
      </w:r>
      <w:r>
        <w:tab/>
      </w:r>
      <w:r w:rsidRPr="002D4237">
        <w:t>narusza obowiązki dotyczące przekazywania danych nieosobowych do państw trzecich, o których mowa w art. 31 rozporządzenia 2022/868.</w:t>
      </w:r>
    </w:p>
    <w:p w14:paraId="486B497C" w14:textId="261C0945" w:rsidR="002D4237" w:rsidRPr="002D4237" w:rsidRDefault="004C5FE6" w:rsidP="002D4237">
      <w:pPr>
        <w:pStyle w:val="USTustnpkodeksu"/>
      </w:pPr>
      <w:r>
        <w:t>2</w:t>
      </w:r>
      <w:r w:rsidR="002D4237" w:rsidRPr="002D4237">
        <w:t>.</w:t>
      </w:r>
      <w:r w:rsidR="002D4237">
        <w:t> </w:t>
      </w:r>
      <w:r w:rsidR="002D4237" w:rsidRPr="002D4237">
        <w:t>Organ właściwy do spraw usług pośrednictwa danych wydając decyzję, o której mowa w ust. 1, uwzględnia okoliczności, o których mowa w art. 34 rozporządzenia 2022/868.</w:t>
      </w:r>
    </w:p>
    <w:p w14:paraId="56EF002C" w14:textId="11414E7E" w:rsidR="002D4237" w:rsidRDefault="004C5FE6" w:rsidP="002D4237">
      <w:pPr>
        <w:pStyle w:val="USTustnpkodeksu"/>
      </w:pPr>
      <w:r>
        <w:t>3</w:t>
      </w:r>
      <w:r w:rsidR="002D4237" w:rsidRPr="002D4237">
        <w:t>.</w:t>
      </w:r>
      <w:r w:rsidR="002D4237">
        <w:t> </w:t>
      </w:r>
      <w:r w:rsidR="002D4237" w:rsidRPr="002D4237">
        <w:t>Organ właściwy do spraw usług pośrednictwa danych może wydać decyzję, o której mowa w ust. 1, niezależnie od zastosowan</w:t>
      </w:r>
      <w:r w:rsidR="005629DF">
        <w:t>ia</w:t>
      </w:r>
      <w:r w:rsidR="002D4237" w:rsidRPr="002D4237">
        <w:t xml:space="preserve"> środków, o których mowa w art. </w:t>
      </w:r>
      <w:r w:rsidR="00486978">
        <w:t>25</w:t>
      </w:r>
      <w:r w:rsidR="00486978" w:rsidRPr="002D4237">
        <w:t xml:space="preserve"> </w:t>
      </w:r>
      <w:r w:rsidR="002D4237" w:rsidRPr="002D4237">
        <w:t>ust. 1.</w:t>
      </w:r>
    </w:p>
    <w:p w14:paraId="1FD061CB" w14:textId="0C5971F1" w:rsidR="004C5FE6" w:rsidRPr="002D4237" w:rsidRDefault="004C5FE6" w:rsidP="004C5FE6">
      <w:pPr>
        <w:pStyle w:val="USTustnpkodeksu"/>
      </w:pPr>
      <w:r>
        <w:t>4.</w:t>
      </w:r>
      <w:r w:rsidRPr="004C5FE6">
        <w:t xml:space="preserve"> </w:t>
      </w:r>
      <w:r w:rsidRPr="002D4237">
        <w:t xml:space="preserve">W zakresie nieuregulowanym ustawą </w:t>
      </w:r>
      <w:r>
        <w:t xml:space="preserve">lub rozporządzeniem 2022/868 </w:t>
      </w:r>
      <w:r w:rsidRPr="002D4237">
        <w:t xml:space="preserve">do </w:t>
      </w:r>
      <w:r w:rsidR="00636859">
        <w:t>decyzji, o </w:t>
      </w:r>
      <w:r>
        <w:t>której mowa w ust. 1</w:t>
      </w:r>
      <w:r w:rsidR="00083932">
        <w:t>,</w:t>
      </w:r>
      <w:r>
        <w:t xml:space="preserve"> </w:t>
      </w:r>
      <w:r w:rsidRPr="002D4237">
        <w:t xml:space="preserve">stosuje się </w:t>
      </w:r>
      <w:r>
        <w:t xml:space="preserve">odpowiednio </w:t>
      </w:r>
      <w:r w:rsidRPr="002D4237">
        <w:t xml:space="preserve">przepisy </w:t>
      </w:r>
      <w:r>
        <w:t xml:space="preserve">art. </w:t>
      </w:r>
      <w:r w:rsidRPr="002D4237">
        <w:t xml:space="preserve">106 ust. 3-8 ustawy z dnia z dnia </w:t>
      </w:r>
      <w:r w:rsidRPr="002D4237">
        <w:lastRenderedPageBreak/>
        <w:t>16 lutego 2007 r. o ochronie konkurencji i konsumentów (Dz. U.</w:t>
      </w:r>
      <w:r w:rsidR="00636859">
        <w:t xml:space="preserve"> z 2021 r. poz. 275, z 2022 </w:t>
      </w:r>
      <w:r w:rsidRPr="002D4237">
        <w:t>r. poz. 2581 i 2640</w:t>
      </w:r>
      <w:r w:rsidR="00636859">
        <w:t xml:space="preserve"> oraz z 2023 poz. 852</w:t>
      </w:r>
      <w:r w:rsidRPr="002D4237">
        <w:t>).</w:t>
      </w:r>
    </w:p>
    <w:p w14:paraId="29E687EE" w14:textId="26EFDA65" w:rsidR="002D4237" w:rsidRPr="002D4237" w:rsidRDefault="002D4237" w:rsidP="0042722C">
      <w:pPr>
        <w:pStyle w:val="ARTartustawynprozporzdzenia"/>
        <w:keepNext/>
      </w:pPr>
      <w:r w:rsidRPr="0042722C">
        <w:rPr>
          <w:rStyle w:val="Ppogrubienie"/>
        </w:rPr>
        <w:t>Art. </w:t>
      </w:r>
      <w:r w:rsidR="00486978">
        <w:rPr>
          <w:rStyle w:val="Ppogrubienie"/>
        </w:rPr>
        <w:t>35</w:t>
      </w:r>
      <w:r w:rsidRPr="0042722C">
        <w:rPr>
          <w:rStyle w:val="Ppogrubienie"/>
        </w:rPr>
        <w:t>.</w:t>
      </w:r>
      <w:r>
        <w:t> </w:t>
      </w:r>
      <w:r w:rsidRPr="002D4237">
        <w:t>1. Organ właściwy do spraw rejestracji organizacji altruizmu danych może nałożyć na uznaną organizację altruizmu danych, w drodze decyzji, karę pieniężną w wysokości nieprzekraczającej kwoty</w:t>
      </w:r>
      <w:r w:rsidR="00D52A86">
        <w:t xml:space="preserve"> 5 000 euro</w:t>
      </w:r>
      <w:r w:rsidRPr="002D4237">
        <w:t>, jeżeli organizacja ta, choćby nieumyślnie:</w:t>
      </w:r>
    </w:p>
    <w:p w14:paraId="0BF9772D" w14:textId="77777777" w:rsidR="002D4237" w:rsidRPr="002D4237" w:rsidRDefault="002D4237" w:rsidP="002D4237">
      <w:pPr>
        <w:pStyle w:val="PKTpunkt"/>
      </w:pPr>
      <w:r w:rsidRPr="002D4237">
        <w:t>1)</w:t>
      </w:r>
      <w:r>
        <w:tab/>
      </w:r>
      <w:r w:rsidRPr="002D4237">
        <w:t>narusza obowiązki dotyczące warunków rejestracji, o których mowa w art. 18 rozporządzenia 2022/868</w:t>
      </w:r>
      <w:r w:rsidR="0054070B">
        <w:t xml:space="preserve"> </w:t>
      </w:r>
      <w:r w:rsidR="00674921">
        <w:t>lub</w:t>
      </w:r>
    </w:p>
    <w:p w14:paraId="7C5DB849" w14:textId="1F95ECC8" w:rsidR="002D4237" w:rsidRPr="002D4237" w:rsidRDefault="002D4237" w:rsidP="002D4237">
      <w:pPr>
        <w:pStyle w:val="PKTpunkt"/>
      </w:pPr>
      <w:r w:rsidRPr="002D4237">
        <w:t>2)</w:t>
      </w:r>
      <w:r>
        <w:tab/>
      </w:r>
      <w:r w:rsidRPr="002D4237">
        <w:t>nie spełnia wymogów, o których mowa w art. 20-22 rozporządzenia 2022/868.</w:t>
      </w:r>
    </w:p>
    <w:p w14:paraId="3273B88A" w14:textId="77777777" w:rsidR="002D4237" w:rsidRPr="002D4237" w:rsidRDefault="002D4237" w:rsidP="002D4237">
      <w:pPr>
        <w:pStyle w:val="USTustnpkodeksu"/>
      </w:pPr>
      <w:r w:rsidRPr="002D4237">
        <w:t>2.</w:t>
      </w:r>
      <w:r>
        <w:t> </w:t>
      </w:r>
      <w:r w:rsidRPr="002D4237">
        <w:t>Organ właściwy do spraw rejestracji organizacji altruizmu danych wydając decyzję, o której mowa w ust. 1, uwzględnia okoliczności, o których mowa w art. 34 rozporządzenia 2022/868.</w:t>
      </w:r>
    </w:p>
    <w:p w14:paraId="1C7B4EE4" w14:textId="62BC6558" w:rsidR="002D4237" w:rsidRPr="002D4237" w:rsidRDefault="002D4237" w:rsidP="002D4237">
      <w:pPr>
        <w:pStyle w:val="USTustnpkodeksu"/>
      </w:pPr>
      <w:r w:rsidRPr="002D4237">
        <w:t>3.</w:t>
      </w:r>
      <w:r>
        <w:t> </w:t>
      </w:r>
      <w:r w:rsidRPr="002D4237">
        <w:t>Organ właściwy do spraw rejestracji organizacji altruizmu danych może wydać decyzję, o której mowa w ust. 1, niezależnie od zastosowan</w:t>
      </w:r>
      <w:r w:rsidR="00523F3A">
        <w:t>ia</w:t>
      </w:r>
      <w:r w:rsidRPr="002D4237">
        <w:t xml:space="preserve"> środków, o których mowa w art. </w:t>
      </w:r>
      <w:r w:rsidR="00486978">
        <w:t>31</w:t>
      </w:r>
      <w:r w:rsidR="00486978" w:rsidRPr="002D4237">
        <w:t xml:space="preserve"> </w:t>
      </w:r>
      <w:r w:rsidRPr="002D4237">
        <w:t>ust. 1.</w:t>
      </w:r>
    </w:p>
    <w:p w14:paraId="418E429E" w14:textId="4D01D0CD" w:rsidR="002D4237" w:rsidRPr="002D4237" w:rsidRDefault="002D4237" w:rsidP="002D4237">
      <w:pPr>
        <w:pStyle w:val="ARTartustawynprozporzdzenia"/>
      </w:pPr>
      <w:r w:rsidRPr="0042722C">
        <w:rPr>
          <w:rStyle w:val="Ppogrubienie"/>
        </w:rPr>
        <w:t>Art. </w:t>
      </w:r>
      <w:r w:rsidR="00486978">
        <w:rPr>
          <w:rStyle w:val="Ppogrubienie"/>
        </w:rPr>
        <w:t>36</w:t>
      </w:r>
      <w:r w:rsidRPr="002D4237">
        <w:rPr>
          <w:rStyle w:val="Ppogrubienie"/>
        </w:rPr>
        <w:t>.</w:t>
      </w:r>
      <w:r>
        <w:t> </w:t>
      </w:r>
      <w:r w:rsidRPr="002D4237">
        <w:t xml:space="preserve">1. W zakresie nieuregulowanym w ustawie lub rozporządzeniu 2022/868 do decyzji, o których mowa w art. </w:t>
      </w:r>
      <w:r w:rsidR="00486978">
        <w:t>34</w:t>
      </w:r>
      <w:r w:rsidR="00486978" w:rsidRPr="002D4237">
        <w:t xml:space="preserve"> </w:t>
      </w:r>
      <w:r w:rsidRPr="002D4237">
        <w:t xml:space="preserve">i </w:t>
      </w:r>
      <w:r w:rsidR="000E286F">
        <w:t xml:space="preserve">art. </w:t>
      </w:r>
      <w:r w:rsidR="00486978">
        <w:t>35</w:t>
      </w:r>
      <w:r w:rsidR="00523F3A">
        <w:t>,</w:t>
      </w:r>
      <w:r w:rsidRPr="002D4237">
        <w:t xml:space="preserve"> stosuje się </w:t>
      </w:r>
      <w:r w:rsidR="00523F3A">
        <w:t xml:space="preserve">odpowiednio </w:t>
      </w:r>
      <w:r w:rsidRPr="002D4237">
        <w:t xml:space="preserve">przepisy ustawy z dnia 14 czerwca 1960 r. </w:t>
      </w:r>
      <w:r w:rsidR="00523F3A">
        <w:rPr>
          <w:rFonts w:cs="Times"/>
        </w:rPr>
        <w:t>‒</w:t>
      </w:r>
      <w:r w:rsidRPr="002D4237">
        <w:t xml:space="preserve"> Kodeks postępowania administracyjnego.</w:t>
      </w:r>
    </w:p>
    <w:p w14:paraId="099E6D4F" w14:textId="7BABF914" w:rsidR="002D4237" w:rsidRPr="002D4237" w:rsidRDefault="002D4237" w:rsidP="002D4237">
      <w:pPr>
        <w:pStyle w:val="USTustnpkodeksu"/>
      </w:pPr>
      <w:r w:rsidRPr="002D4237">
        <w:t>2.</w:t>
      </w:r>
      <w:r>
        <w:t> </w:t>
      </w:r>
      <w:r w:rsidRPr="002D4237">
        <w:t xml:space="preserve">Środki finansowe pochodzące z kar pieniężnych, o których mowa w art. </w:t>
      </w:r>
      <w:r w:rsidR="00486978">
        <w:t>34</w:t>
      </w:r>
      <w:r w:rsidR="00486978" w:rsidRPr="002D4237">
        <w:t xml:space="preserve"> </w:t>
      </w:r>
      <w:r w:rsidRPr="002D4237">
        <w:t xml:space="preserve">i </w:t>
      </w:r>
      <w:r w:rsidR="00523F3A">
        <w:t xml:space="preserve">art. </w:t>
      </w:r>
      <w:r w:rsidR="00486978">
        <w:t>35</w:t>
      </w:r>
      <w:r w:rsidRPr="002D4237">
        <w:t>, stanowią dochód budżetu państwa.</w:t>
      </w:r>
    </w:p>
    <w:p w14:paraId="1DD4353C" w14:textId="43859FBB" w:rsidR="002D4237" w:rsidRPr="002D4237" w:rsidRDefault="002D4237" w:rsidP="002D4237">
      <w:pPr>
        <w:pStyle w:val="ARTartustawynprozporzdzenia"/>
      </w:pPr>
      <w:r w:rsidRPr="002D4237">
        <w:rPr>
          <w:rStyle w:val="Ppogrubienie"/>
        </w:rPr>
        <w:t>Art. </w:t>
      </w:r>
      <w:r w:rsidR="00486978">
        <w:rPr>
          <w:rStyle w:val="Ppogrubienie"/>
        </w:rPr>
        <w:t>37</w:t>
      </w:r>
      <w:r w:rsidRPr="002D4237">
        <w:rPr>
          <w:rStyle w:val="Ppogrubienie"/>
        </w:rPr>
        <w:t>.</w:t>
      </w:r>
      <w:r>
        <w:t> </w:t>
      </w:r>
      <w:r w:rsidRPr="002D4237">
        <w:t xml:space="preserve">1. Kary pieniężne nałożone w drodze decyzji, o których mowa w art. </w:t>
      </w:r>
      <w:r w:rsidR="00486978">
        <w:t>34</w:t>
      </w:r>
      <w:r w:rsidR="00486978" w:rsidRPr="002D4237">
        <w:t xml:space="preserve"> </w:t>
      </w:r>
      <w:r w:rsidRPr="002D4237">
        <w:t xml:space="preserve">i </w:t>
      </w:r>
      <w:r w:rsidR="00DB0AD1">
        <w:t xml:space="preserve">art. </w:t>
      </w:r>
      <w:r w:rsidR="00486978">
        <w:t>35</w:t>
      </w:r>
      <w:r w:rsidR="00DB0AD1">
        <w:t>,</w:t>
      </w:r>
      <w:r w:rsidRPr="002D4237">
        <w:t xml:space="preserve"> uiszcza się w terminie 14 dni od dnia uprawomocnienia się decyzji.</w:t>
      </w:r>
    </w:p>
    <w:p w14:paraId="710B07D9" w14:textId="77777777" w:rsidR="002D4237" w:rsidRPr="002D4237" w:rsidRDefault="002D4237" w:rsidP="002D4237">
      <w:pPr>
        <w:pStyle w:val="USTustnpkodeksu"/>
      </w:pPr>
      <w:r w:rsidRPr="002D4237">
        <w:t>2.</w:t>
      </w:r>
      <w:r>
        <w:t> </w:t>
      </w:r>
      <w:r w:rsidRPr="002D4237">
        <w:t xml:space="preserve">W razie upływu terminu, o którym mowa w ust. </w:t>
      </w:r>
      <w:r w:rsidR="00DB0AD1">
        <w:t>1</w:t>
      </w:r>
      <w:r w:rsidRPr="002D4237">
        <w:t>, kara pieniężna podlega ściągnięciu w trybie przepisów o postępowaniu egzekucyjnym w administracji.</w:t>
      </w:r>
    </w:p>
    <w:p w14:paraId="4F3913DB" w14:textId="77777777" w:rsidR="002D4237" w:rsidRPr="002D4237" w:rsidRDefault="002D4237" w:rsidP="002D4237">
      <w:pPr>
        <w:pStyle w:val="USTustnpkodeksu"/>
      </w:pPr>
      <w:r w:rsidRPr="002D4237">
        <w:t>3.</w:t>
      </w:r>
      <w:r>
        <w:t> </w:t>
      </w:r>
      <w:r w:rsidRPr="002D4237">
        <w:t>W przypadku nieterminowego uiszczenia kary pieniężnej odsetek nie pobiera się.</w:t>
      </w:r>
    </w:p>
    <w:p w14:paraId="5BBB947F" w14:textId="77777777" w:rsidR="002D4237" w:rsidRDefault="002D4237" w:rsidP="002D4237">
      <w:pPr>
        <w:pStyle w:val="USTustnpkodeksu"/>
      </w:pPr>
      <w:r w:rsidRPr="002D4237">
        <w:t>4.</w:t>
      </w:r>
      <w:r>
        <w:t> </w:t>
      </w:r>
      <w:r w:rsidRPr="002D4237">
        <w:t>W przypadku uchylenia bądź zmiany prawomocnej decyzji, których następstwem jest uchylenie kary pieniężnej bądź obniżenie jej wysokości, uiszczona kara podlega zwrotowi w części albo w całości w terminie 14 dni od dnia doręczenia wezwania do zwrotu tej kary wraz z odpisem orzeczenia sądu i</w:t>
      </w:r>
      <w:r w:rsidR="000E286F">
        <w:t xml:space="preserve"> </w:t>
      </w:r>
      <w:r w:rsidR="000E286F">
        <w:rPr>
          <w:rFonts w:cs="Times"/>
        </w:rPr>
        <w:t>‒</w:t>
      </w:r>
      <w:r w:rsidRPr="002D4237">
        <w:t xml:space="preserve"> w uzasadnionym przypadku</w:t>
      </w:r>
      <w:r w:rsidR="000E286F">
        <w:t xml:space="preserve"> </w:t>
      </w:r>
      <w:r w:rsidR="000E286F">
        <w:rPr>
          <w:rFonts w:cs="Times"/>
        </w:rPr>
        <w:t>‒</w:t>
      </w:r>
      <w:r w:rsidRPr="002D4237">
        <w:t xml:space="preserve"> stwierdzeniem jego prawomocności. Przy zwrocie kary odsetek nie nalicza się.</w:t>
      </w:r>
    </w:p>
    <w:p w14:paraId="0DAECAC9" w14:textId="28918CA4" w:rsidR="00806B3B" w:rsidRPr="002D4237" w:rsidRDefault="00806B3B" w:rsidP="002D4237">
      <w:pPr>
        <w:pStyle w:val="USTustnpkodeksu"/>
      </w:pPr>
      <w:r>
        <w:t xml:space="preserve">5. </w:t>
      </w:r>
      <w:r w:rsidRPr="00806B3B">
        <w:t>Przeliczenie wartości euro oraz innych walut obcych na złote oraz wartości złotego na euro jest dokonywane według kursu średniego walut obcych ogłoszonego przez Narodowy Bank Polski w ostatnim dniu roku kalendarzowego poprzedzającego rok nałożenia kary</w:t>
      </w:r>
      <w:r>
        <w:t>.</w:t>
      </w:r>
    </w:p>
    <w:p w14:paraId="463CA11B" w14:textId="77777777" w:rsidR="002D4237" w:rsidRPr="002D4237" w:rsidRDefault="002D4237" w:rsidP="002D4237">
      <w:pPr>
        <w:pStyle w:val="ROZDZODDZOZNoznaczenierozdziauluboddziau"/>
      </w:pPr>
      <w:r w:rsidRPr="002D4237">
        <w:lastRenderedPageBreak/>
        <w:t>Rozdział 6</w:t>
      </w:r>
    </w:p>
    <w:p w14:paraId="1EFD61E7" w14:textId="77777777" w:rsidR="002D4237" w:rsidRDefault="002D4237" w:rsidP="002D4237">
      <w:pPr>
        <w:pStyle w:val="ROZDZODDZPRZEDMprzedmiotregulacjirozdziauluboddziau"/>
      </w:pPr>
      <w:r w:rsidRPr="002D4237">
        <w:t>Przepis końcow</w:t>
      </w:r>
      <w:r w:rsidR="00F176D4">
        <w:t>y</w:t>
      </w:r>
    </w:p>
    <w:p w14:paraId="79A18D44" w14:textId="5B20C660" w:rsidR="002D4237" w:rsidRDefault="002D4237" w:rsidP="002D4237">
      <w:pPr>
        <w:pStyle w:val="ARTartustawynprozporzdzenia"/>
      </w:pPr>
      <w:bookmarkStart w:id="1" w:name="mip50582475"/>
      <w:bookmarkStart w:id="2" w:name="mip50582476"/>
      <w:bookmarkStart w:id="3" w:name="mip50582477"/>
      <w:bookmarkStart w:id="4" w:name="mip50582478"/>
      <w:bookmarkStart w:id="5" w:name="mip50582479"/>
      <w:bookmarkStart w:id="6" w:name="mip50582480"/>
      <w:bookmarkStart w:id="7" w:name="mip50582481"/>
      <w:bookmarkStart w:id="8" w:name="mip50582482"/>
      <w:bookmarkStart w:id="9" w:name="mip50582483"/>
      <w:bookmarkStart w:id="10" w:name="mip50582484"/>
      <w:bookmarkStart w:id="11" w:name="mip50582485"/>
      <w:bookmarkEnd w:id="1"/>
      <w:bookmarkEnd w:id="2"/>
      <w:bookmarkEnd w:id="3"/>
      <w:bookmarkEnd w:id="4"/>
      <w:bookmarkEnd w:id="5"/>
      <w:bookmarkEnd w:id="6"/>
      <w:bookmarkEnd w:id="7"/>
      <w:bookmarkEnd w:id="8"/>
      <w:bookmarkEnd w:id="9"/>
      <w:bookmarkEnd w:id="10"/>
      <w:bookmarkEnd w:id="11"/>
      <w:r w:rsidRPr="002D4237">
        <w:rPr>
          <w:rStyle w:val="Ppogrubienie"/>
        </w:rPr>
        <w:t>Art. </w:t>
      </w:r>
      <w:r w:rsidR="000955F5">
        <w:rPr>
          <w:rStyle w:val="Ppogrubienie"/>
        </w:rPr>
        <w:t>38</w:t>
      </w:r>
      <w:r w:rsidR="004D7E83">
        <w:rPr>
          <w:rStyle w:val="Ppogrubienie"/>
        </w:rPr>
        <w:t>.</w:t>
      </w:r>
      <w:r>
        <w:t> </w:t>
      </w:r>
      <w:r w:rsidRPr="002D4237">
        <w:t xml:space="preserve">Ustawa wchodzi w życie </w:t>
      </w:r>
      <w:r w:rsidR="00915618" w:rsidRPr="00915618">
        <w:t>po upływie 14 dni od dnia ogłoszenia</w:t>
      </w:r>
      <w:r w:rsidR="001035A3">
        <w:t>.</w:t>
      </w:r>
    </w:p>
    <w:p w14:paraId="1367392E" w14:textId="5365ED0F" w:rsidR="008F72D8" w:rsidRDefault="008F72D8" w:rsidP="002D4237">
      <w:pPr>
        <w:pStyle w:val="ARTartustawynprozporzdzenia"/>
      </w:pPr>
    </w:p>
    <w:p w14:paraId="08442927" w14:textId="296806B6" w:rsidR="008F72D8" w:rsidRDefault="008F72D8" w:rsidP="002D4237">
      <w:pPr>
        <w:pStyle w:val="ARTartustawynprozporzdzenia"/>
      </w:pPr>
    </w:p>
    <w:p w14:paraId="16D64E2F" w14:textId="7C1819FE" w:rsidR="008F72D8" w:rsidRDefault="008F72D8" w:rsidP="002D4237">
      <w:pPr>
        <w:pStyle w:val="ARTartustawynprozporzdzenia"/>
      </w:pPr>
    </w:p>
    <w:p w14:paraId="1B79DBA1" w14:textId="77777777" w:rsidR="008F72D8" w:rsidRPr="000B2552" w:rsidRDefault="008F72D8" w:rsidP="000B2552">
      <w:pPr>
        <w:spacing w:line="240" w:lineRule="auto"/>
        <w:ind w:left="37"/>
        <w:rPr>
          <w:sz w:val="20"/>
        </w:rPr>
      </w:pPr>
      <w:r w:rsidRPr="000B2552">
        <w:rPr>
          <w:sz w:val="20"/>
        </w:rPr>
        <w:t>ZA ZGODNOŚĆ POD WZGLĘDEM PRAWNYM,</w:t>
      </w:r>
    </w:p>
    <w:p w14:paraId="2CEB697C" w14:textId="77777777" w:rsidR="008F72D8" w:rsidRPr="000B2552" w:rsidRDefault="008F72D8" w:rsidP="000B2552">
      <w:pPr>
        <w:spacing w:line="240" w:lineRule="auto"/>
        <w:ind w:left="37"/>
        <w:rPr>
          <w:sz w:val="20"/>
        </w:rPr>
      </w:pPr>
      <w:r w:rsidRPr="000B2552">
        <w:rPr>
          <w:sz w:val="20"/>
        </w:rPr>
        <w:t>LEGISLACYJNYM I REDAKCYJNYM</w:t>
      </w:r>
    </w:p>
    <w:p w14:paraId="5E3A8426" w14:textId="77777777" w:rsidR="008F72D8" w:rsidRPr="000B2552" w:rsidRDefault="008F72D8" w:rsidP="000B2552">
      <w:pPr>
        <w:spacing w:line="240" w:lineRule="auto"/>
        <w:ind w:left="37"/>
        <w:rPr>
          <w:sz w:val="20"/>
        </w:rPr>
      </w:pPr>
      <w:r w:rsidRPr="000B2552">
        <w:rPr>
          <w:sz w:val="20"/>
        </w:rPr>
        <w:t>Anna Markowska</w:t>
      </w:r>
    </w:p>
    <w:p w14:paraId="05EC984D" w14:textId="77777777" w:rsidR="008F72D8" w:rsidRPr="000B2552" w:rsidRDefault="008F72D8" w:rsidP="000B2552">
      <w:pPr>
        <w:spacing w:line="240" w:lineRule="auto"/>
        <w:ind w:left="37"/>
        <w:rPr>
          <w:sz w:val="20"/>
        </w:rPr>
      </w:pPr>
      <w:r w:rsidRPr="000B2552">
        <w:rPr>
          <w:sz w:val="20"/>
        </w:rPr>
        <w:t>Zastępca Dyrektora Departamentu Prawnego</w:t>
      </w:r>
    </w:p>
    <w:p w14:paraId="43AA0CD3" w14:textId="132FE129" w:rsidR="008F72D8" w:rsidRDefault="008F72D8" w:rsidP="000B2552">
      <w:pPr>
        <w:spacing w:line="240" w:lineRule="auto"/>
        <w:ind w:left="37"/>
        <w:sectPr w:rsidR="008F72D8" w:rsidSect="000B2552">
          <w:headerReference w:type="even" r:id="rId9"/>
          <w:headerReference w:type="default" r:id="rId10"/>
          <w:footerReference w:type="even" r:id="rId11"/>
          <w:footerReference w:type="default" r:id="rId12"/>
          <w:headerReference w:type="first" r:id="rId13"/>
          <w:footerReference w:type="first" r:id="rId14"/>
          <w:footnotePr>
            <w:numRestart w:val="eachSect"/>
          </w:footnotePr>
          <w:pgSz w:w="11906" w:h="16838"/>
          <w:pgMar w:top="1560" w:right="1434" w:bottom="1135" w:left="1418" w:header="709" w:footer="709" w:gutter="0"/>
          <w:cols w:space="708"/>
          <w:titlePg/>
          <w:docGrid w:linePitch="254"/>
        </w:sectPr>
      </w:pPr>
      <w:r w:rsidRPr="000B2552">
        <w:rPr>
          <w:sz w:val="20"/>
        </w:rPr>
        <w:t>w Ministerstwie Cyfryzacji</w:t>
      </w:r>
    </w:p>
    <w:p w14:paraId="45B56C4E" w14:textId="747785D8" w:rsidR="002D4237" w:rsidRPr="00DB0AD1" w:rsidRDefault="002D4237" w:rsidP="002D4237">
      <w:pPr>
        <w:pStyle w:val="ARTartustawynprozporzdzenia"/>
        <w:jc w:val="center"/>
        <w:rPr>
          <w:rStyle w:val="Ppogrubienie"/>
        </w:rPr>
      </w:pPr>
      <w:r w:rsidRPr="00DB0AD1">
        <w:rPr>
          <w:rStyle w:val="Ppogrubienie"/>
        </w:rPr>
        <w:lastRenderedPageBreak/>
        <w:t>UZASADNIENIE</w:t>
      </w:r>
    </w:p>
    <w:p w14:paraId="5C08B6E3" w14:textId="64331542" w:rsidR="002D4237" w:rsidRPr="00DB0AD1" w:rsidRDefault="002D4237" w:rsidP="00F11475">
      <w:pPr>
        <w:pStyle w:val="NIEARTTEKSTtekstnieartykuowanynppodstprawnarozplubpreambua"/>
        <w:numPr>
          <w:ilvl w:val="0"/>
          <w:numId w:val="11"/>
        </w:numPr>
        <w:spacing w:before="360"/>
        <w:ind w:left="1225" w:hanging="357"/>
        <w:rPr>
          <w:rStyle w:val="Ppogrubienie"/>
        </w:rPr>
      </w:pPr>
      <w:r w:rsidRPr="00DB0AD1">
        <w:rPr>
          <w:rStyle w:val="Ppogrubienie"/>
        </w:rPr>
        <w:t>Cel projektowanej regulacji.</w:t>
      </w:r>
    </w:p>
    <w:p w14:paraId="555D1867" w14:textId="37159840" w:rsidR="002D4237" w:rsidRDefault="000B2552" w:rsidP="00DB0AD1">
      <w:pPr>
        <w:pStyle w:val="NIEARTTEKSTtekstnieartykuowanynppodstprawnarozplubpreambua"/>
        <w:ind w:firstLine="0"/>
        <w:rPr>
          <w:color w:val="000000"/>
        </w:rPr>
      </w:pPr>
      <w:r>
        <w:rPr>
          <w:color w:val="000000"/>
        </w:rPr>
        <w:t xml:space="preserve">W dniu </w:t>
      </w:r>
      <w:r w:rsidR="002D4237">
        <w:rPr>
          <w:color w:val="000000"/>
        </w:rPr>
        <w:t>23 czerwca 2022 r. weszło w życie r</w:t>
      </w:r>
      <w:r w:rsidR="002D4237" w:rsidRPr="0051135A">
        <w:rPr>
          <w:color w:val="000000"/>
        </w:rPr>
        <w:t xml:space="preserve">ozporządzenie Parlamentu Europejskiego i Rady (UE) </w:t>
      </w:r>
      <w:r w:rsidR="002D4237">
        <w:rPr>
          <w:color w:val="000000"/>
        </w:rPr>
        <w:t xml:space="preserve">2022/868 z dnia 30 maja 2022 r. </w:t>
      </w:r>
      <w:r w:rsidR="002D4237" w:rsidRPr="0051135A">
        <w:rPr>
          <w:color w:val="000000"/>
        </w:rPr>
        <w:t>w sprawie eur</w:t>
      </w:r>
      <w:r w:rsidR="002D4237">
        <w:rPr>
          <w:color w:val="000000"/>
        </w:rPr>
        <w:t>opejskiego zarządzania danymi i </w:t>
      </w:r>
      <w:r w:rsidR="002D4237" w:rsidRPr="0051135A">
        <w:rPr>
          <w:color w:val="000000"/>
        </w:rPr>
        <w:t>zmieniające rozporządzenie (UE) 2018/1724 (akt w sprawie zarządzania danymi)</w:t>
      </w:r>
      <w:r w:rsidR="001257F2">
        <w:rPr>
          <w:color w:val="000000"/>
        </w:rPr>
        <w:t xml:space="preserve">, </w:t>
      </w:r>
      <w:r w:rsidR="002D4237">
        <w:rPr>
          <w:color w:val="000000"/>
        </w:rPr>
        <w:t xml:space="preserve">dalej jako </w:t>
      </w:r>
      <w:r w:rsidR="001257F2">
        <w:rPr>
          <w:color w:val="000000"/>
        </w:rPr>
        <w:t>„</w:t>
      </w:r>
      <w:r w:rsidR="002D4237">
        <w:rPr>
          <w:color w:val="000000"/>
        </w:rPr>
        <w:t>DGA</w:t>
      </w:r>
      <w:r w:rsidR="001257F2">
        <w:rPr>
          <w:color w:val="000000"/>
        </w:rPr>
        <w:t>”</w:t>
      </w:r>
      <w:r w:rsidR="002D4237">
        <w:rPr>
          <w:color w:val="000000"/>
        </w:rPr>
        <w:t xml:space="preserve"> lub </w:t>
      </w:r>
      <w:r w:rsidR="001257F2">
        <w:rPr>
          <w:color w:val="000000"/>
        </w:rPr>
        <w:t>„</w:t>
      </w:r>
      <w:r w:rsidR="002D4237">
        <w:rPr>
          <w:color w:val="000000"/>
        </w:rPr>
        <w:t>rozporządzenie</w:t>
      </w:r>
      <w:r w:rsidR="001257F2">
        <w:rPr>
          <w:color w:val="000000"/>
        </w:rPr>
        <w:t>” (</w:t>
      </w:r>
      <w:r w:rsidR="001257F2" w:rsidRPr="001257F2">
        <w:rPr>
          <w:color w:val="000000"/>
        </w:rPr>
        <w:t>Dz. Urz. UE L 152 z 03.06.2022, str. 1</w:t>
      </w:r>
      <w:r w:rsidR="002D4237">
        <w:rPr>
          <w:color w:val="000000"/>
        </w:rPr>
        <w:t>). DGA reguluje trzy główne obszary:</w:t>
      </w:r>
    </w:p>
    <w:p w14:paraId="6F7DFD82" w14:textId="52926752" w:rsidR="002D4237" w:rsidRPr="004D7E83" w:rsidRDefault="000B2552" w:rsidP="000B2552">
      <w:pPr>
        <w:pStyle w:val="NIEARTTEKSTtekstnieartykuowanynppodstprawnarozplubpreambua"/>
        <w:ind w:firstLine="0"/>
        <w:rPr>
          <w:color w:val="000000"/>
          <w:szCs w:val="24"/>
        </w:rPr>
      </w:pPr>
      <w:r>
        <w:rPr>
          <w:rFonts w:ascii="Times New Roman" w:hAnsi="Times New Roman"/>
          <w:color w:val="000000"/>
          <w:szCs w:val="24"/>
        </w:rPr>
        <w:t>1)</w:t>
      </w:r>
      <w:r>
        <w:rPr>
          <w:rFonts w:ascii="Times New Roman" w:hAnsi="Times New Roman"/>
          <w:color w:val="000000"/>
          <w:szCs w:val="24"/>
        </w:rPr>
        <w:tab/>
      </w:r>
      <w:r w:rsidR="002D4237" w:rsidRPr="00A96B5A">
        <w:rPr>
          <w:rFonts w:ascii="Times New Roman" w:hAnsi="Times New Roman"/>
          <w:color w:val="000000"/>
          <w:szCs w:val="24"/>
        </w:rPr>
        <w:t>Ponowne w</w:t>
      </w:r>
      <w:r w:rsidR="002D4237" w:rsidRPr="005B3699">
        <w:rPr>
          <w:rFonts w:ascii="Times New Roman" w:hAnsi="Times New Roman"/>
          <w:color w:val="000000"/>
          <w:szCs w:val="24"/>
        </w:rPr>
        <w:t>ykorzystywanie niektórych kategori</w:t>
      </w:r>
      <w:r w:rsidR="002D4237">
        <w:rPr>
          <w:rFonts w:ascii="Times New Roman" w:hAnsi="Times New Roman"/>
          <w:color w:val="000000"/>
          <w:szCs w:val="24"/>
        </w:rPr>
        <w:t>i chronionych danych (dalej jako: chronione dane) będących w </w:t>
      </w:r>
      <w:r w:rsidR="002D4237" w:rsidRPr="005B3699">
        <w:rPr>
          <w:rFonts w:ascii="Times New Roman" w:hAnsi="Times New Roman"/>
          <w:color w:val="000000"/>
          <w:szCs w:val="24"/>
        </w:rPr>
        <w:t>posiadaniu podmiotów sektora publicznego</w:t>
      </w:r>
      <w:r w:rsidR="002D4237" w:rsidRPr="005B3699">
        <w:rPr>
          <w:rFonts w:ascii="Times New Roman" w:hAnsi="Times New Roman"/>
          <w:szCs w:val="24"/>
        </w:rPr>
        <w:t xml:space="preserve">, tj. </w:t>
      </w:r>
      <w:r w:rsidR="002D4237" w:rsidRPr="005B3699">
        <w:rPr>
          <w:rFonts w:ascii="Times New Roman" w:hAnsi="Times New Roman"/>
          <w:color w:val="000000"/>
          <w:szCs w:val="24"/>
        </w:rPr>
        <w:t>danych wyłączonych z</w:t>
      </w:r>
      <w:r>
        <w:rPr>
          <w:rFonts w:ascii="Times New Roman" w:hAnsi="Times New Roman"/>
          <w:color w:val="000000"/>
          <w:szCs w:val="24"/>
        </w:rPr>
        <w:t> </w:t>
      </w:r>
      <w:r w:rsidR="002D4237" w:rsidRPr="005B3699">
        <w:rPr>
          <w:rFonts w:ascii="Times New Roman" w:hAnsi="Times New Roman"/>
          <w:color w:val="000000"/>
          <w:szCs w:val="24"/>
        </w:rPr>
        <w:t>zakresu regulacji dyrektywy</w:t>
      </w:r>
      <w:r w:rsidR="002D4237" w:rsidRPr="005B3699">
        <w:rPr>
          <w:rFonts w:ascii="Times New Roman" w:hAnsi="Times New Roman"/>
          <w:szCs w:val="24"/>
        </w:rPr>
        <w:t xml:space="preserve"> </w:t>
      </w:r>
      <w:r w:rsidR="002D4237" w:rsidRPr="005B3699">
        <w:rPr>
          <w:rFonts w:ascii="Times New Roman" w:hAnsi="Times New Roman"/>
          <w:color w:val="000000"/>
          <w:szCs w:val="24"/>
        </w:rPr>
        <w:t xml:space="preserve">Parlamentu Europejskiego i Rady (UE) 2019/1024 z dnia 20 czerwca 2019 r. w sprawie otwartych danych i ponownego wykorzystywania </w:t>
      </w:r>
      <w:r w:rsidR="002D4237">
        <w:rPr>
          <w:rFonts w:ascii="Times New Roman" w:hAnsi="Times New Roman"/>
          <w:color w:val="000000"/>
          <w:szCs w:val="24"/>
        </w:rPr>
        <w:t>informacji sektora publicznego</w:t>
      </w:r>
      <w:r w:rsidR="001257F2">
        <w:rPr>
          <w:rFonts w:ascii="Times New Roman" w:hAnsi="Times New Roman"/>
          <w:color w:val="000000"/>
          <w:szCs w:val="24"/>
        </w:rPr>
        <w:t xml:space="preserve">, </w:t>
      </w:r>
      <w:r w:rsidR="002D4237" w:rsidRPr="003C5893">
        <w:rPr>
          <w:rFonts w:ascii="Times New Roman" w:hAnsi="Times New Roman"/>
          <w:color w:val="000000"/>
          <w:szCs w:val="24"/>
        </w:rPr>
        <w:t xml:space="preserve">dalej jako </w:t>
      </w:r>
      <w:r w:rsidR="001257F2">
        <w:rPr>
          <w:rFonts w:ascii="Times New Roman" w:hAnsi="Times New Roman"/>
          <w:color w:val="000000"/>
          <w:szCs w:val="24"/>
        </w:rPr>
        <w:t>„</w:t>
      </w:r>
      <w:r w:rsidR="002D4237" w:rsidRPr="003C5893">
        <w:rPr>
          <w:rFonts w:ascii="Times New Roman" w:hAnsi="Times New Roman"/>
          <w:color w:val="000000"/>
          <w:szCs w:val="24"/>
        </w:rPr>
        <w:t xml:space="preserve">dyrektywa </w:t>
      </w:r>
      <w:r w:rsidR="00707FA5">
        <w:rPr>
          <w:rFonts w:ascii="Times New Roman" w:hAnsi="Times New Roman"/>
          <w:color w:val="000000"/>
          <w:szCs w:val="24"/>
        </w:rPr>
        <w:t>w sprawie</w:t>
      </w:r>
      <w:r w:rsidR="002D4237" w:rsidRPr="003C5893">
        <w:rPr>
          <w:rFonts w:ascii="Times New Roman" w:hAnsi="Times New Roman"/>
          <w:color w:val="000000"/>
          <w:szCs w:val="24"/>
        </w:rPr>
        <w:t xml:space="preserve"> otwartych danych</w:t>
      </w:r>
      <w:r w:rsidR="001257F2">
        <w:rPr>
          <w:rFonts w:ascii="Times New Roman" w:hAnsi="Times New Roman"/>
          <w:color w:val="000000"/>
          <w:szCs w:val="24"/>
        </w:rPr>
        <w:t xml:space="preserve">” </w:t>
      </w:r>
      <w:r w:rsidR="00617639">
        <w:rPr>
          <w:rFonts w:ascii="Times New Roman" w:hAnsi="Times New Roman"/>
          <w:color w:val="000000"/>
          <w:szCs w:val="24"/>
        </w:rPr>
        <w:t xml:space="preserve">lub „dyrektywa” </w:t>
      </w:r>
      <w:r w:rsidR="001257F2">
        <w:rPr>
          <w:rFonts w:ascii="Times New Roman" w:hAnsi="Times New Roman"/>
          <w:color w:val="000000"/>
          <w:szCs w:val="24"/>
        </w:rPr>
        <w:t>(</w:t>
      </w:r>
      <w:r w:rsidR="001257F2" w:rsidRPr="001257F2">
        <w:rPr>
          <w:color w:val="000000"/>
          <w:szCs w:val="24"/>
        </w:rPr>
        <w:t>Dz. Urz. UE L 172 z 26.06.2019, str. 56</w:t>
      </w:r>
      <w:r w:rsidR="001257F2">
        <w:rPr>
          <w:color w:val="000000"/>
          <w:szCs w:val="24"/>
        </w:rPr>
        <w:t>)</w:t>
      </w:r>
      <w:r w:rsidR="002D4237" w:rsidRPr="005B3699">
        <w:rPr>
          <w:rFonts w:ascii="Times New Roman" w:hAnsi="Times New Roman"/>
          <w:color w:val="000000"/>
          <w:szCs w:val="24"/>
        </w:rPr>
        <w:t>. Regulacje te dotyczą danych chronionych ze względu na:</w:t>
      </w:r>
    </w:p>
    <w:p w14:paraId="4F73591D" w14:textId="4723B7A0" w:rsidR="002D4237" w:rsidRPr="005B3699" w:rsidRDefault="002D4237" w:rsidP="00F11475">
      <w:pPr>
        <w:pStyle w:val="NIEARTTEKSTtekstnieartykuowanynppodstprawnarozplubpreambua"/>
        <w:numPr>
          <w:ilvl w:val="0"/>
          <w:numId w:val="2"/>
        </w:numPr>
        <w:rPr>
          <w:rFonts w:ascii="Times New Roman" w:hAnsi="Times New Roman"/>
          <w:color w:val="000000"/>
          <w:szCs w:val="24"/>
        </w:rPr>
      </w:pPr>
      <w:r w:rsidRPr="005B3699">
        <w:rPr>
          <w:rFonts w:ascii="Times New Roman" w:hAnsi="Times New Roman"/>
          <w:color w:val="000000"/>
          <w:szCs w:val="24"/>
        </w:rPr>
        <w:t>poufność informacji handlowych, w tym</w:t>
      </w:r>
      <w:r>
        <w:rPr>
          <w:rFonts w:ascii="Times New Roman" w:hAnsi="Times New Roman"/>
          <w:color w:val="000000"/>
          <w:szCs w:val="24"/>
        </w:rPr>
        <w:t xml:space="preserve"> tajemnicę handlową, zawodową i </w:t>
      </w:r>
      <w:r w:rsidRPr="005B3699">
        <w:rPr>
          <w:rFonts w:ascii="Times New Roman" w:hAnsi="Times New Roman"/>
          <w:color w:val="000000"/>
          <w:szCs w:val="24"/>
        </w:rPr>
        <w:t>tajemnicę przedsiębiorstwa,</w:t>
      </w:r>
    </w:p>
    <w:p w14:paraId="172E952A" w14:textId="324C1CEB" w:rsidR="002D4237" w:rsidRPr="005B3699" w:rsidRDefault="002D4237" w:rsidP="00F11475">
      <w:pPr>
        <w:pStyle w:val="NIEARTTEKSTtekstnieartykuowanynppodstprawnarozplubpreambua"/>
        <w:numPr>
          <w:ilvl w:val="0"/>
          <w:numId w:val="2"/>
        </w:numPr>
        <w:rPr>
          <w:rFonts w:ascii="Times New Roman" w:hAnsi="Times New Roman"/>
          <w:color w:val="000000"/>
          <w:szCs w:val="24"/>
        </w:rPr>
      </w:pPr>
      <w:r w:rsidRPr="005B3699">
        <w:rPr>
          <w:rFonts w:ascii="Times New Roman" w:hAnsi="Times New Roman"/>
          <w:color w:val="000000"/>
          <w:szCs w:val="24"/>
        </w:rPr>
        <w:t>poufność informacji statystycznych,</w:t>
      </w:r>
    </w:p>
    <w:p w14:paraId="711D27C0" w14:textId="303FD523" w:rsidR="002D4237" w:rsidRPr="005B3699" w:rsidRDefault="002D4237" w:rsidP="00F11475">
      <w:pPr>
        <w:pStyle w:val="NIEARTTEKSTtekstnieartykuowanynppodstprawnarozplubpreambua"/>
        <w:numPr>
          <w:ilvl w:val="0"/>
          <w:numId w:val="2"/>
        </w:numPr>
        <w:rPr>
          <w:rFonts w:ascii="Times New Roman" w:hAnsi="Times New Roman"/>
          <w:color w:val="000000"/>
          <w:szCs w:val="24"/>
        </w:rPr>
      </w:pPr>
      <w:r w:rsidRPr="005B3699">
        <w:rPr>
          <w:rFonts w:ascii="Times New Roman" w:hAnsi="Times New Roman"/>
          <w:color w:val="000000"/>
          <w:szCs w:val="24"/>
        </w:rPr>
        <w:t>ochronę praw własności intelektualnej osób trzecich,</w:t>
      </w:r>
    </w:p>
    <w:p w14:paraId="068AD322" w14:textId="66727FAA" w:rsidR="002D4237" w:rsidRPr="005B3699" w:rsidRDefault="002D4237" w:rsidP="00F11475">
      <w:pPr>
        <w:pStyle w:val="NIEARTTEKSTtekstnieartykuowanynppodstprawnarozplubpreambua"/>
        <w:numPr>
          <w:ilvl w:val="0"/>
          <w:numId w:val="2"/>
        </w:numPr>
        <w:rPr>
          <w:rFonts w:ascii="Times New Roman" w:hAnsi="Times New Roman"/>
          <w:color w:val="000000"/>
          <w:szCs w:val="24"/>
        </w:rPr>
      </w:pPr>
      <w:r w:rsidRPr="005B3699">
        <w:rPr>
          <w:rFonts w:ascii="Times New Roman" w:hAnsi="Times New Roman"/>
          <w:color w:val="000000"/>
          <w:szCs w:val="24"/>
        </w:rPr>
        <w:t xml:space="preserve">ochronę danych osobowych w zakresie, w jakim dane te wykraczają poza zakres stosowania dyrektywy </w:t>
      </w:r>
      <w:r w:rsidR="00707FA5">
        <w:rPr>
          <w:rFonts w:ascii="Times New Roman" w:hAnsi="Times New Roman"/>
          <w:color w:val="000000"/>
          <w:szCs w:val="24"/>
        </w:rPr>
        <w:t>w sprawie</w:t>
      </w:r>
      <w:r>
        <w:rPr>
          <w:rFonts w:ascii="Times New Roman" w:hAnsi="Times New Roman"/>
          <w:color w:val="000000"/>
          <w:szCs w:val="24"/>
        </w:rPr>
        <w:t xml:space="preserve"> </w:t>
      </w:r>
      <w:r w:rsidRPr="005B3699">
        <w:rPr>
          <w:rFonts w:ascii="Times New Roman" w:hAnsi="Times New Roman"/>
          <w:color w:val="000000"/>
          <w:szCs w:val="24"/>
        </w:rPr>
        <w:t>otwartych danych.</w:t>
      </w:r>
    </w:p>
    <w:p w14:paraId="4407B062" w14:textId="5198880E" w:rsidR="002C0C0F" w:rsidRDefault="002D4237" w:rsidP="00F11475">
      <w:pPr>
        <w:pStyle w:val="NIEARTTEKSTtekstnieartykuowanynppodstprawnarozplubpreambua"/>
        <w:numPr>
          <w:ilvl w:val="0"/>
          <w:numId w:val="1"/>
        </w:numPr>
        <w:ind w:left="426"/>
        <w:rPr>
          <w:rFonts w:ascii="Times New Roman" w:hAnsi="Times New Roman"/>
          <w:color w:val="000000"/>
          <w:szCs w:val="24"/>
        </w:rPr>
      </w:pPr>
      <w:r w:rsidRPr="005B3699">
        <w:rPr>
          <w:rFonts w:ascii="Times New Roman" w:hAnsi="Times New Roman"/>
          <w:color w:val="000000"/>
          <w:szCs w:val="24"/>
        </w:rPr>
        <w:t>Usługi pośrednictwa danych</w:t>
      </w:r>
      <w:r>
        <w:rPr>
          <w:rFonts w:ascii="Times New Roman" w:hAnsi="Times New Roman"/>
          <w:color w:val="000000"/>
          <w:szCs w:val="24"/>
        </w:rPr>
        <w:t>.</w:t>
      </w:r>
    </w:p>
    <w:p w14:paraId="25661FD7" w14:textId="63A85F1E" w:rsidR="002D4237" w:rsidRPr="002C0C0F" w:rsidRDefault="002D4237" w:rsidP="00F11475">
      <w:pPr>
        <w:pStyle w:val="NIEARTTEKSTtekstnieartykuowanynppodstprawnarozplubpreambua"/>
        <w:numPr>
          <w:ilvl w:val="0"/>
          <w:numId w:val="1"/>
        </w:numPr>
        <w:ind w:left="426"/>
        <w:rPr>
          <w:rFonts w:ascii="Times New Roman" w:hAnsi="Times New Roman"/>
          <w:color w:val="000000"/>
          <w:szCs w:val="24"/>
        </w:rPr>
      </w:pPr>
      <w:r w:rsidRPr="002C0C0F">
        <w:rPr>
          <w:rFonts w:ascii="Times New Roman" w:hAnsi="Times New Roman"/>
          <w:color w:val="000000"/>
          <w:szCs w:val="24"/>
        </w:rPr>
        <w:t>Altruizm danych.</w:t>
      </w:r>
    </w:p>
    <w:p w14:paraId="59E0498E" w14:textId="384611B8" w:rsidR="002D4237" w:rsidRDefault="002D4237" w:rsidP="00DB0AD1">
      <w:pPr>
        <w:pStyle w:val="NIEARTTEKSTtekstnieartykuowanynppodstprawnarozplubpreambua"/>
        <w:ind w:firstLine="0"/>
        <w:rPr>
          <w:color w:val="000000"/>
        </w:rPr>
      </w:pPr>
      <w:r w:rsidRPr="005B3699">
        <w:rPr>
          <w:color w:val="000000"/>
          <w:szCs w:val="24"/>
        </w:rPr>
        <w:t>W rozporządzeniu uregulowano</w:t>
      </w:r>
      <w:r>
        <w:rPr>
          <w:color w:val="000000"/>
        </w:rPr>
        <w:t xml:space="preserve"> również funkcjonowanie Europejskiej Rady d</w:t>
      </w:r>
      <w:r w:rsidR="000B2552">
        <w:rPr>
          <w:color w:val="000000"/>
        </w:rPr>
        <w:t>o spraw</w:t>
      </w:r>
      <w:r>
        <w:rPr>
          <w:color w:val="000000"/>
        </w:rPr>
        <w:t xml:space="preserve"> Innowacji w zakresie Danych, a także problematykę transferu danych nieosobowych do państw trzecich.</w:t>
      </w:r>
    </w:p>
    <w:p w14:paraId="0C72AD3F" w14:textId="3747EB9B" w:rsidR="002D4237" w:rsidRDefault="002D4237" w:rsidP="00DB0AD1">
      <w:pPr>
        <w:pStyle w:val="NIEARTTEKSTtekstnieartykuowanynppodstprawnarozplubpreambua"/>
        <w:ind w:firstLine="0"/>
      </w:pPr>
      <w:r w:rsidRPr="00420993">
        <w:rPr>
          <w:color w:val="000000"/>
        </w:rPr>
        <w:t>DGA wprowadza horyzontalne ramy zarządzania danymi. Poziom unifikacji przepisów do</w:t>
      </w:r>
      <w:r>
        <w:rPr>
          <w:color w:val="000000"/>
        </w:rPr>
        <w:t>tyczących systemu stosowania rozporządzenia</w:t>
      </w:r>
      <w:r w:rsidRPr="00420993">
        <w:rPr>
          <w:color w:val="000000"/>
        </w:rPr>
        <w:t xml:space="preserve"> </w:t>
      </w:r>
      <w:r>
        <w:rPr>
          <w:color w:val="000000"/>
        </w:rPr>
        <w:t xml:space="preserve">nie </w:t>
      </w:r>
      <w:r w:rsidRPr="00420993">
        <w:rPr>
          <w:color w:val="000000"/>
        </w:rPr>
        <w:t xml:space="preserve">jest jednak </w:t>
      </w:r>
      <w:r>
        <w:rPr>
          <w:color w:val="000000"/>
        </w:rPr>
        <w:t>pełny</w:t>
      </w:r>
      <w:r w:rsidRPr="00420993">
        <w:rPr>
          <w:color w:val="000000"/>
        </w:rPr>
        <w:t>. Prawodawca unijny pozostawił państwom</w:t>
      </w:r>
      <w:r>
        <w:rPr>
          <w:color w:val="000000"/>
        </w:rPr>
        <w:t xml:space="preserve"> członkowskim pewną swobodę w </w:t>
      </w:r>
      <w:r w:rsidRPr="00420993">
        <w:rPr>
          <w:color w:val="000000"/>
        </w:rPr>
        <w:t>zakresie organizacji tego systemu. W</w:t>
      </w:r>
      <w:r w:rsidR="000B2552">
        <w:rPr>
          <w:color w:val="000000"/>
        </w:rPr>
        <w:t> </w:t>
      </w:r>
      <w:r w:rsidRPr="00420993">
        <w:rPr>
          <w:color w:val="000000"/>
        </w:rPr>
        <w:t>największym stopniu dotyczy to zorganizow</w:t>
      </w:r>
      <w:r>
        <w:rPr>
          <w:color w:val="000000"/>
        </w:rPr>
        <w:t>ania otoczenia instytucjonalno-regulacyjnego. W aspekcie instytucjonalnym k</w:t>
      </w:r>
      <w:r w:rsidRPr="00420993">
        <w:rPr>
          <w:color w:val="000000"/>
        </w:rPr>
        <w:t xml:space="preserve">ażde państwo członkowskie </w:t>
      </w:r>
      <w:r>
        <w:rPr>
          <w:color w:val="000000"/>
        </w:rPr>
        <w:t>zobowiązane jest powołać lub</w:t>
      </w:r>
      <w:r w:rsidRPr="00420993">
        <w:rPr>
          <w:color w:val="000000"/>
        </w:rPr>
        <w:t xml:space="preserve"> </w:t>
      </w:r>
      <w:r w:rsidRPr="00420993">
        <w:rPr>
          <w:color w:val="000000"/>
        </w:rPr>
        <w:lastRenderedPageBreak/>
        <w:t>wyznaczyć podmioty</w:t>
      </w:r>
      <w:r w:rsidRPr="00420993">
        <w:t>, które pełnić bę</w:t>
      </w:r>
      <w:r>
        <w:t xml:space="preserve">dą zadania właściwego podmiotu oraz </w:t>
      </w:r>
      <w:r w:rsidRPr="00420993">
        <w:t>pojedynczego punktu informacyjnego</w:t>
      </w:r>
      <w:r>
        <w:t xml:space="preserve"> </w:t>
      </w:r>
      <w:r w:rsidRPr="00420993">
        <w:t>(w odniesieniu do ponownego wykorzystywania chronionych danych)</w:t>
      </w:r>
      <w:r>
        <w:t xml:space="preserve">, a także </w:t>
      </w:r>
      <w:r w:rsidRPr="00420993">
        <w:t>organu właściwego do spraw usług pośrednictwa danych oraz organu właściwego do spraw rejestracji organizacji altruizmu danych. Podmioty te powinny być zdolne d</w:t>
      </w:r>
      <w:r>
        <w:t>o realizacji zadań wskazanych w </w:t>
      </w:r>
      <w:r w:rsidRPr="00420993">
        <w:t>rozporządzeniu.</w:t>
      </w:r>
      <w:r>
        <w:t xml:space="preserve"> W aspekcie regulacyjnym DGA nakłada na państwa członkowskie obowiązek unormowania w prawie krajowym niektórych kwestii proceduralnych, a także wymaga ustanowienia przepisów dotyczących</w:t>
      </w:r>
      <w:r w:rsidRPr="00593ECA">
        <w:t xml:space="preserve"> kar</w:t>
      </w:r>
      <w:r>
        <w:t xml:space="preserve"> za naruszenie obowiązków przewidzianych w rozporządzeniu.</w:t>
      </w:r>
    </w:p>
    <w:p w14:paraId="266D0981" w14:textId="77777777" w:rsidR="002D4237" w:rsidRPr="003C5893" w:rsidRDefault="002D4237" w:rsidP="00DB0AD1">
      <w:pPr>
        <w:pStyle w:val="NIEARTTEKSTtekstnieartykuowanynppodstprawnarozplubpreambua"/>
        <w:ind w:firstLine="0"/>
        <w:rPr>
          <w:rFonts w:ascii="Times New Roman" w:hAnsi="Times New Roman"/>
          <w:color w:val="000000"/>
          <w:szCs w:val="24"/>
        </w:rPr>
      </w:pPr>
      <w:r w:rsidRPr="003C5893">
        <w:rPr>
          <w:rFonts w:ascii="Times New Roman" w:hAnsi="Times New Roman"/>
          <w:color w:val="000000"/>
          <w:szCs w:val="24"/>
        </w:rPr>
        <w:t>Rozporządzenie będzie stosowane bezpośrednio we wszystkich państwach członkowskich od 24 września 2023 r. W związku z tym, że polskie prawo nie przewiduje obecnie rozwiązań, które odpowiadałyby mechanizmom regulowanym przez DGA, konieczne jest uchwalenie krajowych regulacji, które będą służyć stosowaniu przepisów rozporządzenia.</w:t>
      </w:r>
    </w:p>
    <w:p w14:paraId="40125582" w14:textId="5D1E8D46" w:rsidR="002D4237" w:rsidRDefault="002D4237" w:rsidP="00DB0AD1">
      <w:pPr>
        <w:pStyle w:val="NIEARTTEKSTtekstnieartykuowanynppodstprawnarozplubpreambua"/>
        <w:ind w:firstLine="0"/>
        <w:rPr>
          <w:rFonts w:ascii="Times New Roman" w:hAnsi="Times New Roman"/>
          <w:color w:val="000000"/>
          <w:spacing w:val="-2"/>
        </w:rPr>
      </w:pPr>
      <w:r w:rsidRPr="006626BA">
        <w:rPr>
          <w:rFonts w:ascii="Times New Roman" w:hAnsi="Times New Roman"/>
          <w:color w:val="000000"/>
          <w:spacing w:val="-2"/>
        </w:rPr>
        <w:t xml:space="preserve">Rekomendowanym rozwiązaniem jest uchwalenie nowej ustawy, </w:t>
      </w:r>
      <w:r>
        <w:rPr>
          <w:rFonts w:ascii="Times New Roman" w:hAnsi="Times New Roman"/>
          <w:color w:val="000000"/>
          <w:spacing w:val="-2"/>
        </w:rPr>
        <w:t xml:space="preserve">w której zawarte zostaną przepisy prawa krajowego umożliwiające stosowanie DGA w Polsce. Przepisy te regulować będą obszary pozostawione przez prawodawcę europejskiego do uregulowania przez państwa członkowskie. Nowej ustawie proponuje się </w:t>
      </w:r>
      <w:r w:rsidRPr="006626BA">
        <w:rPr>
          <w:rFonts w:ascii="Times New Roman" w:hAnsi="Times New Roman"/>
          <w:color w:val="000000"/>
          <w:spacing w:val="-2"/>
        </w:rPr>
        <w:t xml:space="preserve">nadać tytuł </w:t>
      </w:r>
      <w:r w:rsidR="0042722C">
        <w:rPr>
          <w:rFonts w:ascii="Times New Roman" w:hAnsi="Times New Roman"/>
          <w:color w:val="000000"/>
          <w:spacing w:val="-2"/>
        </w:rPr>
        <w:t>„</w:t>
      </w:r>
      <w:r w:rsidRPr="006626BA">
        <w:rPr>
          <w:rFonts w:ascii="Times New Roman" w:hAnsi="Times New Roman"/>
          <w:color w:val="000000"/>
          <w:spacing w:val="-2"/>
        </w:rPr>
        <w:t>ustawa o</w:t>
      </w:r>
      <w:r>
        <w:rPr>
          <w:rFonts w:ascii="Times New Roman" w:hAnsi="Times New Roman"/>
          <w:color w:val="000000"/>
          <w:spacing w:val="-2"/>
        </w:rPr>
        <w:t> </w:t>
      </w:r>
      <w:r w:rsidRPr="006626BA">
        <w:rPr>
          <w:rFonts w:ascii="Times New Roman" w:hAnsi="Times New Roman"/>
          <w:color w:val="000000"/>
          <w:spacing w:val="-2"/>
        </w:rPr>
        <w:t>zarządzaniu danymi</w:t>
      </w:r>
      <w:r w:rsidR="0042722C">
        <w:rPr>
          <w:rFonts w:ascii="Times New Roman" w:hAnsi="Times New Roman"/>
          <w:color w:val="000000"/>
          <w:spacing w:val="-2"/>
        </w:rPr>
        <w:t>”</w:t>
      </w:r>
      <w:r w:rsidRPr="006626BA">
        <w:rPr>
          <w:rFonts w:ascii="Times New Roman" w:hAnsi="Times New Roman"/>
          <w:color w:val="000000"/>
          <w:spacing w:val="-2"/>
        </w:rPr>
        <w:t>. Ustawa powinna wejść w życie w dniu rozpoczęcia stosowa</w:t>
      </w:r>
      <w:r>
        <w:rPr>
          <w:rFonts w:ascii="Times New Roman" w:hAnsi="Times New Roman"/>
          <w:color w:val="000000"/>
          <w:spacing w:val="-2"/>
        </w:rPr>
        <w:t>nia DGA (</w:t>
      </w:r>
      <w:r w:rsidR="001257F2">
        <w:rPr>
          <w:rFonts w:ascii="Times New Roman" w:hAnsi="Times New Roman"/>
          <w:color w:val="000000"/>
          <w:spacing w:val="-2"/>
        </w:rPr>
        <w:t xml:space="preserve">tj. </w:t>
      </w:r>
      <w:r>
        <w:rPr>
          <w:rFonts w:ascii="Times New Roman" w:hAnsi="Times New Roman"/>
          <w:color w:val="000000"/>
          <w:spacing w:val="-2"/>
        </w:rPr>
        <w:t>24 września 2023 r).</w:t>
      </w:r>
      <w:r w:rsidR="000B2552">
        <w:rPr>
          <w:rFonts w:ascii="Times New Roman" w:hAnsi="Times New Roman"/>
          <w:color w:val="000000"/>
          <w:spacing w:val="-2"/>
        </w:rPr>
        <w:t xml:space="preserve"> </w:t>
      </w:r>
      <w:r>
        <w:rPr>
          <w:rFonts w:ascii="Times New Roman" w:hAnsi="Times New Roman"/>
          <w:color w:val="000000"/>
          <w:spacing w:val="-2"/>
        </w:rPr>
        <w:t>W</w:t>
      </w:r>
      <w:r w:rsidR="000B2552">
        <w:rPr>
          <w:rFonts w:ascii="Times New Roman" w:hAnsi="Times New Roman"/>
          <w:color w:val="000000"/>
          <w:spacing w:val="-2"/>
        </w:rPr>
        <w:t> </w:t>
      </w:r>
      <w:r w:rsidRPr="006626BA">
        <w:rPr>
          <w:rFonts w:ascii="Times New Roman" w:hAnsi="Times New Roman"/>
          <w:color w:val="000000"/>
          <w:spacing w:val="-2"/>
        </w:rPr>
        <w:t>przyszłości ustawa o zarządzaniu danymi może zostać poszerzona o nowe regulacje służące stosowaniu innych instrumentów prawa UE przewidzianych w Europejsk</w:t>
      </w:r>
      <w:r>
        <w:rPr>
          <w:rFonts w:ascii="Times New Roman" w:hAnsi="Times New Roman"/>
          <w:color w:val="000000"/>
          <w:spacing w:val="-2"/>
        </w:rPr>
        <w:t>iej</w:t>
      </w:r>
      <w:r w:rsidRPr="006626BA">
        <w:rPr>
          <w:rFonts w:ascii="Times New Roman" w:hAnsi="Times New Roman"/>
          <w:color w:val="000000"/>
          <w:spacing w:val="-2"/>
        </w:rPr>
        <w:t xml:space="preserve"> strategi</w:t>
      </w:r>
      <w:r>
        <w:rPr>
          <w:rFonts w:ascii="Times New Roman" w:hAnsi="Times New Roman"/>
          <w:color w:val="000000"/>
          <w:spacing w:val="-2"/>
        </w:rPr>
        <w:t>i</w:t>
      </w:r>
      <w:r w:rsidRPr="006626BA">
        <w:rPr>
          <w:rFonts w:ascii="Times New Roman" w:hAnsi="Times New Roman"/>
          <w:color w:val="000000"/>
          <w:spacing w:val="-2"/>
        </w:rPr>
        <w:t xml:space="preserve"> w zakresie danych</w:t>
      </w:r>
      <w:r>
        <w:rPr>
          <w:rStyle w:val="Odwoanieprzypisudolnego"/>
          <w:rFonts w:ascii="Times New Roman" w:hAnsi="Times New Roman"/>
          <w:color w:val="000000"/>
          <w:spacing w:val="-2"/>
        </w:rPr>
        <w:footnoteReference w:id="5"/>
      </w:r>
      <w:r w:rsidRPr="00632FCA">
        <w:rPr>
          <w:rFonts w:ascii="Times New Roman" w:hAnsi="Times New Roman"/>
          <w:color w:val="000000"/>
          <w:spacing w:val="-2"/>
          <w:vertAlign w:val="superscript"/>
        </w:rPr>
        <w:t>)</w:t>
      </w:r>
      <w:r>
        <w:rPr>
          <w:rFonts w:ascii="Times New Roman" w:hAnsi="Times New Roman"/>
          <w:color w:val="000000"/>
          <w:spacing w:val="-2"/>
        </w:rPr>
        <w:t xml:space="preserve">. </w:t>
      </w:r>
      <w:r w:rsidRPr="006626BA">
        <w:rPr>
          <w:rFonts w:ascii="Times New Roman" w:hAnsi="Times New Roman"/>
          <w:color w:val="000000"/>
          <w:spacing w:val="-2"/>
        </w:rPr>
        <w:t>Dotyczy to w szczególności projektu rozporządzenia Parlamentu Europejskiego i Rady w sprawie zharmonizowanych przepisów dotyczących sprawiedliwego dostępu do dany</w:t>
      </w:r>
      <w:r>
        <w:rPr>
          <w:rFonts w:ascii="Times New Roman" w:hAnsi="Times New Roman"/>
          <w:color w:val="000000"/>
          <w:spacing w:val="-2"/>
        </w:rPr>
        <w:t>ch i ich wykorzystywania (akt w </w:t>
      </w:r>
      <w:r w:rsidRPr="006626BA">
        <w:rPr>
          <w:rFonts w:ascii="Times New Roman" w:hAnsi="Times New Roman"/>
          <w:color w:val="000000"/>
          <w:spacing w:val="-2"/>
        </w:rPr>
        <w:t>sprawie danych</w:t>
      </w:r>
      <w:r w:rsidR="001257F2">
        <w:rPr>
          <w:rFonts w:ascii="Times New Roman" w:hAnsi="Times New Roman"/>
          <w:color w:val="000000"/>
          <w:spacing w:val="-2"/>
        </w:rPr>
        <w:t>)</w:t>
      </w:r>
      <w:r>
        <w:rPr>
          <w:rStyle w:val="Odwoanieprzypisudolnego"/>
          <w:rFonts w:ascii="Times New Roman" w:hAnsi="Times New Roman"/>
          <w:color w:val="000000"/>
          <w:spacing w:val="-2"/>
        </w:rPr>
        <w:footnoteReference w:id="6"/>
      </w:r>
      <w:r w:rsidRPr="00DC25C6">
        <w:rPr>
          <w:rFonts w:ascii="Times New Roman" w:hAnsi="Times New Roman"/>
          <w:color w:val="000000"/>
          <w:spacing w:val="-2"/>
          <w:vertAlign w:val="superscript"/>
        </w:rPr>
        <w:t>)</w:t>
      </w:r>
      <w:r w:rsidRPr="006626BA">
        <w:rPr>
          <w:rFonts w:ascii="Times New Roman" w:hAnsi="Times New Roman"/>
          <w:color w:val="000000"/>
          <w:spacing w:val="-2"/>
        </w:rPr>
        <w:t>. Możliwe będzie również zawarcie w projektowanej ustawie krajowych przepisów dotyczących wspólnych europejskich przestrzeni danych (przepisy sektorowe), które także przewiduje wskaza</w:t>
      </w:r>
      <w:r>
        <w:rPr>
          <w:rFonts w:ascii="Times New Roman" w:hAnsi="Times New Roman"/>
          <w:color w:val="000000"/>
          <w:spacing w:val="-2"/>
        </w:rPr>
        <w:t>na strategia. Docelowo ustawa o </w:t>
      </w:r>
      <w:r w:rsidRPr="006626BA">
        <w:rPr>
          <w:rFonts w:ascii="Times New Roman" w:hAnsi="Times New Roman"/>
          <w:color w:val="000000"/>
          <w:spacing w:val="-2"/>
        </w:rPr>
        <w:t>zarządzaniu danymi może zatem pełnić funkcję głównego aktu prawa krajowego w zakresie regulacji UE w obszarze szeroko rozumianego zarządzania danymi.</w:t>
      </w:r>
    </w:p>
    <w:p w14:paraId="1A67262F" w14:textId="4D560087" w:rsidR="002D4237" w:rsidRPr="00DB0AD1" w:rsidRDefault="002D4237" w:rsidP="00F11475">
      <w:pPr>
        <w:pStyle w:val="NIEARTTEKSTtekstnieartykuowanynppodstprawnarozplubpreambua"/>
        <w:numPr>
          <w:ilvl w:val="0"/>
          <w:numId w:val="11"/>
        </w:numPr>
        <w:spacing w:before="360"/>
        <w:ind w:left="1225" w:hanging="357"/>
        <w:rPr>
          <w:rStyle w:val="Ppogrubienie"/>
        </w:rPr>
      </w:pPr>
      <w:r w:rsidRPr="00DB0AD1">
        <w:rPr>
          <w:rStyle w:val="Ppogrubienie"/>
        </w:rPr>
        <w:t>Zakres projektowanej regulacji</w:t>
      </w:r>
      <w:r w:rsidR="00DB0AD1">
        <w:rPr>
          <w:rStyle w:val="Ppogrubienie"/>
        </w:rPr>
        <w:t>.</w:t>
      </w:r>
    </w:p>
    <w:p w14:paraId="02309745" w14:textId="77777777" w:rsidR="002D4237" w:rsidRDefault="002D4237" w:rsidP="004D7E83">
      <w:pPr>
        <w:pStyle w:val="NIEARTTEKSTtekstnieartykuowanynppodstprawnarozplubpreambua"/>
        <w:ind w:firstLine="0"/>
        <w:rPr>
          <w:rFonts w:eastAsia="Times New Roman" w:cs="Times New Roman"/>
          <w:szCs w:val="24"/>
        </w:rPr>
      </w:pPr>
      <w:r w:rsidRPr="006E23D4">
        <w:rPr>
          <w:rFonts w:eastAsia="Times New Roman" w:cs="Times New Roman"/>
          <w:szCs w:val="24"/>
        </w:rPr>
        <w:lastRenderedPageBreak/>
        <w:t>Istota rozwiązań przewidzianych w projekcie polega na zbudowaniu odpowiedniego otoczenia instytucjonalno-regulacyjnego, które umożliwi</w:t>
      </w:r>
      <w:r>
        <w:rPr>
          <w:rFonts w:eastAsia="Times New Roman" w:cs="Times New Roman"/>
          <w:szCs w:val="24"/>
        </w:rPr>
        <w:t xml:space="preserve"> stosowanie przepisów DGA w </w:t>
      </w:r>
      <w:r w:rsidRPr="006E23D4">
        <w:rPr>
          <w:rFonts w:eastAsia="Times New Roman" w:cs="Times New Roman"/>
          <w:szCs w:val="24"/>
        </w:rPr>
        <w:t>Polsce.</w:t>
      </w:r>
    </w:p>
    <w:p w14:paraId="1D27DC67" w14:textId="775F13D4" w:rsidR="002D4237" w:rsidRPr="001D1291" w:rsidRDefault="002D4237" w:rsidP="00F11475">
      <w:pPr>
        <w:pStyle w:val="NIEARTTEKSTtekstnieartykuowanynppodstprawnarozplubpreambua"/>
        <w:numPr>
          <w:ilvl w:val="0"/>
          <w:numId w:val="12"/>
        </w:numPr>
        <w:spacing w:before="240"/>
        <w:rPr>
          <w:rFonts w:ascii="Times New Roman" w:hAnsi="Times New Roman" w:cs="Times New Roman"/>
          <w:b/>
          <w:szCs w:val="24"/>
        </w:rPr>
      </w:pPr>
      <w:r>
        <w:rPr>
          <w:rFonts w:ascii="Times New Roman" w:hAnsi="Times New Roman" w:cs="Times New Roman"/>
          <w:b/>
          <w:szCs w:val="24"/>
        </w:rPr>
        <w:t>Otoczenie instytucjonalne</w:t>
      </w:r>
    </w:p>
    <w:p w14:paraId="1D3F26F3" w14:textId="1588B596" w:rsidR="002D4237" w:rsidRPr="00DC7C5B" w:rsidRDefault="002D4237" w:rsidP="004D7E83">
      <w:pPr>
        <w:pStyle w:val="NIEARTTEKSTtekstnieartykuowanynppodstprawnarozplubpreambua"/>
        <w:ind w:firstLine="0"/>
        <w:rPr>
          <w:color w:val="000000"/>
        </w:rPr>
      </w:pPr>
      <w:r w:rsidRPr="00DC7C5B">
        <w:rPr>
          <w:color w:val="000000"/>
        </w:rPr>
        <w:t>W związku z koniecznością zorganizowania przez państwa członkowskie otoczenia instytucjonalnego na potrzeby stosowania DGA, ustawa o zarządz</w:t>
      </w:r>
      <w:r>
        <w:rPr>
          <w:color w:val="000000"/>
        </w:rPr>
        <w:t>a</w:t>
      </w:r>
      <w:r w:rsidRPr="00DC7C5B">
        <w:rPr>
          <w:color w:val="000000"/>
        </w:rPr>
        <w:t>niu danymi zawierać będzie regulacje w ramach, których wyznaczone zostaną podmioty odpowiedzialne za realizację przepisów rozporządzenia. Projektowana ustawa wyznacz</w:t>
      </w:r>
      <w:r w:rsidR="002C0C0F">
        <w:rPr>
          <w:color w:val="000000"/>
        </w:rPr>
        <w:t>a</w:t>
      </w:r>
      <w:r w:rsidRPr="00DC7C5B">
        <w:rPr>
          <w:color w:val="000000"/>
        </w:rPr>
        <w:t>:</w:t>
      </w:r>
    </w:p>
    <w:p w14:paraId="1AC6065B" w14:textId="51BC998A" w:rsidR="002D4237" w:rsidRPr="00DB0AD1" w:rsidRDefault="002C0C0F" w:rsidP="00F11475">
      <w:pPr>
        <w:pStyle w:val="NIEARTTEKSTtekstnieartykuowanynppodstprawnarozplubpreambua"/>
        <w:numPr>
          <w:ilvl w:val="0"/>
          <w:numId w:val="13"/>
        </w:numPr>
        <w:spacing w:before="240"/>
        <w:rPr>
          <w:rStyle w:val="Ppogrubienie"/>
        </w:rPr>
      </w:pPr>
      <w:r>
        <w:rPr>
          <w:rStyle w:val="Ppogrubienie"/>
        </w:rPr>
        <w:t>Właściwy podmiot.</w:t>
      </w:r>
    </w:p>
    <w:p w14:paraId="39EE8EE0" w14:textId="77777777" w:rsidR="002D4237" w:rsidRPr="00DC7C5B" w:rsidRDefault="002D4237" w:rsidP="004D7E83">
      <w:pPr>
        <w:pStyle w:val="NIEARTTEKSTtekstnieartykuowanynppodstprawnarozplubpreambua"/>
        <w:ind w:firstLine="0"/>
        <w:rPr>
          <w:b/>
          <w:color w:val="000000"/>
        </w:rPr>
      </w:pPr>
      <w:r w:rsidRPr="00DC7C5B">
        <w:rPr>
          <w:color w:val="000000"/>
        </w:rPr>
        <w:t>DGA zawiera przepisy stanowiące po</w:t>
      </w:r>
      <w:r>
        <w:rPr>
          <w:color w:val="000000"/>
        </w:rPr>
        <w:t>dstawę do ponownego wykorzystywania</w:t>
      </w:r>
      <w:r w:rsidRPr="00DC7C5B">
        <w:rPr>
          <w:color w:val="000000"/>
        </w:rPr>
        <w:t xml:space="preserve"> chronionych danych znajdujących się w posiadaniu podmiotów sektora publicznego (zob. pkt </w:t>
      </w:r>
      <w:r>
        <w:rPr>
          <w:color w:val="000000"/>
        </w:rPr>
        <w:t>I</w:t>
      </w:r>
      <w:r w:rsidRPr="00DC7C5B">
        <w:rPr>
          <w:color w:val="000000"/>
        </w:rPr>
        <w:t xml:space="preserve">.1.). Aby wesprzeć podmioty sektora publicznego w procesie zezwalania na dostęp do celów ponownego wykorzystywania tego rodzaju danych rozporządzenie nakłada na państwa członkowskie obowiązek wyznaczenia właściwego podmiotu (lub kilku takich podmiotów, również sektorowych), które w zależności </w:t>
      </w:r>
      <w:r>
        <w:rPr>
          <w:color w:val="000000"/>
        </w:rPr>
        <w:t>od potrzeb będą służyć pomocą i </w:t>
      </w:r>
      <w:r w:rsidRPr="00DC7C5B">
        <w:rPr>
          <w:color w:val="000000"/>
        </w:rPr>
        <w:t>wsparciem dla podmiotów sektora publicznego poprzez:</w:t>
      </w:r>
    </w:p>
    <w:p w14:paraId="0FEBFB99" w14:textId="04532D07" w:rsidR="002D4237" w:rsidRPr="00DC7C5B" w:rsidRDefault="002D4237" w:rsidP="00F11475">
      <w:pPr>
        <w:pStyle w:val="NIEARTTEKSTtekstnieartykuowanynppodstprawnarozplubpreambua"/>
        <w:numPr>
          <w:ilvl w:val="0"/>
          <w:numId w:val="3"/>
        </w:numPr>
        <w:ind w:left="426"/>
        <w:rPr>
          <w:color w:val="000000"/>
        </w:rPr>
      </w:pPr>
      <w:r w:rsidRPr="00DC7C5B">
        <w:rPr>
          <w:color w:val="000000"/>
        </w:rPr>
        <w:t>zapewnianie wsparcia technic</w:t>
      </w:r>
      <w:r>
        <w:rPr>
          <w:color w:val="000000"/>
        </w:rPr>
        <w:t>znego polegającego na udostępnia</w:t>
      </w:r>
      <w:r w:rsidRPr="00DC7C5B">
        <w:rPr>
          <w:color w:val="000000"/>
        </w:rPr>
        <w:t>niu bezpiecznego środowiska pr</w:t>
      </w:r>
      <w:r>
        <w:rPr>
          <w:color w:val="000000"/>
        </w:rPr>
        <w:t>zetwarzania na potrzeby zapewnia</w:t>
      </w:r>
      <w:r w:rsidRPr="00DC7C5B">
        <w:rPr>
          <w:color w:val="000000"/>
        </w:rPr>
        <w:t>nia dostępu do celów ponownego wykorzystywania danych,</w:t>
      </w:r>
    </w:p>
    <w:p w14:paraId="6B1FD659" w14:textId="5722885F" w:rsidR="002D4237" w:rsidRPr="00DC7C5B" w:rsidRDefault="002D4237" w:rsidP="00F11475">
      <w:pPr>
        <w:pStyle w:val="NIEARTTEKSTtekstnieartykuowanynppodstprawnarozplubpreambua"/>
        <w:numPr>
          <w:ilvl w:val="0"/>
          <w:numId w:val="3"/>
        </w:numPr>
        <w:ind w:left="426"/>
        <w:rPr>
          <w:color w:val="000000"/>
        </w:rPr>
      </w:pPr>
      <w:r>
        <w:rPr>
          <w:color w:val="000000"/>
        </w:rPr>
        <w:t>udziela</w:t>
      </w:r>
      <w:r w:rsidRPr="00DC7C5B">
        <w:rPr>
          <w:color w:val="000000"/>
        </w:rPr>
        <w:t>nie wskazówek i zapewnianie wsparcia technicznego w zakresie ustrukturyzowania danych i ich przechowywania, tak by były one łatwo dostępne,</w:t>
      </w:r>
    </w:p>
    <w:p w14:paraId="3F6F1642" w14:textId="781E9237" w:rsidR="002D4237" w:rsidRPr="00DC7C5B" w:rsidRDefault="002D4237" w:rsidP="00F11475">
      <w:pPr>
        <w:pStyle w:val="NIEARTTEKSTtekstnieartykuowanynppodstprawnarozplubpreambua"/>
        <w:numPr>
          <w:ilvl w:val="0"/>
          <w:numId w:val="3"/>
        </w:numPr>
        <w:ind w:left="426"/>
        <w:rPr>
          <w:color w:val="000000"/>
        </w:rPr>
      </w:pPr>
      <w:r w:rsidRPr="00DC7C5B">
        <w:rPr>
          <w:color w:val="000000"/>
        </w:rPr>
        <w:t xml:space="preserve">zapewnianie wsparcia technicznego w zakresie </w:t>
      </w:r>
      <w:proofErr w:type="spellStart"/>
      <w:r w:rsidRPr="00DC7C5B">
        <w:rPr>
          <w:color w:val="000000"/>
        </w:rPr>
        <w:t>pseudonimiza</w:t>
      </w:r>
      <w:r>
        <w:rPr>
          <w:color w:val="000000"/>
        </w:rPr>
        <w:t>cji</w:t>
      </w:r>
      <w:proofErr w:type="spellEnd"/>
      <w:r>
        <w:rPr>
          <w:color w:val="000000"/>
        </w:rPr>
        <w:t xml:space="preserve"> oraz zapewnia</w:t>
      </w:r>
      <w:r w:rsidRPr="00DC7C5B">
        <w:rPr>
          <w:color w:val="000000"/>
        </w:rPr>
        <w:t>nie przetwarzania danych w</w:t>
      </w:r>
      <w:r>
        <w:rPr>
          <w:color w:val="000000"/>
        </w:rPr>
        <w:t xml:space="preserve"> </w:t>
      </w:r>
      <w:r w:rsidRPr="00DC7C5B">
        <w:rPr>
          <w:color w:val="000000"/>
        </w:rPr>
        <w:t>sposób skutecznie chroniący prywatność, poufność, integralność i dostępność informacji zawartych w danych, na których ponowne wykorzystywanie zezwolono,</w:t>
      </w:r>
    </w:p>
    <w:p w14:paraId="16C5E691" w14:textId="13875126" w:rsidR="002C0C0F" w:rsidRDefault="002D4237" w:rsidP="00F11475">
      <w:pPr>
        <w:pStyle w:val="NIEARTTEKSTtekstnieartykuowanynppodstprawnarozplubpreambua"/>
        <w:numPr>
          <w:ilvl w:val="0"/>
          <w:numId w:val="3"/>
        </w:numPr>
        <w:ind w:left="426"/>
        <w:rPr>
          <w:color w:val="000000"/>
        </w:rPr>
      </w:pPr>
      <w:r w:rsidRPr="00DC7C5B">
        <w:rPr>
          <w:color w:val="000000"/>
        </w:rPr>
        <w:t>udzielanie pomocy podmiotom sektora publicznego w zapewnianiu wsparcia ponownym użytkownikom w</w:t>
      </w:r>
      <w:r>
        <w:rPr>
          <w:color w:val="000000"/>
        </w:rPr>
        <w:t xml:space="preserve"> </w:t>
      </w:r>
      <w:r w:rsidRPr="00DC7C5B">
        <w:rPr>
          <w:color w:val="000000"/>
        </w:rPr>
        <w:t>występowaniu do osób, których dane dotyczą, o</w:t>
      </w:r>
      <w:r>
        <w:rPr>
          <w:color w:val="000000"/>
        </w:rPr>
        <w:t> </w:t>
      </w:r>
      <w:r w:rsidRPr="00DC7C5B">
        <w:rPr>
          <w:color w:val="000000"/>
        </w:rPr>
        <w:t>zgodę na ponowne wykorzystywanie danyc</w:t>
      </w:r>
      <w:r>
        <w:rPr>
          <w:color w:val="000000"/>
        </w:rPr>
        <w:t>h oraz do posiadaczy danych – o </w:t>
      </w:r>
      <w:r w:rsidRPr="00DC7C5B">
        <w:rPr>
          <w:color w:val="000000"/>
        </w:rPr>
        <w:t>pozwolenie,</w:t>
      </w:r>
    </w:p>
    <w:p w14:paraId="0DC514AC" w14:textId="590ECBF6" w:rsidR="002D4237" w:rsidRPr="002C0C0F" w:rsidRDefault="002D4237" w:rsidP="00F11475">
      <w:pPr>
        <w:pStyle w:val="NIEARTTEKSTtekstnieartykuowanynppodstprawnarozplubpreambua"/>
        <w:numPr>
          <w:ilvl w:val="0"/>
          <w:numId w:val="3"/>
        </w:numPr>
        <w:ind w:left="426"/>
        <w:rPr>
          <w:color w:val="000000"/>
        </w:rPr>
      </w:pPr>
      <w:r w:rsidRPr="002C0C0F">
        <w:rPr>
          <w:color w:val="000000"/>
        </w:rPr>
        <w:t>udzielanie pomocy podmiotom sektora publicznego w zakresie oceny adekwatności zobowiązań umownych w sytuacjach transferu danych do państw trzecich.</w:t>
      </w:r>
    </w:p>
    <w:p w14:paraId="67F32B70" w14:textId="45A0302B" w:rsidR="002D4237" w:rsidRPr="00DC7C5B" w:rsidRDefault="002D4237" w:rsidP="00DB0AD1">
      <w:pPr>
        <w:pStyle w:val="NIEARTTEKSTtekstnieartykuowanynppodstprawnarozplubpreambua"/>
        <w:ind w:firstLine="0"/>
        <w:rPr>
          <w:color w:val="000000"/>
        </w:rPr>
      </w:pPr>
      <w:r w:rsidRPr="00DC7C5B">
        <w:rPr>
          <w:color w:val="000000"/>
        </w:rPr>
        <w:lastRenderedPageBreak/>
        <w:t>W przepisach projektow</w:t>
      </w:r>
      <w:r>
        <w:rPr>
          <w:color w:val="000000"/>
        </w:rPr>
        <w:t>anej ustawy wyznaczone</w:t>
      </w:r>
      <w:r w:rsidRPr="00DC7C5B">
        <w:rPr>
          <w:color w:val="000000"/>
        </w:rPr>
        <w:t xml:space="preserve"> zostan</w:t>
      </w:r>
      <w:r>
        <w:rPr>
          <w:color w:val="000000"/>
        </w:rPr>
        <w:t>ą</w:t>
      </w:r>
      <w:r w:rsidRPr="00DC7C5B">
        <w:rPr>
          <w:color w:val="000000"/>
        </w:rPr>
        <w:t xml:space="preserve"> </w:t>
      </w:r>
      <w:r>
        <w:rPr>
          <w:color w:val="000000"/>
        </w:rPr>
        <w:t>dwa</w:t>
      </w:r>
      <w:r w:rsidRPr="00DC7C5B">
        <w:rPr>
          <w:color w:val="000000"/>
        </w:rPr>
        <w:t xml:space="preserve"> właściw</w:t>
      </w:r>
      <w:r>
        <w:rPr>
          <w:color w:val="000000"/>
        </w:rPr>
        <w:t>e podmioty.</w:t>
      </w:r>
      <w:r w:rsidRPr="00DC7C5B">
        <w:rPr>
          <w:color w:val="000000"/>
        </w:rPr>
        <w:t xml:space="preserve"> </w:t>
      </w:r>
      <w:r>
        <w:rPr>
          <w:color w:val="000000"/>
        </w:rPr>
        <w:t xml:space="preserve">Funkcję tę pełnić będzie Prezes Głównego Urzędu Statystycznego oraz </w:t>
      </w:r>
      <w:r w:rsidRPr="007F6000">
        <w:rPr>
          <w:color w:val="000000"/>
        </w:rPr>
        <w:t>Nau</w:t>
      </w:r>
      <w:r w:rsidR="007A5048">
        <w:rPr>
          <w:color w:val="000000"/>
        </w:rPr>
        <w:t xml:space="preserve">kowa i </w:t>
      </w:r>
      <w:r w:rsidRPr="007F6000">
        <w:rPr>
          <w:color w:val="000000"/>
        </w:rPr>
        <w:t xml:space="preserve">Akademicka Sieć Komputerowa </w:t>
      </w:r>
      <w:r w:rsidR="00084AFD">
        <w:rPr>
          <w:rFonts w:cs="Times"/>
          <w:color w:val="000000"/>
        </w:rPr>
        <w:t>‒</w:t>
      </w:r>
      <w:r w:rsidRPr="007F6000">
        <w:rPr>
          <w:color w:val="000000"/>
        </w:rPr>
        <w:t xml:space="preserve"> Państwowy Instytut Badawczy</w:t>
      </w:r>
      <w:r>
        <w:rPr>
          <w:color w:val="000000"/>
        </w:rPr>
        <w:t>.</w:t>
      </w:r>
    </w:p>
    <w:p w14:paraId="76D6456B" w14:textId="2D64BDEF" w:rsidR="002D4237" w:rsidRPr="00DB0AD1" w:rsidRDefault="002D4237" w:rsidP="00F11475">
      <w:pPr>
        <w:pStyle w:val="NIEARTTEKSTtekstnieartykuowanynppodstprawnarozplubpreambua"/>
        <w:numPr>
          <w:ilvl w:val="0"/>
          <w:numId w:val="13"/>
        </w:numPr>
        <w:spacing w:before="240"/>
        <w:rPr>
          <w:rStyle w:val="Ppogrubienie"/>
        </w:rPr>
      </w:pPr>
      <w:r w:rsidRPr="00DB0AD1">
        <w:rPr>
          <w:rStyle w:val="Ppogrubienie"/>
        </w:rPr>
        <w:t>Pojedynczy punkt informacyjny</w:t>
      </w:r>
    </w:p>
    <w:p w14:paraId="153222FE" w14:textId="42EEC88C" w:rsidR="002D4237" w:rsidRPr="00DC7C5B" w:rsidRDefault="002D4237" w:rsidP="00DB0AD1">
      <w:pPr>
        <w:pStyle w:val="NIEARTTEKSTtekstnieartykuowanynppodstprawnarozplubpreambua"/>
        <w:ind w:firstLine="0"/>
        <w:rPr>
          <w:color w:val="000000"/>
        </w:rPr>
      </w:pPr>
      <w:r w:rsidRPr="00DC7C5B">
        <w:rPr>
          <w:color w:val="000000"/>
        </w:rPr>
        <w:t>Drugim elementem systemu wspierającego realizację postanowień DGA w odniesieniu do ponownego wykorzyst</w:t>
      </w:r>
      <w:r>
        <w:rPr>
          <w:color w:val="000000"/>
        </w:rPr>
        <w:t>yw</w:t>
      </w:r>
      <w:r w:rsidRPr="00DC7C5B">
        <w:rPr>
          <w:color w:val="000000"/>
        </w:rPr>
        <w:t xml:space="preserve">ania </w:t>
      </w:r>
      <w:r>
        <w:rPr>
          <w:color w:val="000000"/>
        </w:rPr>
        <w:t xml:space="preserve">chronionych danych </w:t>
      </w:r>
      <w:r w:rsidRPr="00DC7C5B">
        <w:rPr>
          <w:color w:val="000000"/>
        </w:rPr>
        <w:t>jest pojedynczy punkt informacyjny. Państwa członkowskie zobowiązane zostały do utworzenia takiego punktu dla podmiotów chcących skorzystać z danych, który będzie wspierał ich w identyfikacji właściwych zasobów możliwych do ponownego wykorzystywania na podstawie przepisów rozporządzenia. Punkt prowadzić będzie elektroniczny wykaz dostępnych zasobów wraz z odpowiednimi informacjami opisującymi da</w:t>
      </w:r>
      <w:r>
        <w:rPr>
          <w:color w:val="000000"/>
        </w:rPr>
        <w:t xml:space="preserve">ne, w tym przynajmniej informacjami o formacie i </w:t>
      </w:r>
      <w:r w:rsidRPr="00DC7C5B">
        <w:rPr>
          <w:color w:val="000000"/>
        </w:rPr>
        <w:t>rozmiar</w:t>
      </w:r>
      <w:r>
        <w:rPr>
          <w:color w:val="000000"/>
        </w:rPr>
        <w:t>ze</w:t>
      </w:r>
      <w:r w:rsidRPr="00DC7C5B">
        <w:rPr>
          <w:color w:val="000000"/>
        </w:rPr>
        <w:t xml:space="preserve"> danych oraz </w:t>
      </w:r>
      <w:r>
        <w:rPr>
          <w:color w:val="000000"/>
        </w:rPr>
        <w:t xml:space="preserve">informacjami dotyczącymi </w:t>
      </w:r>
      <w:r w:rsidRPr="00DC7C5B">
        <w:rPr>
          <w:color w:val="000000"/>
        </w:rPr>
        <w:t>warunk</w:t>
      </w:r>
      <w:r>
        <w:rPr>
          <w:color w:val="000000"/>
        </w:rPr>
        <w:t>ów</w:t>
      </w:r>
      <w:r w:rsidRPr="00DC7C5B">
        <w:rPr>
          <w:color w:val="000000"/>
        </w:rPr>
        <w:t xml:space="preserve"> ich ponownego wykorzystywania.</w:t>
      </w:r>
    </w:p>
    <w:p w14:paraId="3F752D56" w14:textId="5D908DDB" w:rsidR="002D4237" w:rsidRPr="00DC7C5B" w:rsidRDefault="002D4237" w:rsidP="000C40AC">
      <w:pPr>
        <w:pStyle w:val="NIEARTTEKSTtekstnieartykuowanynppodstprawnarozplubpreambua"/>
        <w:ind w:firstLine="0"/>
        <w:rPr>
          <w:color w:val="000000"/>
        </w:rPr>
      </w:pPr>
      <w:r w:rsidRPr="00DC7C5B">
        <w:rPr>
          <w:color w:val="000000"/>
        </w:rPr>
        <w:t>Projektowana ustawa przewiduje, że rolę pojedynczego punktu informacyjnego</w:t>
      </w:r>
      <w:r>
        <w:rPr>
          <w:color w:val="000000"/>
        </w:rPr>
        <w:t xml:space="preserve"> pełnić będzie portal danych, o </w:t>
      </w:r>
      <w:r w:rsidRPr="00DC7C5B">
        <w:rPr>
          <w:color w:val="000000"/>
        </w:rPr>
        <w:t>którym mowa w art. 2 pkt 13 usta</w:t>
      </w:r>
      <w:r>
        <w:rPr>
          <w:color w:val="000000"/>
        </w:rPr>
        <w:t>wy z dnia 11 sierpnia 2021 r. o </w:t>
      </w:r>
      <w:r w:rsidRPr="00DC7C5B">
        <w:rPr>
          <w:color w:val="000000"/>
        </w:rPr>
        <w:t>otwartych danych i ponownym wykorzystywaniu informacji sektora publicznego</w:t>
      </w:r>
      <w:r w:rsidR="00084AFD" w:rsidRPr="00084AFD">
        <w:t xml:space="preserve"> </w:t>
      </w:r>
      <w:r w:rsidR="00084AFD">
        <w:t>(</w:t>
      </w:r>
      <w:r w:rsidR="00084AFD" w:rsidRPr="00084AFD">
        <w:rPr>
          <w:color w:val="000000"/>
        </w:rPr>
        <w:t>Dz. U. poz. 1641</w:t>
      </w:r>
      <w:r w:rsidR="004C4F82">
        <w:rPr>
          <w:color w:val="000000"/>
        </w:rPr>
        <w:t xml:space="preserve"> oraz z 2022 r. poz. 1700</w:t>
      </w:r>
      <w:r w:rsidR="001257F2">
        <w:rPr>
          <w:color w:val="000000"/>
        </w:rPr>
        <w:t>)</w:t>
      </w:r>
      <w:r w:rsidR="00084AFD" w:rsidRPr="00084AFD">
        <w:rPr>
          <w:color w:val="000000"/>
        </w:rPr>
        <w:t>,</w:t>
      </w:r>
      <w:r w:rsidR="001257F2">
        <w:rPr>
          <w:color w:val="000000"/>
        </w:rPr>
        <w:t xml:space="preserve"> </w:t>
      </w:r>
      <w:r>
        <w:rPr>
          <w:color w:val="000000"/>
        </w:rPr>
        <w:t xml:space="preserve">dalej jako </w:t>
      </w:r>
      <w:r w:rsidR="00084AFD">
        <w:rPr>
          <w:color w:val="000000"/>
        </w:rPr>
        <w:t>„</w:t>
      </w:r>
      <w:r>
        <w:rPr>
          <w:color w:val="000000"/>
        </w:rPr>
        <w:t>ustawa o otwartych danych</w:t>
      </w:r>
      <w:r w:rsidR="00084AFD">
        <w:rPr>
          <w:color w:val="000000"/>
        </w:rPr>
        <w:t>”</w:t>
      </w:r>
      <w:r w:rsidRPr="00DC7C5B">
        <w:rPr>
          <w:color w:val="000000"/>
        </w:rPr>
        <w:t xml:space="preserve">. Funkcję portalu danych pełni portal </w:t>
      </w:r>
      <w:hyperlink r:id="rId15" w:history="1">
        <w:r w:rsidRPr="007A5048">
          <w:rPr>
            <w:rStyle w:val="Hipercze"/>
          </w:rPr>
          <w:t>dane.gov.pl</w:t>
        </w:r>
      </w:hyperlink>
      <w:r w:rsidRPr="00DC7C5B">
        <w:rPr>
          <w:color w:val="000000"/>
        </w:rPr>
        <w:t xml:space="preserve"> prowadzony przez ministra właś</w:t>
      </w:r>
      <w:r>
        <w:rPr>
          <w:color w:val="000000"/>
        </w:rPr>
        <w:t>ciwego do spraw informatyzacji.</w:t>
      </w:r>
    </w:p>
    <w:p w14:paraId="0D590587" w14:textId="0D9EF316" w:rsidR="002D4237" w:rsidRPr="00DB0AD1" w:rsidRDefault="002D4237" w:rsidP="00F11475">
      <w:pPr>
        <w:pStyle w:val="NIEARTTEKSTtekstnieartykuowanynppodstprawnarozplubpreambua"/>
        <w:numPr>
          <w:ilvl w:val="0"/>
          <w:numId w:val="13"/>
        </w:numPr>
        <w:spacing w:before="240"/>
        <w:rPr>
          <w:rStyle w:val="Ppogrubienie"/>
        </w:rPr>
      </w:pPr>
      <w:r w:rsidRPr="00DB0AD1">
        <w:rPr>
          <w:rStyle w:val="Ppogrubienie"/>
        </w:rPr>
        <w:t>Organ właściwy do spraw usług pośrednictwa danych</w:t>
      </w:r>
    </w:p>
    <w:p w14:paraId="2B35B1E2" w14:textId="1E9F103E" w:rsidR="002D4237" w:rsidRPr="00DC7C5B" w:rsidRDefault="002D4237" w:rsidP="00DB0AD1">
      <w:pPr>
        <w:pStyle w:val="NIEARTTEKSTtekstnieartykuowanynppodstprawnarozplubpreambua"/>
        <w:ind w:firstLine="0"/>
        <w:rPr>
          <w:color w:val="000000"/>
        </w:rPr>
      </w:pPr>
      <w:r w:rsidRPr="005554A6">
        <w:rPr>
          <w:color w:val="000000"/>
        </w:rPr>
        <w:t>DGA nakłada</w:t>
      </w:r>
      <w:r w:rsidRPr="00DC7C5B">
        <w:rPr>
          <w:color w:val="000000"/>
        </w:rPr>
        <w:t xml:space="preserve"> na państwa członkowskie obowiązek wyznaczenia co najmniej jednego organu właściwego do spraw usług pośrednictwa danych. Zadaniem takiego organu będzie rejestrowanie dostawców usług pośrednictwa danych chcących świadczyć swoje usługi na terenie UE oraz monitorowani</w:t>
      </w:r>
      <w:r>
        <w:rPr>
          <w:color w:val="000000"/>
        </w:rPr>
        <w:t>e</w:t>
      </w:r>
      <w:r w:rsidRPr="00DC7C5B">
        <w:rPr>
          <w:color w:val="000000"/>
        </w:rPr>
        <w:t xml:space="preserve"> i nadzo</w:t>
      </w:r>
      <w:r>
        <w:rPr>
          <w:color w:val="000000"/>
        </w:rPr>
        <w:t>rowanie zgodności ich działań z </w:t>
      </w:r>
      <w:r w:rsidRPr="00DC7C5B">
        <w:rPr>
          <w:color w:val="000000"/>
        </w:rPr>
        <w:t>wymogami określonymi w rozporządzeniu. Organy właściwe do spraw usług pośrednictwa danych są zobowiązane do ścisłej współpracy i wymiany informa</w:t>
      </w:r>
      <w:r>
        <w:rPr>
          <w:color w:val="000000"/>
        </w:rPr>
        <w:t xml:space="preserve">cji z organami ochrony danych, </w:t>
      </w:r>
      <w:r w:rsidRPr="00DC7C5B">
        <w:rPr>
          <w:color w:val="000000"/>
        </w:rPr>
        <w:t xml:space="preserve">organami ochrony konkurencji, organami odpowiedzialnymi za </w:t>
      </w:r>
      <w:proofErr w:type="spellStart"/>
      <w:r w:rsidRPr="00DC7C5B">
        <w:rPr>
          <w:color w:val="000000"/>
        </w:rPr>
        <w:t>cyberbezpieczeństwo</w:t>
      </w:r>
      <w:proofErr w:type="spellEnd"/>
      <w:r w:rsidRPr="00DC7C5B">
        <w:rPr>
          <w:color w:val="000000"/>
        </w:rPr>
        <w:t xml:space="preserve"> oraz innymi odpowiednimi organami sektorowymi, </w:t>
      </w:r>
      <w:r>
        <w:rPr>
          <w:color w:val="000000"/>
        </w:rPr>
        <w:t xml:space="preserve">a także z Komisją Europejską i </w:t>
      </w:r>
      <w:r w:rsidRPr="00DC7C5B">
        <w:rPr>
          <w:color w:val="000000"/>
        </w:rPr>
        <w:t>swoimi odpowiednikami z innych państw członkowskich. Ponadto przedstawiciele organów właściwych do spraw usług pośrednictwa danych zasiadać będą w Europejskiej Radzie d</w:t>
      </w:r>
      <w:r w:rsidR="000B2552">
        <w:rPr>
          <w:color w:val="000000"/>
        </w:rPr>
        <w:t>o spraw</w:t>
      </w:r>
      <w:r w:rsidRPr="00DC7C5B">
        <w:rPr>
          <w:color w:val="000000"/>
        </w:rPr>
        <w:t xml:space="preserve"> Innowacji w zakresie Danych. Zadaniem Rady będzie zapewnienie jednolitego stosowania przepisów rozporząd</w:t>
      </w:r>
      <w:r>
        <w:rPr>
          <w:color w:val="000000"/>
        </w:rPr>
        <w:t xml:space="preserve">zenia oraz doradzanie Komisji w </w:t>
      </w:r>
      <w:r w:rsidRPr="00DC7C5B">
        <w:rPr>
          <w:color w:val="000000"/>
        </w:rPr>
        <w:t>kwestiach d</w:t>
      </w:r>
      <w:r>
        <w:rPr>
          <w:color w:val="000000"/>
        </w:rPr>
        <w:t xml:space="preserve">otyczących </w:t>
      </w:r>
      <w:r>
        <w:rPr>
          <w:color w:val="000000"/>
        </w:rPr>
        <w:lastRenderedPageBreak/>
        <w:t>interoperacyjności i </w:t>
      </w:r>
      <w:r w:rsidRPr="00DC7C5B">
        <w:rPr>
          <w:color w:val="000000"/>
        </w:rPr>
        <w:t xml:space="preserve">standaryzacji. Organy właściwe do spraw usług pośrednictwa danych muszą spełniać ściśle określone wymogi </w:t>
      </w:r>
      <w:r>
        <w:rPr>
          <w:color w:val="000000"/>
        </w:rPr>
        <w:t>wskazane</w:t>
      </w:r>
      <w:r w:rsidRPr="00DC7C5B">
        <w:rPr>
          <w:color w:val="000000"/>
        </w:rPr>
        <w:t xml:space="preserve"> w rozporządzeniu.</w:t>
      </w:r>
    </w:p>
    <w:p w14:paraId="45F5FA87" w14:textId="47FF566B" w:rsidR="002D4237" w:rsidRPr="00DC7C5B" w:rsidRDefault="002D4237" w:rsidP="00DB0AD1">
      <w:pPr>
        <w:pStyle w:val="NIEARTTEKSTtekstnieartykuowanynppodstprawnarozplubpreambua"/>
        <w:ind w:firstLine="0"/>
        <w:rPr>
          <w:color w:val="000000"/>
        </w:rPr>
      </w:pPr>
      <w:r w:rsidRPr="00DC7C5B">
        <w:rPr>
          <w:color w:val="000000"/>
        </w:rPr>
        <w:t>W przepisach projektow</w:t>
      </w:r>
      <w:r>
        <w:rPr>
          <w:color w:val="000000"/>
        </w:rPr>
        <w:t>an</w:t>
      </w:r>
      <w:r w:rsidRPr="00DC7C5B">
        <w:rPr>
          <w:color w:val="000000"/>
        </w:rPr>
        <w:t xml:space="preserve">ej ustawy wyznaczony zostanie jeden organ właściwy do spraw usług pośrednictwa danych. </w:t>
      </w:r>
      <w:r>
        <w:rPr>
          <w:color w:val="000000"/>
        </w:rPr>
        <w:t>Funkcję tę pełnić będzie Prezes Urzędu Ochrony Konkurencji i</w:t>
      </w:r>
      <w:r w:rsidR="000B2552">
        <w:rPr>
          <w:color w:val="000000"/>
        </w:rPr>
        <w:t> </w:t>
      </w:r>
      <w:r>
        <w:rPr>
          <w:color w:val="000000"/>
        </w:rPr>
        <w:t>Konsumentów.</w:t>
      </w:r>
    </w:p>
    <w:p w14:paraId="0898D534" w14:textId="25E05561" w:rsidR="002D4237" w:rsidRPr="00DB0AD1" w:rsidRDefault="002D4237" w:rsidP="00F11475">
      <w:pPr>
        <w:pStyle w:val="NIEARTTEKSTtekstnieartykuowanynppodstprawnarozplubpreambua"/>
        <w:numPr>
          <w:ilvl w:val="0"/>
          <w:numId w:val="13"/>
        </w:numPr>
        <w:spacing w:before="240"/>
        <w:rPr>
          <w:rStyle w:val="Ppogrubienie"/>
        </w:rPr>
      </w:pPr>
      <w:r w:rsidRPr="00DB0AD1">
        <w:rPr>
          <w:rStyle w:val="Ppogrubienie"/>
        </w:rPr>
        <w:t>Organ właściwy do spraw rejestracji organizacji altruizmu danych</w:t>
      </w:r>
    </w:p>
    <w:p w14:paraId="6A37DC4B" w14:textId="69955E63" w:rsidR="002D4237" w:rsidRDefault="002D4237" w:rsidP="00DB0AD1">
      <w:pPr>
        <w:pStyle w:val="NIEARTTEKSTtekstnieartykuowanynppodstprawnarozplubpreambua"/>
        <w:ind w:firstLine="0"/>
        <w:rPr>
          <w:color w:val="000000"/>
        </w:rPr>
      </w:pPr>
      <w:r w:rsidRPr="00DC7C5B">
        <w:rPr>
          <w:color w:val="000000"/>
        </w:rPr>
        <w:t>Podobny system rejestracji oraz monitorowania i nadzorowania rozporządzenie wprowadza w</w:t>
      </w:r>
      <w:r w:rsidR="000B2552">
        <w:rPr>
          <w:color w:val="000000"/>
        </w:rPr>
        <w:t> </w:t>
      </w:r>
      <w:r w:rsidRPr="00DC7C5B">
        <w:rPr>
          <w:color w:val="000000"/>
        </w:rPr>
        <w:t xml:space="preserve">odniesieniu do uznanych organizacji altruizmu danych. Państwa członkowskie zostały zobowiązane do wyznaczenia co najmniej jednego takiego organu. Charakter zadań przypisanych organom właściwym do spraw rejestracji organizacji altruizmu danych oraz organom właściwym do spraw usług pośrednictwa danych jest zasadniczo podobny. Dotyczy to również wymogów </w:t>
      </w:r>
      <w:r>
        <w:rPr>
          <w:color w:val="000000"/>
        </w:rPr>
        <w:t>jakie organy te muszą spełniać.</w:t>
      </w:r>
    </w:p>
    <w:p w14:paraId="7C0B101F" w14:textId="2252DF66" w:rsidR="002D4237" w:rsidRPr="00DC7C5B" w:rsidRDefault="002D4237" w:rsidP="00DB0AD1">
      <w:pPr>
        <w:pStyle w:val="NIEARTTEKSTtekstnieartykuowanynppodstprawnarozplubpreambua"/>
        <w:ind w:firstLine="0"/>
        <w:rPr>
          <w:color w:val="000000"/>
        </w:rPr>
      </w:pPr>
      <w:r w:rsidRPr="00DC7C5B">
        <w:rPr>
          <w:color w:val="000000"/>
        </w:rPr>
        <w:t>DGA przewiduje możliwość</w:t>
      </w:r>
      <w:r w:rsidR="000B2552">
        <w:rPr>
          <w:color w:val="000000"/>
        </w:rPr>
        <w:t>,</w:t>
      </w:r>
      <w:r w:rsidRPr="00DC7C5B">
        <w:rPr>
          <w:color w:val="000000"/>
        </w:rPr>
        <w:t xml:space="preserve"> aby funkcję organu właściwego do spraw rejestracji organizacji altruizmu danych wykonywał ten sam podmiot, który pełni rolę organu właściwego do spraw usług pośrednictwa danych. Taki model został również przewidziany w p</w:t>
      </w:r>
      <w:r>
        <w:rPr>
          <w:color w:val="000000"/>
        </w:rPr>
        <w:t xml:space="preserve">rzepisach projektowanej ustawy. Funkcję tę pełnić będzie w związku z tym </w:t>
      </w:r>
      <w:r w:rsidRPr="00F86744">
        <w:rPr>
          <w:color w:val="000000"/>
        </w:rPr>
        <w:t xml:space="preserve">Prezes Urzędu </w:t>
      </w:r>
      <w:r>
        <w:rPr>
          <w:color w:val="000000"/>
        </w:rPr>
        <w:t xml:space="preserve">Ochrony </w:t>
      </w:r>
      <w:r w:rsidRPr="00F86744">
        <w:rPr>
          <w:color w:val="000000"/>
        </w:rPr>
        <w:t>Konkurencji i Konsumentów</w:t>
      </w:r>
      <w:r>
        <w:rPr>
          <w:color w:val="000000"/>
        </w:rPr>
        <w:t>.</w:t>
      </w:r>
    </w:p>
    <w:p w14:paraId="4F765E29" w14:textId="4B36C956" w:rsidR="002D4237" w:rsidRPr="001D1291" w:rsidRDefault="002D4237" w:rsidP="00F11475">
      <w:pPr>
        <w:pStyle w:val="NIEARTTEKSTtekstnieartykuowanynppodstprawnarozplubpreambua"/>
        <w:numPr>
          <w:ilvl w:val="0"/>
          <w:numId w:val="12"/>
        </w:numPr>
        <w:spacing w:before="240"/>
        <w:rPr>
          <w:rFonts w:ascii="Times New Roman" w:hAnsi="Times New Roman" w:cs="Times New Roman"/>
          <w:b/>
          <w:szCs w:val="24"/>
        </w:rPr>
      </w:pPr>
      <w:r w:rsidRPr="001D1291">
        <w:rPr>
          <w:rFonts w:ascii="Times New Roman" w:hAnsi="Times New Roman" w:cs="Times New Roman"/>
          <w:b/>
          <w:szCs w:val="24"/>
        </w:rPr>
        <w:t xml:space="preserve">Otoczenie </w:t>
      </w:r>
      <w:r w:rsidR="007F1C85">
        <w:rPr>
          <w:rFonts w:ascii="Times New Roman" w:hAnsi="Times New Roman" w:cs="Times New Roman"/>
          <w:b/>
          <w:szCs w:val="24"/>
        </w:rPr>
        <w:t>regulacyjne</w:t>
      </w:r>
      <w:r w:rsidRPr="001D1291">
        <w:rPr>
          <w:rFonts w:ascii="Times New Roman" w:hAnsi="Times New Roman" w:cs="Times New Roman"/>
          <w:b/>
          <w:szCs w:val="24"/>
        </w:rPr>
        <w:tab/>
      </w:r>
    </w:p>
    <w:p w14:paraId="0B073020" w14:textId="737AF7A9" w:rsidR="002D4237" w:rsidRPr="005D7B46" w:rsidRDefault="002D4237" w:rsidP="004C4F82">
      <w:pPr>
        <w:pStyle w:val="NIEARTTEKSTtekstnieartykuowanynppodstprawnarozplubpreambua"/>
        <w:ind w:firstLine="0"/>
        <w:rPr>
          <w:rFonts w:ascii="Times New Roman" w:hAnsi="Times New Roman"/>
          <w:color w:val="000000"/>
        </w:rPr>
      </w:pPr>
      <w:r w:rsidRPr="006376E2">
        <w:rPr>
          <w:rFonts w:ascii="Times New Roman" w:hAnsi="Times New Roman"/>
          <w:color w:val="000000"/>
        </w:rPr>
        <w:t>Oprócz konieczności</w:t>
      </w:r>
      <w:r w:rsidRPr="00DC7C5B">
        <w:rPr>
          <w:rFonts w:ascii="Times New Roman" w:hAnsi="Times New Roman"/>
          <w:color w:val="000000"/>
        </w:rPr>
        <w:t xml:space="preserve"> stworzenia odpowiedniego otoczenia instytucjonalnego</w:t>
      </w:r>
      <w:r w:rsidR="007F1C85">
        <w:rPr>
          <w:rFonts w:ascii="Times New Roman" w:hAnsi="Times New Roman"/>
          <w:color w:val="000000"/>
        </w:rPr>
        <w:t>,</w:t>
      </w:r>
      <w:r w:rsidRPr="00DC7C5B">
        <w:rPr>
          <w:rFonts w:ascii="Times New Roman" w:hAnsi="Times New Roman"/>
          <w:color w:val="000000"/>
        </w:rPr>
        <w:t xml:space="preserve"> dla celów stosowania DGA</w:t>
      </w:r>
      <w:r w:rsidR="007F1C85">
        <w:rPr>
          <w:rFonts w:ascii="Times New Roman" w:hAnsi="Times New Roman"/>
          <w:color w:val="000000"/>
        </w:rPr>
        <w:t>,</w:t>
      </w:r>
      <w:r w:rsidRPr="00DC7C5B">
        <w:rPr>
          <w:rFonts w:ascii="Times New Roman" w:hAnsi="Times New Roman"/>
          <w:color w:val="000000"/>
        </w:rPr>
        <w:t xml:space="preserve"> państwa członkowskie zobowiązane są również zapewnić możliwość realizacji w prawie krajowym przepisów </w:t>
      </w:r>
      <w:r>
        <w:rPr>
          <w:rFonts w:ascii="Times New Roman" w:hAnsi="Times New Roman"/>
          <w:color w:val="000000"/>
        </w:rPr>
        <w:t>proceduralnych przewidzianych w</w:t>
      </w:r>
      <w:r w:rsidR="00A35922">
        <w:rPr>
          <w:rFonts w:ascii="Times New Roman" w:hAnsi="Times New Roman"/>
          <w:color w:val="000000"/>
        </w:rPr>
        <w:t xml:space="preserve"> </w:t>
      </w:r>
      <w:r w:rsidRPr="00DC7C5B">
        <w:rPr>
          <w:rFonts w:ascii="Times New Roman" w:hAnsi="Times New Roman"/>
          <w:color w:val="000000"/>
        </w:rPr>
        <w:t>rozporządzeniu oraz ustanowić regulacje dotycząc</w:t>
      </w:r>
      <w:r>
        <w:rPr>
          <w:rFonts w:ascii="Times New Roman" w:hAnsi="Times New Roman"/>
          <w:color w:val="000000"/>
        </w:rPr>
        <w:t>e</w:t>
      </w:r>
      <w:r w:rsidRPr="00DC7C5B">
        <w:rPr>
          <w:rFonts w:ascii="Times New Roman" w:hAnsi="Times New Roman"/>
          <w:color w:val="000000"/>
        </w:rPr>
        <w:t xml:space="preserve"> kar za naruszenie </w:t>
      </w:r>
      <w:r w:rsidR="00D94904">
        <w:rPr>
          <w:rFonts w:ascii="Times New Roman" w:hAnsi="Times New Roman"/>
          <w:color w:val="000000"/>
        </w:rPr>
        <w:t xml:space="preserve">jego przepisów. W </w:t>
      </w:r>
      <w:r w:rsidRPr="00464755">
        <w:rPr>
          <w:rFonts w:ascii="Times New Roman" w:hAnsi="Times New Roman"/>
          <w:color w:val="000000"/>
        </w:rPr>
        <w:t>projektowanej ustawie zawarte zostaną w związku z tym niezbędne przepisy regulujące wskazane obszary.</w:t>
      </w:r>
      <w:r>
        <w:rPr>
          <w:rFonts w:ascii="Times New Roman" w:hAnsi="Times New Roman"/>
          <w:color w:val="000000"/>
        </w:rPr>
        <w:t xml:space="preserve"> Kształt </w:t>
      </w:r>
      <w:r w:rsidRPr="00DF290A">
        <w:rPr>
          <w:rFonts w:ascii="Times New Roman" w:hAnsi="Times New Roman"/>
          <w:color w:val="000000"/>
        </w:rPr>
        <w:t>przepisów proceduralnych będzie ściśle powiązany z rozwiązan</w:t>
      </w:r>
      <w:r>
        <w:rPr>
          <w:rFonts w:ascii="Times New Roman" w:hAnsi="Times New Roman"/>
          <w:color w:val="000000"/>
        </w:rPr>
        <w:t xml:space="preserve">iami instytucjonalnymi. Z kolei </w:t>
      </w:r>
      <w:r w:rsidRPr="00DF290A">
        <w:rPr>
          <w:rFonts w:ascii="Times New Roman" w:hAnsi="Times New Roman"/>
          <w:color w:val="000000"/>
        </w:rPr>
        <w:t>w przypadku regulacji dotyczących kar propozycje wyjścio</w:t>
      </w:r>
      <w:r>
        <w:rPr>
          <w:rFonts w:ascii="Times New Roman" w:hAnsi="Times New Roman"/>
          <w:color w:val="000000"/>
        </w:rPr>
        <w:t xml:space="preserve">we są oparte na rozwiązaniach </w:t>
      </w:r>
      <w:r w:rsidRPr="00DF290A">
        <w:rPr>
          <w:rFonts w:ascii="Times New Roman" w:hAnsi="Times New Roman"/>
          <w:color w:val="000000"/>
        </w:rPr>
        <w:t>pod</w:t>
      </w:r>
      <w:r w:rsidR="006376E2">
        <w:rPr>
          <w:rFonts w:ascii="Times New Roman" w:hAnsi="Times New Roman"/>
          <w:color w:val="000000"/>
        </w:rPr>
        <w:t xml:space="preserve">obnych do tych przewidzianych w </w:t>
      </w:r>
      <w:r>
        <w:rPr>
          <w:rFonts w:ascii="Times New Roman" w:hAnsi="Times New Roman"/>
          <w:color w:val="000000"/>
        </w:rPr>
        <w:t xml:space="preserve">już obowiązujących przepisach krajowych i unijnych, m.in. w ustawie </w:t>
      </w:r>
      <w:r w:rsidRPr="0086786D">
        <w:rPr>
          <w:rFonts w:ascii="Times New Roman" w:hAnsi="Times New Roman"/>
          <w:color w:val="000000"/>
        </w:rPr>
        <w:t>z dnia 16 lutego 2007 r.</w:t>
      </w:r>
      <w:r>
        <w:rPr>
          <w:rFonts w:ascii="Times New Roman" w:hAnsi="Times New Roman"/>
          <w:color w:val="000000"/>
        </w:rPr>
        <w:t xml:space="preserve"> o ochronie konkurencji </w:t>
      </w:r>
      <w:r w:rsidR="00A35922">
        <w:rPr>
          <w:rFonts w:ascii="Times New Roman" w:hAnsi="Times New Roman"/>
          <w:color w:val="000000"/>
        </w:rPr>
        <w:t>i </w:t>
      </w:r>
      <w:r>
        <w:rPr>
          <w:rFonts w:ascii="Times New Roman" w:hAnsi="Times New Roman"/>
          <w:color w:val="000000"/>
        </w:rPr>
        <w:t>konsumentów</w:t>
      </w:r>
      <w:r w:rsidR="001257F2">
        <w:rPr>
          <w:rFonts w:ascii="Times New Roman" w:hAnsi="Times New Roman"/>
          <w:color w:val="000000"/>
        </w:rPr>
        <w:t xml:space="preserve"> (</w:t>
      </w:r>
      <w:r w:rsidR="004C4F82">
        <w:rPr>
          <w:color w:val="000000"/>
        </w:rPr>
        <w:t>Dz. U. z 2021 r. poz. 275 oraz z 2022 r. poz. 2581 i 2640</w:t>
      </w:r>
      <w:r w:rsidR="001257F2">
        <w:rPr>
          <w:color w:val="000000"/>
        </w:rPr>
        <w:t>).</w:t>
      </w:r>
    </w:p>
    <w:p w14:paraId="2DCDFE50" w14:textId="4F7BFB6A" w:rsidR="002D4237" w:rsidRPr="00DB0AD1" w:rsidRDefault="002D4237" w:rsidP="00F11475">
      <w:pPr>
        <w:pStyle w:val="NIEARTTEKSTtekstnieartykuowanynppodstprawnarozplubpreambua"/>
        <w:numPr>
          <w:ilvl w:val="0"/>
          <w:numId w:val="11"/>
        </w:numPr>
        <w:spacing w:before="360"/>
        <w:ind w:left="1225" w:hanging="357"/>
        <w:rPr>
          <w:rStyle w:val="Ppogrubienie"/>
        </w:rPr>
      </w:pPr>
      <w:r w:rsidRPr="00DB0AD1">
        <w:rPr>
          <w:rStyle w:val="Ppogrubienie"/>
        </w:rPr>
        <w:t>Systematyka ustawy.</w:t>
      </w:r>
    </w:p>
    <w:p w14:paraId="52A20FDD" w14:textId="77777777" w:rsidR="002D4237" w:rsidRPr="00744574" w:rsidRDefault="002D4237" w:rsidP="00DB0AD1">
      <w:pPr>
        <w:pStyle w:val="NIEARTTEKSTtekstnieartykuowanynppodstprawnarozplubpreambua"/>
        <w:ind w:firstLine="0"/>
        <w:rPr>
          <w:rFonts w:eastAsia="Times New Roman" w:cs="Times New Roman"/>
          <w:szCs w:val="24"/>
        </w:rPr>
      </w:pPr>
      <w:r w:rsidRPr="00744574">
        <w:rPr>
          <w:rFonts w:eastAsia="Times New Roman" w:cs="Times New Roman"/>
          <w:szCs w:val="24"/>
        </w:rPr>
        <w:lastRenderedPageBreak/>
        <w:t>Przepisy ustawy pogrupowane zostały w następujące rozdziały:</w:t>
      </w:r>
    </w:p>
    <w:p w14:paraId="2E477218" w14:textId="6268F66F" w:rsidR="002D4237" w:rsidRPr="00744574" w:rsidRDefault="002D4237" w:rsidP="00F11475">
      <w:pPr>
        <w:pStyle w:val="NIEARTTEKSTtekstnieartykuowanynppodstprawnarozplubpreambua"/>
        <w:numPr>
          <w:ilvl w:val="0"/>
          <w:numId w:val="14"/>
        </w:numPr>
        <w:rPr>
          <w:rFonts w:eastAsia="Times New Roman" w:cs="Times New Roman"/>
          <w:szCs w:val="24"/>
        </w:rPr>
      </w:pPr>
      <w:r w:rsidRPr="00744574">
        <w:rPr>
          <w:rFonts w:eastAsia="Times New Roman" w:cs="Times New Roman"/>
          <w:szCs w:val="24"/>
        </w:rPr>
        <w:t>Przepisy ogólne.</w:t>
      </w:r>
    </w:p>
    <w:p w14:paraId="05F0D046" w14:textId="6FC2F3DC" w:rsidR="002D4237" w:rsidRPr="00744574" w:rsidRDefault="002D4237" w:rsidP="00F11475">
      <w:pPr>
        <w:pStyle w:val="NIEARTTEKSTtekstnieartykuowanynppodstprawnarozplubpreambua"/>
        <w:numPr>
          <w:ilvl w:val="0"/>
          <w:numId w:val="14"/>
        </w:numPr>
        <w:rPr>
          <w:rFonts w:eastAsia="Times New Roman" w:cs="Times New Roman"/>
          <w:szCs w:val="24"/>
        </w:rPr>
      </w:pPr>
      <w:r w:rsidRPr="002E469B">
        <w:rPr>
          <w:rFonts w:eastAsia="Times New Roman" w:cs="Times New Roman"/>
          <w:szCs w:val="24"/>
        </w:rPr>
        <w:t>Ponowne wykorzystywanie chronionych danych</w:t>
      </w:r>
      <w:r>
        <w:rPr>
          <w:rFonts w:eastAsia="Times New Roman" w:cs="Times New Roman"/>
          <w:szCs w:val="24"/>
        </w:rPr>
        <w:t>.</w:t>
      </w:r>
    </w:p>
    <w:p w14:paraId="0272C0D6" w14:textId="25124293" w:rsidR="002D4237" w:rsidRPr="00744574" w:rsidRDefault="002D4237" w:rsidP="00F11475">
      <w:pPr>
        <w:pStyle w:val="NIEARTTEKSTtekstnieartykuowanynppodstprawnarozplubpreambua"/>
        <w:numPr>
          <w:ilvl w:val="0"/>
          <w:numId w:val="14"/>
        </w:numPr>
        <w:rPr>
          <w:rFonts w:eastAsia="Times New Roman" w:cs="Times New Roman"/>
          <w:szCs w:val="24"/>
        </w:rPr>
      </w:pPr>
      <w:r w:rsidRPr="002E469B">
        <w:rPr>
          <w:rFonts w:eastAsia="Times New Roman" w:cs="Times New Roman"/>
          <w:szCs w:val="24"/>
        </w:rPr>
        <w:t>Usługi pośrednictwa danych</w:t>
      </w:r>
      <w:r>
        <w:rPr>
          <w:rFonts w:eastAsia="Times New Roman" w:cs="Times New Roman"/>
          <w:szCs w:val="24"/>
        </w:rPr>
        <w:t>.</w:t>
      </w:r>
    </w:p>
    <w:p w14:paraId="075C7616" w14:textId="4890BA6C" w:rsidR="002D4237" w:rsidRPr="00744574" w:rsidRDefault="002D4237" w:rsidP="00F11475">
      <w:pPr>
        <w:pStyle w:val="NIEARTTEKSTtekstnieartykuowanynppodstprawnarozplubpreambua"/>
        <w:numPr>
          <w:ilvl w:val="0"/>
          <w:numId w:val="14"/>
        </w:numPr>
        <w:rPr>
          <w:rFonts w:eastAsia="Times New Roman" w:cs="Times New Roman"/>
          <w:szCs w:val="24"/>
        </w:rPr>
      </w:pPr>
      <w:r w:rsidRPr="002E469B">
        <w:rPr>
          <w:rFonts w:eastAsia="Times New Roman" w:cs="Times New Roman"/>
          <w:szCs w:val="24"/>
        </w:rPr>
        <w:t>Altruizm danych</w:t>
      </w:r>
      <w:r>
        <w:rPr>
          <w:rFonts w:eastAsia="Times New Roman" w:cs="Times New Roman"/>
          <w:szCs w:val="24"/>
        </w:rPr>
        <w:t>.</w:t>
      </w:r>
    </w:p>
    <w:p w14:paraId="012AE125" w14:textId="5E364A71" w:rsidR="002D4237" w:rsidRPr="00744574" w:rsidRDefault="002D4237" w:rsidP="00F11475">
      <w:pPr>
        <w:pStyle w:val="NIEARTTEKSTtekstnieartykuowanynppodstprawnarozplubpreambua"/>
        <w:numPr>
          <w:ilvl w:val="0"/>
          <w:numId w:val="14"/>
        </w:numPr>
        <w:rPr>
          <w:rFonts w:eastAsia="Times New Roman" w:cs="Times New Roman"/>
          <w:szCs w:val="24"/>
        </w:rPr>
      </w:pPr>
      <w:r w:rsidRPr="002E469B">
        <w:rPr>
          <w:rFonts w:eastAsia="Times New Roman" w:cs="Times New Roman"/>
          <w:szCs w:val="24"/>
        </w:rPr>
        <w:t>Przepisy o karach pieniężnych</w:t>
      </w:r>
      <w:r>
        <w:rPr>
          <w:rFonts w:eastAsia="Times New Roman" w:cs="Times New Roman"/>
          <w:szCs w:val="24"/>
        </w:rPr>
        <w:t>.</w:t>
      </w:r>
    </w:p>
    <w:p w14:paraId="650C06EC" w14:textId="63D2BB13" w:rsidR="00DB0AD1" w:rsidRPr="00DB0AD1" w:rsidRDefault="002F19EA" w:rsidP="00F11475">
      <w:pPr>
        <w:pStyle w:val="NIEARTTEKSTtekstnieartykuowanynppodstprawnarozplubpreambua"/>
        <w:numPr>
          <w:ilvl w:val="0"/>
          <w:numId w:val="14"/>
        </w:numPr>
      </w:pPr>
      <w:r>
        <w:rPr>
          <w:rFonts w:eastAsia="Times New Roman" w:cs="Times New Roman"/>
          <w:szCs w:val="24"/>
        </w:rPr>
        <w:t>Przepis</w:t>
      </w:r>
      <w:r w:rsidR="002D4237" w:rsidRPr="00835810">
        <w:rPr>
          <w:rFonts w:eastAsia="Times New Roman" w:cs="Times New Roman"/>
          <w:szCs w:val="24"/>
        </w:rPr>
        <w:t xml:space="preserve"> </w:t>
      </w:r>
      <w:r>
        <w:rPr>
          <w:rFonts w:eastAsia="Times New Roman" w:cs="Times New Roman"/>
          <w:szCs w:val="24"/>
        </w:rPr>
        <w:t>końcowy</w:t>
      </w:r>
      <w:r w:rsidR="002D4237" w:rsidRPr="00835810">
        <w:rPr>
          <w:rFonts w:eastAsia="Times New Roman" w:cs="Times New Roman"/>
          <w:szCs w:val="24"/>
        </w:rPr>
        <w:t>.</w:t>
      </w:r>
    </w:p>
    <w:p w14:paraId="1972690D" w14:textId="3DEC6646" w:rsidR="002D4237" w:rsidRPr="00DB0AD1" w:rsidRDefault="00A563F8" w:rsidP="00F11475">
      <w:pPr>
        <w:pStyle w:val="NIEARTTEKSTtekstnieartykuowanynppodstprawnarozplubpreambua"/>
        <w:numPr>
          <w:ilvl w:val="0"/>
          <w:numId w:val="11"/>
        </w:numPr>
        <w:spacing w:before="360"/>
        <w:ind w:left="1225" w:hanging="357"/>
        <w:rPr>
          <w:rStyle w:val="Ppogrubienie"/>
        </w:rPr>
      </w:pPr>
      <w:r>
        <w:rPr>
          <w:rStyle w:val="Ppogrubienie"/>
        </w:rPr>
        <w:t>Szczegółowe regulacje</w:t>
      </w:r>
    </w:p>
    <w:p w14:paraId="5534E38D" w14:textId="77777777" w:rsidR="002D4237" w:rsidRPr="002773F9" w:rsidRDefault="002D4237" w:rsidP="00F5466D">
      <w:pPr>
        <w:pStyle w:val="NIEARTTEKSTtekstnieartykuowanynppodstprawnarozplubpreambua"/>
        <w:ind w:firstLine="0"/>
        <w:rPr>
          <w:b/>
          <w:lang w:eastAsia="ar-SA"/>
        </w:rPr>
      </w:pPr>
      <w:r>
        <w:rPr>
          <w:b/>
          <w:lang w:eastAsia="ar-SA"/>
        </w:rPr>
        <w:t>Rozdział I. Przepisy ogólne.</w:t>
      </w:r>
    </w:p>
    <w:p w14:paraId="690A6B2B" w14:textId="402756C8" w:rsidR="002D4237" w:rsidRDefault="002D4237" w:rsidP="00DB0AD1">
      <w:pPr>
        <w:pStyle w:val="NIEARTTEKSTtekstnieartykuowanynppodstprawnarozplubpreambua"/>
        <w:ind w:firstLine="0"/>
        <w:rPr>
          <w:lang w:eastAsia="ar-SA"/>
        </w:rPr>
      </w:pPr>
      <w:r>
        <w:rPr>
          <w:lang w:eastAsia="ar-SA"/>
        </w:rPr>
        <w:t xml:space="preserve">Celem projektowanej ustawy jest zapewnienie stosowania w prawie krajowym przepisów DGA. </w:t>
      </w:r>
      <w:r w:rsidR="002F19EA">
        <w:rPr>
          <w:lang w:eastAsia="ar-SA"/>
        </w:rPr>
        <w:t>W projekcie ustawy określono</w:t>
      </w:r>
      <w:r>
        <w:rPr>
          <w:lang w:eastAsia="ar-SA"/>
        </w:rPr>
        <w:t xml:space="preserve"> </w:t>
      </w:r>
      <w:r w:rsidRPr="00D403AF">
        <w:rPr>
          <w:lang w:eastAsia="ar-SA"/>
        </w:rPr>
        <w:t>organy właściwe do wykonywania zadań wynikających z przepisów rozporządzenia</w:t>
      </w:r>
      <w:r>
        <w:rPr>
          <w:lang w:eastAsia="ar-SA"/>
        </w:rPr>
        <w:t>. W ustawie zawarto przepisy dotyczące ponownego wykorzystywania</w:t>
      </w:r>
      <w:r w:rsidRPr="00D403AF">
        <w:t xml:space="preserve"> </w:t>
      </w:r>
      <w:r>
        <w:rPr>
          <w:lang w:eastAsia="ar-SA"/>
        </w:rPr>
        <w:t xml:space="preserve">chronionych danych, o </w:t>
      </w:r>
      <w:r w:rsidRPr="00D403AF">
        <w:rPr>
          <w:lang w:eastAsia="ar-SA"/>
        </w:rPr>
        <w:t>których mowa w art. 3 ust. 1 DGA</w:t>
      </w:r>
      <w:r>
        <w:rPr>
          <w:lang w:eastAsia="ar-SA"/>
        </w:rPr>
        <w:t xml:space="preserve">, w tym tryb rozpatrywania wniosków o ponowne wykorzystywanie chronionych danych, tryb udzielania prawa wyłącznego do ponownego wykorzystywania chronionych danych, a także tryb udostępniania </w:t>
      </w:r>
      <w:r w:rsidRPr="00D403AF">
        <w:rPr>
          <w:lang w:eastAsia="ar-SA"/>
        </w:rPr>
        <w:t>wykazu chronionych danych</w:t>
      </w:r>
      <w:r>
        <w:rPr>
          <w:lang w:eastAsia="ar-SA"/>
        </w:rPr>
        <w:t xml:space="preserve"> w ramach pojedynczego punktu informacyjnego. Projektowana ustawa zawierać będzie również regulacje umożliwiające stosowanie przepisów DGA dotyczących usług pośrednictwa danych oraz altruizmu danych,</w:t>
      </w:r>
      <w:r w:rsidR="00367361">
        <w:rPr>
          <w:lang w:eastAsia="ar-SA"/>
        </w:rPr>
        <w:t xml:space="preserve"> w tym m.in. </w:t>
      </w:r>
      <w:r w:rsidRPr="00545A2A">
        <w:rPr>
          <w:lang w:eastAsia="ar-SA"/>
        </w:rPr>
        <w:t>tryb dokonywania zgłoszeń usług pośrednictwa danych oraz rejestracji uznany</w:t>
      </w:r>
      <w:r>
        <w:rPr>
          <w:lang w:eastAsia="ar-SA"/>
        </w:rPr>
        <w:t>c</w:t>
      </w:r>
      <w:r w:rsidR="00D27EA1">
        <w:rPr>
          <w:lang w:eastAsia="ar-SA"/>
        </w:rPr>
        <w:t xml:space="preserve">h organizacji altruizmu danych. W ustawie zawarto również regulacje dotyczące </w:t>
      </w:r>
      <w:r>
        <w:rPr>
          <w:lang w:eastAsia="ar-SA"/>
        </w:rPr>
        <w:t>kar za naruszenie przepisów DGA.</w:t>
      </w:r>
    </w:p>
    <w:p w14:paraId="444BB569" w14:textId="2B014FA8" w:rsidR="00146F61" w:rsidRPr="00146F61" w:rsidRDefault="00146F61" w:rsidP="00383561">
      <w:pPr>
        <w:pStyle w:val="ARTartustawynprozporzdzenia"/>
        <w:spacing w:before="240"/>
        <w:ind w:firstLine="0"/>
        <w:rPr>
          <w:lang w:eastAsia="ar-SA"/>
        </w:rPr>
      </w:pPr>
      <w:r>
        <w:rPr>
          <w:lang w:eastAsia="ar-SA"/>
        </w:rPr>
        <w:t>Słowniczek ustawowy.</w:t>
      </w:r>
    </w:p>
    <w:p w14:paraId="4FBE2D62" w14:textId="68C4A399" w:rsidR="002D4237" w:rsidRDefault="002D4237" w:rsidP="00DB0AD1">
      <w:pPr>
        <w:pStyle w:val="NIEARTTEKSTtekstnieartykuowanynppodstprawnarozplubpreambua"/>
        <w:ind w:firstLine="0"/>
        <w:rPr>
          <w:lang w:eastAsia="ar-SA"/>
        </w:rPr>
      </w:pPr>
      <w:r w:rsidRPr="00D875EF">
        <w:rPr>
          <w:lang w:eastAsia="ar-SA"/>
        </w:rPr>
        <w:t xml:space="preserve">W </w:t>
      </w:r>
      <w:r w:rsidR="00D27EA1">
        <w:rPr>
          <w:lang w:eastAsia="ar-SA"/>
        </w:rPr>
        <w:t>rozdziale I projektowanej</w:t>
      </w:r>
      <w:r w:rsidRPr="00D53976">
        <w:rPr>
          <w:lang w:eastAsia="ar-SA"/>
        </w:rPr>
        <w:t xml:space="preserve"> ustawy wprowadzono słowniczek ustawowy, </w:t>
      </w:r>
      <w:r w:rsidRPr="00744574">
        <w:rPr>
          <w:rFonts w:eastAsia="Times New Roman" w:cs="Times New Roman"/>
          <w:szCs w:val="24"/>
        </w:rPr>
        <w:t xml:space="preserve">w którym </w:t>
      </w:r>
      <w:r w:rsidR="00D27EA1">
        <w:rPr>
          <w:rFonts w:eastAsia="Times New Roman" w:cs="Times New Roman"/>
          <w:szCs w:val="24"/>
        </w:rPr>
        <w:t>znalazły się</w:t>
      </w:r>
      <w:r w:rsidRPr="00744574">
        <w:rPr>
          <w:rFonts w:eastAsia="Times New Roman" w:cs="Times New Roman"/>
          <w:szCs w:val="24"/>
        </w:rPr>
        <w:t xml:space="preserve"> definicje sformułowane </w:t>
      </w:r>
      <w:r>
        <w:rPr>
          <w:rFonts w:eastAsia="Times New Roman" w:cs="Times New Roman"/>
          <w:szCs w:val="24"/>
        </w:rPr>
        <w:t>w DGA</w:t>
      </w:r>
      <w:r w:rsidRPr="00744574">
        <w:rPr>
          <w:rFonts w:eastAsia="Times New Roman" w:cs="Times New Roman"/>
          <w:szCs w:val="24"/>
        </w:rPr>
        <w:t xml:space="preserve"> oraz pojęcia zdefiniowane </w:t>
      </w:r>
      <w:r>
        <w:rPr>
          <w:lang w:eastAsia="ar-SA"/>
        </w:rPr>
        <w:t>na potrzeby projektowanej ustawy lub odwołujące się do innych regulacji.</w:t>
      </w:r>
    </w:p>
    <w:p w14:paraId="4DDFDD7F" w14:textId="5729CFD0" w:rsidR="002D4237" w:rsidRDefault="002D4237" w:rsidP="00F11475">
      <w:pPr>
        <w:pStyle w:val="NIEARTTEKSTtekstnieartykuowanynppodstprawnarozplubpreambua"/>
        <w:numPr>
          <w:ilvl w:val="0"/>
          <w:numId w:val="6"/>
        </w:numPr>
        <w:ind w:left="709"/>
        <w:rPr>
          <w:rFonts w:ascii="Times New Roman" w:hAnsi="Times New Roman"/>
          <w:szCs w:val="24"/>
          <w:lang w:eastAsia="ar-SA"/>
        </w:rPr>
      </w:pPr>
      <w:r>
        <w:rPr>
          <w:rFonts w:ascii="Times New Roman" w:hAnsi="Times New Roman"/>
          <w:szCs w:val="24"/>
          <w:lang w:eastAsia="ar-SA"/>
        </w:rPr>
        <w:t>Chronione dane</w:t>
      </w:r>
    </w:p>
    <w:p w14:paraId="20412343" w14:textId="7A164117" w:rsidR="002D4237" w:rsidRPr="00AB3404" w:rsidRDefault="002D4237" w:rsidP="00E74DEB">
      <w:pPr>
        <w:pStyle w:val="NIEARTTEKSTtekstnieartykuowanynppodstprawnarozplubpreambua"/>
        <w:ind w:firstLine="0"/>
        <w:rPr>
          <w:szCs w:val="24"/>
          <w:lang w:eastAsia="ar-SA"/>
        </w:rPr>
      </w:pPr>
      <w:r w:rsidRPr="00AB3404">
        <w:rPr>
          <w:szCs w:val="24"/>
          <w:lang w:eastAsia="ar-SA"/>
        </w:rPr>
        <w:lastRenderedPageBreak/>
        <w:t xml:space="preserve">Pojęcie chronionych danych zostało zdefiniowane na potrzeby </w:t>
      </w:r>
      <w:r>
        <w:rPr>
          <w:szCs w:val="24"/>
          <w:lang w:eastAsia="ar-SA"/>
        </w:rPr>
        <w:t xml:space="preserve">projektowanej </w:t>
      </w:r>
      <w:r w:rsidRPr="00AB3404">
        <w:rPr>
          <w:szCs w:val="24"/>
          <w:lang w:eastAsia="ar-SA"/>
        </w:rPr>
        <w:t>ustawy. Chronione dane to dane, o których mowa w art. 3 ust. 1 DGA, tj. dane będące</w:t>
      </w:r>
      <w:r>
        <w:rPr>
          <w:szCs w:val="24"/>
          <w:lang w:eastAsia="ar-SA"/>
        </w:rPr>
        <w:t xml:space="preserve"> w</w:t>
      </w:r>
      <w:r w:rsidR="00D27EA1">
        <w:rPr>
          <w:szCs w:val="24"/>
          <w:lang w:eastAsia="ar-SA"/>
        </w:rPr>
        <w:t xml:space="preserve"> </w:t>
      </w:r>
      <w:r w:rsidRPr="00AB3404">
        <w:rPr>
          <w:szCs w:val="24"/>
          <w:lang w:eastAsia="ar-SA"/>
        </w:rPr>
        <w:t>posiadaniu podmiotów sektora publicznego, które są chronione ze względu na:</w:t>
      </w:r>
    </w:p>
    <w:p w14:paraId="7DF277CF" w14:textId="42CC0A17" w:rsidR="002D4237" w:rsidRDefault="002D4237" w:rsidP="00F11475">
      <w:pPr>
        <w:pStyle w:val="NIEARTTEKSTtekstnieartykuowanynppodstprawnarozplubpreambua"/>
        <w:numPr>
          <w:ilvl w:val="0"/>
          <w:numId w:val="4"/>
        </w:numPr>
        <w:rPr>
          <w:rFonts w:ascii="Times New Roman" w:hAnsi="Times New Roman"/>
          <w:szCs w:val="24"/>
          <w:lang w:eastAsia="ar-SA"/>
        </w:rPr>
      </w:pPr>
      <w:r w:rsidRPr="000C7634">
        <w:rPr>
          <w:rFonts w:ascii="Times New Roman" w:hAnsi="Times New Roman"/>
          <w:szCs w:val="24"/>
          <w:lang w:eastAsia="ar-SA"/>
        </w:rPr>
        <w:t>poufność informacji handlowych, w tym</w:t>
      </w:r>
      <w:r>
        <w:rPr>
          <w:rFonts w:ascii="Times New Roman" w:hAnsi="Times New Roman"/>
          <w:szCs w:val="24"/>
          <w:lang w:eastAsia="ar-SA"/>
        </w:rPr>
        <w:t xml:space="preserve"> tajemnicę handlową, zawodową i</w:t>
      </w:r>
      <w:r w:rsidR="00DD4B2B">
        <w:rPr>
          <w:rFonts w:ascii="Times New Roman" w:hAnsi="Times New Roman"/>
          <w:szCs w:val="24"/>
          <w:lang w:eastAsia="ar-SA"/>
        </w:rPr>
        <w:t> </w:t>
      </w:r>
      <w:r w:rsidRPr="000C7634">
        <w:rPr>
          <w:rFonts w:ascii="Times New Roman" w:hAnsi="Times New Roman"/>
          <w:szCs w:val="24"/>
          <w:lang w:eastAsia="ar-SA"/>
        </w:rPr>
        <w:t>tajemnicę przedsiębiorstwa</w:t>
      </w:r>
      <w:r>
        <w:rPr>
          <w:rFonts w:ascii="Times New Roman" w:hAnsi="Times New Roman"/>
          <w:szCs w:val="24"/>
          <w:lang w:eastAsia="ar-SA"/>
        </w:rPr>
        <w:t>,</w:t>
      </w:r>
    </w:p>
    <w:p w14:paraId="59EB426C" w14:textId="28ABDC37" w:rsidR="002D4237" w:rsidRDefault="002D4237" w:rsidP="00F11475">
      <w:pPr>
        <w:pStyle w:val="NIEARTTEKSTtekstnieartykuowanynppodstprawnarozplubpreambua"/>
        <w:numPr>
          <w:ilvl w:val="0"/>
          <w:numId w:val="4"/>
        </w:numPr>
        <w:rPr>
          <w:rFonts w:ascii="Times New Roman" w:hAnsi="Times New Roman"/>
          <w:szCs w:val="24"/>
          <w:lang w:eastAsia="ar-SA"/>
        </w:rPr>
      </w:pPr>
      <w:r w:rsidRPr="000C7634">
        <w:rPr>
          <w:rFonts w:ascii="Times New Roman" w:hAnsi="Times New Roman"/>
          <w:szCs w:val="24"/>
          <w:lang w:eastAsia="ar-SA"/>
        </w:rPr>
        <w:t>poufność inform</w:t>
      </w:r>
      <w:r>
        <w:rPr>
          <w:rFonts w:ascii="Times New Roman" w:hAnsi="Times New Roman"/>
          <w:szCs w:val="24"/>
          <w:lang w:eastAsia="ar-SA"/>
        </w:rPr>
        <w:t>acji statystycznych,</w:t>
      </w:r>
    </w:p>
    <w:p w14:paraId="31601DC0" w14:textId="642BE4DF" w:rsidR="002D4237" w:rsidRDefault="002D4237" w:rsidP="00F11475">
      <w:pPr>
        <w:pStyle w:val="NIEARTTEKSTtekstnieartykuowanynppodstprawnarozplubpreambua"/>
        <w:numPr>
          <w:ilvl w:val="0"/>
          <w:numId w:val="4"/>
        </w:numPr>
        <w:rPr>
          <w:rFonts w:ascii="Times New Roman" w:hAnsi="Times New Roman"/>
          <w:szCs w:val="24"/>
          <w:lang w:eastAsia="ar-SA"/>
        </w:rPr>
      </w:pPr>
      <w:r w:rsidRPr="000C7634">
        <w:rPr>
          <w:rFonts w:ascii="Times New Roman" w:hAnsi="Times New Roman"/>
          <w:szCs w:val="24"/>
          <w:lang w:eastAsia="ar-SA"/>
        </w:rPr>
        <w:t>ochronę praw własności intelektualnej osób trzecich</w:t>
      </w:r>
      <w:r>
        <w:rPr>
          <w:rFonts w:ascii="Times New Roman" w:hAnsi="Times New Roman"/>
          <w:szCs w:val="24"/>
          <w:lang w:eastAsia="ar-SA"/>
        </w:rPr>
        <w:t>,</w:t>
      </w:r>
    </w:p>
    <w:p w14:paraId="4F621389" w14:textId="074AC1EB" w:rsidR="002D4237" w:rsidRPr="000C7634" w:rsidRDefault="002D4237" w:rsidP="00F11475">
      <w:pPr>
        <w:pStyle w:val="NIEARTTEKSTtekstnieartykuowanynppodstprawnarozplubpreambua"/>
        <w:numPr>
          <w:ilvl w:val="0"/>
          <w:numId w:val="4"/>
        </w:numPr>
        <w:rPr>
          <w:rFonts w:ascii="Times New Roman" w:hAnsi="Times New Roman"/>
          <w:szCs w:val="24"/>
          <w:lang w:eastAsia="ar-SA"/>
        </w:rPr>
      </w:pPr>
      <w:r w:rsidRPr="000C7634">
        <w:rPr>
          <w:rFonts w:ascii="Times New Roman" w:hAnsi="Times New Roman"/>
          <w:szCs w:val="24"/>
          <w:lang w:eastAsia="ar-SA"/>
        </w:rPr>
        <w:t xml:space="preserve">ochronę danych osobowych w zakresie, w jakim dane te wykraczają poza zakres stosowania dyrektywy </w:t>
      </w:r>
      <w:r w:rsidR="00707FA5">
        <w:rPr>
          <w:rFonts w:ascii="Times New Roman" w:hAnsi="Times New Roman"/>
          <w:szCs w:val="24"/>
          <w:lang w:eastAsia="ar-SA"/>
        </w:rPr>
        <w:t>w sprawie</w:t>
      </w:r>
      <w:r w:rsidR="000E286F">
        <w:rPr>
          <w:rFonts w:ascii="Times New Roman" w:hAnsi="Times New Roman"/>
          <w:szCs w:val="24"/>
          <w:lang w:eastAsia="ar-SA"/>
        </w:rPr>
        <w:t xml:space="preserve"> otwartych danych</w:t>
      </w:r>
      <w:r w:rsidRPr="000C7634">
        <w:rPr>
          <w:rFonts w:ascii="Times New Roman" w:hAnsi="Times New Roman"/>
          <w:szCs w:val="24"/>
          <w:lang w:eastAsia="ar-SA"/>
        </w:rPr>
        <w:t>.</w:t>
      </w:r>
    </w:p>
    <w:p w14:paraId="00943EDF" w14:textId="77777777" w:rsidR="002D4237" w:rsidRPr="000C7634" w:rsidRDefault="002D4237" w:rsidP="00E74DEB">
      <w:pPr>
        <w:pStyle w:val="NIEARTTEKSTtekstnieartykuowanynppodstprawnarozplubpreambua"/>
        <w:ind w:firstLine="0"/>
        <w:rPr>
          <w:szCs w:val="24"/>
          <w:lang w:eastAsia="ar-SA"/>
        </w:rPr>
      </w:pPr>
      <w:r>
        <w:rPr>
          <w:rFonts w:eastAsia="Calibri" w:cs="Times New Roman"/>
          <w:szCs w:val="24"/>
          <w:lang w:eastAsia="ar-SA"/>
        </w:rPr>
        <w:t xml:space="preserve">Na gruncie rozporządzenia </w:t>
      </w:r>
      <w:r>
        <w:rPr>
          <w:szCs w:val="24"/>
          <w:lang w:eastAsia="ar-SA"/>
        </w:rPr>
        <w:t>p</w:t>
      </w:r>
      <w:r w:rsidRPr="000C7634">
        <w:rPr>
          <w:szCs w:val="24"/>
          <w:lang w:eastAsia="ar-SA"/>
        </w:rPr>
        <w:t>rawodawca unijny</w:t>
      </w:r>
      <w:r>
        <w:rPr>
          <w:szCs w:val="24"/>
          <w:lang w:eastAsia="ar-SA"/>
        </w:rPr>
        <w:t>, opisując wskazane zasoby</w:t>
      </w:r>
      <w:r w:rsidRPr="000C7634">
        <w:rPr>
          <w:szCs w:val="24"/>
          <w:lang w:eastAsia="ar-SA"/>
        </w:rPr>
        <w:t xml:space="preserve"> </w:t>
      </w:r>
      <w:r>
        <w:rPr>
          <w:szCs w:val="24"/>
          <w:lang w:eastAsia="ar-SA"/>
        </w:rPr>
        <w:t xml:space="preserve">posługuje się najczęściej pojęciem </w:t>
      </w:r>
      <w:r w:rsidR="0042722C">
        <w:rPr>
          <w:szCs w:val="24"/>
          <w:lang w:eastAsia="ar-SA"/>
        </w:rPr>
        <w:t>„</w:t>
      </w:r>
      <w:r>
        <w:rPr>
          <w:szCs w:val="24"/>
          <w:lang w:eastAsia="ar-SA"/>
        </w:rPr>
        <w:t>niektóre kategorie chronionych danych</w:t>
      </w:r>
      <w:r w:rsidR="0042722C">
        <w:rPr>
          <w:szCs w:val="24"/>
          <w:lang w:eastAsia="ar-SA"/>
        </w:rPr>
        <w:t>”</w:t>
      </w:r>
      <w:r>
        <w:rPr>
          <w:szCs w:val="24"/>
          <w:lang w:eastAsia="ar-SA"/>
        </w:rPr>
        <w:t>.</w:t>
      </w:r>
    </w:p>
    <w:p w14:paraId="523CAB28" w14:textId="7F918EBD" w:rsidR="002D4237" w:rsidRDefault="002D4237" w:rsidP="00F11475">
      <w:pPr>
        <w:pStyle w:val="NIEARTTEKSTtekstnieartykuowanynppodstprawnarozplubpreambua"/>
        <w:numPr>
          <w:ilvl w:val="0"/>
          <w:numId w:val="6"/>
        </w:numPr>
        <w:ind w:left="851"/>
        <w:rPr>
          <w:rFonts w:ascii="Times New Roman" w:hAnsi="Times New Roman"/>
          <w:szCs w:val="24"/>
          <w:lang w:eastAsia="ar-SA"/>
        </w:rPr>
      </w:pPr>
      <w:r>
        <w:rPr>
          <w:rFonts w:ascii="Times New Roman" w:hAnsi="Times New Roman"/>
          <w:szCs w:val="24"/>
          <w:lang w:eastAsia="ar-SA"/>
        </w:rPr>
        <w:t>Dane</w:t>
      </w:r>
    </w:p>
    <w:p w14:paraId="7C7EF592" w14:textId="77777777" w:rsidR="002D4237" w:rsidRPr="00AB3404" w:rsidRDefault="002D4237" w:rsidP="00E74DEB">
      <w:pPr>
        <w:pStyle w:val="NIEARTTEKSTtekstnieartykuowanynppodstprawnarozplubpreambua"/>
        <w:ind w:firstLine="0"/>
        <w:rPr>
          <w:szCs w:val="24"/>
          <w:lang w:eastAsia="ar-SA"/>
        </w:rPr>
      </w:pPr>
      <w:r w:rsidRPr="00AB3404">
        <w:rPr>
          <w:szCs w:val="24"/>
          <w:lang w:eastAsia="ar-SA"/>
        </w:rPr>
        <w:t>W ustawie odwołano się do zdefiniowanego w DGA pojęcia danych. Zgodnie z art. 2 pkt 1 rozporządzenia dane to cyfrowe odwzorowania działań, faktów lub informacji oraz wszelkie kompilacje takich działań, faktów lub informacji, w tym w formie zapisu dźwiękowego, wizualnego lub audiowizualnego.</w:t>
      </w:r>
    </w:p>
    <w:p w14:paraId="2D9FD7C1" w14:textId="2B812336" w:rsidR="002D4237" w:rsidRDefault="002D4237" w:rsidP="00F11475">
      <w:pPr>
        <w:pStyle w:val="NIEARTTEKSTtekstnieartykuowanynppodstprawnarozplubpreambua"/>
        <w:numPr>
          <w:ilvl w:val="0"/>
          <w:numId w:val="6"/>
        </w:numPr>
        <w:ind w:left="851"/>
        <w:rPr>
          <w:rFonts w:ascii="Times New Roman" w:hAnsi="Times New Roman"/>
          <w:szCs w:val="24"/>
          <w:lang w:eastAsia="ar-SA"/>
        </w:rPr>
      </w:pPr>
      <w:r>
        <w:rPr>
          <w:rFonts w:ascii="Times New Roman" w:hAnsi="Times New Roman"/>
          <w:szCs w:val="24"/>
          <w:lang w:eastAsia="ar-SA"/>
        </w:rPr>
        <w:t>Dane nieosobowe</w:t>
      </w:r>
    </w:p>
    <w:p w14:paraId="6824C860" w14:textId="30E72506" w:rsidR="002D4237" w:rsidRPr="00AB3404" w:rsidRDefault="0039034E" w:rsidP="00E74DEB">
      <w:pPr>
        <w:pStyle w:val="NIEARTTEKSTtekstnieartykuowanynppodstprawnarozplubpreambua"/>
        <w:ind w:firstLine="0"/>
        <w:rPr>
          <w:szCs w:val="24"/>
          <w:lang w:eastAsia="ar-SA"/>
        </w:rPr>
      </w:pPr>
      <w:r>
        <w:rPr>
          <w:szCs w:val="24"/>
          <w:lang w:eastAsia="ar-SA"/>
        </w:rPr>
        <w:t xml:space="preserve">Dane nieosobowe, zgodnie </w:t>
      </w:r>
      <w:r w:rsidR="002D4237" w:rsidRPr="00AB3404">
        <w:rPr>
          <w:szCs w:val="24"/>
          <w:lang w:eastAsia="ar-SA"/>
        </w:rPr>
        <w:t>z art. 2 pkt 4 DGA</w:t>
      </w:r>
      <w:r w:rsidR="002D4237">
        <w:rPr>
          <w:szCs w:val="24"/>
          <w:lang w:eastAsia="ar-SA"/>
        </w:rPr>
        <w:t>,</w:t>
      </w:r>
      <w:r w:rsidR="002D4237" w:rsidRPr="00AB3404">
        <w:rPr>
          <w:szCs w:val="24"/>
          <w:lang w:eastAsia="ar-SA"/>
        </w:rPr>
        <w:t xml:space="preserve"> to dane </w:t>
      </w:r>
      <w:r w:rsidR="002D4237">
        <w:rPr>
          <w:szCs w:val="24"/>
          <w:lang w:eastAsia="ar-SA"/>
        </w:rPr>
        <w:t>inne niż dane osobowe.</w:t>
      </w:r>
    </w:p>
    <w:p w14:paraId="6627ECBB" w14:textId="1CB60864" w:rsidR="002D4237" w:rsidRDefault="002D4237" w:rsidP="00F11475">
      <w:pPr>
        <w:pStyle w:val="NIEARTTEKSTtekstnieartykuowanynppodstprawnarozplubpreambua"/>
        <w:numPr>
          <w:ilvl w:val="0"/>
          <w:numId w:val="6"/>
        </w:numPr>
        <w:ind w:left="851"/>
        <w:rPr>
          <w:rFonts w:ascii="Times New Roman" w:hAnsi="Times New Roman"/>
          <w:szCs w:val="24"/>
          <w:lang w:eastAsia="ar-SA"/>
        </w:rPr>
      </w:pPr>
      <w:r>
        <w:rPr>
          <w:rFonts w:ascii="Times New Roman" w:hAnsi="Times New Roman"/>
          <w:szCs w:val="24"/>
          <w:lang w:eastAsia="ar-SA"/>
        </w:rPr>
        <w:t>Dane osobowe</w:t>
      </w:r>
    </w:p>
    <w:p w14:paraId="24B1A451" w14:textId="0E6CB63A" w:rsidR="002D4237" w:rsidRPr="00D563F2" w:rsidRDefault="002D4237" w:rsidP="00E74DEB">
      <w:pPr>
        <w:pStyle w:val="NIEARTTEKSTtekstnieartykuowanynppodstprawnarozplubpreambua"/>
        <w:ind w:firstLine="0"/>
        <w:rPr>
          <w:szCs w:val="24"/>
          <w:lang w:eastAsia="ar-SA"/>
        </w:rPr>
      </w:pPr>
      <w:r>
        <w:rPr>
          <w:szCs w:val="24"/>
          <w:lang w:eastAsia="ar-SA"/>
        </w:rPr>
        <w:t>D</w:t>
      </w:r>
      <w:r w:rsidRPr="00D563F2">
        <w:rPr>
          <w:szCs w:val="24"/>
          <w:lang w:eastAsia="ar-SA"/>
        </w:rPr>
        <w:t xml:space="preserve">ane osobowe </w:t>
      </w:r>
      <w:r>
        <w:rPr>
          <w:szCs w:val="24"/>
          <w:lang w:eastAsia="ar-SA"/>
        </w:rPr>
        <w:t>to</w:t>
      </w:r>
      <w:r w:rsidRPr="00D563F2">
        <w:rPr>
          <w:szCs w:val="24"/>
          <w:lang w:eastAsia="ar-SA"/>
        </w:rPr>
        <w:t xml:space="preserve"> dane w rozumieniu art. 4 pkt 1 </w:t>
      </w:r>
      <w:r w:rsidR="00D421BA">
        <w:rPr>
          <w:szCs w:val="24"/>
          <w:lang w:eastAsia="ar-SA"/>
        </w:rPr>
        <w:t>r</w:t>
      </w:r>
      <w:r w:rsidR="00D421BA" w:rsidRPr="00D421BA">
        <w:rPr>
          <w:szCs w:val="24"/>
          <w:lang w:eastAsia="ar-SA"/>
        </w:rPr>
        <w:t>ozporządzeni</w:t>
      </w:r>
      <w:r w:rsidR="00D421BA">
        <w:rPr>
          <w:szCs w:val="24"/>
          <w:lang w:eastAsia="ar-SA"/>
        </w:rPr>
        <w:t>a Parlamentu Europejskiego i </w:t>
      </w:r>
      <w:r w:rsidR="00D421BA" w:rsidRPr="00D421BA">
        <w:rPr>
          <w:szCs w:val="24"/>
          <w:lang w:eastAsia="ar-SA"/>
        </w:rPr>
        <w:t>Rady (UE) 2016/679 z dnia 27 kwietnia 2016 r. w sp</w:t>
      </w:r>
      <w:r w:rsidR="00D421BA">
        <w:rPr>
          <w:szCs w:val="24"/>
          <w:lang w:eastAsia="ar-SA"/>
        </w:rPr>
        <w:t>rawie ochrony osób fizycznych w </w:t>
      </w:r>
      <w:r w:rsidR="00D421BA" w:rsidRPr="00D421BA">
        <w:rPr>
          <w:szCs w:val="24"/>
          <w:lang w:eastAsia="ar-SA"/>
        </w:rPr>
        <w:t xml:space="preserve">związku z przetwarzaniem danych osobowych i w sprawie swobodnego przepływu takich danych oraz uchylenia dyrektywy 95/46/WE (ogólne rozporządzenie o ochronie danych) (Dz. Urz. UE L 119 z 04.05.2016, </w:t>
      </w:r>
      <w:r w:rsidR="00D421BA">
        <w:rPr>
          <w:szCs w:val="24"/>
          <w:lang w:eastAsia="ar-SA"/>
        </w:rPr>
        <w:t xml:space="preserve">str. 1, z </w:t>
      </w:r>
      <w:proofErr w:type="spellStart"/>
      <w:r w:rsidR="00D421BA">
        <w:rPr>
          <w:szCs w:val="24"/>
          <w:lang w:eastAsia="ar-SA"/>
        </w:rPr>
        <w:t>późn</w:t>
      </w:r>
      <w:proofErr w:type="spellEnd"/>
      <w:r w:rsidR="00D421BA">
        <w:rPr>
          <w:szCs w:val="24"/>
          <w:lang w:eastAsia="ar-SA"/>
        </w:rPr>
        <w:t>. zm.</w:t>
      </w:r>
      <w:r w:rsidR="00D421BA" w:rsidRPr="00D421BA">
        <w:rPr>
          <w:szCs w:val="24"/>
          <w:lang w:eastAsia="ar-SA"/>
        </w:rPr>
        <w:t xml:space="preserve">), dalej </w:t>
      </w:r>
      <w:r w:rsidR="00617639">
        <w:rPr>
          <w:szCs w:val="24"/>
          <w:lang w:eastAsia="ar-SA"/>
        </w:rPr>
        <w:t xml:space="preserve">jako </w:t>
      </w:r>
      <w:r w:rsidR="00D421BA" w:rsidRPr="00D421BA">
        <w:rPr>
          <w:szCs w:val="24"/>
          <w:lang w:eastAsia="ar-SA"/>
        </w:rPr>
        <w:t>„</w:t>
      </w:r>
      <w:r w:rsidRPr="0039034E">
        <w:rPr>
          <w:szCs w:val="24"/>
          <w:lang w:eastAsia="ar-SA"/>
        </w:rPr>
        <w:t>RODO</w:t>
      </w:r>
      <w:r w:rsidR="00D421BA">
        <w:rPr>
          <w:szCs w:val="24"/>
          <w:lang w:eastAsia="ar-SA"/>
        </w:rPr>
        <w:t>”</w:t>
      </w:r>
      <w:r>
        <w:rPr>
          <w:szCs w:val="24"/>
          <w:lang w:eastAsia="ar-SA"/>
        </w:rPr>
        <w:t>.</w:t>
      </w:r>
    </w:p>
    <w:p w14:paraId="4DF97DDC" w14:textId="0188C33B" w:rsidR="002D4237" w:rsidRDefault="002D4237" w:rsidP="00F11475">
      <w:pPr>
        <w:pStyle w:val="NIEARTTEKSTtekstnieartykuowanynppodstprawnarozplubpreambua"/>
        <w:numPr>
          <w:ilvl w:val="0"/>
          <w:numId w:val="6"/>
        </w:numPr>
        <w:ind w:left="851"/>
        <w:rPr>
          <w:rFonts w:ascii="Times New Roman" w:hAnsi="Times New Roman"/>
          <w:szCs w:val="24"/>
          <w:lang w:eastAsia="ar-SA"/>
        </w:rPr>
      </w:pPr>
      <w:r>
        <w:rPr>
          <w:rFonts w:ascii="Times New Roman" w:hAnsi="Times New Roman"/>
          <w:szCs w:val="24"/>
          <w:lang w:eastAsia="ar-SA"/>
        </w:rPr>
        <w:t>D</w:t>
      </w:r>
      <w:r w:rsidRPr="00106A7C">
        <w:rPr>
          <w:rFonts w:ascii="Times New Roman" w:hAnsi="Times New Roman"/>
          <w:szCs w:val="24"/>
          <w:lang w:eastAsia="ar-SA"/>
        </w:rPr>
        <w:t>os</w:t>
      </w:r>
      <w:r>
        <w:rPr>
          <w:rFonts w:ascii="Times New Roman" w:hAnsi="Times New Roman"/>
          <w:szCs w:val="24"/>
          <w:lang w:eastAsia="ar-SA"/>
        </w:rPr>
        <w:t>tawca usług pośrednictwa danych</w:t>
      </w:r>
    </w:p>
    <w:p w14:paraId="775E30DE" w14:textId="4BE88F90" w:rsidR="002D4237" w:rsidRPr="00AB3404" w:rsidRDefault="002D4237" w:rsidP="00E74DEB">
      <w:pPr>
        <w:pStyle w:val="NIEARTTEKSTtekstnieartykuowanynppodstprawnarozplubpreambua"/>
        <w:ind w:firstLine="0"/>
        <w:rPr>
          <w:szCs w:val="24"/>
          <w:lang w:eastAsia="ar-SA"/>
        </w:rPr>
      </w:pPr>
      <w:r w:rsidRPr="00AB3404">
        <w:rPr>
          <w:szCs w:val="24"/>
          <w:lang w:eastAsia="ar-SA"/>
        </w:rPr>
        <w:t xml:space="preserve">Pojęcie dostawcy usług pośrednictwa danych nie zostało wprost zdefiniowane </w:t>
      </w:r>
      <w:r>
        <w:rPr>
          <w:szCs w:val="24"/>
          <w:lang w:eastAsia="ar-SA"/>
        </w:rPr>
        <w:t>w </w:t>
      </w:r>
      <w:r w:rsidRPr="00AB3404">
        <w:rPr>
          <w:szCs w:val="24"/>
          <w:lang w:eastAsia="ar-SA"/>
        </w:rPr>
        <w:t xml:space="preserve">rozporządzeniu. Na potrzeby </w:t>
      </w:r>
      <w:r>
        <w:rPr>
          <w:szCs w:val="24"/>
          <w:lang w:eastAsia="ar-SA"/>
        </w:rPr>
        <w:t xml:space="preserve">projektowanej </w:t>
      </w:r>
      <w:r w:rsidRPr="00AB3404">
        <w:rPr>
          <w:szCs w:val="24"/>
          <w:lang w:eastAsia="ar-SA"/>
        </w:rPr>
        <w:t xml:space="preserve">ustawy </w:t>
      </w:r>
      <w:r>
        <w:rPr>
          <w:szCs w:val="24"/>
          <w:lang w:eastAsia="ar-SA"/>
        </w:rPr>
        <w:t xml:space="preserve">(w oparciu o przepisy DGA) </w:t>
      </w:r>
      <w:r w:rsidRPr="00AB3404">
        <w:rPr>
          <w:szCs w:val="24"/>
          <w:lang w:eastAsia="ar-SA"/>
        </w:rPr>
        <w:t xml:space="preserve">sformułowano taką definicję. </w:t>
      </w:r>
      <w:r w:rsidR="00DA0FC0">
        <w:rPr>
          <w:szCs w:val="24"/>
          <w:lang w:eastAsia="ar-SA"/>
        </w:rPr>
        <w:t>D</w:t>
      </w:r>
      <w:r w:rsidRPr="00AB3404">
        <w:rPr>
          <w:szCs w:val="24"/>
          <w:lang w:eastAsia="ar-SA"/>
        </w:rPr>
        <w:t>ostawca usług pośrednictwa danych to</w:t>
      </w:r>
      <w:r w:rsidR="00DA0FC0">
        <w:rPr>
          <w:szCs w:val="24"/>
          <w:lang w:eastAsia="ar-SA"/>
        </w:rPr>
        <w:t xml:space="preserve"> dostawca usług, o </w:t>
      </w:r>
      <w:r w:rsidRPr="00AB3404">
        <w:rPr>
          <w:szCs w:val="24"/>
          <w:lang w:eastAsia="ar-SA"/>
        </w:rPr>
        <w:t>których mowa w art. 10 DGA. Są to:</w:t>
      </w:r>
    </w:p>
    <w:p w14:paraId="7385AD94" w14:textId="33D85829" w:rsidR="002D4237" w:rsidRDefault="002D4237" w:rsidP="00F11475">
      <w:pPr>
        <w:pStyle w:val="NIEARTTEKSTtekstnieartykuowanynppodstprawnarozplubpreambua"/>
        <w:numPr>
          <w:ilvl w:val="0"/>
          <w:numId w:val="5"/>
        </w:numPr>
        <w:rPr>
          <w:rFonts w:ascii="Times New Roman" w:hAnsi="Times New Roman"/>
          <w:szCs w:val="24"/>
          <w:lang w:eastAsia="ar-SA"/>
        </w:rPr>
      </w:pPr>
      <w:r w:rsidRPr="00D818CC">
        <w:rPr>
          <w:rFonts w:ascii="Times New Roman" w:hAnsi="Times New Roman"/>
          <w:szCs w:val="24"/>
          <w:lang w:eastAsia="ar-SA"/>
        </w:rPr>
        <w:lastRenderedPageBreak/>
        <w:t>usługi pośrednictwa między posiadaczami danych a potencjalnymi użytkownikami danych, w tym udostępnianie środków technicznych lub innych umożliwiających świadczenie takich usług; usługi te mogą obejmować dwustronną lub wielostronną wymianę danych lub tworzenie platform lub baz danych umożliwiających wymianę lub wspólne wykorzystywanie danych, jak również tworzenie innej specjalnej infrastruktury do stworzenia powiązań między posiadaczam</w:t>
      </w:r>
      <w:r>
        <w:rPr>
          <w:rFonts w:ascii="Times New Roman" w:hAnsi="Times New Roman"/>
          <w:szCs w:val="24"/>
          <w:lang w:eastAsia="ar-SA"/>
        </w:rPr>
        <w:t>i danych a użytkownikami danych,</w:t>
      </w:r>
    </w:p>
    <w:p w14:paraId="6A610D8F" w14:textId="1E9E73A0" w:rsidR="002D4237" w:rsidRDefault="002D4237" w:rsidP="00F11475">
      <w:pPr>
        <w:pStyle w:val="NIEARTTEKSTtekstnieartykuowanynppodstprawnarozplubpreambua"/>
        <w:numPr>
          <w:ilvl w:val="0"/>
          <w:numId w:val="5"/>
        </w:numPr>
        <w:rPr>
          <w:rFonts w:ascii="Times New Roman" w:hAnsi="Times New Roman"/>
          <w:szCs w:val="24"/>
          <w:lang w:eastAsia="ar-SA"/>
        </w:rPr>
      </w:pPr>
      <w:r w:rsidRPr="00D818CC">
        <w:rPr>
          <w:rFonts w:ascii="Times New Roman" w:hAnsi="Times New Roman"/>
          <w:szCs w:val="24"/>
          <w:lang w:eastAsia="ar-SA"/>
        </w:rPr>
        <w:t>usługi pośrednictwa między osobami, których dane dotyczą, zamierzającymi udostępnić swoje dane osobowe lub osobami fizycznymi zamierzającymi udostępnić dane nieosobowe a potencjalnymi użytkownikami danych, w tym udostępnianie środków technicznych lub innych umożliwiających świadczenie takich usług, w szczególności umożliwiających wykonywanie ustanowionych w</w:t>
      </w:r>
      <w:r w:rsidR="000B2552">
        <w:rPr>
          <w:rFonts w:ascii="Times New Roman" w:hAnsi="Times New Roman"/>
          <w:szCs w:val="24"/>
          <w:lang w:eastAsia="ar-SA"/>
        </w:rPr>
        <w:t> </w:t>
      </w:r>
      <w:r>
        <w:rPr>
          <w:rFonts w:ascii="Times New Roman" w:hAnsi="Times New Roman"/>
          <w:szCs w:val="24"/>
          <w:lang w:eastAsia="ar-SA"/>
        </w:rPr>
        <w:t>RODO</w:t>
      </w:r>
      <w:r w:rsidRPr="00D818CC">
        <w:rPr>
          <w:rFonts w:ascii="Times New Roman" w:hAnsi="Times New Roman"/>
          <w:szCs w:val="24"/>
          <w:lang w:eastAsia="ar-SA"/>
        </w:rPr>
        <w:t xml:space="preserve"> praw osób, których dane dotyczą</w:t>
      </w:r>
      <w:r>
        <w:rPr>
          <w:rFonts w:ascii="Times New Roman" w:hAnsi="Times New Roman"/>
          <w:szCs w:val="24"/>
          <w:lang w:eastAsia="ar-SA"/>
        </w:rPr>
        <w:t>,</w:t>
      </w:r>
    </w:p>
    <w:p w14:paraId="28521E76" w14:textId="5889FC9D" w:rsidR="002D4237" w:rsidRPr="00C16E2C" w:rsidRDefault="002D4237" w:rsidP="00F11475">
      <w:pPr>
        <w:pStyle w:val="NIEARTTEKSTtekstnieartykuowanynppodstprawnarozplubpreambua"/>
        <w:numPr>
          <w:ilvl w:val="0"/>
          <w:numId w:val="5"/>
        </w:numPr>
        <w:rPr>
          <w:rFonts w:ascii="Times New Roman" w:hAnsi="Times New Roman"/>
          <w:szCs w:val="24"/>
          <w:lang w:eastAsia="ar-SA"/>
        </w:rPr>
      </w:pPr>
      <w:r w:rsidRPr="00D818CC">
        <w:rPr>
          <w:rFonts w:ascii="Times New Roman" w:hAnsi="Times New Roman"/>
          <w:szCs w:val="24"/>
          <w:lang w:eastAsia="ar-SA"/>
        </w:rPr>
        <w:t>usługi świadczone przez spółdzielnie danych</w:t>
      </w:r>
      <w:r>
        <w:rPr>
          <w:rFonts w:ascii="Times New Roman" w:hAnsi="Times New Roman"/>
          <w:szCs w:val="24"/>
          <w:lang w:eastAsia="ar-SA"/>
        </w:rPr>
        <w:t>.</w:t>
      </w:r>
    </w:p>
    <w:p w14:paraId="716763D7" w14:textId="480D5C42" w:rsidR="002D4237" w:rsidRDefault="002D4237" w:rsidP="00F11475">
      <w:pPr>
        <w:pStyle w:val="NIEARTTEKSTtekstnieartykuowanynppodstprawnarozplubpreambua"/>
        <w:numPr>
          <w:ilvl w:val="0"/>
          <w:numId w:val="6"/>
        </w:numPr>
        <w:ind w:left="851"/>
        <w:rPr>
          <w:rFonts w:ascii="Times New Roman" w:hAnsi="Times New Roman"/>
          <w:szCs w:val="24"/>
          <w:lang w:eastAsia="ar-SA"/>
        </w:rPr>
      </w:pPr>
      <w:r>
        <w:rPr>
          <w:rFonts w:ascii="Times New Roman" w:hAnsi="Times New Roman"/>
          <w:szCs w:val="24"/>
          <w:lang w:eastAsia="ar-SA"/>
        </w:rPr>
        <w:t>D</w:t>
      </w:r>
      <w:r w:rsidRPr="00106A7C">
        <w:rPr>
          <w:rFonts w:ascii="Times New Roman" w:hAnsi="Times New Roman"/>
          <w:szCs w:val="24"/>
          <w:lang w:eastAsia="ar-SA"/>
        </w:rPr>
        <w:t>ostęp do celów ponownego wykorzystywania</w:t>
      </w:r>
    </w:p>
    <w:p w14:paraId="266E1A2E" w14:textId="77777777" w:rsidR="002D4237" w:rsidRPr="00D563F2" w:rsidRDefault="002D4237" w:rsidP="00E74DEB">
      <w:pPr>
        <w:pStyle w:val="NIEARTTEKSTtekstnieartykuowanynppodstprawnarozplubpreambua"/>
        <w:ind w:firstLine="0"/>
        <w:rPr>
          <w:szCs w:val="24"/>
          <w:lang w:eastAsia="ar-SA"/>
        </w:rPr>
      </w:pPr>
      <w:r w:rsidRPr="00D563F2">
        <w:rPr>
          <w:szCs w:val="24"/>
          <w:lang w:eastAsia="ar-SA"/>
        </w:rPr>
        <w:t xml:space="preserve">Na potrzeby projektowanej ustawy sformułowano definicję dostępu do celów ponownego wykorzystywania chronionych danych, przez który rozumie się dostęp do celów ponownego wykorzystywania chronionych danych udzielony użytkownikowi danych przez podmiot </w:t>
      </w:r>
      <w:r>
        <w:rPr>
          <w:szCs w:val="24"/>
          <w:lang w:eastAsia="ar-SA"/>
        </w:rPr>
        <w:t>sektora publicznego</w:t>
      </w:r>
      <w:r w:rsidRPr="00D563F2">
        <w:rPr>
          <w:szCs w:val="24"/>
          <w:lang w:eastAsia="ar-SA"/>
        </w:rPr>
        <w:t xml:space="preserve"> na wniosek o ponowne wykorzystywanie</w:t>
      </w:r>
      <w:r>
        <w:rPr>
          <w:szCs w:val="24"/>
          <w:lang w:eastAsia="ar-SA"/>
        </w:rPr>
        <w:t xml:space="preserve"> </w:t>
      </w:r>
      <w:r w:rsidRPr="00AA74AD">
        <w:rPr>
          <w:szCs w:val="24"/>
          <w:lang w:eastAsia="ar-SA"/>
        </w:rPr>
        <w:t>chronionych danych</w:t>
      </w:r>
      <w:r w:rsidRPr="00D563F2">
        <w:rPr>
          <w:szCs w:val="24"/>
          <w:lang w:eastAsia="ar-SA"/>
        </w:rPr>
        <w:t>.</w:t>
      </w:r>
    </w:p>
    <w:p w14:paraId="68EF1FEA" w14:textId="666D2284" w:rsidR="002D4237" w:rsidRDefault="002D4237" w:rsidP="00F11475">
      <w:pPr>
        <w:pStyle w:val="NIEARTTEKSTtekstnieartykuowanynppodstprawnarozplubpreambua"/>
        <w:numPr>
          <w:ilvl w:val="0"/>
          <w:numId w:val="6"/>
        </w:numPr>
        <w:ind w:left="851"/>
        <w:rPr>
          <w:rFonts w:ascii="Times New Roman" w:hAnsi="Times New Roman"/>
          <w:szCs w:val="24"/>
          <w:lang w:eastAsia="ar-SA"/>
        </w:rPr>
      </w:pPr>
      <w:r>
        <w:rPr>
          <w:rFonts w:ascii="Times New Roman" w:hAnsi="Times New Roman"/>
          <w:szCs w:val="24"/>
          <w:lang w:eastAsia="ar-SA"/>
        </w:rPr>
        <w:t>P</w:t>
      </w:r>
      <w:r w:rsidRPr="00106A7C">
        <w:rPr>
          <w:rFonts w:ascii="Times New Roman" w:hAnsi="Times New Roman"/>
          <w:szCs w:val="24"/>
          <w:lang w:eastAsia="ar-SA"/>
        </w:rPr>
        <w:t xml:space="preserve">odmiot </w:t>
      </w:r>
      <w:r w:rsidRPr="0024191E">
        <w:rPr>
          <w:rFonts w:ascii="Times New Roman" w:hAnsi="Times New Roman"/>
          <w:szCs w:val="24"/>
          <w:lang w:eastAsia="ar-SA"/>
        </w:rPr>
        <w:t>sektora publicznego</w:t>
      </w:r>
    </w:p>
    <w:p w14:paraId="1B2234E2" w14:textId="77777777" w:rsidR="003D1367" w:rsidRDefault="002D4237" w:rsidP="00E74DEB">
      <w:pPr>
        <w:pStyle w:val="NIEARTTEKSTtekstnieartykuowanynppodstprawnarozplubpreambua"/>
        <w:ind w:firstLine="0"/>
        <w:rPr>
          <w:szCs w:val="24"/>
          <w:lang w:eastAsia="ar-SA"/>
        </w:rPr>
      </w:pPr>
      <w:r>
        <w:rPr>
          <w:szCs w:val="24"/>
          <w:lang w:eastAsia="ar-SA"/>
        </w:rPr>
        <w:t xml:space="preserve">DGA definiując zakres podmiotowy posługuje się pojęciami </w:t>
      </w:r>
      <w:r w:rsidRPr="00BA4E81">
        <w:rPr>
          <w:szCs w:val="24"/>
          <w:lang w:eastAsia="ar-SA"/>
        </w:rPr>
        <w:t>podmiot</w:t>
      </w:r>
      <w:r>
        <w:rPr>
          <w:szCs w:val="24"/>
          <w:lang w:eastAsia="ar-SA"/>
        </w:rPr>
        <w:t>u</w:t>
      </w:r>
      <w:r w:rsidRPr="00BA4E81">
        <w:rPr>
          <w:szCs w:val="24"/>
          <w:lang w:eastAsia="ar-SA"/>
        </w:rPr>
        <w:t xml:space="preserve"> sektora publicznego </w:t>
      </w:r>
      <w:r>
        <w:rPr>
          <w:szCs w:val="24"/>
          <w:lang w:eastAsia="ar-SA"/>
        </w:rPr>
        <w:t xml:space="preserve">(ang. </w:t>
      </w:r>
      <w:r w:rsidRPr="005747CF">
        <w:rPr>
          <w:i/>
          <w:szCs w:val="24"/>
          <w:lang w:eastAsia="ar-SA"/>
        </w:rPr>
        <w:t xml:space="preserve">public </w:t>
      </w:r>
      <w:proofErr w:type="spellStart"/>
      <w:r w:rsidRPr="005747CF">
        <w:rPr>
          <w:i/>
          <w:szCs w:val="24"/>
          <w:lang w:eastAsia="ar-SA"/>
        </w:rPr>
        <w:t>sector</w:t>
      </w:r>
      <w:proofErr w:type="spellEnd"/>
      <w:r w:rsidRPr="005747CF">
        <w:rPr>
          <w:i/>
          <w:szCs w:val="24"/>
          <w:lang w:eastAsia="ar-SA"/>
        </w:rPr>
        <w:t xml:space="preserve"> body</w:t>
      </w:r>
      <w:r>
        <w:rPr>
          <w:szCs w:val="24"/>
          <w:lang w:eastAsia="ar-SA"/>
        </w:rPr>
        <w:t xml:space="preserve">) oraz podmiotu prawa publicznego (ang. </w:t>
      </w:r>
      <w:proofErr w:type="spellStart"/>
      <w:r w:rsidRPr="005747CF">
        <w:rPr>
          <w:i/>
          <w:szCs w:val="24"/>
          <w:lang w:eastAsia="ar-SA"/>
        </w:rPr>
        <w:t>bodies</w:t>
      </w:r>
      <w:proofErr w:type="spellEnd"/>
      <w:r w:rsidRPr="005747CF">
        <w:rPr>
          <w:i/>
          <w:szCs w:val="24"/>
          <w:lang w:eastAsia="ar-SA"/>
        </w:rPr>
        <w:t xml:space="preserve"> </w:t>
      </w:r>
      <w:proofErr w:type="spellStart"/>
      <w:r w:rsidRPr="005747CF">
        <w:rPr>
          <w:i/>
          <w:szCs w:val="24"/>
          <w:lang w:eastAsia="ar-SA"/>
        </w:rPr>
        <w:t>governed</w:t>
      </w:r>
      <w:proofErr w:type="spellEnd"/>
      <w:r w:rsidRPr="005747CF">
        <w:rPr>
          <w:i/>
          <w:szCs w:val="24"/>
          <w:lang w:eastAsia="ar-SA"/>
        </w:rPr>
        <w:t xml:space="preserve"> by public law</w:t>
      </w:r>
      <w:r>
        <w:rPr>
          <w:szCs w:val="24"/>
          <w:lang w:eastAsia="ar-SA"/>
        </w:rPr>
        <w:t>). Zgodnie z art. 2 pkt 17 DGA podmiot sektora publicznego</w:t>
      </w:r>
      <w:r w:rsidRPr="005747CF">
        <w:rPr>
          <w:szCs w:val="24"/>
          <w:lang w:eastAsia="ar-SA"/>
        </w:rPr>
        <w:t xml:space="preserve"> oznacza państwo, organy regionalne lub lokalne, podmioty prawa publicznego lub stowarzyszenia złożone z co najmniej jednego takiego organu lub z co najmniej jednego takiego podmiotu</w:t>
      </w:r>
      <w:r>
        <w:rPr>
          <w:szCs w:val="24"/>
          <w:lang w:eastAsia="ar-SA"/>
        </w:rPr>
        <w:t xml:space="preserve"> prawa publicznego.</w:t>
      </w:r>
    </w:p>
    <w:p w14:paraId="299CF0DB" w14:textId="69B159B7" w:rsidR="002D4237" w:rsidRDefault="002D4237" w:rsidP="00E74DEB">
      <w:pPr>
        <w:pStyle w:val="NIEARTTEKSTtekstnieartykuowanynppodstprawnarozplubpreambua"/>
        <w:ind w:firstLine="0"/>
        <w:rPr>
          <w:szCs w:val="24"/>
          <w:lang w:eastAsia="ar-SA"/>
        </w:rPr>
      </w:pPr>
      <w:r>
        <w:rPr>
          <w:szCs w:val="24"/>
          <w:lang w:eastAsia="ar-SA"/>
        </w:rPr>
        <w:t xml:space="preserve">Przez podmiot prawa publicznego rozumie się z kolei podmiot, który posiada następujące cechy: a) </w:t>
      </w:r>
      <w:r w:rsidRPr="005747CF">
        <w:rPr>
          <w:szCs w:val="24"/>
          <w:lang w:eastAsia="ar-SA"/>
        </w:rPr>
        <w:t>został utworzony w konkret</w:t>
      </w:r>
      <w:r>
        <w:rPr>
          <w:szCs w:val="24"/>
          <w:lang w:eastAsia="ar-SA"/>
        </w:rPr>
        <w:t>nym celu zaspokajania potrzeb w </w:t>
      </w:r>
      <w:r w:rsidRPr="005747CF">
        <w:rPr>
          <w:szCs w:val="24"/>
          <w:lang w:eastAsia="ar-SA"/>
        </w:rPr>
        <w:t xml:space="preserve">interesie ogólnym i nie ma charakteru </w:t>
      </w:r>
      <w:r>
        <w:rPr>
          <w:szCs w:val="24"/>
          <w:lang w:eastAsia="ar-SA"/>
        </w:rPr>
        <w:t xml:space="preserve">przemysłowego ani komercyjnego; b) posiada osobowość prawną; c) </w:t>
      </w:r>
      <w:r w:rsidRPr="005747CF">
        <w:rPr>
          <w:szCs w:val="24"/>
          <w:lang w:eastAsia="ar-SA"/>
        </w:rPr>
        <w:t>jest finansowany w przeważającej części przez państwo, or</w:t>
      </w:r>
      <w:r>
        <w:rPr>
          <w:szCs w:val="24"/>
          <w:lang w:eastAsia="ar-SA"/>
        </w:rPr>
        <w:t>g</w:t>
      </w:r>
      <w:r w:rsidRPr="005747CF">
        <w:rPr>
          <w:szCs w:val="24"/>
          <w:lang w:eastAsia="ar-SA"/>
        </w:rPr>
        <w:t xml:space="preserve">any regionalne lub lokalne lub inne podmioty prawa publicznego, jego zarząd podlega nadzorowi ze strony tych organów lub podmiotów, albo ponad połowa członków jego organu administrującego, zarządzającego lub </w:t>
      </w:r>
      <w:r w:rsidRPr="005747CF">
        <w:rPr>
          <w:szCs w:val="24"/>
          <w:lang w:eastAsia="ar-SA"/>
        </w:rPr>
        <w:lastRenderedPageBreak/>
        <w:t>nadzorczego została wyznaczona przez państwo, organy regionalne lub lokalne, lub przez inne podmioty prawa publicznego</w:t>
      </w:r>
      <w:r>
        <w:rPr>
          <w:szCs w:val="24"/>
          <w:lang w:eastAsia="ar-SA"/>
        </w:rPr>
        <w:t xml:space="preserve"> (art. 2 pkt 18 DGA). W tym zakresie DGA odwołuje się do siatki pojęciowej i zakresu podmiotowego ustalonego już na gruncie dyrektywy </w:t>
      </w:r>
      <w:r w:rsidR="00707FA5">
        <w:rPr>
          <w:szCs w:val="24"/>
          <w:lang w:eastAsia="ar-SA"/>
        </w:rPr>
        <w:t>w sprawie</w:t>
      </w:r>
      <w:r>
        <w:rPr>
          <w:szCs w:val="24"/>
          <w:lang w:eastAsia="ar-SA"/>
        </w:rPr>
        <w:t xml:space="preserve"> otwartych danych</w:t>
      </w:r>
      <w:r w:rsidR="00D421BA">
        <w:rPr>
          <w:szCs w:val="24"/>
          <w:lang w:eastAsia="ar-SA"/>
        </w:rPr>
        <w:t>.</w:t>
      </w:r>
      <w:r>
        <w:rPr>
          <w:szCs w:val="24"/>
          <w:lang w:eastAsia="ar-SA"/>
        </w:rPr>
        <w:t xml:space="preserve"> </w:t>
      </w:r>
      <w:r w:rsidRPr="00035564">
        <w:rPr>
          <w:szCs w:val="24"/>
          <w:lang w:eastAsia="ar-SA"/>
        </w:rPr>
        <w:t xml:space="preserve">W </w:t>
      </w:r>
      <w:r w:rsidR="000D1C3B">
        <w:rPr>
          <w:szCs w:val="24"/>
          <w:lang w:eastAsia="ar-SA"/>
        </w:rPr>
        <w:t>projekcie</w:t>
      </w:r>
      <w:r w:rsidRPr="00035564">
        <w:rPr>
          <w:szCs w:val="24"/>
          <w:lang w:eastAsia="ar-SA"/>
        </w:rPr>
        <w:t xml:space="preserve"> ustawy wskazano</w:t>
      </w:r>
      <w:r w:rsidR="000D1C3B">
        <w:rPr>
          <w:szCs w:val="24"/>
          <w:lang w:eastAsia="ar-SA"/>
        </w:rPr>
        <w:t>,</w:t>
      </w:r>
      <w:r w:rsidRPr="00035564">
        <w:rPr>
          <w:szCs w:val="24"/>
          <w:lang w:eastAsia="ar-SA"/>
        </w:rPr>
        <w:t xml:space="preserve"> jakie podmioty na gruncie polskiego prawa spełniają kryteria podmiotów sektora publicznego, sięgając przy tym do regulacji ustawy </w:t>
      </w:r>
      <w:r>
        <w:rPr>
          <w:szCs w:val="24"/>
          <w:lang w:eastAsia="ar-SA"/>
        </w:rPr>
        <w:t>o otwartych danych.</w:t>
      </w:r>
    </w:p>
    <w:p w14:paraId="04D0C958" w14:textId="4A22D022" w:rsidR="002D4237" w:rsidRDefault="002D4237" w:rsidP="00F11475">
      <w:pPr>
        <w:pStyle w:val="NIEARTTEKSTtekstnieartykuowanynppodstprawnarozplubpreambua"/>
        <w:numPr>
          <w:ilvl w:val="0"/>
          <w:numId w:val="6"/>
        </w:numPr>
        <w:ind w:left="851"/>
        <w:rPr>
          <w:rFonts w:ascii="Times New Roman" w:hAnsi="Times New Roman"/>
          <w:szCs w:val="24"/>
          <w:lang w:eastAsia="ar-SA"/>
        </w:rPr>
      </w:pPr>
      <w:r w:rsidRPr="00114CE5">
        <w:rPr>
          <w:rFonts w:ascii="Times New Roman" w:hAnsi="Times New Roman"/>
          <w:szCs w:val="24"/>
          <w:lang w:eastAsia="ar-SA"/>
        </w:rPr>
        <w:t>Pojedynczy punkt informacyjny</w:t>
      </w:r>
    </w:p>
    <w:p w14:paraId="58C8E8E5" w14:textId="77777777" w:rsidR="002D4237" w:rsidRPr="00035564" w:rsidRDefault="002D4237" w:rsidP="00E74DEB">
      <w:pPr>
        <w:pStyle w:val="NIEARTTEKSTtekstnieartykuowanynppodstprawnarozplubpreambua"/>
        <w:ind w:firstLine="0"/>
        <w:rPr>
          <w:szCs w:val="24"/>
          <w:lang w:eastAsia="ar-SA"/>
        </w:rPr>
      </w:pPr>
      <w:r w:rsidRPr="00035564">
        <w:rPr>
          <w:szCs w:val="24"/>
          <w:lang w:eastAsia="ar-SA"/>
        </w:rPr>
        <w:t>Na potrzeby projektowanej ustawy wprowadzono w słowniczku ustawowym pojęcie pojedynczego punktu informacyjnego. Jest to punkt informacyjny, o</w:t>
      </w:r>
      <w:r>
        <w:rPr>
          <w:szCs w:val="24"/>
          <w:lang w:eastAsia="ar-SA"/>
        </w:rPr>
        <w:t xml:space="preserve"> </w:t>
      </w:r>
      <w:r w:rsidRPr="00035564">
        <w:rPr>
          <w:szCs w:val="24"/>
          <w:lang w:eastAsia="ar-SA"/>
        </w:rPr>
        <w:t>którym mowa w</w:t>
      </w:r>
      <w:r>
        <w:rPr>
          <w:szCs w:val="24"/>
          <w:lang w:eastAsia="ar-SA"/>
        </w:rPr>
        <w:t> </w:t>
      </w:r>
      <w:r w:rsidRPr="00035564">
        <w:rPr>
          <w:szCs w:val="24"/>
          <w:lang w:eastAsia="ar-SA"/>
        </w:rPr>
        <w:t>art. 8 DGA.</w:t>
      </w:r>
    </w:p>
    <w:p w14:paraId="2E9B6E50" w14:textId="36869FA6" w:rsidR="002D4237" w:rsidRDefault="002D4237" w:rsidP="00F11475">
      <w:pPr>
        <w:pStyle w:val="NIEARTTEKSTtekstnieartykuowanynppodstprawnarozplubpreambua"/>
        <w:numPr>
          <w:ilvl w:val="0"/>
          <w:numId w:val="6"/>
        </w:numPr>
        <w:ind w:left="851"/>
        <w:rPr>
          <w:rFonts w:ascii="Times New Roman" w:hAnsi="Times New Roman"/>
          <w:szCs w:val="24"/>
          <w:lang w:eastAsia="ar-SA"/>
        </w:rPr>
      </w:pPr>
      <w:r>
        <w:rPr>
          <w:rFonts w:ascii="Times New Roman" w:hAnsi="Times New Roman"/>
          <w:szCs w:val="24"/>
          <w:lang w:eastAsia="ar-SA"/>
        </w:rPr>
        <w:t>Ponowne wykorzystywanie</w:t>
      </w:r>
    </w:p>
    <w:p w14:paraId="1BE3B3BA" w14:textId="65A7860F" w:rsidR="002D4237" w:rsidRPr="00035564" w:rsidRDefault="002D4237" w:rsidP="00E74DEB">
      <w:pPr>
        <w:pStyle w:val="NIEARTTEKSTtekstnieartykuowanynppodstprawnarozplubpreambua"/>
        <w:ind w:firstLine="0"/>
        <w:rPr>
          <w:szCs w:val="24"/>
          <w:lang w:eastAsia="ar-SA"/>
        </w:rPr>
      </w:pPr>
      <w:r w:rsidRPr="00035564">
        <w:rPr>
          <w:szCs w:val="24"/>
          <w:lang w:eastAsia="ar-SA"/>
        </w:rPr>
        <w:t>W DGA zdefiniowane zostało pojęcie ponownego wykorzystywania, do którego odwołuje się projektowana ustawa. Zgodnie z art. 2 pkt 2 rozporządzenia ponowne wykorzystywanie to wykorzystywanie przez osoby fizyczne lub prawne danych będących w posiadaniu podmiotów sektora publicznego, do celów komercyjnych lub niekomercyjnych innych ni</w:t>
      </w:r>
      <w:r>
        <w:rPr>
          <w:szCs w:val="24"/>
          <w:lang w:eastAsia="ar-SA"/>
        </w:rPr>
        <w:t xml:space="preserve">ż ich pierwotne przeznaczenie w </w:t>
      </w:r>
      <w:r w:rsidRPr="00035564">
        <w:rPr>
          <w:szCs w:val="24"/>
          <w:lang w:eastAsia="ar-SA"/>
        </w:rPr>
        <w:t>ramach zadań publicznych, dla którego to celu dane te zostały wytworzone, z</w:t>
      </w:r>
      <w:r w:rsidR="00114CE5">
        <w:rPr>
          <w:szCs w:val="24"/>
          <w:lang w:eastAsia="ar-SA"/>
        </w:rPr>
        <w:t> </w:t>
      </w:r>
      <w:r w:rsidRPr="00035564">
        <w:rPr>
          <w:szCs w:val="24"/>
          <w:lang w:eastAsia="ar-SA"/>
        </w:rPr>
        <w:t>wyjątkiem wymiany danych między podmiotami sektora publicznego służącej wyłącznie wykonywaniu zadań publicznych.</w:t>
      </w:r>
    </w:p>
    <w:p w14:paraId="0972B70C" w14:textId="281058EA" w:rsidR="002D4237" w:rsidRDefault="002D4237" w:rsidP="00F11475">
      <w:pPr>
        <w:pStyle w:val="NIEARTTEKSTtekstnieartykuowanynppodstprawnarozplubpreambua"/>
        <w:numPr>
          <w:ilvl w:val="0"/>
          <w:numId w:val="6"/>
        </w:numPr>
        <w:ind w:left="851"/>
        <w:rPr>
          <w:rFonts w:ascii="Times New Roman" w:hAnsi="Times New Roman"/>
          <w:szCs w:val="24"/>
          <w:lang w:eastAsia="ar-SA"/>
        </w:rPr>
      </w:pPr>
      <w:r>
        <w:rPr>
          <w:rFonts w:ascii="Times New Roman" w:hAnsi="Times New Roman"/>
          <w:szCs w:val="24"/>
          <w:lang w:eastAsia="ar-SA"/>
        </w:rPr>
        <w:t>Pozwolenie</w:t>
      </w:r>
    </w:p>
    <w:p w14:paraId="10E4FDFC" w14:textId="77777777" w:rsidR="002D4237" w:rsidRPr="00035564" w:rsidRDefault="002D4237" w:rsidP="00E74DEB">
      <w:pPr>
        <w:pStyle w:val="NIEARTTEKSTtekstnieartykuowanynppodstprawnarozplubpreambua"/>
        <w:ind w:firstLine="0"/>
        <w:rPr>
          <w:szCs w:val="24"/>
          <w:lang w:eastAsia="ar-SA"/>
        </w:rPr>
      </w:pPr>
      <w:r w:rsidRPr="00035564">
        <w:rPr>
          <w:szCs w:val="24"/>
          <w:lang w:eastAsia="ar-SA"/>
        </w:rPr>
        <w:t>Projektowana ustawa odwołuje się również do definicji pozwolenia w rozumieniu art. 2 pkt 6 DGA, przez które rozumie się przyznanie użytkownikom danych prawa do prz</w:t>
      </w:r>
      <w:r>
        <w:rPr>
          <w:szCs w:val="24"/>
          <w:lang w:eastAsia="ar-SA"/>
        </w:rPr>
        <w:t>etwarzania danych nieosobowych.</w:t>
      </w:r>
    </w:p>
    <w:p w14:paraId="3BF06FFC" w14:textId="454F79D1" w:rsidR="002D4237" w:rsidRDefault="002D4237" w:rsidP="00F11475">
      <w:pPr>
        <w:pStyle w:val="NIEARTTEKSTtekstnieartykuowanynppodstprawnarozplubpreambua"/>
        <w:numPr>
          <w:ilvl w:val="0"/>
          <w:numId w:val="6"/>
        </w:numPr>
        <w:ind w:left="709"/>
        <w:rPr>
          <w:rFonts w:ascii="Times New Roman" w:hAnsi="Times New Roman"/>
          <w:szCs w:val="24"/>
          <w:lang w:eastAsia="ar-SA"/>
        </w:rPr>
      </w:pPr>
      <w:r>
        <w:rPr>
          <w:rFonts w:ascii="Times New Roman" w:hAnsi="Times New Roman"/>
          <w:szCs w:val="24"/>
          <w:lang w:eastAsia="ar-SA"/>
        </w:rPr>
        <w:t>U</w:t>
      </w:r>
      <w:r w:rsidRPr="00106A7C">
        <w:rPr>
          <w:rFonts w:ascii="Times New Roman" w:hAnsi="Times New Roman"/>
          <w:szCs w:val="24"/>
          <w:lang w:eastAsia="ar-SA"/>
        </w:rPr>
        <w:t>sługa pośrednictwa danych</w:t>
      </w:r>
    </w:p>
    <w:p w14:paraId="1204DC4F" w14:textId="77777777" w:rsidR="002D4237" w:rsidRPr="00035564" w:rsidRDefault="002D4237" w:rsidP="00E74DEB">
      <w:pPr>
        <w:pStyle w:val="NIEARTTEKSTtekstnieartykuowanynppodstprawnarozplubpreambua"/>
        <w:ind w:firstLine="0"/>
        <w:rPr>
          <w:szCs w:val="24"/>
          <w:lang w:eastAsia="ar-SA"/>
        </w:rPr>
      </w:pPr>
      <w:r w:rsidRPr="00035564">
        <w:rPr>
          <w:szCs w:val="24"/>
          <w:lang w:eastAsia="ar-SA"/>
        </w:rPr>
        <w:t xml:space="preserve">W słowniczku ustawowym znalazła się kluczowa dla regulacji usług pośrednictwa danych definicja takiej usługi. Jest to usługa pośrednictwa danych w rozumieniu art. 2 pkt 11 DGA, zgodnie z którym usługa taka ma na celu ustanowienie – za pomocą środków technicznych, prawnych lub innych – </w:t>
      </w:r>
      <w:r>
        <w:rPr>
          <w:szCs w:val="24"/>
          <w:lang w:eastAsia="ar-SA"/>
        </w:rPr>
        <w:t>stosunków handlowych między – z </w:t>
      </w:r>
      <w:r w:rsidRPr="00035564">
        <w:rPr>
          <w:szCs w:val="24"/>
          <w:lang w:eastAsia="ar-SA"/>
        </w:rPr>
        <w:t>jednej strony – nieokreśloną liczbą osób, których dane dotyczą, i posiadaczy danych oraz – z drugiej strony – użytkownikami danych do celó</w:t>
      </w:r>
      <w:r>
        <w:rPr>
          <w:szCs w:val="24"/>
          <w:lang w:eastAsia="ar-SA"/>
        </w:rPr>
        <w:t>w dzielenia się danymi, w </w:t>
      </w:r>
      <w:r w:rsidRPr="00035564">
        <w:rPr>
          <w:szCs w:val="24"/>
          <w:lang w:eastAsia="ar-SA"/>
        </w:rPr>
        <w:t>tym do celów wykonywania praw osób, których dane dotyczą, w odniesieniu do danych osobowych, z wyłączeniem co najmniej:</w:t>
      </w:r>
    </w:p>
    <w:p w14:paraId="1AF13537" w14:textId="65BAA33D" w:rsidR="00CF4164" w:rsidRDefault="002D4237" w:rsidP="00F11475">
      <w:pPr>
        <w:pStyle w:val="NIEARTTEKSTtekstnieartykuowanynppodstprawnarozplubpreambua"/>
        <w:numPr>
          <w:ilvl w:val="0"/>
          <w:numId w:val="7"/>
        </w:numPr>
        <w:ind w:left="1134"/>
        <w:rPr>
          <w:rFonts w:ascii="Times New Roman" w:hAnsi="Times New Roman"/>
          <w:szCs w:val="24"/>
          <w:lang w:eastAsia="ar-SA"/>
        </w:rPr>
      </w:pPr>
      <w:r w:rsidRPr="00702BCF">
        <w:rPr>
          <w:rFonts w:ascii="Times New Roman" w:hAnsi="Times New Roman"/>
          <w:szCs w:val="24"/>
          <w:lang w:eastAsia="ar-SA"/>
        </w:rPr>
        <w:lastRenderedPageBreak/>
        <w:t>usług, w ramach których dane są poz</w:t>
      </w:r>
      <w:r>
        <w:rPr>
          <w:rFonts w:ascii="Times New Roman" w:hAnsi="Times New Roman"/>
          <w:szCs w:val="24"/>
          <w:lang w:eastAsia="ar-SA"/>
        </w:rPr>
        <w:t>yskiwane od posiadaczy danych i </w:t>
      </w:r>
      <w:r w:rsidRPr="00702BCF">
        <w:rPr>
          <w:rFonts w:ascii="Times New Roman" w:hAnsi="Times New Roman"/>
          <w:szCs w:val="24"/>
          <w:lang w:eastAsia="ar-SA"/>
        </w:rPr>
        <w:t>agregowane, wzbogacane lub przekształcane w celu dodania im znaczącej wartości, a następnie użytkownikom danych udzielana jest licencja na wykorzystanie uzyskanych w ten sposób danych bez ustanawiania st</w:t>
      </w:r>
      <w:r w:rsidR="00F920F7">
        <w:rPr>
          <w:rFonts w:ascii="Times New Roman" w:hAnsi="Times New Roman"/>
          <w:szCs w:val="24"/>
          <w:lang w:eastAsia="ar-SA"/>
        </w:rPr>
        <w:t>osunku handlowego między nimi a </w:t>
      </w:r>
      <w:r w:rsidRPr="00702BCF">
        <w:rPr>
          <w:rFonts w:ascii="Times New Roman" w:hAnsi="Times New Roman"/>
          <w:szCs w:val="24"/>
          <w:lang w:eastAsia="ar-SA"/>
        </w:rPr>
        <w:t>posiadaczami danych</w:t>
      </w:r>
      <w:r>
        <w:rPr>
          <w:rFonts w:ascii="Times New Roman" w:hAnsi="Times New Roman"/>
          <w:szCs w:val="24"/>
          <w:lang w:eastAsia="ar-SA"/>
        </w:rPr>
        <w:t>,</w:t>
      </w:r>
    </w:p>
    <w:p w14:paraId="10CA15FF" w14:textId="44153E4A" w:rsidR="00CF4164" w:rsidRDefault="002D4237" w:rsidP="00F11475">
      <w:pPr>
        <w:pStyle w:val="NIEARTTEKSTtekstnieartykuowanynppodstprawnarozplubpreambua"/>
        <w:numPr>
          <w:ilvl w:val="0"/>
          <w:numId w:val="7"/>
        </w:numPr>
        <w:ind w:left="1134"/>
        <w:rPr>
          <w:rFonts w:ascii="Times New Roman" w:hAnsi="Times New Roman"/>
          <w:szCs w:val="24"/>
          <w:lang w:eastAsia="ar-SA"/>
        </w:rPr>
      </w:pPr>
      <w:r w:rsidRPr="00CF4164">
        <w:rPr>
          <w:rFonts w:ascii="Times New Roman" w:hAnsi="Times New Roman"/>
          <w:szCs w:val="24"/>
          <w:lang w:eastAsia="ar-SA"/>
        </w:rPr>
        <w:t>usług skoncentrowanych na pośrednictwie treści chronionych prawem autorskim,</w:t>
      </w:r>
    </w:p>
    <w:p w14:paraId="6924F5BF" w14:textId="03F61DD2" w:rsidR="00CF4164" w:rsidRDefault="002D4237" w:rsidP="00F11475">
      <w:pPr>
        <w:pStyle w:val="NIEARTTEKSTtekstnieartykuowanynppodstprawnarozplubpreambua"/>
        <w:numPr>
          <w:ilvl w:val="0"/>
          <w:numId w:val="7"/>
        </w:numPr>
        <w:ind w:left="1134"/>
        <w:rPr>
          <w:rFonts w:ascii="Times New Roman" w:hAnsi="Times New Roman"/>
          <w:szCs w:val="24"/>
          <w:lang w:eastAsia="ar-SA"/>
        </w:rPr>
      </w:pPr>
      <w:r w:rsidRPr="00CF4164">
        <w:rPr>
          <w:rFonts w:ascii="Times New Roman" w:hAnsi="Times New Roman"/>
          <w:szCs w:val="24"/>
          <w:lang w:eastAsia="ar-SA"/>
        </w:rPr>
        <w:t>usług, z których korzysta wyłącznie jeden posiadacz danych w celu umożliwienia wykorzystywania danych będących w jego posiadaniu, lub usługi, z których korzysta wiele osób prawnych w zamkniętej grupie, w </w:t>
      </w:r>
      <w:r w:rsidR="00F920F7">
        <w:rPr>
          <w:rFonts w:ascii="Times New Roman" w:hAnsi="Times New Roman"/>
          <w:szCs w:val="24"/>
          <w:lang w:eastAsia="ar-SA"/>
        </w:rPr>
        <w:t>tym w ramach stosunków z </w:t>
      </w:r>
      <w:r w:rsidRPr="00CF4164">
        <w:rPr>
          <w:rFonts w:ascii="Times New Roman" w:hAnsi="Times New Roman"/>
          <w:szCs w:val="24"/>
          <w:lang w:eastAsia="ar-SA"/>
        </w:rPr>
        <w:t>dostawcami lub klientami lub współpracy nawiązanej na podstawie umowy, w</w:t>
      </w:r>
      <w:r w:rsidR="00F920F7">
        <w:rPr>
          <w:rFonts w:ascii="Times New Roman" w:hAnsi="Times New Roman"/>
          <w:szCs w:val="24"/>
          <w:lang w:eastAsia="ar-SA"/>
        </w:rPr>
        <w:t> </w:t>
      </w:r>
      <w:r w:rsidRPr="00CF4164">
        <w:rPr>
          <w:rFonts w:ascii="Times New Roman" w:hAnsi="Times New Roman"/>
          <w:szCs w:val="24"/>
          <w:lang w:eastAsia="ar-SA"/>
        </w:rPr>
        <w:t xml:space="preserve">szczególności usług, których głównym celem jest zapewnienie funkcjonalności przedmiotów i urządzeń podłączonych do </w:t>
      </w:r>
      <w:proofErr w:type="spellStart"/>
      <w:r w:rsidRPr="00CF4164">
        <w:rPr>
          <w:rFonts w:ascii="Times New Roman" w:hAnsi="Times New Roman"/>
          <w:szCs w:val="24"/>
          <w:lang w:eastAsia="ar-SA"/>
        </w:rPr>
        <w:t>internetu</w:t>
      </w:r>
      <w:proofErr w:type="spellEnd"/>
      <w:r w:rsidRPr="00CF4164">
        <w:rPr>
          <w:rFonts w:ascii="Times New Roman" w:hAnsi="Times New Roman"/>
          <w:szCs w:val="24"/>
          <w:lang w:eastAsia="ar-SA"/>
        </w:rPr>
        <w:t xml:space="preserve"> rzeczy,</w:t>
      </w:r>
    </w:p>
    <w:p w14:paraId="6892EDA1" w14:textId="13E2C554" w:rsidR="002D4237" w:rsidRPr="00CF4164" w:rsidRDefault="002D4237" w:rsidP="00F11475">
      <w:pPr>
        <w:pStyle w:val="NIEARTTEKSTtekstnieartykuowanynppodstprawnarozplubpreambua"/>
        <w:numPr>
          <w:ilvl w:val="0"/>
          <w:numId w:val="7"/>
        </w:numPr>
        <w:ind w:left="1134"/>
        <w:rPr>
          <w:rFonts w:ascii="Times New Roman" w:hAnsi="Times New Roman"/>
          <w:szCs w:val="24"/>
          <w:lang w:eastAsia="ar-SA"/>
        </w:rPr>
      </w:pPr>
      <w:r w:rsidRPr="00CF4164">
        <w:rPr>
          <w:rFonts w:ascii="Times New Roman" w:hAnsi="Times New Roman"/>
          <w:szCs w:val="24"/>
          <w:lang w:eastAsia="ar-SA"/>
        </w:rPr>
        <w:t>usług dzielenia się danymi oferowanych przez podmioty sektora publicznego, które to usługi nie mają na celu ustanowienia stosunków handlowych.</w:t>
      </w:r>
    </w:p>
    <w:p w14:paraId="67B329BB" w14:textId="7DB8D84A" w:rsidR="002D4237" w:rsidRDefault="002D4237" w:rsidP="00F11475">
      <w:pPr>
        <w:pStyle w:val="NIEARTTEKSTtekstnieartykuowanynppodstprawnarozplubpreambua"/>
        <w:numPr>
          <w:ilvl w:val="0"/>
          <w:numId w:val="6"/>
        </w:numPr>
        <w:ind w:left="851"/>
        <w:rPr>
          <w:rFonts w:ascii="Times New Roman" w:hAnsi="Times New Roman"/>
          <w:szCs w:val="24"/>
          <w:lang w:eastAsia="ar-SA"/>
        </w:rPr>
      </w:pPr>
      <w:r>
        <w:rPr>
          <w:rFonts w:ascii="Times New Roman" w:hAnsi="Times New Roman"/>
          <w:szCs w:val="24"/>
          <w:lang w:eastAsia="ar-SA"/>
        </w:rPr>
        <w:t>U</w:t>
      </w:r>
      <w:r w:rsidRPr="00106A7C">
        <w:rPr>
          <w:rFonts w:ascii="Times New Roman" w:hAnsi="Times New Roman"/>
          <w:szCs w:val="24"/>
          <w:lang w:eastAsia="ar-SA"/>
        </w:rPr>
        <w:t>znana organizacja altruizmu danych</w:t>
      </w:r>
    </w:p>
    <w:p w14:paraId="5F54C884" w14:textId="374E989A" w:rsidR="002D4237" w:rsidRPr="00510F7E" w:rsidRDefault="002D4237" w:rsidP="00E74DEB">
      <w:pPr>
        <w:pStyle w:val="NIEARTTEKSTtekstnieartykuowanynppodstprawnarozplubpreambua"/>
        <w:ind w:firstLine="0"/>
        <w:rPr>
          <w:szCs w:val="24"/>
          <w:lang w:eastAsia="ar-SA"/>
        </w:rPr>
      </w:pPr>
      <w:r w:rsidRPr="00510F7E">
        <w:rPr>
          <w:szCs w:val="24"/>
          <w:lang w:eastAsia="ar-SA"/>
        </w:rPr>
        <w:t xml:space="preserve">Przez uznaną organizację altruizmu danych rozumie się </w:t>
      </w:r>
      <w:r>
        <w:rPr>
          <w:szCs w:val="24"/>
          <w:lang w:eastAsia="ar-SA"/>
        </w:rPr>
        <w:t>podmiot zarejestrowany w </w:t>
      </w:r>
      <w:r w:rsidRPr="00510F7E">
        <w:rPr>
          <w:szCs w:val="24"/>
          <w:lang w:eastAsia="ar-SA"/>
        </w:rPr>
        <w:t>publicznym rejestrze uznanych organizacji al</w:t>
      </w:r>
      <w:r>
        <w:rPr>
          <w:szCs w:val="24"/>
          <w:lang w:eastAsia="ar-SA"/>
        </w:rPr>
        <w:t>truizmu danych, o którym mowa w </w:t>
      </w:r>
      <w:r w:rsidRPr="00510F7E">
        <w:rPr>
          <w:szCs w:val="24"/>
          <w:lang w:eastAsia="ar-SA"/>
        </w:rPr>
        <w:t xml:space="preserve">art. 17 rozporządzenia. </w:t>
      </w:r>
    </w:p>
    <w:p w14:paraId="529D6B22" w14:textId="26846B01" w:rsidR="002D4237" w:rsidRDefault="002D4237" w:rsidP="00F11475">
      <w:pPr>
        <w:pStyle w:val="NIEARTTEKSTtekstnieartykuowanynppodstprawnarozplubpreambua"/>
        <w:numPr>
          <w:ilvl w:val="0"/>
          <w:numId w:val="6"/>
        </w:numPr>
        <w:ind w:left="851"/>
        <w:rPr>
          <w:rFonts w:ascii="Times New Roman" w:hAnsi="Times New Roman"/>
          <w:szCs w:val="24"/>
          <w:lang w:eastAsia="ar-SA"/>
        </w:rPr>
      </w:pPr>
      <w:r>
        <w:rPr>
          <w:rFonts w:ascii="Times New Roman" w:hAnsi="Times New Roman"/>
          <w:szCs w:val="24"/>
          <w:lang w:eastAsia="ar-SA"/>
        </w:rPr>
        <w:t>U</w:t>
      </w:r>
      <w:r w:rsidRPr="00106A7C">
        <w:rPr>
          <w:rFonts w:ascii="Times New Roman" w:hAnsi="Times New Roman"/>
          <w:szCs w:val="24"/>
          <w:lang w:eastAsia="ar-SA"/>
        </w:rPr>
        <w:t>żytkownik danych</w:t>
      </w:r>
    </w:p>
    <w:p w14:paraId="7C23E8DD" w14:textId="4109D490" w:rsidR="002D4237" w:rsidRPr="00510F7E" w:rsidRDefault="002D4237" w:rsidP="00E74DEB">
      <w:pPr>
        <w:pStyle w:val="NIEARTTEKSTtekstnieartykuowanynppodstprawnarozplubpreambua"/>
        <w:ind w:firstLine="0"/>
        <w:rPr>
          <w:szCs w:val="24"/>
          <w:lang w:eastAsia="ar-SA"/>
        </w:rPr>
      </w:pPr>
      <w:r w:rsidRPr="00510F7E">
        <w:rPr>
          <w:szCs w:val="24"/>
          <w:lang w:eastAsia="ar-SA"/>
        </w:rPr>
        <w:t>Projekt odwołuj</w:t>
      </w:r>
      <w:r w:rsidR="00864678">
        <w:rPr>
          <w:szCs w:val="24"/>
          <w:lang w:eastAsia="ar-SA"/>
        </w:rPr>
        <w:t>e</w:t>
      </w:r>
      <w:r w:rsidRPr="00510F7E">
        <w:rPr>
          <w:szCs w:val="24"/>
          <w:lang w:eastAsia="ar-SA"/>
        </w:rPr>
        <w:t xml:space="preserve"> się do definicji użytkownika danych w rozumieniu art. 2 pkt 9 DGA. Użytkownikiem danych jest osoba fizyczna lub osoba pra</w:t>
      </w:r>
      <w:r>
        <w:rPr>
          <w:szCs w:val="24"/>
          <w:lang w:eastAsia="ar-SA"/>
        </w:rPr>
        <w:t>wna, która ma zgodny z </w:t>
      </w:r>
      <w:r w:rsidRPr="00510F7E">
        <w:rPr>
          <w:szCs w:val="24"/>
          <w:lang w:eastAsia="ar-SA"/>
        </w:rPr>
        <w:t>prawem dostęp do niektórych danych osobowych lub nieosobowych i</w:t>
      </w:r>
      <w:r>
        <w:rPr>
          <w:szCs w:val="24"/>
          <w:lang w:eastAsia="ar-SA"/>
        </w:rPr>
        <w:t xml:space="preserve"> </w:t>
      </w:r>
      <w:r w:rsidRPr="00510F7E">
        <w:rPr>
          <w:szCs w:val="24"/>
          <w:lang w:eastAsia="ar-SA"/>
        </w:rPr>
        <w:t>prawo, w tym – w przypadku danych osobowych – na podstawie RODO, do wykorzystywania tych danych w celach komercyjnych lub niekomercyjnych.</w:t>
      </w:r>
    </w:p>
    <w:p w14:paraId="08A96D9C" w14:textId="111B743B" w:rsidR="002D4237" w:rsidRDefault="002D4237" w:rsidP="00F11475">
      <w:pPr>
        <w:pStyle w:val="NIEARTTEKSTtekstnieartykuowanynppodstprawnarozplubpreambua"/>
        <w:numPr>
          <w:ilvl w:val="0"/>
          <w:numId w:val="6"/>
        </w:numPr>
        <w:ind w:left="851"/>
        <w:rPr>
          <w:rFonts w:ascii="Times New Roman" w:hAnsi="Times New Roman"/>
          <w:szCs w:val="24"/>
          <w:lang w:eastAsia="ar-SA"/>
        </w:rPr>
      </w:pPr>
      <w:r>
        <w:rPr>
          <w:rFonts w:ascii="Times New Roman" w:hAnsi="Times New Roman"/>
          <w:szCs w:val="24"/>
          <w:lang w:eastAsia="ar-SA"/>
        </w:rPr>
        <w:t>Z</w:t>
      </w:r>
      <w:r w:rsidRPr="00106A7C">
        <w:rPr>
          <w:rFonts w:ascii="Times New Roman" w:hAnsi="Times New Roman"/>
          <w:szCs w:val="24"/>
          <w:lang w:eastAsia="ar-SA"/>
        </w:rPr>
        <w:t>głos</w:t>
      </w:r>
      <w:r>
        <w:rPr>
          <w:rFonts w:ascii="Times New Roman" w:hAnsi="Times New Roman"/>
          <w:szCs w:val="24"/>
          <w:lang w:eastAsia="ar-SA"/>
        </w:rPr>
        <w:t>zenie usług pośrednictwa danych</w:t>
      </w:r>
    </w:p>
    <w:p w14:paraId="66DEAEF2" w14:textId="77777777" w:rsidR="002D4237" w:rsidRPr="007557E5" w:rsidRDefault="002D4237" w:rsidP="00E74DEB">
      <w:pPr>
        <w:pStyle w:val="NIEARTTEKSTtekstnieartykuowanynppodstprawnarozplubpreambua"/>
        <w:ind w:firstLine="0"/>
        <w:rPr>
          <w:szCs w:val="24"/>
          <w:lang w:eastAsia="ar-SA"/>
        </w:rPr>
      </w:pPr>
      <w:r w:rsidRPr="007557E5">
        <w:rPr>
          <w:szCs w:val="24"/>
          <w:lang w:eastAsia="ar-SA"/>
        </w:rPr>
        <w:t xml:space="preserve">Przez zgłoszenie usług pośrednictwa danych rozumie się zgłoszenie dokonywane przez dostawców usług pośrednictwa danych, o którym mowa w art. 11 ust. 1 </w:t>
      </w:r>
      <w:r>
        <w:rPr>
          <w:szCs w:val="24"/>
          <w:lang w:eastAsia="ar-SA"/>
        </w:rPr>
        <w:t>DGA.</w:t>
      </w:r>
    </w:p>
    <w:p w14:paraId="07EA5960" w14:textId="6579FDC0" w:rsidR="002D4237" w:rsidRDefault="002D4237" w:rsidP="00F11475">
      <w:pPr>
        <w:pStyle w:val="NIEARTTEKSTtekstnieartykuowanynppodstprawnarozplubpreambua"/>
        <w:numPr>
          <w:ilvl w:val="0"/>
          <w:numId w:val="6"/>
        </w:numPr>
        <w:ind w:left="851"/>
        <w:rPr>
          <w:rFonts w:ascii="Times New Roman" w:hAnsi="Times New Roman"/>
          <w:szCs w:val="24"/>
          <w:lang w:eastAsia="ar-SA"/>
        </w:rPr>
      </w:pPr>
      <w:r>
        <w:rPr>
          <w:rFonts w:ascii="Times New Roman" w:hAnsi="Times New Roman"/>
          <w:szCs w:val="24"/>
          <w:lang w:eastAsia="ar-SA"/>
        </w:rPr>
        <w:t>Zgoda</w:t>
      </w:r>
    </w:p>
    <w:p w14:paraId="44737B16" w14:textId="77777777" w:rsidR="002D4237" w:rsidRDefault="002D4237" w:rsidP="00E74DEB">
      <w:pPr>
        <w:pStyle w:val="NIEARTTEKSTtekstnieartykuowanynppodstprawnarozplubpreambua"/>
        <w:ind w:firstLine="0"/>
        <w:rPr>
          <w:szCs w:val="24"/>
          <w:lang w:eastAsia="ar-SA"/>
        </w:rPr>
      </w:pPr>
      <w:r w:rsidRPr="007557E5">
        <w:rPr>
          <w:szCs w:val="24"/>
          <w:lang w:eastAsia="ar-SA"/>
        </w:rPr>
        <w:t xml:space="preserve">Projektowana ustawa pośrednio (przez art. 2 pkt 5 DGA) odwołuje się do definicji zgody sformułowanej w art. 4 ust. 11 RODO, zgodnie z którym zgoda osoby, której dane dotyczą oznacza dobrowolne, konkretne, świadome i jednoznaczne okazanie woli, którym osoba, której </w:t>
      </w:r>
      <w:r w:rsidRPr="007557E5">
        <w:rPr>
          <w:szCs w:val="24"/>
          <w:lang w:eastAsia="ar-SA"/>
        </w:rPr>
        <w:lastRenderedPageBreak/>
        <w:t>dane dotyczą, w formie oświadczenia lub wyraźnego działania potwierdzającego, przyzwala na przetwarzanie do</w:t>
      </w:r>
      <w:r>
        <w:rPr>
          <w:szCs w:val="24"/>
          <w:lang w:eastAsia="ar-SA"/>
        </w:rPr>
        <w:t>tyczących jej danych osobowych.</w:t>
      </w:r>
    </w:p>
    <w:p w14:paraId="5771337A" w14:textId="13C532CB" w:rsidR="00146F61" w:rsidRPr="00146F61" w:rsidRDefault="00146F61" w:rsidP="00383561">
      <w:pPr>
        <w:pStyle w:val="ARTartustawynprozporzdzenia"/>
        <w:spacing w:before="240"/>
        <w:ind w:firstLine="0"/>
        <w:rPr>
          <w:lang w:eastAsia="ar-SA"/>
        </w:rPr>
      </w:pPr>
      <w:r w:rsidRPr="00146F61">
        <w:rPr>
          <w:lang w:eastAsia="ar-SA"/>
        </w:rPr>
        <w:t>Podmioty odpowiedzialne za realizację przepisów DGA</w:t>
      </w:r>
      <w:r>
        <w:rPr>
          <w:lang w:eastAsia="ar-SA"/>
        </w:rPr>
        <w:t>.</w:t>
      </w:r>
    </w:p>
    <w:p w14:paraId="1D45D236" w14:textId="1408AB6F" w:rsidR="002D4237" w:rsidRDefault="002D4237" w:rsidP="00E74DEB">
      <w:pPr>
        <w:pStyle w:val="NIEARTTEKSTtekstnieartykuowanynppodstprawnarozplubpreambua"/>
        <w:ind w:firstLine="0"/>
        <w:rPr>
          <w:lang w:eastAsia="ar-SA"/>
        </w:rPr>
      </w:pPr>
      <w:r>
        <w:rPr>
          <w:lang w:eastAsia="ar-SA"/>
        </w:rPr>
        <w:t xml:space="preserve">W </w:t>
      </w:r>
      <w:r w:rsidR="000D1C3B">
        <w:rPr>
          <w:lang w:eastAsia="ar-SA"/>
        </w:rPr>
        <w:t>projekcie</w:t>
      </w:r>
      <w:r>
        <w:rPr>
          <w:lang w:eastAsia="ar-SA"/>
        </w:rPr>
        <w:t xml:space="preserve"> ustawy wyznaczone zostały podmioty odpowiedzialne</w:t>
      </w:r>
      <w:r w:rsidRPr="00AA74AD">
        <w:rPr>
          <w:lang w:eastAsia="ar-SA"/>
        </w:rPr>
        <w:t xml:space="preserve"> za realizację przepisów DGA</w:t>
      </w:r>
      <w:r w:rsidR="00383561">
        <w:rPr>
          <w:lang w:eastAsia="ar-SA"/>
        </w:rPr>
        <w:t>.</w:t>
      </w:r>
    </w:p>
    <w:p w14:paraId="215D7989" w14:textId="7AC7C58E" w:rsidR="00383561" w:rsidRDefault="00383561" w:rsidP="00F11475">
      <w:pPr>
        <w:pStyle w:val="NIEARTTEKSTtekstnieartykuowanynppodstprawnarozplubpreambua"/>
        <w:numPr>
          <w:ilvl w:val="0"/>
          <w:numId w:val="8"/>
        </w:numPr>
        <w:ind w:left="851"/>
        <w:rPr>
          <w:rFonts w:ascii="Times New Roman" w:hAnsi="Times New Roman"/>
          <w:szCs w:val="24"/>
          <w:lang w:eastAsia="ar-SA"/>
        </w:rPr>
      </w:pPr>
      <w:r>
        <w:rPr>
          <w:rFonts w:ascii="Times New Roman" w:hAnsi="Times New Roman"/>
          <w:szCs w:val="24"/>
          <w:lang w:eastAsia="ar-SA"/>
        </w:rPr>
        <w:t>Właściwy</w:t>
      </w:r>
      <w:r w:rsidR="002D4237" w:rsidRPr="00085F96">
        <w:rPr>
          <w:rFonts w:ascii="Times New Roman" w:hAnsi="Times New Roman"/>
          <w:szCs w:val="24"/>
          <w:lang w:eastAsia="ar-SA"/>
        </w:rPr>
        <w:t xml:space="preserve"> podmio</w:t>
      </w:r>
      <w:r>
        <w:rPr>
          <w:rFonts w:ascii="Times New Roman" w:hAnsi="Times New Roman"/>
          <w:szCs w:val="24"/>
          <w:lang w:eastAsia="ar-SA"/>
        </w:rPr>
        <w:t>t, o którym mowa w art. 7 DGA:</w:t>
      </w:r>
    </w:p>
    <w:p w14:paraId="305DF349" w14:textId="5CF2D44B" w:rsidR="00383561" w:rsidRDefault="002D4237" w:rsidP="00F11475">
      <w:pPr>
        <w:pStyle w:val="NIEARTTEKSTtekstnieartykuowanynppodstprawnarozplubpreambua"/>
        <w:numPr>
          <w:ilvl w:val="0"/>
          <w:numId w:val="9"/>
        </w:numPr>
        <w:rPr>
          <w:rFonts w:ascii="Times New Roman" w:hAnsi="Times New Roman"/>
          <w:szCs w:val="24"/>
          <w:lang w:eastAsia="ar-SA"/>
        </w:rPr>
      </w:pPr>
      <w:r w:rsidRPr="00085F96">
        <w:rPr>
          <w:rFonts w:ascii="Times New Roman" w:hAnsi="Times New Roman"/>
          <w:szCs w:val="24"/>
          <w:lang w:eastAsia="ar-SA"/>
        </w:rPr>
        <w:t>Prezes Głównego Urzędu Statystycznego</w:t>
      </w:r>
      <w:r w:rsidR="00383561">
        <w:rPr>
          <w:rFonts w:ascii="Times New Roman" w:hAnsi="Times New Roman"/>
          <w:szCs w:val="24"/>
          <w:lang w:eastAsia="ar-SA"/>
        </w:rPr>
        <w:t>,</w:t>
      </w:r>
      <w:r>
        <w:rPr>
          <w:rFonts w:ascii="Times New Roman" w:hAnsi="Times New Roman"/>
          <w:szCs w:val="24"/>
          <w:lang w:eastAsia="ar-SA"/>
        </w:rPr>
        <w:t xml:space="preserve"> </w:t>
      </w:r>
    </w:p>
    <w:p w14:paraId="1A9E2594" w14:textId="6AC716E3" w:rsidR="002D4237" w:rsidRPr="00085F96" w:rsidRDefault="002D4237" w:rsidP="00F11475">
      <w:pPr>
        <w:pStyle w:val="NIEARTTEKSTtekstnieartykuowanynppodstprawnarozplubpreambua"/>
        <w:numPr>
          <w:ilvl w:val="0"/>
          <w:numId w:val="9"/>
        </w:numPr>
        <w:rPr>
          <w:rFonts w:ascii="Times New Roman" w:hAnsi="Times New Roman"/>
          <w:szCs w:val="24"/>
          <w:lang w:eastAsia="ar-SA"/>
        </w:rPr>
      </w:pPr>
      <w:r w:rsidRPr="00AA74AD">
        <w:rPr>
          <w:rFonts w:ascii="Times New Roman" w:hAnsi="Times New Roman"/>
          <w:szCs w:val="24"/>
          <w:lang w:eastAsia="ar-SA"/>
        </w:rPr>
        <w:t xml:space="preserve">Naukowa i Akademicka Sieć Komputerowa </w:t>
      </w:r>
      <w:r w:rsidR="00B9158A">
        <w:rPr>
          <w:rFonts w:ascii="Times New Roman" w:hAnsi="Times New Roman" w:cs="Times New Roman"/>
          <w:szCs w:val="24"/>
          <w:lang w:eastAsia="ar-SA"/>
        </w:rPr>
        <w:t>‒</w:t>
      </w:r>
      <w:r w:rsidRPr="00AA74AD">
        <w:rPr>
          <w:rFonts w:ascii="Times New Roman" w:hAnsi="Times New Roman"/>
          <w:szCs w:val="24"/>
          <w:lang w:eastAsia="ar-SA"/>
        </w:rPr>
        <w:t xml:space="preserve"> Państwowy Instytut Badawczy</w:t>
      </w:r>
      <w:r w:rsidR="00383561">
        <w:rPr>
          <w:rFonts w:ascii="Times New Roman" w:hAnsi="Times New Roman"/>
          <w:szCs w:val="24"/>
          <w:lang w:eastAsia="ar-SA"/>
        </w:rPr>
        <w:t>.</w:t>
      </w:r>
    </w:p>
    <w:p w14:paraId="591D2F0D" w14:textId="4FE7DCA5" w:rsidR="00383561" w:rsidRDefault="00383561" w:rsidP="00F11475">
      <w:pPr>
        <w:pStyle w:val="NIEARTTEKSTtekstnieartykuowanynppodstprawnarozplubpreambua"/>
        <w:numPr>
          <w:ilvl w:val="0"/>
          <w:numId w:val="8"/>
        </w:numPr>
        <w:ind w:left="851"/>
        <w:rPr>
          <w:rFonts w:ascii="Times New Roman" w:hAnsi="Times New Roman"/>
          <w:szCs w:val="24"/>
          <w:lang w:eastAsia="ar-SA"/>
        </w:rPr>
      </w:pPr>
      <w:r>
        <w:rPr>
          <w:rFonts w:ascii="Times New Roman" w:hAnsi="Times New Roman"/>
          <w:szCs w:val="24"/>
          <w:lang w:eastAsia="ar-SA"/>
        </w:rPr>
        <w:t>O</w:t>
      </w:r>
      <w:r w:rsidR="002D4237" w:rsidRPr="00085F96">
        <w:rPr>
          <w:rFonts w:ascii="Times New Roman" w:hAnsi="Times New Roman"/>
          <w:szCs w:val="24"/>
          <w:lang w:eastAsia="ar-SA"/>
        </w:rPr>
        <w:t>rgan właściw</w:t>
      </w:r>
      <w:r>
        <w:rPr>
          <w:rFonts w:ascii="Times New Roman" w:hAnsi="Times New Roman"/>
          <w:szCs w:val="24"/>
          <w:lang w:eastAsia="ar-SA"/>
        </w:rPr>
        <w:t>y</w:t>
      </w:r>
      <w:r w:rsidR="002D4237" w:rsidRPr="00085F96">
        <w:rPr>
          <w:rFonts w:ascii="Times New Roman" w:hAnsi="Times New Roman"/>
          <w:szCs w:val="24"/>
          <w:lang w:eastAsia="ar-SA"/>
        </w:rPr>
        <w:t xml:space="preserve"> do prowadzenia pojedynczego punktu informacyjnego</w:t>
      </w:r>
      <w:r>
        <w:rPr>
          <w:rFonts w:ascii="Times New Roman" w:hAnsi="Times New Roman"/>
          <w:szCs w:val="24"/>
          <w:lang w:eastAsia="ar-SA"/>
        </w:rPr>
        <w:t>:</w:t>
      </w:r>
      <w:r w:rsidR="002D4237" w:rsidRPr="00085F96">
        <w:rPr>
          <w:rFonts w:ascii="Times New Roman" w:hAnsi="Times New Roman"/>
          <w:szCs w:val="24"/>
          <w:lang w:eastAsia="ar-SA"/>
        </w:rPr>
        <w:t xml:space="preserve"> </w:t>
      </w:r>
    </w:p>
    <w:p w14:paraId="40146EF0" w14:textId="1DB883B0" w:rsidR="002D4237" w:rsidRPr="00085F96" w:rsidRDefault="002D4237" w:rsidP="00F11475">
      <w:pPr>
        <w:pStyle w:val="NIEARTTEKSTtekstnieartykuowanynppodstprawnarozplubpreambua"/>
        <w:numPr>
          <w:ilvl w:val="0"/>
          <w:numId w:val="10"/>
        </w:numPr>
        <w:ind w:left="1560"/>
        <w:rPr>
          <w:rFonts w:ascii="Times New Roman" w:hAnsi="Times New Roman"/>
          <w:szCs w:val="24"/>
          <w:lang w:eastAsia="ar-SA"/>
        </w:rPr>
      </w:pPr>
      <w:r w:rsidRPr="00085F96">
        <w:rPr>
          <w:rFonts w:ascii="Times New Roman" w:hAnsi="Times New Roman"/>
          <w:szCs w:val="24"/>
          <w:lang w:eastAsia="ar-SA"/>
        </w:rPr>
        <w:t>minister w</w:t>
      </w:r>
      <w:r w:rsidR="00383561">
        <w:rPr>
          <w:rFonts w:ascii="Times New Roman" w:hAnsi="Times New Roman"/>
          <w:szCs w:val="24"/>
          <w:lang w:eastAsia="ar-SA"/>
        </w:rPr>
        <w:t>łaściwy do spraw informatyzacji.</w:t>
      </w:r>
    </w:p>
    <w:p w14:paraId="0244F4D5" w14:textId="5EA14909" w:rsidR="00383561" w:rsidRDefault="00383561" w:rsidP="00F11475">
      <w:pPr>
        <w:pStyle w:val="NIEARTTEKSTtekstnieartykuowanynppodstprawnarozplubpreambua"/>
        <w:numPr>
          <w:ilvl w:val="0"/>
          <w:numId w:val="8"/>
        </w:numPr>
        <w:ind w:left="851"/>
        <w:rPr>
          <w:rFonts w:ascii="Times New Roman" w:hAnsi="Times New Roman"/>
          <w:szCs w:val="24"/>
          <w:lang w:eastAsia="ar-SA"/>
        </w:rPr>
      </w:pPr>
      <w:r>
        <w:rPr>
          <w:rFonts w:ascii="Times New Roman" w:hAnsi="Times New Roman"/>
          <w:szCs w:val="24"/>
          <w:lang w:eastAsia="ar-SA"/>
        </w:rPr>
        <w:t>Organ</w:t>
      </w:r>
      <w:r w:rsidR="002D4237" w:rsidRPr="00085F96">
        <w:rPr>
          <w:rFonts w:ascii="Times New Roman" w:hAnsi="Times New Roman"/>
          <w:szCs w:val="24"/>
          <w:lang w:eastAsia="ar-SA"/>
        </w:rPr>
        <w:t xml:space="preserve"> właściw</w:t>
      </w:r>
      <w:r>
        <w:rPr>
          <w:rFonts w:ascii="Times New Roman" w:hAnsi="Times New Roman"/>
          <w:szCs w:val="24"/>
          <w:lang w:eastAsia="ar-SA"/>
        </w:rPr>
        <w:t>y</w:t>
      </w:r>
      <w:r w:rsidR="002D4237" w:rsidRPr="00085F96">
        <w:rPr>
          <w:rFonts w:ascii="Times New Roman" w:hAnsi="Times New Roman"/>
          <w:szCs w:val="24"/>
          <w:lang w:eastAsia="ar-SA"/>
        </w:rPr>
        <w:t xml:space="preserve"> do spraw usług pośrednictwa danych, o którym mowa w art. 13 DGA</w:t>
      </w:r>
      <w:r>
        <w:rPr>
          <w:rFonts w:ascii="Times New Roman" w:hAnsi="Times New Roman"/>
          <w:szCs w:val="24"/>
          <w:lang w:eastAsia="ar-SA"/>
        </w:rPr>
        <w:t xml:space="preserve">: </w:t>
      </w:r>
    </w:p>
    <w:p w14:paraId="6AF0D4A9" w14:textId="6C7BB482" w:rsidR="002D4237" w:rsidRPr="00085F96" w:rsidRDefault="002D4237" w:rsidP="00F11475">
      <w:pPr>
        <w:pStyle w:val="NIEARTTEKSTtekstnieartykuowanynppodstprawnarozplubpreambua"/>
        <w:numPr>
          <w:ilvl w:val="0"/>
          <w:numId w:val="10"/>
        </w:numPr>
        <w:ind w:left="1560"/>
        <w:rPr>
          <w:rFonts w:ascii="Times New Roman" w:hAnsi="Times New Roman"/>
          <w:szCs w:val="24"/>
          <w:lang w:eastAsia="ar-SA"/>
        </w:rPr>
      </w:pPr>
      <w:r w:rsidRPr="00085F96">
        <w:rPr>
          <w:rFonts w:ascii="Times New Roman" w:hAnsi="Times New Roman"/>
          <w:szCs w:val="24"/>
          <w:lang w:eastAsia="ar-SA"/>
        </w:rPr>
        <w:t>Prezes Urzędu Oc</w:t>
      </w:r>
      <w:r w:rsidR="00383561">
        <w:rPr>
          <w:rFonts w:ascii="Times New Roman" w:hAnsi="Times New Roman"/>
          <w:szCs w:val="24"/>
          <w:lang w:eastAsia="ar-SA"/>
        </w:rPr>
        <w:t>hrony Konkurencji i Konsumentów.</w:t>
      </w:r>
    </w:p>
    <w:p w14:paraId="5EFD9378" w14:textId="598E0BD2" w:rsidR="00383561" w:rsidRDefault="00383561" w:rsidP="00F11475">
      <w:pPr>
        <w:pStyle w:val="NIEARTTEKSTtekstnieartykuowanynppodstprawnarozplubpreambua"/>
        <w:numPr>
          <w:ilvl w:val="0"/>
          <w:numId w:val="8"/>
        </w:numPr>
        <w:ind w:left="851"/>
        <w:rPr>
          <w:rFonts w:ascii="Times New Roman" w:hAnsi="Times New Roman"/>
          <w:szCs w:val="24"/>
          <w:lang w:eastAsia="ar-SA"/>
        </w:rPr>
      </w:pPr>
      <w:r>
        <w:rPr>
          <w:rFonts w:ascii="Times New Roman" w:hAnsi="Times New Roman"/>
          <w:szCs w:val="24"/>
          <w:lang w:eastAsia="ar-SA"/>
        </w:rPr>
        <w:t>O</w:t>
      </w:r>
      <w:r w:rsidR="002D4237" w:rsidRPr="00085F96">
        <w:rPr>
          <w:rFonts w:ascii="Times New Roman" w:hAnsi="Times New Roman"/>
          <w:szCs w:val="24"/>
          <w:lang w:eastAsia="ar-SA"/>
        </w:rPr>
        <w:t>rgan właściw</w:t>
      </w:r>
      <w:r>
        <w:rPr>
          <w:rFonts w:ascii="Times New Roman" w:hAnsi="Times New Roman"/>
          <w:szCs w:val="24"/>
          <w:lang w:eastAsia="ar-SA"/>
        </w:rPr>
        <w:t>y</w:t>
      </w:r>
      <w:r w:rsidR="002D4237" w:rsidRPr="00085F96">
        <w:rPr>
          <w:rFonts w:ascii="Times New Roman" w:hAnsi="Times New Roman"/>
          <w:szCs w:val="24"/>
          <w:lang w:eastAsia="ar-SA"/>
        </w:rPr>
        <w:t xml:space="preserve"> do spraw rejestracji organizacji altruizmu danych, o którym mowa </w:t>
      </w:r>
      <w:r w:rsidR="0067591D">
        <w:rPr>
          <w:rFonts w:ascii="Times New Roman" w:hAnsi="Times New Roman"/>
          <w:szCs w:val="24"/>
          <w:lang w:eastAsia="ar-SA"/>
        </w:rPr>
        <w:t>w </w:t>
      </w:r>
      <w:r>
        <w:rPr>
          <w:rFonts w:ascii="Times New Roman" w:hAnsi="Times New Roman"/>
          <w:szCs w:val="24"/>
          <w:lang w:eastAsia="ar-SA"/>
        </w:rPr>
        <w:t>art. 23 DGA:</w:t>
      </w:r>
    </w:p>
    <w:p w14:paraId="341B51AE" w14:textId="39686A4E" w:rsidR="002D4237" w:rsidRDefault="002D4237" w:rsidP="00F11475">
      <w:pPr>
        <w:pStyle w:val="NIEARTTEKSTtekstnieartykuowanynppodstprawnarozplubpreambua"/>
        <w:numPr>
          <w:ilvl w:val="0"/>
          <w:numId w:val="10"/>
        </w:numPr>
        <w:ind w:left="1560"/>
        <w:rPr>
          <w:rFonts w:ascii="Times New Roman" w:hAnsi="Times New Roman"/>
          <w:szCs w:val="24"/>
          <w:lang w:eastAsia="ar-SA"/>
        </w:rPr>
      </w:pPr>
      <w:r w:rsidRPr="00085F96">
        <w:rPr>
          <w:rFonts w:ascii="Times New Roman" w:hAnsi="Times New Roman"/>
          <w:szCs w:val="24"/>
          <w:lang w:eastAsia="ar-SA"/>
        </w:rPr>
        <w:t>Prezes Urzędu Och</w:t>
      </w:r>
      <w:r w:rsidR="00383561">
        <w:rPr>
          <w:rFonts w:ascii="Times New Roman" w:hAnsi="Times New Roman"/>
          <w:szCs w:val="24"/>
          <w:lang w:eastAsia="ar-SA"/>
        </w:rPr>
        <w:t>rony Konkurencji i Konsumentów</w:t>
      </w:r>
      <w:r>
        <w:rPr>
          <w:rFonts w:ascii="Times New Roman" w:hAnsi="Times New Roman"/>
          <w:szCs w:val="24"/>
          <w:lang w:eastAsia="ar-SA"/>
        </w:rPr>
        <w:t>.</w:t>
      </w:r>
    </w:p>
    <w:p w14:paraId="17194479" w14:textId="77777777" w:rsidR="002D4237" w:rsidRPr="002773F9" w:rsidRDefault="002D4237" w:rsidP="00F5466D">
      <w:pPr>
        <w:pStyle w:val="NIEARTTEKSTtekstnieartykuowanynppodstprawnarozplubpreambua"/>
        <w:spacing w:before="240"/>
        <w:ind w:firstLine="0"/>
        <w:rPr>
          <w:b/>
          <w:szCs w:val="24"/>
          <w:lang w:eastAsia="ar-SA"/>
        </w:rPr>
      </w:pPr>
      <w:r w:rsidRPr="002773F9">
        <w:rPr>
          <w:b/>
          <w:szCs w:val="24"/>
          <w:lang w:eastAsia="ar-SA"/>
        </w:rPr>
        <w:t>Rozdział 2. Ponowne wykorzystywanie chronionych danych.</w:t>
      </w:r>
    </w:p>
    <w:p w14:paraId="3F649BA4" w14:textId="75C30534" w:rsidR="002D4237" w:rsidRDefault="002D4237" w:rsidP="00E74DEB">
      <w:pPr>
        <w:pStyle w:val="NIEARTTEKSTtekstnieartykuowanynppodstprawnarozplubpreambua"/>
        <w:ind w:firstLine="0"/>
        <w:rPr>
          <w:szCs w:val="24"/>
          <w:lang w:eastAsia="ar-SA"/>
        </w:rPr>
      </w:pPr>
      <w:r>
        <w:rPr>
          <w:szCs w:val="24"/>
          <w:lang w:eastAsia="ar-SA"/>
        </w:rPr>
        <w:t xml:space="preserve">W rozdziale 2 </w:t>
      </w:r>
      <w:r w:rsidR="00DA64A2">
        <w:rPr>
          <w:szCs w:val="24"/>
          <w:lang w:eastAsia="ar-SA"/>
        </w:rPr>
        <w:t xml:space="preserve">projektowanej ustawy </w:t>
      </w:r>
      <w:r>
        <w:rPr>
          <w:szCs w:val="24"/>
          <w:lang w:eastAsia="ar-SA"/>
        </w:rPr>
        <w:t xml:space="preserve">zamieszczone zostały przepisy, które mają zapewnić możliwość stosowania regulacji DGA w zakresie ponownego wykorzystywania chronionych danych wskazanych w art. 3 ust. 1 </w:t>
      </w:r>
      <w:r w:rsidR="00DA64A2">
        <w:rPr>
          <w:szCs w:val="24"/>
          <w:lang w:eastAsia="ar-SA"/>
        </w:rPr>
        <w:t>rozporządzenia. W rozdziale uregulowano</w:t>
      </w:r>
      <w:r>
        <w:rPr>
          <w:szCs w:val="24"/>
          <w:lang w:eastAsia="ar-SA"/>
        </w:rPr>
        <w:t>:</w:t>
      </w:r>
    </w:p>
    <w:p w14:paraId="11B3B993" w14:textId="32F4DD73" w:rsidR="002D4237" w:rsidRDefault="002D4237" w:rsidP="00F11475">
      <w:pPr>
        <w:pStyle w:val="NIEARTTEKSTtekstnieartykuowanynppodstprawnarozplubpreambua"/>
        <w:numPr>
          <w:ilvl w:val="0"/>
          <w:numId w:val="15"/>
        </w:numPr>
        <w:ind w:left="850" w:hanging="357"/>
        <w:rPr>
          <w:rFonts w:ascii="Times New Roman" w:hAnsi="Times New Roman"/>
          <w:szCs w:val="24"/>
          <w:lang w:eastAsia="ar-SA"/>
        </w:rPr>
      </w:pPr>
      <w:r w:rsidRPr="0098505A">
        <w:rPr>
          <w:rFonts w:ascii="Times New Roman" w:hAnsi="Times New Roman"/>
          <w:szCs w:val="24"/>
          <w:lang w:eastAsia="ar-SA"/>
        </w:rPr>
        <w:t>zakres podmiotowy przepisów o ponownym wykorzystywaniu chronionych danych, wyłączenia oraz przepisy kolizyjne</w:t>
      </w:r>
      <w:r>
        <w:rPr>
          <w:rFonts w:ascii="Times New Roman" w:hAnsi="Times New Roman"/>
          <w:szCs w:val="24"/>
          <w:lang w:eastAsia="ar-SA"/>
        </w:rPr>
        <w:t xml:space="preserve"> (Oddział 1. Przepisy ogólne),</w:t>
      </w:r>
    </w:p>
    <w:p w14:paraId="36E2EB75" w14:textId="186F8703" w:rsidR="002D4237" w:rsidRDefault="002D4237" w:rsidP="00F11475">
      <w:pPr>
        <w:pStyle w:val="NIEARTTEKSTtekstnieartykuowanynppodstprawnarozplubpreambua"/>
        <w:numPr>
          <w:ilvl w:val="0"/>
          <w:numId w:val="15"/>
        </w:numPr>
        <w:ind w:left="851"/>
        <w:rPr>
          <w:rFonts w:ascii="Times New Roman" w:hAnsi="Times New Roman"/>
          <w:szCs w:val="24"/>
          <w:lang w:eastAsia="ar-SA"/>
        </w:rPr>
      </w:pPr>
      <w:r>
        <w:rPr>
          <w:rFonts w:ascii="Times New Roman" w:hAnsi="Times New Roman"/>
          <w:szCs w:val="24"/>
          <w:lang w:eastAsia="ar-SA"/>
        </w:rPr>
        <w:t xml:space="preserve">procedurę rozpatrywania wniosków o ponowne wykorzystywanie chronionych danych oraz tryb udzielania prawa </w:t>
      </w:r>
      <w:r w:rsidRPr="003F01DE">
        <w:rPr>
          <w:rFonts w:ascii="Times New Roman" w:hAnsi="Times New Roman"/>
          <w:szCs w:val="24"/>
          <w:lang w:eastAsia="ar-SA"/>
        </w:rPr>
        <w:t>wyłączne</w:t>
      </w:r>
      <w:r>
        <w:rPr>
          <w:rFonts w:ascii="Times New Roman" w:hAnsi="Times New Roman"/>
          <w:szCs w:val="24"/>
          <w:lang w:eastAsia="ar-SA"/>
        </w:rPr>
        <w:t>go</w:t>
      </w:r>
      <w:r w:rsidRPr="003F01DE">
        <w:rPr>
          <w:rFonts w:ascii="Times New Roman" w:hAnsi="Times New Roman"/>
          <w:szCs w:val="24"/>
          <w:lang w:eastAsia="ar-SA"/>
        </w:rPr>
        <w:t xml:space="preserve"> do ponownego wykorzystywania chronionych danych</w:t>
      </w:r>
      <w:r>
        <w:rPr>
          <w:rFonts w:ascii="Times New Roman" w:hAnsi="Times New Roman"/>
          <w:szCs w:val="24"/>
          <w:lang w:eastAsia="ar-SA"/>
        </w:rPr>
        <w:t xml:space="preserve"> (Odział 2. </w:t>
      </w:r>
      <w:r w:rsidRPr="00B13373">
        <w:rPr>
          <w:rFonts w:ascii="Times New Roman" w:hAnsi="Times New Roman"/>
          <w:szCs w:val="24"/>
          <w:lang w:eastAsia="ar-SA"/>
        </w:rPr>
        <w:t>Dostęp do celów ponownego wykorzystywania chronionych danych</w:t>
      </w:r>
      <w:r>
        <w:rPr>
          <w:rFonts w:ascii="Times New Roman" w:hAnsi="Times New Roman"/>
          <w:szCs w:val="24"/>
          <w:lang w:eastAsia="ar-SA"/>
        </w:rPr>
        <w:t>),</w:t>
      </w:r>
    </w:p>
    <w:p w14:paraId="3A6FC40A" w14:textId="253EB184" w:rsidR="002D4237" w:rsidRPr="00B13373" w:rsidRDefault="002D4237" w:rsidP="00F11475">
      <w:pPr>
        <w:pStyle w:val="NIEARTTEKSTtekstnieartykuowanynppodstprawnarozplubpreambua"/>
        <w:numPr>
          <w:ilvl w:val="0"/>
          <w:numId w:val="15"/>
        </w:numPr>
        <w:ind w:left="851"/>
        <w:rPr>
          <w:rFonts w:ascii="Times New Roman" w:hAnsi="Times New Roman"/>
          <w:szCs w:val="24"/>
          <w:lang w:eastAsia="ar-SA"/>
        </w:rPr>
      </w:pPr>
      <w:r>
        <w:rPr>
          <w:rFonts w:ascii="Times New Roman" w:hAnsi="Times New Roman"/>
          <w:szCs w:val="24"/>
          <w:lang w:eastAsia="ar-SA"/>
        </w:rPr>
        <w:lastRenderedPageBreak/>
        <w:t xml:space="preserve">tryb udzielania pomocy podmiotom zobowiązanym w rozpatrywaniu wniosków o ponowne wykorzystywanie chronionych danych przez właściwy podmiot (Oddział 3. </w:t>
      </w:r>
      <w:r w:rsidRPr="00B13373">
        <w:rPr>
          <w:rFonts w:ascii="Times New Roman" w:hAnsi="Times New Roman"/>
          <w:szCs w:val="24"/>
          <w:lang w:eastAsia="ar-SA"/>
        </w:rPr>
        <w:t>Pomoc udzielana przez właściwy podmiot</w:t>
      </w:r>
      <w:r>
        <w:rPr>
          <w:rFonts w:ascii="Times New Roman" w:hAnsi="Times New Roman"/>
          <w:szCs w:val="24"/>
          <w:lang w:eastAsia="ar-SA"/>
        </w:rPr>
        <w:t>),</w:t>
      </w:r>
    </w:p>
    <w:p w14:paraId="6CC099FC" w14:textId="6341F9E2" w:rsidR="002D4237" w:rsidRPr="003F01DE" w:rsidRDefault="002D4237" w:rsidP="00F11475">
      <w:pPr>
        <w:pStyle w:val="NIEARTTEKSTtekstnieartykuowanynppodstprawnarozplubpreambua"/>
        <w:numPr>
          <w:ilvl w:val="0"/>
          <w:numId w:val="15"/>
        </w:numPr>
        <w:ind w:left="851"/>
        <w:rPr>
          <w:rFonts w:ascii="Times New Roman" w:hAnsi="Times New Roman"/>
          <w:szCs w:val="24"/>
          <w:lang w:eastAsia="ar-SA"/>
        </w:rPr>
      </w:pPr>
      <w:r>
        <w:rPr>
          <w:rFonts w:ascii="Times New Roman" w:hAnsi="Times New Roman"/>
          <w:szCs w:val="24"/>
          <w:lang w:eastAsia="ar-SA"/>
        </w:rPr>
        <w:t xml:space="preserve">przepisy dotyczące funkcjonowania pojedynczego punktu informacyjnego </w:t>
      </w:r>
      <w:r w:rsidRPr="00AA74AD">
        <w:rPr>
          <w:rFonts w:ascii="Times New Roman" w:hAnsi="Times New Roman"/>
          <w:szCs w:val="24"/>
          <w:lang w:eastAsia="ar-SA"/>
        </w:rPr>
        <w:t>(Oddział 4.</w:t>
      </w:r>
      <w:r w:rsidRPr="00AA74AD">
        <w:t xml:space="preserve"> </w:t>
      </w:r>
      <w:r w:rsidRPr="00AA74AD">
        <w:rPr>
          <w:rFonts w:ascii="Times New Roman" w:hAnsi="Times New Roman"/>
          <w:szCs w:val="24"/>
          <w:lang w:eastAsia="ar-SA"/>
        </w:rPr>
        <w:t>P</w:t>
      </w:r>
      <w:r>
        <w:rPr>
          <w:rFonts w:ascii="Times New Roman" w:hAnsi="Times New Roman"/>
          <w:szCs w:val="24"/>
          <w:lang w:eastAsia="ar-SA"/>
        </w:rPr>
        <w:t>ojedynczy punkt informacyjny).</w:t>
      </w:r>
    </w:p>
    <w:p w14:paraId="33E03708" w14:textId="77777777" w:rsidR="002D4237" w:rsidRDefault="002D4237" w:rsidP="00F5466D">
      <w:pPr>
        <w:pStyle w:val="NIEARTTEKSTtekstnieartykuowanynppodstprawnarozplubpreambua"/>
        <w:spacing w:before="240"/>
        <w:ind w:firstLine="0"/>
        <w:rPr>
          <w:szCs w:val="24"/>
          <w:lang w:eastAsia="ar-SA"/>
        </w:rPr>
      </w:pPr>
      <w:r>
        <w:rPr>
          <w:szCs w:val="24"/>
          <w:lang w:eastAsia="ar-SA"/>
        </w:rPr>
        <w:t>Oddział 1. Przepisy ogólne.</w:t>
      </w:r>
    </w:p>
    <w:p w14:paraId="51FCB8B2" w14:textId="09BE8393" w:rsidR="002D4237" w:rsidRPr="0036625D" w:rsidRDefault="002D4237" w:rsidP="00E74DEB">
      <w:pPr>
        <w:pStyle w:val="NIEARTTEKSTtekstnieartykuowanynppodstprawnarozplubpreambua"/>
        <w:ind w:firstLine="0"/>
        <w:rPr>
          <w:szCs w:val="24"/>
          <w:lang w:eastAsia="ar-SA"/>
        </w:rPr>
      </w:pPr>
      <w:r>
        <w:rPr>
          <w:szCs w:val="24"/>
          <w:lang w:eastAsia="ar-SA"/>
        </w:rPr>
        <w:t>DGA zobowiązuje do rozpatrywania wniosków o ponowne wykorzystywanie chronionych danyc</w:t>
      </w:r>
      <w:r w:rsidR="006E1200">
        <w:rPr>
          <w:szCs w:val="24"/>
          <w:lang w:eastAsia="ar-SA"/>
        </w:rPr>
        <w:t xml:space="preserve">h podmioty sektora publicznego. </w:t>
      </w:r>
      <w:r>
        <w:rPr>
          <w:szCs w:val="24"/>
          <w:lang w:eastAsia="ar-SA"/>
        </w:rPr>
        <w:t xml:space="preserve">Od wymogu rozpatrywania wniosków o ponowne wykorzystywanie chronionych danych DGA wprowadza jednak wyłączenia. Zgodnie z art. 3 ust. 2 rozporządzenia przepisów rozdziału II </w:t>
      </w:r>
      <w:r w:rsidR="006E1200">
        <w:rPr>
          <w:szCs w:val="24"/>
          <w:lang w:eastAsia="ar-SA"/>
        </w:rPr>
        <w:t xml:space="preserve">rozporządzenia </w:t>
      </w:r>
      <w:r>
        <w:rPr>
          <w:szCs w:val="24"/>
          <w:lang w:eastAsia="ar-SA"/>
        </w:rPr>
        <w:t>(</w:t>
      </w:r>
      <w:r w:rsidRPr="00C20C3F">
        <w:rPr>
          <w:szCs w:val="24"/>
          <w:lang w:eastAsia="ar-SA"/>
        </w:rPr>
        <w:t>Ponowne wykorzystywanie niektórych kategorii chronionych danych będących w posiadaniu podmiotów sektora publicznego</w:t>
      </w:r>
      <w:r>
        <w:rPr>
          <w:szCs w:val="24"/>
          <w:lang w:eastAsia="ar-SA"/>
        </w:rPr>
        <w:t xml:space="preserve">) nie stosuje się do danych znajdujących się w posiadaniu kilku kategorii podmiotów. W </w:t>
      </w:r>
      <w:r w:rsidR="000D1C3B">
        <w:rPr>
          <w:szCs w:val="24"/>
          <w:lang w:eastAsia="ar-SA"/>
        </w:rPr>
        <w:t>projektowanej ustawie</w:t>
      </w:r>
      <w:r w:rsidR="006E1200">
        <w:rPr>
          <w:szCs w:val="24"/>
          <w:lang w:eastAsia="ar-SA"/>
        </w:rPr>
        <w:t xml:space="preserve"> wskazano </w:t>
      </w:r>
      <w:r>
        <w:rPr>
          <w:szCs w:val="24"/>
          <w:lang w:eastAsia="ar-SA"/>
        </w:rPr>
        <w:t>jakie podmioty (</w:t>
      </w:r>
      <w:r w:rsidR="006E1200">
        <w:rPr>
          <w:szCs w:val="24"/>
          <w:lang w:eastAsia="ar-SA"/>
        </w:rPr>
        <w:t>w Polsce</w:t>
      </w:r>
      <w:r>
        <w:rPr>
          <w:szCs w:val="24"/>
          <w:lang w:eastAsia="ar-SA"/>
        </w:rPr>
        <w:t>) będą wyłączone z zakresu sto</w:t>
      </w:r>
      <w:r w:rsidR="006E1200">
        <w:rPr>
          <w:szCs w:val="24"/>
          <w:lang w:eastAsia="ar-SA"/>
        </w:rPr>
        <w:t>sowania przepisów DGA i ustawy.</w:t>
      </w:r>
    </w:p>
    <w:p w14:paraId="674665FE" w14:textId="294F3AEE" w:rsidR="002D4237" w:rsidRPr="00FF7BA9" w:rsidRDefault="002D4237" w:rsidP="00E74DEB">
      <w:pPr>
        <w:pStyle w:val="NIEARTTEKSTtekstnieartykuowanynppodstprawnarozplubpreambua"/>
        <w:ind w:firstLine="0"/>
        <w:rPr>
          <w:rFonts w:eastAsia="Times New Roman" w:cs="Times New Roman"/>
          <w:szCs w:val="24"/>
        </w:rPr>
      </w:pPr>
      <w:r>
        <w:rPr>
          <w:rFonts w:eastAsia="Times New Roman" w:cs="Times New Roman"/>
          <w:szCs w:val="24"/>
        </w:rPr>
        <w:t>Zgodnie z art. 3 ust. 3 lit. b DGA</w:t>
      </w:r>
      <w:r w:rsidRPr="00C71B3E">
        <w:rPr>
          <w:rFonts w:eastAsia="Times New Roman" w:cs="Times New Roman"/>
          <w:szCs w:val="24"/>
        </w:rPr>
        <w:t xml:space="preserve"> rozdział</w:t>
      </w:r>
      <w:r>
        <w:rPr>
          <w:rFonts w:eastAsia="Times New Roman" w:cs="Times New Roman"/>
          <w:szCs w:val="24"/>
        </w:rPr>
        <w:t xml:space="preserve"> II rozporządzenia pozostaje bez uszczerbku dla </w:t>
      </w:r>
      <w:r w:rsidRPr="00C71B3E">
        <w:rPr>
          <w:rFonts w:eastAsia="Times New Roman" w:cs="Times New Roman"/>
          <w:szCs w:val="24"/>
        </w:rPr>
        <w:t>przepisów prawa Unii i prawa krajowego dotyczących dostępu do dokumentów</w:t>
      </w:r>
      <w:r w:rsidR="002653E3">
        <w:rPr>
          <w:rFonts w:eastAsia="Times New Roman" w:cs="Times New Roman"/>
          <w:szCs w:val="24"/>
        </w:rPr>
        <w:t>. W związku z </w:t>
      </w:r>
      <w:r>
        <w:rPr>
          <w:rFonts w:eastAsia="Times New Roman" w:cs="Times New Roman"/>
          <w:szCs w:val="24"/>
        </w:rPr>
        <w:t>tym w</w:t>
      </w:r>
      <w:r w:rsidRPr="00744574">
        <w:rPr>
          <w:rFonts w:eastAsia="Times New Roman" w:cs="Times New Roman"/>
          <w:szCs w:val="24"/>
        </w:rPr>
        <w:t xml:space="preserve"> celu wyeliminowania jakichko</w:t>
      </w:r>
      <w:r>
        <w:rPr>
          <w:rFonts w:eastAsia="Times New Roman" w:cs="Times New Roman"/>
          <w:szCs w:val="24"/>
        </w:rPr>
        <w:t xml:space="preserve">lwiek wątpliwości projekt </w:t>
      </w:r>
      <w:r w:rsidRPr="00744574">
        <w:rPr>
          <w:rFonts w:eastAsia="Times New Roman" w:cs="Times New Roman"/>
          <w:szCs w:val="24"/>
        </w:rPr>
        <w:t>wprowadza za</w:t>
      </w:r>
      <w:r>
        <w:rPr>
          <w:rFonts w:eastAsia="Times New Roman" w:cs="Times New Roman"/>
          <w:szCs w:val="24"/>
        </w:rPr>
        <w:t xml:space="preserve">sadę, że przepisy </w:t>
      </w:r>
      <w:r w:rsidR="000D1C3B">
        <w:rPr>
          <w:rFonts w:eastAsia="Times New Roman" w:cs="Times New Roman"/>
          <w:szCs w:val="24"/>
        </w:rPr>
        <w:t>rozdziału 2</w:t>
      </w:r>
      <w:r w:rsidRPr="00744574">
        <w:rPr>
          <w:rFonts w:eastAsia="Times New Roman" w:cs="Times New Roman"/>
          <w:szCs w:val="24"/>
        </w:rPr>
        <w:t xml:space="preserve"> </w:t>
      </w:r>
      <w:r w:rsidR="002653E3">
        <w:rPr>
          <w:rFonts w:eastAsia="Times New Roman" w:cs="Times New Roman"/>
          <w:szCs w:val="24"/>
        </w:rPr>
        <w:t xml:space="preserve">ustawy nie </w:t>
      </w:r>
      <w:r w:rsidR="002653E3" w:rsidRPr="002653E3">
        <w:rPr>
          <w:rFonts w:eastAsia="Times New Roman" w:cs="Times New Roman"/>
          <w:szCs w:val="24"/>
        </w:rPr>
        <w:t>naruszają prawa dostępu do informacji publicznej ani wolności jej rozpowszechniania oraz przepisów innych ustaw określających zasady, warunki i tryb dostępu lub ponownego wykorzystywania informacji będących informacjami sekto</w:t>
      </w:r>
      <w:r w:rsidR="002653E3">
        <w:rPr>
          <w:rFonts w:eastAsia="Times New Roman" w:cs="Times New Roman"/>
          <w:szCs w:val="24"/>
        </w:rPr>
        <w:t>ra publicznego</w:t>
      </w:r>
      <w:r w:rsidRPr="00744574">
        <w:rPr>
          <w:rFonts w:eastAsia="Times New Roman" w:cs="Times New Roman"/>
          <w:szCs w:val="24"/>
        </w:rPr>
        <w:t>.</w:t>
      </w:r>
    </w:p>
    <w:p w14:paraId="12C3BF9B" w14:textId="5F9485D0" w:rsidR="002D4237" w:rsidRDefault="002D4237" w:rsidP="00F5466D">
      <w:pPr>
        <w:pStyle w:val="NIEARTTEKSTtekstnieartykuowanynppodstprawnarozplubpreambua"/>
        <w:spacing w:before="240"/>
        <w:ind w:firstLine="0"/>
        <w:rPr>
          <w:szCs w:val="24"/>
          <w:lang w:eastAsia="ar-SA"/>
        </w:rPr>
      </w:pPr>
      <w:r>
        <w:rPr>
          <w:szCs w:val="24"/>
          <w:lang w:eastAsia="ar-SA"/>
        </w:rPr>
        <w:t xml:space="preserve">Oddział 2. </w:t>
      </w:r>
      <w:r w:rsidR="002653E3">
        <w:rPr>
          <w:szCs w:val="24"/>
          <w:lang w:eastAsia="ar-SA"/>
        </w:rPr>
        <w:t>Do</w:t>
      </w:r>
      <w:r w:rsidR="000D1C3B">
        <w:rPr>
          <w:szCs w:val="24"/>
          <w:lang w:eastAsia="ar-SA"/>
        </w:rPr>
        <w:t>stęp do celów ponownego wykorzystywania chronionych danych</w:t>
      </w:r>
      <w:r>
        <w:rPr>
          <w:szCs w:val="24"/>
          <w:lang w:eastAsia="ar-SA"/>
        </w:rPr>
        <w:t>.</w:t>
      </w:r>
    </w:p>
    <w:p w14:paraId="7A9A5A39" w14:textId="74656862" w:rsidR="002D4237" w:rsidRDefault="002D4237" w:rsidP="00E74DEB">
      <w:pPr>
        <w:pStyle w:val="NIEARTTEKSTtekstnieartykuowanynppodstprawnarozplubpreambua"/>
        <w:ind w:firstLine="0"/>
        <w:rPr>
          <w:szCs w:val="24"/>
          <w:lang w:eastAsia="ar-SA"/>
        </w:rPr>
      </w:pPr>
      <w:r>
        <w:rPr>
          <w:szCs w:val="24"/>
          <w:lang w:eastAsia="ar-SA"/>
        </w:rPr>
        <w:t>W oddziale 2 projektu ustawy znajdują się przepisy regulując</w:t>
      </w:r>
      <w:r w:rsidR="007925F9">
        <w:rPr>
          <w:szCs w:val="24"/>
          <w:lang w:eastAsia="ar-SA"/>
        </w:rPr>
        <w:t>e tryb rozpatrywania wniosków o </w:t>
      </w:r>
      <w:r>
        <w:rPr>
          <w:szCs w:val="24"/>
          <w:lang w:eastAsia="ar-SA"/>
        </w:rPr>
        <w:t>ponowne wykorzystywanie chronionych danych.</w:t>
      </w:r>
    </w:p>
    <w:p w14:paraId="39CE12E0" w14:textId="112ACCA6" w:rsidR="00A00A8B" w:rsidRDefault="001E5D6A" w:rsidP="00E74DEB">
      <w:pPr>
        <w:pStyle w:val="NIEARTTEKSTtekstnieartykuowanynppodstprawnarozplubpreambua"/>
        <w:ind w:firstLine="0"/>
        <w:rPr>
          <w:szCs w:val="24"/>
          <w:lang w:eastAsia="ar-SA"/>
        </w:rPr>
      </w:pPr>
      <w:r>
        <w:rPr>
          <w:szCs w:val="24"/>
          <w:lang w:eastAsia="ar-SA"/>
        </w:rPr>
        <w:t xml:space="preserve">Zgodnie z art. 8 ust. 2 DGA </w:t>
      </w:r>
      <w:r w:rsidRPr="001E5D6A">
        <w:rPr>
          <w:szCs w:val="24"/>
          <w:lang w:eastAsia="ar-SA"/>
        </w:rPr>
        <w:t>wnios</w:t>
      </w:r>
      <w:r>
        <w:rPr>
          <w:szCs w:val="24"/>
          <w:lang w:eastAsia="ar-SA"/>
        </w:rPr>
        <w:t>ek</w:t>
      </w:r>
      <w:r w:rsidRPr="001E5D6A">
        <w:rPr>
          <w:szCs w:val="24"/>
          <w:lang w:eastAsia="ar-SA"/>
        </w:rPr>
        <w:t xml:space="preserve"> o ponowne wykorzystywanie chronionych danych </w:t>
      </w:r>
      <w:r>
        <w:rPr>
          <w:szCs w:val="24"/>
          <w:lang w:eastAsia="ar-SA"/>
        </w:rPr>
        <w:t>należy złożyć do p</w:t>
      </w:r>
      <w:r w:rsidRPr="001E5D6A">
        <w:rPr>
          <w:szCs w:val="24"/>
          <w:lang w:eastAsia="ar-SA"/>
        </w:rPr>
        <w:t>ojedyncz</w:t>
      </w:r>
      <w:r>
        <w:rPr>
          <w:szCs w:val="24"/>
          <w:lang w:eastAsia="ar-SA"/>
        </w:rPr>
        <w:t>ego</w:t>
      </w:r>
      <w:r w:rsidRPr="001E5D6A">
        <w:rPr>
          <w:szCs w:val="24"/>
          <w:lang w:eastAsia="ar-SA"/>
        </w:rPr>
        <w:t xml:space="preserve"> punkt</w:t>
      </w:r>
      <w:r>
        <w:rPr>
          <w:szCs w:val="24"/>
          <w:lang w:eastAsia="ar-SA"/>
        </w:rPr>
        <w:t>u</w:t>
      </w:r>
      <w:r w:rsidRPr="001E5D6A">
        <w:rPr>
          <w:szCs w:val="24"/>
          <w:lang w:eastAsia="ar-SA"/>
        </w:rPr>
        <w:t xml:space="preserve"> informacyjn</w:t>
      </w:r>
      <w:r w:rsidR="00460A1D">
        <w:rPr>
          <w:szCs w:val="24"/>
          <w:lang w:eastAsia="ar-SA"/>
        </w:rPr>
        <w:t xml:space="preserve">ego. Punkt </w:t>
      </w:r>
      <w:r w:rsidR="00D30C0A">
        <w:rPr>
          <w:szCs w:val="24"/>
          <w:lang w:eastAsia="ar-SA"/>
        </w:rPr>
        <w:t>jest</w:t>
      </w:r>
      <w:r w:rsidR="00460A1D">
        <w:rPr>
          <w:szCs w:val="24"/>
          <w:lang w:eastAsia="ar-SA"/>
        </w:rPr>
        <w:t xml:space="preserve"> zobowiązany przekazać wniosek do podmiotu</w:t>
      </w:r>
      <w:r w:rsidRPr="001E5D6A">
        <w:rPr>
          <w:szCs w:val="24"/>
          <w:lang w:eastAsia="ar-SA"/>
        </w:rPr>
        <w:t xml:space="preserve"> sektora publicznego</w:t>
      </w:r>
      <w:r>
        <w:rPr>
          <w:szCs w:val="24"/>
          <w:lang w:eastAsia="ar-SA"/>
        </w:rPr>
        <w:t>, któ</w:t>
      </w:r>
      <w:r w:rsidR="00460A1D">
        <w:rPr>
          <w:szCs w:val="24"/>
          <w:lang w:eastAsia="ar-SA"/>
        </w:rPr>
        <w:t xml:space="preserve">ry posiada chronione dane. </w:t>
      </w:r>
      <w:r w:rsidR="00D30C0A">
        <w:rPr>
          <w:szCs w:val="24"/>
          <w:lang w:eastAsia="ar-SA"/>
        </w:rPr>
        <w:t>W p</w:t>
      </w:r>
      <w:r w:rsidR="00460A1D" w:rsidRPr="0088097B">
        <w:rPr>
          <w:szCs w:val="24"/>
          <w:lang w:eastAsia="ar-SA"/>
        </w:rPr>
        <w:t>rojektowan</w:t>
      </w:r>
      <w:r w:rsidR="00D30C0A">
        <w:rPr>
          <w:szCs w:val="24"/>
          <w:lang w:eastAsia="ar-SA"/>
        </w:rPr>
        <w:t>ej</w:t>
      </w:r>
      <w:r w:rsidR="00460A1D" w:rsidRPr="0088097B">
        <w:rPr>
          <w:szCs w:val="24"/>
          <w:lang w:eastAsia="ar-SA"/>
        </w:rPr>
        <w:t xml:space="preserve"> ustaw</w:t>
      </w:r>
      <w:r w:rsidR="00D30C0A">
        <w:rPr>
          <w:szCs w:val="24"/>
          <w:lang w:eastAsia="ar-SA"/>
        </w:rPr>
        <w:t xml:space="preserve">ie przewidziano rozwiązanie polegające na tym, że </w:t>
      </w:r>
      <w:r w:rsidR="001007F4">
        <w:rPr>
          <w:szCs w:val="24"/>
          <w:lang w:eastAsia="ar-SA"/>
        </w:rPr>
        <w:t xml:space="preserve">oprócz złożenia </w:t>
      </w:r>
      <w:r w:rsidR="00D30C0A">
        <w:rPr>
          <w:szCs w:val="24"/>
          <w:lang w:eastAsia="ar-SA"/>
        </w:rPr>
        <w:t>wnios</w:t>
      </w:r>
      <w:r w:rsidR="001007F4">
        <w:rPr>
          <w:szCs w:val="24"/>
          <w:lang w:eastAsia="ar-SA"/>
        </w:rPr>
        <w:t>ku</w:t>
      </w:r>
      <w:r w:rsidR="00D30C0A">
        <w:rPr>
          <w:szCs w:val="24"/>
          <w:lang w:eastAsia="ar-SA"/>
        </w:rPr>
        <w:t xml:space="preserve"> </w:t>
      </w:r>
      <w:r w:rsidR="001007F4" w:rsidRPr="005F43FA">
        <w:rPr>
          <w:szCs w:val="24"/>
          <w:lang w:eastAsia="ar-SA"/>
        </w:rPr>
        <w:t>za pośrednictwem pojedynczego punktu info</w:t>
      </w:r>
      <w:r w:rsidR="001007F4">
        <w:rPr>
          <w:szCs w:val="24"/>
          <w:lang w:eastAsia="ar-SA"/>
        </w:rPr>
        <w:t xml:space="preserve">rmacyjnego możliwe będzie również skierowanie wniosku bezpośrednio </w:t>
      </w:r>
      <w:r>
        <w:rPr>
          <w:szCs w:val="24"/>
          <w:lang w:eastAsia="ar-SA"/>
        </w:rPr>
        <w:t>do podmiotu sektora publicznego, który posiada chronione dane (z pominięciem</w:t>
      </w:r>
      <w:r w:rsidRPr="001E5D6A">
        <w:t xml:space="preserve"> </w:t>
      </w:r>
      <w:r w:rsidRPr="001E5D6A">
        <w:rPr>
          <w:szCs w:val="24"/>
          <w:lang w:eastAsia="ar-SA"/>
        </w:rPr>
        <w:lastRenderedPageBreak/>
        <w:t>pojedynczego punktu informacyjnego</w:t>
      </w:r>
      <w:r w:rsidR="001007F4">
        <w:rPr>
          <w:szCs w:val="24"/>
          <w:lang w:eastAsia="ar-SA"/>
        </w:rPr>
        <w:t xml:space="preserve">). Ma to na celu </w:t>
      </w:r>
      <w:r>
        <w:rPr>
          <w:szCs w:val="24"/>
          <w:lang w:eastAsia="ar-SA"/>
        </w:rPr>
        <w:t>przyspieszenie całego procesu. Wybór należeć będzie do wnioskodawcy.</w:t>
      </w:r>
      <w:r w:rsidR="001007F4">
        <w:rPr>
          <w:szCs w:val="24"/>
          <w:lang w:eastAsia="ar-SA"/>
        </w:rPr>
        <w:t xml:space="preserve"> </w:t>
      </w:r>
    </w:p>
    <w:p w14:paraId="2A3AD839" w14:textId="5D49879A" w:rsidR="00A00A8B" w:rsidRDefault="002D4237" w:rsidP="00E74DEB">
      <w:pPr>
        <w:pStyle w:val="NIEARTTEKSTtekstnieartykuowanynppodstprawnarozplubpreambua"/>
        <w:ind w:firstLine="0"/>
        <w:rPr>
          <w:szCs w:val="24"/>
          <w:lang w:eastAsia="ar-SA"/>
        </w:rPr>
      </w:pPr>
      <w:r>
        <w:rPr>
          <w:szCs w:val="24"/>
          <w:lang w:eastAsia="ar-SA"/>
        </w:rPr>
        <w:t xml:space="preserve">Mając na uwadze specyfikę regulacji (z procedury korzystać będą przede wszystkim podmioty wyspecjalizowane lub podmioty/osoby posiadające odpowiednią wiedzę, np. z sektora IT) oraz konieczność wdrażania modelu </w:t>
      </w:r>
      <w:proofErr w:type="spellStart"/>
      <w:r w:rsidRPr="001E2786">
        <w:rPr>
          <w:i/>
          <w:szCs w:val="24"/>
          <w:lang w:eastAsia="ar-SA"/>
        </w:rPr>
        <w:t>paperless</w:t>
      </w:r>
      <w:proofErr w:type="spellEnd"/>
      <w:r>
        <w:rPr>
          <w:i/>
          <w:szCs w:val="24"/>
          <w:lang w:eastAsia="ar-SA"/>
        </w:rPr>
        <w:t xml:space="preserve"> </w:t>
      </w:r>
      <w:r>
        <w:rPr>
          <w:szCs w:val="24"/>
          <w:lang w:eastAsia="ar-SA"/>
        </w:rPr>
        <w:t xml:space="preserve">wniosek o ponowne wykorzystywanie będzie można złożyć wyłącznie w </w:t>
      </w:r>
      <w:r w:rsidRPr="00C62092">
        <w:rPr>
          <w:szCs w:val="24"/>
          <w:lang w:eastAsia="ar-SA"/>
        </w:rPr>
        <w:t>postaci elektronicznej</w:t>
      </w:r>
      <w:r>
        <w:rPr>
          <w:szCs w:val="24"/>
          <w:lang w:eastAsia="ar-SA"/>
        </w:rPr>
        <w:t xml:space="preserve">. W </w:t>
      </w:r>
      <w:r w:rsidR="00384373">
        <w:rPr>
          <w:szCs w:val="24"/>
          <w:lang w:eastAsia="ar-SA"/>
        </w:rPr>
        <w:t>projekcie</w:t>
      </w:r>
      <w:r>
        <w:rPr>
          <w:szCs w:val="24"/>
          <w:lang w:eastAsia="ar-SA"/>
        </w:rPr>
        <w:t xml:space="preserve"> wskazane zostały elementy jakie wniosek o ponowne wykorzystywanie chronionych danych ma zawierać.</w:t>
      </w:r>
      <w:r w:rsidR="00852F77">
        <w:rPr>
          <w:szCs w:val="24"/>
          <w:lang w:eastAsia="ar-SA"/>
        </w:rPr>
        <w:t xml:space="preserve"> W przypadku kiedy do pojedynczego punktu informacyjnego trafi wniosek, w którym nie zostaną wskazane </w:t>
      </w:r>
      <w:r w:rsidR="00A00A8B" w:rsidRPr="00A00A8B">
        <w:rPr>
          <w:szCs w:val="24"/>
          <w:lang w:eastAsia="ar-SA"/>
        </w:rPr>
        <w:t>dan</w:t>
      </w:r>
      <w:r w:rsidR="00852F77">
        <w:rPr>
          <w:szCs w:val="24"/>
          <w:lang w:eastAsia="ar-SA"/>
        </w:rPr>
        <w:t>e</w:t>
      </w:r>
      <w:r w:rsidR="00A00A8B" w:rsidRPr="00A00A8B">
        <w:rPr>
          <w:szCs w:val="24"/>
          <w:lang w:eastAsia="ar-SA"/>
        </w:rPr>
        <w:t xml:space="preserve"> podmiotu sektora publicznego, do którego można przekazać </w:t>
      </w:r>
      <w:r w:rsidR="00852F77">
        <w:rPr>
          <w:szCs w:val="24"/>
          <w:lang w:eastAsia="ar-SA"/>
        </w:rPr>
        <w:t>wniosek, punkt informacyjny zwróci</w:t>
      </w:r>
      <w:r w:rsidR="00A00A8B" w:rsidRPr="00A00A8B">
        <w:rPr>
          <w:szCs w:val="24"/>
          <w:lang w:eastAsia="ar-SA"/>
        </w:rPr>
        <w:t xml:space="preserve"> wniosek wnioskodawcy niezwłocznie, nie później jednak niż w terminie 7 dni od dnia jego otrzymania</w:t>
      </w:r>
      <w:r w:rsidR="00852F77">
        <w:rPr>
          <w:szCs w:val="24"/>
          <w:lang w:eastAsia="ar-SA"/>
        </w:rPr>
        <w:t xml:space="preserve">. </w:t>
      </w:r>
    </w:p>
    <w:p w14:paraId="5EB2EC51" w14:textId="55464165" w:rsidR="00A00A8B" w:rsidRDefault="00852F77" w:rsidP="00E74DEB">
      <w:pPr>
        <w:pStyle w:val="NIEARTTEKSTtekstnieartykuowanynppodstprawnarozplubpreambua"/>
        <w:ind w:firstLine="0"/>
        <w:rPr>
          <w:szCs w:val="24"/>
          <w:lang w:eastAsia="ar-SA"/>
        </w:rPr>
      </w:pPr>
      <w:r>
        <w:rPr>
          <w:szCs w:val="24"/>
          <w:lang w:eastAsia="ar-SA"/>
        </w:rPr>
        <w:t>Niezależenie od tego, czy wniosek zostanie złożony bezpośrednio do podmiotu sektora publicznego, który posiada chronione dane czy też za pośrednictwem pojedynczego punktu informacyjnego o</w:t>
      </w:r>
      <w:r w:rsidRPr="00852F77">
        <w:rPr>
          <w:szCs w:val="24"/>
          <w:lang w:eastAsia="ar-SA"/>
        </w:rPr>
        <w:t xml:space="preserve">dpowiedzialnym za </w:t>
      </w:r>
      <w:r>
        <w:rPr>
          <w:szCs w:val="24"/>
          <w:lang w:eastAsia="ar-SA"/>
        </w:rPr>
        <w:t xml:space="preserve">jego </w:t>
      </w:r>
      <w:r w:rsidRPr="00852F77">
        <w:rPr>
          <w:szCs w:val="24"/>
          <w:lang w:eastAsia="ar-SA"/>
        </w:rPr>
        <w:t xml:space="preserve">rozpatrzenie będzie zawsze </w:t>
      </w:r>
      <w:r>
        <w:rPr>
          <w:szCs w:val="24"/>
          <w:lang w:eastAsia="ar-SA"/>
        </w:rPr>
        <w:t>dysponent danych (</w:t>
      </w:r>
      <w:r w:rsidRPr="00852F77">
        <w:rPr>
          <w:szCs w:val="24"/>
          <w:lang w:eastAsia="ar-SA"/>
        </w:rPr>
        <w:t>podmiot sektora publicznego, który posiada chronione dane</w:t>
      </w:r>
      <w:r>
        <w:rPr>
          <w:szCs w:val="24"/>
          <w:lang w:eastAsia="ar-SA"/>
        </w:rPr>
        <w:t>)</w:t>
      </w:r>
      <w:r w:rsidRPr="00852F77">
        <w:rPr>
          <w:szCs w:val="24"/>
          <w:lang w:eastAsia="ar-SA"/>
        </w:rPr>
        <w:t>.</w:t>
      </w:r>
    </w:p>
    <w:p w14:paraId="6F84E333" w14:textId="77777777" w:rsidR="00852F77" w:rsidRDefault="00852F77" w:rsidP="00E74DEB">
      <w:pPr>
        <w:pStyle w:val="NIEARTTEKSTtekstnieartykuowanynppodstprawnarozplubpreambua"/>
        <w:ind w:firstLine="0"/>
        <w:rPr>
          <w:szCs w:val="24"/>
          <w:lang w:eastAsia="ar-SA"/>
        </w:rPr>
      </w:pPr>
      <w:r>
        <w:rPr>
          <w:szCs w:val="24"/>
          <w:lang w:eastAsia="ar-SA"/>
        </w:rPr>
        <w:t xml:space="preserve">W przypadku </w:t>
      </w:r>
      <w:r w:rsidR="002D4237" w:rsidRPr="00ED6976">
        <w:rPr>
          <w:szCs w:val="24"/>
          <w:lang w:eastAsia="ar-SA"/>
        </w:rPr>
        <w:t xml:space="preserve">niespełnienia wymogów </w:t>
      </w:r>
      <w:r w:rsidR="002D4237">
        <w:rPr>
          <w:szCs w:val="24"/>
          <w:lang w:eastAsia="ar-SA"/>
        </w:rPr>
        <w:t xml:space="preserve">jakie musi spełniać wniosek </w:t>
      </w:r>
      <w:r w:rsidR="002D4237" w:rsidRPr="00ED6976">
        <w:rPr>
          <w:szCs w:val="24"/>
          <w:lang w:eastAsia="ar-SA"/>
        </w:rPr>
        <w:t>o ponowne wykorzystywanie chronionych danych p</w:t>
      </w:r>
      <w:r w:rsidR="002D4237">
        <w:rPr>
          <w:szCs w:val="24"/>
          <w:lang w:eastAsia="ar-SA"/>
        </w:rPr>
        <w:t>odmiot sektora publicznego będzie wzywać</w:t>
      </w:r>
      <w:r w:rsidR="002D4237" w:rsidRPr="00ED6976">
        <w:rPr>
          <w:szCs w:val="24"/>
          <w:lang w:eastAsia="ar-SA"/>
        </w:rPr>
        <w:t xml:space="preserve"> wnioskodawcę do usunięcia braków</w:t>
      </w:r>
      <w:r w:rsidR="002D4237">
        <w:rPr>
          <w:szCs w:val="24"/>
          <w:lang w:eastAsia="ar-SA"/>
        </w:rPr>
        <w:t xml:space="preserve">. Ich nieusunięcie </w:t>
      </w:r>
      <w:r w:rsidR="002D4237" w:rsidRPr="00ED6976">
        <w:rPr>
          <w:szCs w:val="24"/>
          <w:lang w:eastAsia="ar-SA"/>
        </w:rPr>
        <w:t>w terminie 14 dni od dnia otrzymania wezwania spowoduje pozostawienie wniosku bez rozpoznania</w:t>
      </w:r>
      <w:r w:rsidR="002D4237">
        <w:rPr>
          <w:szCs w:val="24"/>
          <w:lang w:eastAsia="ar-SA"/>
        </w:rPr>
        <w:t xml:space="preserve">. </w:t>
      </w:r>
    </w:p>
    <w:p w14:paraId="00417DEB" w14:textId="580D167C" w:rsidR="002D4237" w:rsidRPr="004D7E83" w:rsidRDefault="002D4237" w:rsidP="00E74DEB">
      <w:pPr>
        <w:pStyle w:val="NIEARTTEKSTtekstnieartykuowanynppodstprawnarozplubpreambua"/>
        <w:ind w:firstLine="0"/>
        <w:rPr>
          <w:szCs w:val="24"/>
          <w:vertAlign w:val="superscript"/>
          <w:lang w:eastAsia="ar-SA"/>
        </w:rPr>
      </w:pPr>
      <w:r>
        <w:rPr>
          <w:szCs w:val="24"/>
          <w:lang w:eastAsia="ar-SA"/>
        </w:rPr>
        <w:t>W zakresie nieuregulowanym ustawą lub DGA</w:t>
      </w:r>
      <w:r w:rsidRPr="00ED6976">
        <w:t xml:space="preserve"> </w:t>
      </w:r>
      <w:r w:rsidRPr="00ED6976">
        <w:rPr>
          <w:szCs w:val="24"/>
          <w:lang w:eastAsia="ar-SA"/>
        </w:rPr>
        <w:t>do wniosku o ponowne wykorzysty</w:t>
      </w:r>
      <w:r>
        <w:rPr>
          <w:szCs w:val="24"/>
          <w:lang w:eastAsia="ar-SA"/>
        </w:rPr>
        <w:t xml:space="preserve">wanie chronionych danych stosowane będą </w:t>
      </w:r>
      <w:r w:rsidR="000C40AC">
        <w:rPr>
          <w:szCs w:val="24"/>
          <w:lang w:eastAsia="ar-SA"/>
        </w:rPr>
        <w:t xml:space="preserve">odpowiednio </w:t>
      </w:r>
      <w:r>
        <w:rPr>
          <w:szCs w:val="24"/>
          <w:lang w:eastAsia="ar-SA"/>
        </w:rPr>
        <w:t>art. 63 i </w:t>
      </w:r>
      <w:r w:rsidR="00845BD9">
        <w:rPr>
          <w:szCs w:val="24"/>
          <w:lang w:eastAsia="ar-SA"/>
        </w:rPr>
        <w:t xml:space="preserve">art. </w:t>
      </w:r>
      <w:r w:rsidRPr="00ED6976">
        <w:rPr>
          <w:szCs w:val="24"/>
          <w:lang w:eastAsia="ar-SA"/>
        </w:rPr>
        <w:t>64</w:t>
      </w:r>
      <w:r>
        <w:rPr>
          <w:szCs w:val="24"/>
          <w:lang w:eastAsia="ar-SA"/>
        </w:rPr>
        <w:t xml:space="preserve"> </w:t>
      </w:r>
      <w:r w:rsidRPr="00ED6976">
        <w:rPr>
          <w:szCs w:val="24"/>
          <w:lang w:eastAsia="ar-SA"/>
        </w:rPr>
        <w:t xml:space="preserve">ustawy z dnia 14 czerwca 1960 r. </w:t>
      </w:r>
      <w:r w:rsidR="00845BD9">
        <w:rPr>
          <w:rFonts w:cs="Times"/>
          <w:szCs w:val="24"/>
          <w:lang w:eastAsia="ar-SA"/>
        </w:rPr>
        <w:t>‒</w:t>
      </w:r>
      <w:r w:rsidRPr="00ED6976">
        <w:rPr>
          <w:szCs w:val="24"/>
          <w:lang w:eastAsia="ar-SA"/>
        </w:rPr>
        <w:t xml:space="preserve"> Kodeks postępowania administracyjnego</w:t>
      </w:r>
      <w:r w:rsidRPr="006A5D81">
        <w:rPr>
          <w:szCs w:val="24"/>
          <w:vertAlign w:val="superscript"/>
          <w:lang w:eastAsia="ar-SA"/>
        </w:rPr>
        <w:t xml:space="preserve"> </w:t>
      </w:r>
      <w:r w:rsidR="00845BD9">
        <w:rPr>
          <w:szCs w:val="24"/>
          <w:lang w:eastAsia="ar-SA"/>
        </w:rPr>
        <w:t>(D</w:t>
      </w:r>
      <w:r w:rsidR="00845BD9" w:rsidRPr="00845BD9">
        <w:rPr>
          <w:szCs w:val="24"/>
          <w:lang w:eastAsia="ar-SA"/>
        </w:rPr>
        <w:t>z. U. z 2022 r. poz. 2000 i 2185</w:t>
      </w:r>
      <w:r w:rsidR="00845BD9">
        <w:rPr>
          <w:szCs w:val="24"/>
          <w:lang w:eastAsia="ar-SA"/>
        </w:rPr>
        <w:t xml:space="preserve">), </w:t>
      </w:r>
      <w:r>
        <w:rPr>
          <w:szCs w:val="24"/>
          <w:lang w:eastAsia="ar-SA"/>
        </w:rPr>
        <w:t xml:space="preserve">dalej jako </w:t>
      </w:r>
      <w:r w:rsidR="00845BD9">
        <w:rPr>
          <w:szCs w:val="24"/>
          <w:lang w:eastAsia="ar-SA"/>
        </w:rPr>
        <w:t>„</w:t>
      </w:r>
      <w:r>
        <w:rPr>
          <w:szCs w:val="24"/>
          <w:lang w:eastAsia="ar-SA"/>
        </w:rPr>
        <w:t>k.p.a.</w:t>
      </w:r>
      <w:r w:rsidR="00845BD9">
        <w:rPr>
          <w:szCs w:val="24"/>
          <w:lang w:eastAsia="ar-SA"/>
        </w:rPr>
        <w:t>”</w:t>
      </w:r>
      <w:r>
        <w:rPr>
          <w:szCs w:val="24"/>
          <w:lang w:eastAsia="ar-SA"/>
        </w:rPr>
        <w:t>.</w:t>
      </w:r>
    </w:p>
    <w:p w14:paraId="679B224A" w14:textId="56D31BF4" w:rsidR="002D4237" w:rsidRDefault="002D4237" w:rsidP="00E74DEB">
      <w:pPr>
        <w:pStyle w:val="NIEARTTEKSTtekstnieartykuowanynppodstprawnarozplubpreambua"/>
        <w:ind w:firstLine="0"/>
        <w:rPr>
          <w:szCs w:val="24"/>
          <w:lang w:eastAsia="ar-SA"/>
        </w:rPr>
      </w:pPr>
      <w:r>
        <w:rPr>
          <w:szCs w:val="24"/>
          <w:lang w:eastAsia="ar-SA"/>
        </w:rPr>
        <w:t xml:space="preserve">Podmiot sektora publicznego rozpatrując wniosek o ponowne wykorzystywanie </w:t>
      </w:r>
      <w:r w:rsidR="00384373">
        <w:rPr>
          <w:szCs w:val="24"/>
          <w:lang w:eastAsia="ar-SA"/>
        </w:rPr>
        <w:t>chronionych danych będzie mógł</w:t>
      </w:r>
      <w:r>
        <w:rPr>
          <w:szCs w:val="24"/>
          <w:lang w:eastAsia="ar-SA"/>
        </w:rPr>
        <w:t xml:space="preserve"> </w:t>
      </w:r>
      <w:r w:rsidRPr="00903939">
        <w:rPr>
          <w:szCs w:val="24"/>
          <w:lang w:eastAsia="ar-SA"/>
        </w:rPr>
        <w:t>zwrócić się do Prezesa Urzędu Ochrony Danych Osobowych z wnioskiem o wydanie opinii dotyczącej zgodności ponownego wykorzystywania ch</w:t>
      </w:r>
      <w:r w:rsidR="00852F77">
        <w:rPr>
          <w:szCs w:val="24"/>
          <w:lang w:eastAsia="ar-SA"/>
        </w:rPr>
        <w:t>ronionych danych z </w:t>
      </w:r>
      <w:r>
        <w:rPr>
          <w:szCs w:val="24"/>
          <w:lang w:eastAsia="ar-SA"/>
        </w:rPr>
        <w:t>przepisami o </w:t>
      </w:r>
      <w:r w:rsidRPr="00903939">
        <w:rPr>
          <w:szCs w:val="24"/>
          <w:lang w:eastAsia="ar-SA"/>
        </w:rPr>
        <w:t>ochronie danych osobowych</w:t>
      </w:r>
      <w:r>
        <w:rPr>
          <w:szCs w:val="24"/>
          <w:lang w:eastAsia="ar-SA"/>
        </w:rPr>
        <w:t xml:space="preserve">. </w:t>
      </w:r>
      <w:r w:rsidR="00384373">
        <w:rPr>
          <w:szCs w:val="24"/>
          <w:lang w:eastAsia="ar-SA"/>
        </w:rPr>
        <w:t>Projektowane p</w:t>
      </w:r>
      <w:r>
        <w:rPr>
          <w:szCs w:val="24"/>
          <w:lang w:eastAsia="ar-SA"/>
        </w:rPr>
        <w:t>rzepisy precyzują tryb wydania takiej opinii.</w:t>
      </w:r>
    </w:p>
    <w:p w14:paraId="43EBE4BD" w14:textId="5F8C071D" w:rsidR="00852F77" w:rsidRDefault="002D4237" w:rsidP="00852F77">
      <w:pPr>
        <w:pStyle w:val="NIEARTTEKSTtekstnieartykuowanynppodstprawnarozplubpreambua"/>
        <w:ind w:firstLine="0"/>
        <w:rPr>
          <w:rFonts w:cs="Times New Roman"/>
          <w:szCs w:val="24"/>
          <w:lang w:eastAsia="ar-SA"/>
        </w:rPr>
      </w:pPr>
      <w:r w:rsidRPr="0056737F">
        <w:rPr>
          <w:rFonts w:cs="Times New Roman"/>
          <w:szCs w:val="24"/>
          <w:lang w:eastAsia="ar-SA"/>
        </w:rPr>
        <w:t xml:space="preserve">W </w:t>
      </w:r>
      <w:r w:rsidR="00384373">
        <w:rPr>
          <w:rFonts w:cs="Times New Roman"/>
          <w:szCs w:val="24"/>
          <w:lang w:eastAsia="ar-SA"/>
        </w:rPr>
        <w:t>projekcie</w:t>
      </w:r>
      <w:r w:rsidRPr="0056737F">
        <w:rPr>
          <w:rFonts w:cs="Times New Roman"/>
          <w:szCs w:val="24"/>
          <w:lang w:eastAsia="ar-SA"/>
        </w:rPr>
        <w:t xml:space="preserve"> ustawy wymienione zostały działania możliwe do podjęcia przez podmiot sektora publicznego po rozpatrzeniu wniosku o ponowne wykorzystywanie chronionych danych. W</w:t>
      </w:r>
      <w:r w:rsidR="008C5D99">
        <w:rPr>
          <w:rFonts w:cs="Times New Roman"/>
          <w:szCs w:val="24"/>
          <w:lang w:eastAsia="ar-SA"/>
        </w:rPr>
        <w:t> </w:t>
      </w:r>
      <w:r w:rsidRPr="0056737F">
        <w:rPr>
          <w:rFonts w:cs="Times New Roman"/>
          <w:szCs w:val="24"/>
          <w:lang w:eastAsia="ar-SA"/>
        </w:rPr>
        <w:t>ramach działań tych podmiot:</w:t>
      </w:r>
    </w:p>
    <w:p w14:paraId="41569660" w14:textId="5FD123DC" w:rsidR="002D4237" w:rsidRDefault="00852F77" w:rsidP="00F11475">
      <w:pPr>
        <w:pStyle w:val="NIEARTTEKSTtekstnieartykuowanynppodstprawnarozplubpreambua"/>
        <w:numPr>
          <w:ilvl w:val="0"/>
          <w:numId w:val="16"/>
        </w:numPr>
        <w:ind w:left="851"/>
        <w:rPr>
          <w:rFonts w:ascii="Times New Roman" w:hAnsi="Times New Roman"/>
          <w:szCs w:val="24"/>
          <w:lang w:eastAsia="ar-SA"/>
        </w:rPr>
      </w:pPr>
      <w:r>
        <w:rPr>
          <w:rFonts w:ascii="Times New Roman" w:hAnsi="Times New Roman"/>
          <w:szCs w:val="24"/>
          <w:lang w:eastAsia="ar-SA"/>
        </w:rPr>
        <w:lastRenderedPageBreak/>
        <w:t>M</w:t>
      </w:r>
      <w:r w:rsidR="002D4237" w:rsidRPr="0056737F">
        <w:rPr>
          <w:rFonts w:ascii="Times New Roman" w:hAnsi="Times New Roman"/>
          <w:szCs w:val="24"/>
          <w:lang w:eastAsia="ar-SA"/>
        </w:rPr>
        <w:t>oże złożyć wnioskodawcy ofertę</w:t>
      </w:r>
      <w:r w:rsidRPr="00852F77">
        <w:t xml:space="preserve"> </w:t>
      </w:r>
      <w:r w:rsidRPr="00852F77">
        <w:rPr>
          <w:rFonts w:ascii="Times New Roman" w:hAnsi="Times New Roman"/>
          <w:szCs w:val="24"/>
          <w:lang w:eastAsia="ar-SA"/>
        </w:rPr>
        <w:t>dotyczącą udzielenia dostępu do celów ponownego wykorzy</w:t>
      </w:r>
      <w:r>
        <w:rPr>
          <w:rFonts w:ascii="Times New Roman" w:hAnsi="Times New Roman"/>
          <w:szCs w:val="24"/>
          <w:lang w:eastAsia="ar-SA"/>
        </w:rPr>
        <w:t>stywania chronionych danych</w:t>
      </w:r>
      <w:r w:rsidR="003C36C3">
        <w:rPr>
          <w:rFonts w:ascii="Times New Roman" w:hAnsi="Times New Roman"/>
          <w:szCs w:val="24"/>
          <w:lang w:eastAsia="ar-SA"/>
        </w:rPr>
        <w:t>, dalej jako: „oferta”</w:t>
      </w:r>
      <w:r>
        <w:rPr>
          <w:rFonts w:ascii="Times New Roman" w:hAnsi="Times New Roman"/>
          <w:szCs w:val="24"/>
          <w:lang w:eastAsia="ar-SA"/>
        </w:rPr>
        <w:t>.</w:t>
      </w:r>
    </w:p>
    <w:p w14:paraId="6A2A52EE" w14:textId="08F9D6A8" w:rsidR="00852F77" w:rsidRPr="00F5466D" w:rsidRDefault="00852F77" w:rsidP="00F11475">
      <w:pPr>
        <w:pStyle w:val="ARTartustawynprozporzdzenia"/>
        <w:numPr>
          <w:ilvl w:val="0"/>
          <w:numId w:val="16"/>
        </w:numPr>
        <w:ind w:left="851"/>
      </w:pPr>
      <w:r>
        <w:rPr>
          <w:rFonts w:ascii="Times New Roman" w:hAnsi="Times New Roman"/>
          <w:szCs w:val="24"/>
          <w:lang w:eastAsia="ar-SA"/>
        </w:rPr>
        <w:t>O</w:t>
      </w:r>
      <w:r w:rsidRPr="0056737F">
        <w:rPr>
          <w:rFonts w:ascii="Times New Roman" w:hAnsi="Times New Roman"/>
          <w:szCs w:val="24"/>
          <w:lang w:eastAsia="ar-SA"/>
        </w:rPr>
        <w:t>dm</w:t>
      </w:r>
      <w:r>
        <w:rPr>
          <w:rFonts w:ascii="Times New Roman" w:hAnsi="Times New Roman"/>
          <w:szCs w:val="24"/>
          <w:lang w:eastAsia="ar-SA"/>
        </w:rPr>
        <w:t>awia</w:t>
      </w:r>
      <w:r w:rsidRPr="0056737F">
        <w:rPr>
          <w:rFonts w:ascii="Times New Roman" w:hAnsi="Times New Roman"/>
          <w:szCs w:val="24"/>
          <w:lang w:eastAsia="ar-SA"/>
        </w:rPr>
        <w:t xml:space="preserve"> </w:t>
      </w:r>
      <w:r>
        <w:rPr>
          <w:rFonts w:ascii="Times New Roman" w:hAnsi="Times New Roman"/>
          <w:szCs w:val="24"/>
          <w:lang w:eastAsia="ar-SA"/>
        </w:rPr>
        <w:t xml:space="preserve">(w drodze decyzji) </w:t>
      </w:r>
      <w:r w:rsidRPr="0056737F">
        <w:rPr>
          <w:rFonts w:ascii="Times New Roman" w:hAnsi="Times New Roman"/>
          <w:szCs w:val="24"/>
          <w:lang w:eastAsia="ar-SA"/>
        </w:rPr>
        <w:t>udzielenia dostępu do celów ponownego wykorzystywania (po spe</w:t>
      </w:r>
      <w:r>
        <w:rPr>
          <w:rFonts w:ascii="Times New Roman" w:hAnsi="Times New Roman"/>
          <w:szCs w:val="24"/>
          <w:lang w:eastAsia="ar-SA"/>
        </w:rPr>
        <w:t>łnieniu określonych przesłanek).</w:t>
      </w:r>
    </w:p>
    <w:p w14:paraId="26201CD1" w14:textId="404C92C5" w:rsidR="00852F77" w:rsidRPr="00F5466D" w:rsidRDefault="00852F77" w:rsidP="00F11475">
      <w:pPr>
        <w:pStyle w:val="ARTartustawynprozporzdzenia"/>
        <w:numPr>
          <w:ilvl w:val="0"/>
          <w:numId w:val="16"/>
        </w:numPr>
        <w:ind w:left="851"/>
      </w:pPr>
      <w:r>
        <w:rPr>
          <w:lang w:eastAsia="ar-SA"/>
        </w:rPr>
        <w:t>Może odmówić (w drodze decyzji)</w:t>
      </w:r>
      <w:r w:rsidRPr="00F5466D">
        <w:t xml:space="preserve"> udzielenia dostępu do celów ponownego wykorzystywania</w:t>
      </w:r>
      <w:r w:rsidRPr="00852F77">
        <w:rPr>
          <w:lang w:eastAsia="ar-SA"/>
        </w:rPr>
        <w:t xml:space="preserve"> chronionych danych</w:t>
      </w:r>
      <w:r w:rsidRPr="00F5466D">
        <w:t xml:space="preserve"> (po spełnieniu określonych przesłanek).</w:t>
      </w:r>
    </w:p>
    <w:p w14:paraId="32A5A44D" w14:textId="54A764E9" w:rsidR="00AA6978" w:rsidRDefault="002D4237" w:rsidP="00E74DEB">
      <w:pPr>
        <w:pStyle w:val="NIEARTTEKSTtekstnieartykuowanynppodstprawnarozplubpreambua"/>
        <w:ind w:firstLine="0"/>
        <w:rPr>
          <w:szCs w:val="24"/>
          <w:lang w:eastAsia="ar-SA"/>
        </w:rPr>
      </w:pPr>
      <w:r>
        <w:rPr>
          <w:szCs w:val="24"/>
          <w:lang w:eastAsia="ar-SA"/>
        </w:rPr>
        <w:t xml:space="preserve">W </w:t>
      </w:r>
      <w:r w:rsidR="00384373">
        <w:rPr>
          <w:szCs w:val="24"/>
          <w:lang w:eastAsia="ar-SA"/>
        </w:rPr>
        <w:t>projekcie</w:t>
      </w:r>
      <w:r>
        <w:rPr>
          <w:szCs w:val="24"/>
          <w:lang w:eastAsia="ar-SA"/>
        </w:rPr>
        <w:t xml:space="preserve"> ustawy uregulowane zostały elementy jakie zawierać będzie oferta składana wnioskodawcy</w:t>
      </w:r>
      <w:r w:rsidR="00AA6978">
        <w:rPr>
          <w:szCs w:val="24"/>
          <w:lang w:eastAsia="ar-SA"/>
        </w:rPr>
        <w:t xml:space="preserve"> przez podmiot sektora publicznego. Oferta składać będzie się z następujących elementów: </w:t>
      </w:r>
    </w:p>
    <w:p w14:paraId="1443B9DB" w14:textId="4BF64792" w:rsidR="00AA6978" w:rsidRPr="00AA6978" w:rsidRDefault="00AA6978" w:rsidP="00F11475">
      <w:pPr>
        <w:pStyle w:val="NIEARTTEKSTtekstnieartykuowanynppodstprawnarozplubpreambua"/>
        <w:numPr>
          <w:ilvl w:val="0"/>
          <w:numId w:val="17"/>
        </w:numPr>
        <w:ind w:left="851"/>
        <w:rPr>
          <w:szCs w:val="24"/>
          <w:lang w:eastAsia="ar-SA"/>
        </w:rPr>
      </w:pPr>
      <w:r>
        <w:rPr>
          <w:szCs w:val="24"/>
          <w:lang w:eastAsia="ar-SA"/>
        </w:rPr>
        <w:t xml:space="preserve">Wskazanie jednej z form dostępu do chronionych danych, </w:t>
      </w:r>
      <w:r w:rsidRPr="002D4237">
        <w:t>o których mowa w art. 5 ust. 3</w:t>
      </w:r>
      <w:r>
        <w:t xml:space="preserve"> DGA. </w:t>
      </w:r>
    </w:p>
    <w:p w14:paraId="291C9331" w14:textId="77777777" w:rsidR="00AA6978" w:rsidRPr="00AA6978" w:rsidRDefault="00AA6978" w:rsidP="00F11475">
      <w:pPr>
        <w:pStyle w:val="NIEARTTEKSTtekstnieartykuowanynppodstprawnarozplubpreambua"/>
        <w:numPr>
          <w:ilvl w:val="0"/>
          <w:numId w:val="17"/>
        </w:numPr>
        <w:ind w:left="851"/>
        <w:rPr>
          <w:szCs w:val="24"/>
          <w:lang w:eastAsia="ar-SA"/>
        </w:rPr>
      </w:pPr>
      <w:r>
        <w:t xml:space="preserve">Warunki </w:t>
      </w:r>
      <w:r w:rsidRPr="00AA6978">
        <w:t xml:space="preserve">ponownego wykorzystywania chronionych danych określone zgodnie z art. 5 </w:t>
      </w:r>
      <w:r>
        <w:t xml:space="preserve">DGA </w:t>
      </w:r>
    </w:p>
    <w:p w14:paraId="6E65EA09" w14:textId="6BBF4C50" w:rsidR="00AA6978" w:rsidRDefault="00AA6978" w:rsidP="00F11475">
      <w:pPr>
        <w:pStyle w:val="NIEARTTEKSTtekstnieartykuowanynppodstprawnarozplubpreambua"/>
        <w:numPr>
          <w:ilvl w:val="0"/>
          <w:numId w:val="17"/>
        </w:numPr>
        <w:ind w:left="851"/>
        <w:rPr>
          <w:szCs w:val="24"/>
          <w:lang w:eastAsia="ar-SA"/>
        </w:rPr>
      </w:pPr>
      <w:r>
        <w:t>I</w:t>
      </w:r>
      <w:r w:rsidRPr="00AA6978">
        <w:t>nformacj</w:t>
      </w:r>
      <w:r>
        <w:t>e</w:t>
      </w:r>
      <w:r w:rsidRPr="00AA6978">
        <w:t xml:space="preserve"> o wysokości opłaty za zezwolenie na ponowne wykorzystywanie chronionych danych albo informację o braku takiej opłaty.</w:t>
      </w:r>
    </w:p>
    <w:p w14:paraId="214320F1" w14:textId="34D71437" w:rsidR="002D4237" w:rsidRDefault="002D4237" w:rsidP="00E74DEB">
      <w:pPr>
        <w:pStyle w:val="NIEARTTEKSTtekstnieartykuowanynppodstprawnarozplubpreambua"/>
        <w:ind w:firstLine="0"/>
        <w:rPr>
          <w:szCs w:val="24"/>
          <w:lang w:eastAsia="ar-SA"/>
        </w:rPr>
      </w:pPr>
      <w:r>
        <w:rPr>
          <w:szCs w:val="24"/>
          <w:lang w:eastAsia="ar-SA"/>
        </w:rPr>
        <w:t>Warunki ponownego wykorzystywania jakie mogą zostać określone przez podmiot sektora publicznego ur</w:t>
      </w:r>
      <w:r w:rsidR="00384373">
        <w:rPr>
          <w:szCs w:val="24"/>
          <w:lang w:eastAsia="ar-SA"/>
        </w:rPr>
        <w:t xml:space="preserve">egulowane zostały w art. 5 DGA, w projekcie ustawy </w:t>
      </w:r>
      <w:r>
        <w:rPr>
          <w:szCs w:val="24"/>
          <w:lang w:eastAsia="ar-SA"/>
        </w:rPr>
        <w:t xml:space="preserve">wymieniony został przykładowy katalog warunków jakie można zawrzeć w ofercie. Ponadto podmiot sektora publicznego może oznaczyć w ofercie termin, w jakim będą musiały zostać spełnione </w:t>
      </w:r>
      <w:r w:rsidR="00AA6978">
        <w:rPr>
          <w:szCs w:val="24"/>
          <w:lang w:eastAsia="ar-SA"/>
        </w:rPr>
        <w:t>poszczególne</w:t>
      </w:r>
      <w:r>
        <w:rPr>
          <w:szCs w:val="24"/>
          <w:lang w:eastAsia="ar-SA"/>
        </w:rPr>
        <w:t xml:space="preserve"> warunki ponownego wykorzystywania oraz sposób udokumentowania ich spełnienia. Dotyczyć to może w szczególności warunków odnoszących się do konieczności uzyskania zgód osób, których dane dotyczą.</w:t>
      </w:r>
    </w:p>
    <w:p w14:paraId="2A7CEF28" w14:textId="32C5EA33" w:rsidR="00AA6978" w:rsidRPr="008D2C95" w:rsidRDefault="002D4237" w:rsidP="00E74DEB">
      <w:pPr>
        <w:pStyle w:val="NIEARTTEKSTtekstnieartykuowanynppodstprawnarozplubpreambua"/>
        <w:ind w:firstLine="0"/>
        <w:rPr>
          <w:szCs w:val="24"/>
          <w:lang w:eastAsia="ar-SA"/>
        </w:rPr>
      </w:pPr>
      <w:r>
        <w:rPr>
          <w:szCs w:val="24"/>
          <w:lang w:eastAsia="ar-SA"/>
        </w:rPr>
        <w:t xml:space="preserve">W </w:t>
      </w:r>
      <w:r w:rsidR="00384373">
        <w:rPr>
          <w:szCs w:val="24"/>
          <w:lang w:eastAsia="ar-SA"/>
        </w:rPr>
        <w:t>projekcie</w:t>
      </w:r>
      <w:r>
        <w:rPr>
          <w:szCs w:val="24"/>
          <w:lang w:eastAsia="ar-SA"/>
        </w:rPr>
        <w:t xml:space="preserve"> ustawy uregulowano procedurę związaną z trybem ofertowym, a więc czynności podejmowane przez podmiot sektora publicznego i wnioskodawcę po złożeniu oferty.</w:t>
      </w:r>
      <w:r w:rsidR="008D2C95">
        <w:rPr>
          <w:szCs w:val="24"/>
          <w:lang w:eastAsia="ar-SA"/>
        </w:rPr>
        <w:t xml:space="preserve"> </w:t>
      </w:r>
    </w:p>
    <w:p w14:paraId="482F3F30" w14:textId="3A2F4617" w:rsidR="002D4237" w:rsidRPr="004D2C33" w:rsidRDefault="002D4237" w:rsidP="00E74DEB">
      <w:pPr>
        <w:pStyle w:val="NIEARTTEKSTtekstnieartykuowanynppodstprawnarozplubpreambua"/>
        <w:ind w:firstLine="0"/>
        <w:rPr>
          <w:rFonts w:eastAsia="Calibri" w:cs="Times New Roman"/>
          <w:szCs w:val="24"/>
          <w:lang w:eastAsia="en-US"/>
        </w:rPr>
      </w:pPr>
      <w:r>
        <w:rPr>
          <w:rFonts w:eastAsia="Calibri" w:cs="Times New Roman"/>
          <w:szCs w:val="24"/>
          <w:lang w:eastAsia="en-US"/>
        </w:rPr>
        <w:t xml:space="preserve">Do decyzji </w:t>
      </w:r>
      <w:r>
        <w:t>o odmowie udzielenia dostępu do celów ponownego wykorzystywania chronionych danych</w:t>
      </w:r>
      <w:r>
        <w:rPr>
          <w:rFonts w:eastAsia="Calibri" w:cs="Times New Roman"/>
          <w:szCs w:val="24"/>
          <w:lang w:eastAsia="en-US"/>
        </w:rPr>
        <w:t xml:space="preserve">, </w:t>
      </w:r>
      <w:r w:rsidRPr="00744574">
        <w:rPr>
          <w:rFonts w:eastAsia="Calibri" w:cs="Times New Roman"/>
          <w:szCs w:val="24"/>
          <w:lang w:eastAsia="en-US"/>
        </w:rPr>
        <w:t xml:space="preserve">w zakresie nieuregulowanym </w:t>
      </w:r>
      <w:r w:rsidR="008D2C95">
        <w:rPr>
          <w:rFonts w:eastAsia="Calibri" w:cs="Times New Roman"/>
          <w:szCs w:val="24"/>
          <w:lang w:eastAsia="en-US"/>
        </w:rPr>
        <w:t xml:space="preserve">DGA lub </w:t>
      </w:r>
      <w:r w:rsidRPr="00744574">
        <w:rPr>
          <w:rFonts w:eastAsia="Calibri" w:cs="Times New Roman"/>
          <w:szCs w:val="24"/>
          <w:lang w:eastAsia="en-US"/>
        </w:rPr>
        <w:t xml:space="preserve">ustawą, zastosowanie </w:t>
      </w:r>
      <w:r>
        <w:rPr>
          <w:rFonts w:eastAsia="Calibri" w:cs="Times New Roman"/>
          <w:szCs w:val="24"/>
          <w:lang w:eastAsia="en-US"/>
        </w:rPr>
        <w:t xml:space="preserve">znajdować będą </w:t>
      </w:r>
      <w:r w:rsidRPr="00744574">
        <w:rPr>
          <w:rFonts w:eastAsia="Calibri" w:cs="Times New Roman"/>
          <w:szCs w:val="24"/>
          <w:lang w:eastAsia="en-US"/>
        </w:rPr>
        <w:t xml:space="preserve">przepisy </w:t>
      </w:r>
      <w:r>
        <w:rPr>
          <w:rFonts w:eastAsia="Calibri" w:cs="Times New Roman"/>
          <w:szCs w:val="24"/>
          <w:lang w:eastAsia="en-US"/>
        </w:rPr>
        <w:t>k.p.a.,</w:t>
      </w:r>
      <w:r w:rsidRPr="006A6376">
        <w:rPr>
          <w:rFonts w:eastAsia="Calibri" w:cs="Times New Roman"/>
          <w:szCs w:val="24"/>
          <w:lang w:eastAsia="en-US"/>
        </w:rPr>
        <w:t xml:space="preserve"> co powoduje, że rozstrzygnięcie podmiotu </w:t>
      </w:r>
      <w:r>
        <w:rPr>
          <w:rFonts w:eastAsia="Calibri" w:cs="Times New Roman"/>
          <w:szCs w:val="24"/>
          <w:lang w:eastAsia="en-US"/>
        </w:rPr>
        <w:t xml:space="preserve">sektora publicznego </w:t>
      </w:r>
      <w:r w:rsidRPr="006A6376">
        <w:rPr>
          <w:rFonts w:eastAsia="Calibri" w:cs="Times New Roman"/>
          <w:szCs w:val="24"/>
          <w:lang w:eastAsia="en-US"/>
        </w:rPr>
        <w:t>podlega</w:t>
      </w:r>
      <w:r>
        <w:rPr>
          <w:rFonts w:eastAsia="Calibri" w:cs="Times New Roman"/>
          <w:szCs w:val="24"/>
          <w:lang w:eastAsia="en-US"/>
        </w:rPr>
        <w:t>ć będzie</w:t>
      </w:r>
      <w:r w:rsidRPr="006A6376">
        <w:rPr>
          <w:rFonts w:eastAsia="Calibri" w:cs="Times New Roman"/>
          <w:szCs w:val="24"/>
          <w:lang w:eastAsia="en-US"/>
        </w:rPr>
        <w:t xml:space="preserve"> </w:t>
      </w:r>
      <w:r>
        <w:rPr>
          <w:rFonts w:eastAsia="Calibri" w:cs="Times New Roman"/>
          <w:szCs w:val="24"/>
          <w:lang w:eastAsia="en-US"/>
        </w:rPr>
        <w:t xml:space="preserve">(co do zasady) </w:t>
      </w:r>
      <w:r w:rsidRPr="006A6376">
        <w:rPr>
          <w:rFonts w:eastAsia="Calibri" w:cs="Times New Roman"/>
          <w:szCs w:val="24"/>
          <w:lang w:eastAsia="en-US"/>
        </w:rPr>
        <w:t>kontroli instancyjnej, a</w:t>
      </w:r>
      <w:r w:rsidRPr="00744574">
        <w:rPr>
          <w:rFonts w:eastAsia="Calibri" w:cs="Times New Roman"/>
          <w:szCs w:val="24"/>
          <w:lang w:eastAsia="en-US"/>
        </w:rPr>
        <w:t xml:space="preserve"> następnie </w:t>
      </w:r>
      <w:proofErr w:type="spellStart"/>
      <w:r w:rsidRPr="00744574">
        <w:rPr>
          <w:rFonts w:eastAsia="Calibri" w:cs="Times New Roman"/>
          <w:szCs w:val="24"/>
          <w:lang w:eastAsia="en-US"/>
        </w:rPr>
        <w:t>sądowoadministracyjnej</w:t>
      </w:r>
      <w:proofErr w:type="spellEnd"/>
      <w:r w:rsidRPr="00744574">
        <w:rPr>
          <w:rFonts w:eastAsia="Calibri" w:cs="Times New Roman"/>
          <w:szCs w:val="24"/>
          <w:lang w:eastAsia="en-US"/>
        </w:rPr>
        <w:t>.</w:t>
      </w:r>
      <w:r>
        <w:rPr>
          <w:rFonts w:eastAsia="Calibri" w:cs="Times New Roman"/>
          <w:szCs w:val="24"/>
          <w:lang w:eastAsia="en-US"/>
        </w:rPr>
        <w:t xml:space="preserve"> </w:t>
      </w:r>
      <w:r w:rsidRPr="004D2C33">
        <w:rPr>
          <w:rFonts w:eastAsia="Calibri" w:cs="Times New Roman"/>
          <w:szCs w:val="24"/>
          <w:lang w:eastAsia="en-US"/>
        </w:rPr>
        <w:t>W projekcie ustawy proponuje się wprowadzenie przepisów szczególnych w stosunku do rozwiązań ogólnej procedury administracyjnej. Zgod</w:t>
      </w:r>
      <w:r>
        <w:rPr>
          <w:rFonts w:eastAsia="Calibri" w:cs="Times New Roman"/>
          <w:szCs w:val="24"/>
          <w:lang w:eastAsia="en-US"/>
        </w:rPr>
        <w:t xml:space="preserve">nie </w:t>
      </w:r>
      <w:r w:rsidR="00384373">
        <w:rPr>
          <w:rFonts w:eastAsia="Calibri" w:cs="Times New Roman"/>
          <w:szCs w:val="24"/>
          <w:lang w:eastAsia="en-US"/>
        </w:rPr>
        <w:t>projektem</w:t>
      </w:r>
      <w:r w:rsidRPr="004D2C33">
        <w:rPr>
          <w:rFonts w:eastAsia="Calibri" w:cs="Times New Roman"/>
          <w:szCs w:val="24"/>
          <w:lang w:eastAsia="en-US"/>
        </w:rPr>
        <w:t xml:space="preserve"> ustawy organem odwoławczym od decyzji </w:t>
      </w:r>
      <w:r w:rsidRPr="006C67C6">
        <w:rPr>
          <w:rFonts w:eastAsia="Calibri" w:cs="Times New Roman"/>
          <w:szCs w:val="24"/>
          <w:lang w:eastAsia="en-US"/>
        </w:rPr>
        <w:lastRenderedPageBreak/>
        <w:t>o</w:t>
      </w:r>
      <w:r w:rsidR="008D2C95">
        <w:rPr>
          <w:rFonts w:eastAsia="Calibri" w:cs="Times New Roman"/>
          <w:szCs w:val="24"/>
          <w:lang w:eastAsia="en-US"/>
        </w:rPr>
        <w:t> </w:t>
      </w:r>
      <w:r w:rsidRPr="006C67C6">
        <w:rPr>
          <w:rFonts w:eastAsia="Calibri" w:cs="Times New Roman"/>
          <w:szCs w:val="24"/>
          <w:lang w:eastAsia="en-US"/>
        </w:rPr>
        <w:t>odmowie udzielenia dostępu do celów ponownego wykorzystywania chronionych danych</w:t>
      </w:r>
      <w:r>
        <w:rPr>
          <w:rFonts w:eastAsia="Calibri" w:cs="Times New Roman"/>
          <w:szCs w:val="24"/>
          <w:lang w:eastAsia="en-US"/>
        </w:rPr>
        <w:t xml:space="preserve"> </w:t>
      </w:r>
      <w:r w:rsidRPr="004D2C33">
        <w:rPr>
          <w:rFonts w:eastAsia="Calibri" w:cs="Times New Roman"/>
          <w:szCs w:val="24"/>
          <w:lang w:eastAsia="en-US"/>
        </w:rPr>
        <w:t>będzie minister w</w:t>
      </w:r>
      <w:r>
        <w:rPr>
          <w:rFonts w:eastAsia="Calibri" w:cs="Times New Roman"/>
          <w:szCs w:val="24"/>
          <w:lang w:eastAsia="en-US"/>
        </w:rPr>
        <w:t xml:space="preserve">łaściwy do spraw informatyzacji. </w:t>
      </w:r>
      <w:r w:rsidRPr="00744574">
        <w:rPr>
          <w:rFonts w:eastAsia="Calibri" w:cs="Times New Roman"/>
          <w:szCs w:val="24"/>
          <w:lang w:eastAsia="en-US"/>
        </w:rPr>
        <w:t xml:space="preserve">Proponowane zmiany dotyczyć będą jednak jedynie decyzji, od których na podstawie przepisów </w:t>
      </w:r>
      <w:r>
        <w:rPr>
          <w:rFonts w:eastAsia="Calibri" w:cs="Times New Roman"/>
          <w:szCs w:val="24"/>
          <w:lang w:eastAsia="en-US"/>
        </w:rPr>
        <w:t>k.p.a.</w:t>
      </w:r>
      <w:r w:rsidRPr="00744574">
        <w:rPr>
          <w:rFonts w:eastAsia="Calibri" w:cs="Times New Roman"/>
          <w:szCs w:val="24"/>
          <w:lang w:eastAsia="en-US"/>
        </w:rPr>
        <w:t xml:space="preserve"> stronie służy odwołanie (art. 127 § 2 k.p.a.). W przypadku, decyzji wydanych w pierwszej instancji przez ministra lub samorządowe kolegium odwoławcze (na które zgodnie z art. 127 § 3 k.p.a. nie służy odwołanie) zastosowanie znajdować będą nadal przepisy </w:t>
      </w:r>
      <w:r>
        <w:rPr>
          <w:rFonts w:eastAsia="Calibri" w:cs="Times New Roman"/>
          <w:szCs w:val="24"/>
          <w:lang w:eastAsia="en-US"/>
        </w:rPr>
        <w:t>k.p.a.</w:t>
      </w:r>
      <w:r w:rsidRPr="00744574">
        <w:rPr>
          <w:rFonts w:eastAsia="Calibri" w:cs="Times New Roman"/>
          <w:szCs w:val="24"/>
          <w:lang w:eastAsia="en-US"/>
        </w:rPr>
        <w:t xml:space="preserve"> – strona będzie mogła zwrócić się do tego organu z wnioskiem o ponowne rozpatrzenie sprawy</w:t>
      </w:r>
      <w:r>
        <w:rPr>
          <w:rFonts w:eastAsia="Calibri" w:cs="Times New Roman"/>
          <w:szCs w:val="24"/>
          <w:lang w:eastAsia="en-US"/>
        </w:rPr>
        <w:t xml:space="preserve">. W celu wyeliminowania ewentualnych wątpliwości w tym zakresie dodano zdanie, że </w:t>
      </w:r>
      <w:r w:rsidR="0042722C">
        <w:rPr>
          <w:rFonts w:eastAsia="Calibri" w:cs="Times New Roman"/>
          <w:szCs w:val="24"/>
          <w:lang w:eastAsia="en-US"/>
        </w:rPr>
        <w:t>„</w:t>
      </w:r>
      <w:r>
        <w:rPr>
          <w:rFonts w:eastAsia="Calibri" w:cs="Times New Roman"/>
          <w:szCs w:val="24"/>
          <w:lang w:eastAsia="en-US"/>
        </w:rPr>
        <w:t>p</w:t>
      </w:r>
      <w:r w:rsidRPr="00733EE2">
        <w:rPr>
          <w:rFonts w:eastAsia="Calibri" w:cs="Times New Roman"/>
          <w:szCs w:val="24"/>
          <w:lang w:eastAsia="en-US"/>
        </w:rPr>
        <w:t>rzepis art. 127 § 3 ustawy – Kodeks postępowani</w:t>
      </w:r>
      <w:r>
        <w:rPr>
          <w:rFonts w:eastAsia="Calibri" w:cs="Times New Roman"/>
          <w:szCs w:val="24"/>
          <w:lang w:eastAsia="en-US"/>
        </w:rPr>
        <w:t>a administracyjnego stosuje się</w:t>
      </w:r>
      <w:r w:rsidR="004C4F82">
        <w:rPr>
          <w:rFonts w:eastAsia="Calibri" w:cs="Times New Roman"/>
          <w:szCs w:val="24"/>
          <w:lang w:eastAsia="en-US"/>
        </w:rPr>
        <w:t xml:space="preserve"> odpowiednio</w:t>
      </w:r>
      <w:r w:rsidR="0042722C">
        <w:rPr>
          <w:rFonts w:eastAsia="Calibri" w:cs="Times New Roman"/>
          <w:szCs w:val="24"/>
          <w:lang w:eastAsia="en-US"/>
        </w:rPr>
        <w:t>”</w:t>
      </w:r>
      <w:r>
        <w:rPr>
          <w:rFonts w:eastAsia="Calibri" w:cs="Times New Roman"/>
          <w:szCs w:val="24"/>
          <w:lang w:eastAsia="en-US"/>
        </w:rPr>
        <w:t>.</w:t>
      </w:r>
    </w:p>
    <w:p w14:paraId="3990FAB6" w14:textId="1129888F" w:rsidR="00001E0A" w:rsidRPr="00001E0A" w:rsidRDefault="002D4237" w:rsidP="00F5466D">
      <w:pPr>
        <w:pStyle w:val="ARTartustawynprozporzdzenia"/>
        <w:ind w:firstLine="0"/>
      </w:pPr>
      <w:r>
        <w:rPr>
          <w:szCs w:val="24"/>
          <w:lang w:eastAsia="ar-SA"/>
        </w:rPr>
        <w:t xml:space="preserve">Zgodnie z art. 4 ust. 3 DGA prawo wyłączne </w:t>
      </w:r>
      <w:r w:rsidRPr="006C67C6">
        <w:rPr>
          <w:szCs w:val="24"/>
          <w:lang w:eastAsia="ar-SA"/>
        </w:rPr>
        <w:t xml:space="preserve">do ponownego wykorzystywania </w:t>
      </w:r>
      <w:r>
        <w:rPr>
          <w:szCs w:val="24"/>
          <w:lang w:eastAsia="ar-SA"/>
        </w:rPr>
        <w:t xml:space="preserve">chronionych </w:t>
      </w:r>
      <w:r w:rsidRPr="006C67C6">
        <w:rPr>
          <w:szCs w:val="24"/>
          <w:lang w:eastAsia="ar-SA"/>
        </w:rPr>
        <w:t>danych,</w:t>
      </w:r>
      <w:r>
        <w:rPr>
          <w:szCs w:val="24"/>
          <w:lang w:eastAsia="ar-SA"/>
        </w:rPr>
        <w:t xml:space="preserve"> może zostać przyznane </w:t>
      </w:r>
      <w:r w:rsidRPr="006C67C6">
        <w:rPr>
          <w:szCs w:val="24"/>
          <w:lang w:eastAsia="ar-SA"/>
        </w:rPr>
        <w:t>w drodze aktu administracyjnego lub uzgodnienia umownego</w:t>
      </w:r>
      <w:r>
        <w:rPr>
          <w:szCs w:val="24"/>
          <w:lang w:eastAsia="ar-SA"/>
        </w:rPr>
        <w:t xml:space="preserve">. W przepisach projektowanej ustawy przesądzono, że prawo wyłączne może zostać udzielone w drodze umowy </w:t>
      </w:r>
      <w:r w:rsidRPr="003B57F4">
        <w:t>o udzielenie prawa wyłącznego za</w:t>
      </w:r>
      <w:r>
        <w:t>wartej z użytkownikiem danych. Jest to rozwiązanie odpowiadające funkcjonującym już w polskim prawie przepisom dotyczącym prawa wyłącznego do korzystania z informacji sektora publicznego uregulowanym w ustawie o otwartych danych.</w:t>
      </w:r>
    </w:p>
    <w:p w14:paraId="7A9A0B97" w14:textId="77777777" w:rsidR="002D4237" w:rsidRDefault="002D4237" w:rsidP="00F5466D">
      <w:pPr>
        <w:pStyle w:val="NIEARTTEKSTtekstnieartykuowanynppodstprawnarozplubpreambua"/>
        <w:spacing w:before="240"/>
        <w:ind w:firstLine="0"/>
        <w:rPr>
          <w:szCs w:val="24"/>
          <w:lang w:eastAsia="ar-SA"/>
        </w:rPr>
      </w:pPr>
      <w:r w:rsidRPr="00041B39">
        <w:rPr>
          <w:szCs w:val="24"/>
          <w:lang w:eastAsia="ar-SA"/>
        </w:rPr>
        <w:t>Oddział 3. Pomoc udzielana przez właściwy podmiot.</w:t>
      </w:r>
    </w:p>
    <w:p w14:paraId="02BBA3BC" w14:textId="030352BB" w:rsidR="002D4237" w:rsidRDefault="002D4237" w:rsidP="00E74DEB">
      <w:pPr>
        <w:pStyle w:val="NIEARTTEKSTtekstnieartykuowanynppodstprawnarozplubpreambua"/>
        <w:ind w:firstLine="0"/>
        <w:rPr>
          <w:szCs w:val="24"/>
          <w:lang w:eastAsia="ar-SA"/>
        </w:rPr>
      </w:pPr>
      <w:r>
        <w:rPr>
          <w:szCs w:val="24"/>
          <w:lang w:eastAsia="ar-SA"/>
        </w:rPr>
        <w:t>W oddziale 3 zebrane zostały przepisy regulujące procedurę w ramach, której podmiot sektora publicznego może zwrócić się do właściwego podmiotu z wnioskiem o udzielenie pomocy w</w:t>
      </w:r>
      <w:r w:rsidR="008C5D99">
        <w:rPr>
          <w:szCs w:val="24"/>
          <w:lang w:eastAsia="ar-SA"/>
        </w:rPr>
        <w:t> </w:t>
      </w:r>
      <w:r>
        <w:rPr>
          <w:szCs w:val="24"/>
          <w:lang w:eastAsia="ar-SA"/>
        </w:rPr>
        <w:t xml:space="preserve">rozpatrzeniu wniosku o ponowne wykorzystywanie chronionych danych, tj. pomocy, o której mowa w art. 7 ust. 1 DGA. W </w:t>
      </w:r>
      <w:r w:rsidR="00384373">
        <w:rPr>
          <w:szCs w:val="24"/>
          <w:lang w:eastAsia="ar-SA"/>
        </w:rPr>
        <w:t>projekcie</w:t>
      </w:r>
      <w:r>
        <w:rPr>
          <w:szCs w:val="24"/>
          <w:lang w:eastAsia="ar-SA"/>
        </w:rPr>
        <w:t xml:space="preserve"> ustawy uregulowano termin na rozpatrzenie wniosku o udzielenie pomocy, a także działania jakie właściwy podmiot może podjąć po jego rozpatrzeniu.</w:t>
      </w:r>
    </w:p>
    <w:p w14:paraId="73850AC8" w14:textId="739B71AE" w:rsidR="002D4237" w:rsidRDefault="002D4237" w:rsidP="00E74DEB">
      <w:pPr>
        <w:pStyle w:val="NIEARTTEKSTtekstnieartykuowanynppodstprawnarozplubpreambua"/>
        <w:ind w:firstLine="0"/>
        <w:rPr>
          <w:szCs w:val="24"/>
          <w:lang w:eastAsia="ar-SA"/>
        </w:rPr>
      </w:pPr>
      <w:r>
        <w:rPr>
          <w:szCs w:val="24"/>
          <w:lang w:eastAsia="ar-SA"/>
        </w:rPr>
        <w:t>Z uwagi na fakt, że przedmiotem wniosków o ponowne wykorzystywanie chronionyc</w:t>
      </w:r>
      <w:r w:rsidR="00384373">
        <w:rPr>
          <w:szCs w:val="24"/>
          <w:lang w:eastAsia="ar-SA"/>
        </w:rPr>
        <w:t xml:space="preserve">h danych mogą być dane osobowe </w:t>
      </w:r>
      <w:r>
        <w:rPr>
          <w:szCs w:val="24"/>
          <w:lang w:eastAsia="ar-SA"/>
        </w:rPr>
        <w:t xml:space="preserve">właściwy podmiot (rozpatrując wniosek o udzielenie pomocy) będzie mógł zwrócić się do Prezesa Urzędu Ochrony Danych Osobowych </w:t>
      </w:r>
      <w:r w:rsidRPr="003F07E0">
        <w:rPr>
          <w:szCs w:val="24"/>
          <w:lang w:eastAsia="ar-SA"/>
        </w:rPr>
        <w:t xml:space="preserve">z wnioskiem o wydanie opinii dotyczącej zgodności ponownego wykorzystywania chronionych danych z przepisami </w:t>
      </w:r>
      <w:r w:rsidR="00384373">
        <w:rPr>
          <w:szCs w:val="24"/>
          <w:lang w:eastAsia="ar-SA"/>
        </w:rPr>
        <w:br/>
      </w:r>
      <w:r w:rsidRPr="003F07E0">
        <w:rPr>
          <w:szCs w:val="24"/>
          <w:lang w:eastAsia="ar-SA"/>
        </w:rPr>
        <w:t>o ochronie danych osobowych.</w:t>
      </w:r>
      <w:r w:rsidR="00041B39">
        <w:rPr>
          <w:szCs w:val="24"/>
          <w:lang w:eastAsia="ar-SA"/>
        </w:rPr>
        <w:t xml:space="preserve"> </w:t>
      </w:r>
    </w:p>
    <w:p w14:paraId="51FB904C" w14:textId="7D0C5CAD" w:rsidR="002D4237" w:rsidRDefault="002D4237" w:rsidP="00E74DEB">
      <w:pPr>
        <w:pStyle w:val="NIEARTTEKSTtekstnieartykuowanynppodstprawnarozplubpreambua"/>
        <w:ind w:firstLine="0"/>
        <w:rPr>
          <w:szCs w:val="24"/>
          <w:lang w:eastAsia="ar-SA"/>
        </w:rPr>
      </w:pPr>
      <w:r>
        <w:rPr>
          <w:szCs w:val="24"/>
          <w:lang w:eastAsia="ar-SA"/>
        </w:rPr>
        <w:t xml:space="preserve">W przypadku przyjęcia przez podmiot sektora publicznego pomocy właściwego podmiotu oferta złożona wnioskodawcy uwzględniać będzie elementy </w:t>
      </w:r>
      <w:r w:rsidR="00641A5C">
        <w:rPr>
          <w:szCs w:val="24"/>
          <w:lang w:eastAsia="ar-SA"/>
        </w:rPr>
        <w:t xml:space="preserve">oferty i informacje </w:t>
      </w:r>
      <w:r>
        <w:rPr>
          <w:szCs w:val="24"/>
          <w:lang w:eastAsia="ar-SA"/>
        </w:rPr>
        <w:t>wskazane przez właściwy podmiot.</w:t>
      </w:r>
    </w:p>
    <w:p w14:paraId="3ADB84E8" w14:textId="77777777" w:rsidR="002D4237" w:rsidRDefault="002D4237" w:rsidP="00F5466D">
      <w:pPr>
        <w:pStyle w:val="NIEARTTEKSTtekstnieartykuowanynppodstprawnarozplubpreambua"/>
        <w:spacing w:before="240"/>
        <w:ind w:firstLine="0"/>
        <w:rPr>
          <w:szCs w:val="24"/>
          <w:lang w:eastAsia="ar-SA"/>
        </w:rPr>
      </w:pPr>
      <w:r>
        <w:rPr>
          <w:szCs w:val="24"/>
          <w:lang w:eastAsia="ar-SA"/>
        </w:rPr>
        <w:lastRenderedPageBreak/>
        <w:t xml:space="preserve">Oddział 4. </w:t>
      </w:r>
      <w:r w:rsidRPr="006C05F8">
        <w:rPr>
          <w:szCs w:val="24"/>
          <w:lang w:eastAsia="ar-SA"/>
        </w:rPr>
        <w:t>Pojedynczy punkt informacyjny</w:t>
      </w:r>
      <w:r>
        <w:rPr>
          <w:szCs w:val="24"/>
          <w:lang w:eastAsia="ar-SA"/>
        </w:rPr>
        <w:t>.</w:t>
      </w:r>
    </w:p>
    <w:p w14:paraId="12869532" w14:textId="5FB9C65E" w:rsidR="002D4237" w:rsidRDefault="002D4237" w:rsidP="00E74DEB">
      <w:pPr>
        <w:pStyle w:val="NIEARTTEKSTtekstnieartykuowanynppodstprawnarozplubpreambua"/>
        <w:ind w:firstLine="0"/>
        <w:rPr>
          <w:szCs w:val="24"/>
          <w:lang w:eastAsia="ar-SA"/>
        </w:rPr>
      </w:pPr>
      <w:r>
        <w:rPr>
          <w:szCs w:val="24"/>
          <w:lang w:eastAsia="ar-SA"/>
        </w:rPr>
        <w:t xml:space="preserve">W </w:t>
      </w:r>
      <w:r w:rsidR="00384373">
        <w:rPr>
          <w:szCs w:val="24"/>
          <w:lang w:eastAsia="ar-SA"/>
        </w:rPr>
        <w:t>projekcie</w:t>
      </w:r>
      <w:r>
        <w:rPr>
          <w:szCs w:val="24"/>
          <w:lang w:eastAsia="ar-SA"/>
        </w:rPr>
        <w:t xml:space="preserve"> ustawy uregulowano </w:t>
      </w:r>
      <w:r w:rsidR="00641A5C">
        <w:rPr>
          <w:szCs w:val="24"/>
          <w:lang w:eastAsia="ar-SA"/>
        </w:rPr>
        <w:t xml:space="preserve">również </w:t>
      </w:r>
      <w:r>
        <w:rPr>
          <w:szCs w:val="24"/>
          <w:lang w:eastAsia="ar-SA"/>
        </w:rPr>
        <w:t xml:space="preserve">problematykę funkcjonowania pojedynczego punktu informacyjnego, w którym podmioty sektora publicznego udostępniać będą m.in. wykaz zasobów chronionych danych znajdujących się w ich posiadaniu. </w:t>
      </w:r>
    </w:p>
    <w:p w14:paraId="50165BA1" w14:textId="77777777" w:rsidR="002D4237" w:rsidRDefault="002D4237" w:rsidP="00F5466D">
      <w:pPr>
        <w:pStyle w:val="NIEARTTEKSTtekstnieartykuowanynppodstprawnarozplubpreambua"/>
        <w:spacing w:before="240"/>
        <w:ind w:firstLine="0"/>
        <w:rPr>
          <w:b/>
          <w:szCs w:val="24"/>
          <w:lang w:eastAsia="ar-SA"/>
        </w:rPr>
      </w:pPr>
      <w:r w:rsidRPr="004A0386">
        <w:rPr>
          <w:b/>
          <w:szCs w:val="24"/>
          <w:lang w:eastAsia="ar-SA"/>
        </w:rPr>
        <w:t>Rozdział 3.</w:t>
      </w:r>
      <w:r>
        <w:rPr>
          <w:b/>
          <w:szCs w:val="24"/>
          <w:lang w:eastAsia="ar-SA"/>
        </w:rPr>
        <w:t xml:space="preserve"> </w:t>
      </w:r>
      <w:r w:rsidRPr="006C05F8">
        <w:rPr>
          <w:b/>
          <w:szCs w:val="24"/>
          <w:lang w:eastAsia="ar-SA"/>
        </w:rPr>
        <w:t>Usługi pośrednictwa danych</w:t>
      </w:r>
      <w:r>
        <w:rPr>
          <w:b/>
          <w:szCs w:val="24"/>
          <w:lang w:eastAsia="ar-SA"/>
        </w:rPr>
        <w:t>.</w:t>
      </w:r>
    </w:p>
    <w:p w14:paraId="04C61FBC" w14:textId="74FBF609" w:rsidR="002D4237" w:rsidRDefault="002D4237" w:rsidP="00E74DEB">
      <w:pPr>
        <w:pStyle w:val="NIEARTTEKSTtekstnieartykuowanynppodstprawnarozplubpreambua"/>
        <w:ind w:firstLine="0"/>
        <w:rPr>
          <w:szCs w:val="24"/>
          <w:lang w:eastAsia="ar-SA"/>
        </w:rPr>
      </w:pPr>
      <w:r>
        <w:rPr>
          <w:szCs w:val="24"/>
          <w:lang w:eastAsia="ar-SA"/>
        </w:rPr>
        <w:t>Rozdział 3 projek</w:t>
      </w:r>
      <w:r w:rsidR="00641A5C">
        <w:rPr>
          <w:szCs w:val="24"/>
          <w:lang w:eastAsia="ar-SA"/>
        </w:rPr>
        <w:t xml:space="preserve">towanej ustawy zawiera przepisy, które mają umożliwić stosowanie </w:t>
      </w:r>
      <w:r>
        <w:rPr>
          <w:szCs w:val="24"/>
          <w:lang w:eastAsia="ar-SA"/>
        </w:rPr>
        <w:t>regulacji DGA dotyczących usług pośrednictwa danych.</w:t>
      </w:r>
    </w:p>
    <w:p w14:paraId="3FBC2685" w14:textId="3CD29933" w:rsidR="002D4237" w:rsidRDefault="002D4237" w:rsidP="00E74DEB">
      <w:pPr>
        <w:pStyle w:val="NIEARTTEKSTtekstnieartykuowanynppodstprawnarozplubpreambua"/>
        <w:ind w:firstLine="0"/>
      </w:pPr>
      <w:r>
        <w:rPr>
          <w:szCs w:val="24"/>
          <w:lang w:eastAsia="ar-SA"/>
        </w:rPr>
        <w:t>Podobnie jak w przypadku wniosku o ponowne wykorzystywanie chronionych danych, również zgłoszenie usług pośrednictwa danych możliwe będzie jedynie drogą elektroniczną, w</w:t>
      </w:r>
      <w:r w:rsidR="008C5D99">
        <w:rPr>
          <w:szCs w:val="24"/>
          <w:lang w:eastAsia="ar-SA"/>
        </w:rPr>
        <w:t> </w:t>
      </w:r>
      <w:r>
        <w:rPr>
          <w:szCs w:val="24"/>
          <w:lang w:eastAsia="ar-SA"/>
        </w:rPr>
        <w:t>zakresie nieuregulowanym ustawą</w:t>
      </w:r>
      <w:r w:rsidR="001F29F6">
        <w:rPr>
          <w:szCs w:val="24"/>
          <w:lang w:eastAsia="ar-SA"/>
        </w:rPr>
        <w:t xml:space="preserve"> i DGA do zgłoszenia stosowane </w:t>
      </w:r>
      <w:r>
        <w:rPr>
          <w:szCs w:val="24"/>
          <w:lang w:eastAsia="ar-SA"/>
        </w:rPr>
        <w:t>będ</w:t>
      </w:r>
      <w:r w:rsidR="001F29F6">
        <w:rPr>
          <w:szCs w:val="24"/>
          <w:lang w:eastAsia="ar-SA"/>
        </w:rPr>
        <w:t xml:space="preserve">zie </w:t>
      </w:r>
      <w:r w:rsidR="000C40AC">
        <w:rPr>
          <w:szCs w:val="24"/>
          <w:lang w:eastAsia="ar-SA"/>
        </w:rPr>
        <w:t xml:space="preserve">odpowiednio </w:t>
      </w:r>
      <w:r>
        <w:rPr>
          <w:szCs w:val="24"/>
          <w:lang w:eastAsia="ar-SA"/>
        </w:rPr>
        <w:t>art.</w:t>
      </w:r>
      <w:r w:rsidR="008C5D99">
        <w:rPr>
          <w:szCs w:val="24"/>
          <w:lang w:eastAsia="ar-SA"/>
        </w:rPr>
        <w:t> </w:t>
      </w:r>
      <w:r>
        <w:rPr>
          <w:szCs w:val="24"/>
          <w:lang w:eastAsia="ar-SA"/>
        </w:rPr>
        <w:t xml:space="preserve">63 i </w:t>
      </w:r>
      <w:r w:rsidR="008478C3">
        <w:rPr>
          <w:szCs w:val="24"/>
          <w:lang w:eastAsia="ar-SA"/>
        </w:rPr>
        <w:t xml:space="preserve">art. </w:t>
      </w:r>
      <w:r w:rsidR="001F29F6">
        <w:rPr>
          <w:szCs w:val="24"/>
          <w:lang w:eastAsia="ar-SA"/>
        </w:rPr>
        <w:t>64 k.p.a.</w:t>
      </w:r>
      <w:r>
        <w:rPr>
          <w:szCs w:val="24"/>
          <w:lang w:eastAsia="ar-SA"/>
        </w:rPr>
        <w:t xml:space="preserve"> Droga elektroniczna będzie również wymagana w przypadku innych pism kierowanych przez dostawców usług pośrednictwa danych do organu właściwego do spraw usług p</w:t>
      </w:r>
      <w:r w:rsidR="001F29F6">
        <w:rPr>
          <w:szCs w:val="24"/>
          <w:lang w:eastAsia="ar-SA"/>
        </w:rPr>
        <w:t xml:space="preserve">ośrednictwa danych, np. </w:t>
      </w:r>
      <w:r>
        <w:t xml:space="preserve">zgłoszenia zaprzestania działalności. Co do zasady w postaci elektronicznej wydawane będą również </w:t>
      </w:r>
      <w:r w:rsidRPr="00114826">
        <w:t xml:space="preserve">standardowe oświadczenie oraz potwierdzenie </w:t>
      </w:r>
      <w:r>
        <w:t>organu właściwego do spraw usług pośrednictwa danych</w:t>
      </w:r>
      <w:r w:rsidRPr="00114826">
        <w:t>, o których mowa odpowiednio w art. 11 ust. 8 i 9</w:t>
      </w:r>
      <w:r>
        <w:t xml:space="preserve"> DGA. Dodatkowa postać papierowa takich dokumentów wydawana będzie wyłącznie na wniosek </w:t>
      </w:r>
      <w:r w:rsidRPr="00816CA2">
        <w:t>dostawc</w:t>
      </w:r>
      <w:r>
        <w:t>y</w:t>
      </w:r>
      <w:r w:rsidRPr="00816CA2">
        <w:t xml:space="preserve"> usług pośrednictwa danych</w:t>
      </w:r>
      <w:r>
        <w:t>.</w:t>
      </w:r>
    </w:p>
    <w:p w14:paraId="1FB2B6DF" w14:textId="224CB620" w:rsidR="002D4237" w:rsidRDefault="002D4237" w:rsidP="00E74DEB">
      <w:pPr>
        <w:pStyle w:val="NIEARTTEKSTtekstnieartykuowanynppodstprawnarozplubpreambua"/>
        <w:ind w:firstLine="0"/>
      </w:pPr>
      <w:r>
        <w:t xml:space="preserve">W </w:t>
      </w:r>
      <w:r w:rsidR="00384373">
        <w:t>projektowanej ustawie</w:t>
      </w:r>
      <w:r>
        <w:t xml:space="preserve"> </w:t>
      </w:r>
      <w:r w:rsidR="001F29F6">
        <w:t xml:space="preserve">znalazły się również </w:t>
      </w:r>
      <w:r w:rsidR="00930F71">
        <w:t>regulacje</w:t>
      </w:r>
      <w:r w:rsidR="001F29F6">
        <w:t xml:space="preserve"> </w:t>
      </w:r>
      <w:r w:rsidR="0094266F">
        <w:t>zapewniające stosowanie</w:t>
      </w:r>
      <w:r w:rsidR="00930F71">
        <w:t xml:space="preserve"> przepisów DGA</w:t>
      </w:r>
      <w:r w:rsidR="00CC30AC">
        <w:t xml:space="preserve"> </w:t>
      </w:r>
      <w:r w:rsidR="00930F71">
        <w:t xml:space="preserve">dotyczących </w:t>
      </w:r>
      <w:r w:rsidR="00CC30AC">
        <w:t xml:space="preserve">monitoringu i nadzoru prowadzonego </w:t>
      </w:r>
      <w:r w:rsidR="00930F71" w:rsidRPr="00CC30AC">
        <w:t>nad dostawcami usług pośrednictwa danych</w:t>
      </w:r>
      <w:r w:rsidR="00930F71">
        <w:t xml:space="preserve"> </w:t>
      </w:r>
      <w:r w:rsidR="00CC30AC">
        <w:t xml:space="preserve">przez </w:t>
      </w:r>
      <w:r w:rsidR="00CC30AC" w:rsidRPr="00CC30AC">
        <w:t>organ właściw</w:t>
      </w:r>
      <w:r w:rsidR="00CC30AC">
        <w:t>y</w:t>
      </w:r>
      <w:r w:rsidR="00CC30AC" w:rsidRPr="00CC30AC">
        <w:t xml:space="preserve"> do spraw usług pośrednictwa danych</w:t>
      </w:r>
      <w:r w:rsidR="00CC30AC">
        <w:t xml:space="preserve">. </w:t>
      </w:r>
      <w:r w:rsidR="00930F71">
        <w:t>Zgodnie z DGA, w</w:t>
      </w:r>
      <w:r w:rsidR="008C5D99">
        <w:t> </w:t>
      </w:r>
      <w:r>
        <w:t xml:space="preserve">przypadku </w:t>
      </w:r>
      <w:r w:rsidRPr="00AB03FD">
        <w:t xml:space="preserve">niezaprzestania </w:t>
      </w:r>
      <w:r>
        <w:t xml:space="preserve">przez dostawcę </w:t>
      </w:r>
      <w:r w:rsidRPr="00AB03FD">
        <w:t xml:space="preserve">naruszania wymogów świadczenia usług pośrednictwa danych organ właściwy do spraw </w:t>
      </w:r>
      <w:r>
        <w:t>usług pośrednictwa danych będzie uprawniony, w odpowiednich przypadkach, do nakazania dostawcy przesunięcia</w:t>
      </w:r>
      <w:r w:rsidRPr="00AB03FD">
        <w:t xml:space="preserve"> rozpoczęcia świadczenia usług pośrednictwa danych</w:t>
      </w:r>
      <w:r>
        <w:t xml:space="preserve">, a także zawieszenia lub zaprzestania ich świadczenia. </w:t>
      </w:r>
      <w:r w:rsidR="00930F71">
        <w:t>W</w:t>
      </w:r>
      <w:r w:rsidR="008C5D99">
        <w:t> </w:t>
      </w:r>
      <w:r w:rsidR="00930F71">
        <w:t xml:space="preserve">projektowanej ustawie przesądzono, że środki te będą nakładane na dostawców w drodze decyzji. Decyzje będą natychmiast wykonalne, a informacje o ich wydaniu będą podlegały upublicznieniu w Biuletynie </w:t>
      </w:r>
      <w:r w:rsidR="00930F71" w:rsidRPr="00B81692">
        <w:t>Informacji Publicznej</w:t>
      </w:r>
      <w:r w:rsidR="00930F71">
        <w:t xml:space="preserve"> </w:t>
      </w:r>
      <w:r w:rsidR="00930F71" w:rsidRPr="00B81692">
        <w:t>Urzędu Ochrony Konkurencji i</w:t>
      </w:r>
      <w:r w:rsidR="008C5D99">
        <w:t> </w:t>
      </w:r>
      <w:r w:rsidR="00930F71" w:rsidRPr="00B81692">
        <w:t>Konsumentów</w:t>
      </w:r>
      <w:r w:rsidR="00930F71">
        <w:t>. W </w:t>
      </w:r>
      <w:r>
        <w:t>przypadku ostateczn</w:t>
      </w:r>
      <w:r w:rsidR="00930F71">
        <w:t>ej i prawomocnej</w:t>
      </w:r>
      <w:r>
        <w:t xml:space="preserve"> decyzji nakazującej </w:t>
      </w:r>
      <w:r w:rsidRPr="004958BB">
        <w:t>przesunięcie rozpoczęcia świadczenia usług pośrednictwa danych</w:t>
      </w:r>
      <w:r>
        <w:t xml:space="preserve"> oraz </w:t>
      </w:r>
      <w:r w:rsidR="00930F71" w:rsidRPr="00930F71">
        <w:t xml:space="preserve">ostatecznej i prawomocnej </w:t>
      </w:r>
      <w:r>
        <w:t>decyzji o</w:t>
      </w:r>
      <w:r w:rsidR="008C5D99">
        <w:t> </w:t>
      </w:r>
      <w:r>
        <w:t>nakazie</w:t>
      </w:r>
      <w:r w:rsidRPr="004958BB">
        <w:t xml:space="preserve"> zawieszeni</w:t>
      </w:r>
      <w:r>
        <w:t>a</w:t>
      </w:r>
      <w:r w:rsidRPr="004958BB">
        <w:t xml:space="preserve"> świadczenia usług pośrednictwa danych</w:t>
      </w:r>
      <w:r>
        <w:t xml:space="preserve"> wprowadzono dodatkowy tryb ich wzruszenia (</w:t>
      </w:r>
      <w:r w:rsidR="00930F71">
        <w:t xml:space="preserve">odpowiednio: </w:t>
      </w:r>
      <w:r>
        <w:t>uchylenia lub zmiany</w:t>
      </w:r>
      <w:r w:rsidR="00930F71">
        <w:t xml:space="preserve"> oraz uchylenia</w:t>
      </w:r>
      <w:r>
        <w:t xml:space="preserve">) w </w:t>
      </w:r>
      <w:r w:rsidRPr="00D4360D">
        <w:t>przypadku ki</w:t>
      </w:r>
      <w:r>
        <w:t xml:space="preserve">edy ustaną </w:t>
      </w:r>
      <w:r>
        <w:lastRenderedPageBreak/>
        <w:t xml:space="preserve">przyczyny ich wydania. </w:t>
      </w:r>
      <w:r w:rsidRPr="00A2623E">
        <w:t xml:space="preserve">W zakresie nieuregulowanym ustawą </w:t>
      </w:r>
      <w:r w:rsidR="00930F71">
        <w:t xml:space="preserve">lub DGA </w:t>
      </w:r>
      <w:r w:rsidRPr="00A2623E">
        <w:t>do decyzji</w:t>
      </w:r>
      <w:r>
        <w:t xml:space="preserve"> wydawanych przez o</w:t>
      </w:r>
      <w:r w:rsidRPr="00A2623E">
        <w:t>rgan właściw</w:t>
      </w:r>
      <w:r>
        <w:t>y</w:t>
      </w:r>
      <w:r w:rsidRPr="00A2623E">
        <w:t xml:space="preserve"> do spraw usług pośrednictwa danych</w:t>
      </w:r>
      <w:r>
        <w:t xml:space="preserve"> </w:t>
      </w:r>
      <w:r w:rsidRPr="00B72B2C">
        <w:t>stos</w:t>
      </w:r>
      <w:r>
        <w:t>owane będą</w:t>
      </w:r>
      <w:r w:rsidRPr="00B72B2C">
        <w:t xml:space="preserve"> przepisy </w:t>
      </w:r>
      <w:r>
        <w:t>k.p.a.</w:t>
      </w:r>
    </w:p>
    <w:p w14:paraId="261E439C" w14:textId="2B226013" w:rsidR="002D4237" w:rsidRPr="00B72B2C" w:rsidRDefault="002D4237" w:rsidP="00E74DEB">
      <w:pPr>
        <w:pStyle w:val="NIEARTTEKSTtekstnieartykuowanynppodstprawnarozplubpreambua"/>
        <w:ind w:firstLine="0"/>
      </w:pPr>
      <w:r>
        <w:t xml:space="preserve">W </w:t>
      </w:r>
      <w:r w:rsidR="00384373">
        <w:t>projekcie</w:t>
      </w:r>
      <w:r>
        <w:t xml:space="preserve"> </w:t>
      </w:r>
      <w:r w:rsidR="008478C3">
        <w:t xml:space="preserve">ustawy </w:t>
      </w:r>
      <w:r>
        <w:t xml:space="preserve">uregulowano </w:t>
      </w:r>
      <w:r w:rsidR="00384373">
        <w:t xml:space="preserve">również </w:t>
      </w:r>
      <w:r>
        <w:t>procedurę rozpatrywania przez o</w:t>
      </w:r>
      <w:r w:rsidRPr="00B72B2C">
        <w:t>rgan</w:t>
      </w:r>
      <w:r>
        <w:t xml:space="preserve"> </w:t>
      </w:r>
      <w:r w:rsidRPr="00B72B2C">
        <w:t>właściw</w:t>
      </w:r>
      <w:r>
        <w:t xml:space="preserve">y </w:t>
      </w:r>
      <w:r w:rsidRPr="00B72B2C">
        <w:t>do spraw usług pośrednictwa danych</w:t>
      </w:r>
      <w:r>
        <w:t xml:space="preserve"> skarg </w:t>
      </w:r>
      <w:r w:rsidRPr="00B72B2C">
        <w:t>przeciwko dostawc</w:t>
      </w:r>
      <w:r>
        <w:t>om</w:t>
      </w:r>
      <w:r w:rsidR="00E57CE2">
        <w:t xml:space="preserve"> usług pośrednictwa danych, tj. skarg, o </w:t>
      </w:r>
      <w:r w:rsidRPr="00B72B2C">
        <w:t>któr</w:t>
      </w:r>
      <w:r>
        <w:t>ych</w:t>
      </w:r>
      <w:r w:rsidRPr="00B72B2C">
        <w:t xml:space="preserve"> mowa w art. 27</w:t>
      </w:r>
      <w:r>
        <w:t xml:space="preserve"> DGA.</w:t>
      </w:r>
    </w:p>
    <w:p w14:paraId="72146CCB" w14:textId="77777777" w:rsidR="002D4237" w:rsidRDefault="002D4237" w:rsidP="00F5466D">
      <w:pPr>
        <w:pStyle w:val="NIEARTTEKSTtekstnieartykuowanynppodstprawnarozplubpreambua"/>
        <w:ind w:firstLine="0"/>
        <w:rPr>
          <w:b/>
          <w:szCs w:val="24"/>
          <w:lang w:eastAsia="ar-SA"/>
        </w:rPr>
      </w:pPr>
      <w:r>
        <w:rPr>
          <w:b/>
          <w:szCs w:val="24"/>
          <w:lang w:eastAsia="ar-SA"/>
        </w:rPr>
        <w:t>Rozdział 4</w:t>
      </w:r>
      <w:r w:rsidRPr="002773F9">
        <w:rPr>
          <w:b/>
          <w:szCs w:val="24"/>
          <w:lang w:eastAsia="ar-SA"/>
        </w:rPr>
        <w:t>.</w:t>
      </w:r>
      <w:r w:rsidRPr="00C34DB0">
        <w:t xml:space="preserve"> </w:t>
      </w:r>
      <w:r w:rsidRPr="00C34DB0">
        <w:rPr>
          <w:b/>
          <w:szCs w:val="24"/>
          <w:lang w:eastAsia="ar-SA"/>
        </w:rPr>
        <w:t>Altruizm danych</w:t>
      </w:r>
      <w:r>
        <w:rPr>
          <w:b/>
          <w:szCs w:val="24"/>
          <w:lang w:eastAsia="ar-SA"/>
        </w:rPr>
        <w:t>.</w:t>
      </w:r>
    </w:p>
    <w:p w14:paraId="149E9FA2" w14:textId="60CC8EEB" w:rsidR="002D4237" w:rsidRDefault="002D4237" w:rsidP="00E74DEB">
      <w:pPr>
        <w:pStyle w:val="NIEARTTEKSTtekstnieartykuowanynppodstprawnarozplubpreambua"/>
        <w:ind w:firstLine="0"/>
        <w:rPr>
          <w:szCs w:val="24"/>
          <w:lang w:eastAsia="ar-SA"/>
        </w:rPr>
      </w:pPr>
      <w:r w:rsidRPr="00B72B2C">
        <w:rPr>
          <w:szCs w:val="24"/>
          <w:lang w:eastAsia="ar-SA"/>
        </w:rPr>
        <w:t>W rozdziale 4 projektowanej ustawy zebrane zostały przepisy zapewniające stosowanie regulacji DGA w zakresie altruizm</w:t>
      </w:r>
      <w:r>
        <w:rPr>
          <w:szCs w:val="24"/>
          <w:lang w:eastAsia="ar-SA"/>
        </w:rPr>
        <w:t>u</w:t>
      </w:r>
      <w:r w:rsidRPr="00B72B2C">
        <w:rPr>
          <w:szCs w:val="24"/>
          <w:lang w:eastAsia="ar-SA"/>
        </w:rPr>
        <w:t xml:space="preserve"> danych.</w:t>
      </w:r>
      <w:r>
        <w:rPr>
          <w:szCs w:val="24"/>
          <w:lang w:eastAsia="ar-SA"/>
        </w:rPr>
        <w:t xml:space="preserve"> </w:t>
      </w:r>
      <w:r w:rsidR="0094266F">
        <w:rPr>
          <w:szCs w:val="24"/>
          <w:lang w:eastAsia="ar-SA"/>
        </w:rPr>
        <w:t>Z</w:t>
      </w:r>
      <w:r>
        <w:rPr>
          <w:szCs w:val="24"/>
          <w:lang w:eastAsia="ar-SA"/>
        </w:rPr>
        <w:t xml:space="preserve"> uwagi na podobny zakres regulacji, przyjęte zostały (co do zasady) rozwiązania analogiczne do tych jakie przewidziano dla usług pośrednictwa danych.</w:t>
      </w:r>
    </w:p>
    <w:p w14:paraId="245ED54E" w14:textId="2293BB4B" w:rsidR="002D4237" w:rsidRDefault="00384373" w:rsidP="00E74DEB">
      <w:pPr>
        <w:pStyle w:val="NIEARTTEKSTtekstnieartykuowanynppodstprawnarozplubpreambua"/>
        <w:ind w:firstLine="0"/>
        <w:rPr>
          <w:szCs w:val="24"/>
          <w:lang w:eastAsia="ar-SA"/>
        </w:rPr>
      </w:pPr>
      <w:r>
        <w:rPr>
          <w:szCs w:val="24"/>
          <w:lang w:eastAsia="ar-SA"/>
        </w:rPr>
        <w:t xml:space="preserve">Przepisy </w:t>
      </w:r>
      <w:r w:rsidR="002D4237">
        <w:rPr>
          <w:szCs w:val="24"/>
          <w:lang w:eastAsia="ar-SA"/>
        </w:rPr>
        <w:t xml:space="preserve">projektu ustawy regulują funkcjonowanie </w:t>
      </w:r>
      <w:r w:rsidR="002D4237" w:rsidRPr="005A63F5">
        <w:rPr>
          <w:szCs w:val="24"/>
          <w:lang w:eastAsia="ar-SA"/>
        </w:rPr>
        <w:t>publiczn</w:t>
      </w:r>
      <w:r w:rsidR="002D4237">
        <w:rPr>
          <w:szCs w:val="24"/>
          <w:lang w:eastAsia="ar-SA"/>
        </w:rPr>
        <w:t>ego</w:t>
      </w:r>
      <w:r w:rsidR="002D4237" w:rsidRPr="005A63F5">
        <w:rPr>
          <w:szCs w:val="24"/>
          <w:lang w:eastAsia="ar-SA"/>
        </w:rPr>
        <w:t xml:space="preserve"> krajow</w:t>
      </w:r>
      <w:r w:rsidR="002D4237">
        <w:rPr>
          <w:szCs w:val="24"/>
          <w:lang w:eastAsia="ar-SA"/>
        </w:rPr>
        <w:t>ego</w:t>
      </w:r>
      <w:r w:rsidR="002D4237" w:rsidRPr="005A63F5">
        <w:rPr>
          <w:szCs w:val="24"/>
          <w:lang w:eastAsia="ar-SA"/>
        </w:rPr>
        <w:t xml:space="preserve"> rejestr</w:t>
      </w:r>
      <w:r w:rsidR="002D4237">
        <w:rPr>
          <w:szCs w:val="24"/>
          <w:lang w:eastAsia="ar-SA"/>
        </w:rPr>
        <w:t>u</w:t>
      </w:r>
      <w:r w:rsidR="002D4237" w:rsidRPr="005A63F5">
        <w:rPr>
          <w:szCs w:val="24"/>
          <w:lang w:eastAsia="ar-SA"/>
        </w:rPr>
        <w:t xml:space="preserve"> uznanych organizacji altruizmu danych, o którym mowa w art. 17 ust. 1 </w:t>
      </w:r>
      <w:r w:rsidR="002D4237">
        <w:rPr>
          <w:szCs w:val="24"/>
          <w:lang w:eastAsia="ar-SA"/>
        </w:rPr>
        <w:t>DGA oraz procedurę rejestracyjną. Podobnie jak to miał</w:t>
      </w:r>
      <w:r w:rsidR="0094266F">
        <w:rPr>
          <w:szCs w:val="24"/>
          <w:lang w:eastAsia="ar-SA"/>
        </w:rPr>
        <w:t xml:space="preserve">o miejsce w przypadku zgłoszeń </w:t>
      </w:r>
      <w:r w:rsidR="002D4237" w:rsidRPr="004A64D8">
        <w:rPr>
          <w:szCs w:val="24"/>
          <w:lang w:eastAsia="ar-SA"/>
        </w:rPr>
        <w:t xml:space="preserve">usług pośrednictwa danych, </w:t>
      </w:r>
      <w:r w:rsidR="002D4237">
        <w:rPr>
          <w:szCs w:val="24"/>
          <w:lang w:eastAsia="ar-SA"/>
        </w:rPr>
        <w:t xml:space="preserve">również złożenie wniosku o rejestrację w </w:t>
      </w:r>
      <w:r w:rsidR="002D4237" w:rsidRPr="004A64D8">
        <w:rPr>
          <w:szCs w:val="24"/>
          <w:lang w:eastAsia="ar-SA"/>
        </w:rPr>
        <w:t xml:space="preserve">rejestrze uznanych organizacji altruizmu danych możliwe będzie jedynie drogą elektroniczną, a w zakresie nieuregulowanym ustawą i DGA do </w:t>
      </w:r>
      <w:r w:rsidR="002D4237">
        <w:rPr>
          <w:szCs w:val="24"/>
          <w:lang w:eastAsia="ar-SA"/>
        </w:rPr>
        <w:t>wniosków o rejestrację</w:t>
      </w:r>
      <w:r w:rsidR="002D4237" w:rsidRPr="004A64D8">
        <w:rPr>
          <w:szCs w:val="24"/>
          <w:lang w:eastAsia="ar-SA"/>
        </w:rPr>
        <w:t xml:space="preserve"> </w:t>
      </w:r>
      <w:r w:rsidR="002D4237">
        <w:rPr>
          <w:szCs w:val="24"/>
          <w:lang w:eastAsia="ar-SA"/>
        </w:rPr>
        <w:t>zastosowanie znajdować</w:t>
      </w:r>
      <w:r w:rsidR="002D4237" w:rsidRPr="004A64D8">
        <w:rPr>
          <w:szCs w:val="24"/>
          <w:lang w:eastAsia="ar-SA"/>
        </w:rPr>
        <w:t xml:space="preserve"> będzie art. 63 </w:t>
      </w:r>
      <w:r w:rsidR="002D4237">
        <w:rPr>
          <w:szCs w:val="24"/>
          <w:lang w:eastAsia="ar-SA"/>
        </w:rPr>
        <w:t>i</w:t>
      </w:r>
      <w:r w:rsidR="008478C3">
        <w:rPr>
          <w:szCs w:val="24"/>
          <w:lang w:eastAsia="ar-SA"/>
        </w:rPr>
        <w:t xml:space="preserve"> art. </w:t>
      </w:r>
      <w:r w:rsidR="002D4237">
        <w:rPr>
          <w:szCs w:val="24"/>
          <w:lang w:eastAsia="ar-SA"/>
        </w:rPr>
        <w:t> </w:t>
      </w:r>
      <w:r>
        <w:rPr>
          <w:szCs w:val="24"/>
          <w:lang w:eastAsia="ar-SA"/>
        </w:rPr>
        <w:t>64 k.p.a</w:t>
      </w:r>
      <w:r w:rsidR="002D4237" w:rsidRPr="004A64D8">
        <w:rPr>
          <w:szCs w:val="24"/>
          <w:lang w:eastAsia="ar-SA"/>
        </w:rPr>
        <w:t>.</w:t>
      </w:r>
      <w:r w:rsidR="002D4237" w:rsidRPr="004A64D8">
        <w:t xml:space="preserve"> </w:t>
      </w:r>
      <w:r w:rsidR="002D4237" w:rsidRPr="004A64D8">
        <w:rPr>
          <w:szCs w:val="24"/>
          <w:lang w:eastAsia="ar-SA"/>
        </w:rPr>
        <w:t xml:space="preserve">Droga elektroniczna będzie również wymagana w przypadku innych </w:t>
      </w:r>
      <w:r w:rsidR="002D4237">
        <w:rPr>
          <w:szCs w:val="24"/>
          <w:lang w:eastAsia="ar-SA"/>
        </w:rPr>
        <w:t>pism</w:t>
      </w:r>
      <w:r w:rsidR="002D4237" w:rsidRPr="004A64D8">
        <w:rPr>
          <w:szCs w:val="24"/>
          <w:lang w:eastAsia="ar-SA"/>
        </w:rPr>
        <w:t xml:space="preserve"> kierowanych przez uznane organizacje altruizmu danych</w:t>
      </w:r>
      <w:r w:rsidR="002D4237">
        <w:rPr>
          <w:szCs w:val="24"/>
          <w:lang w:eastAsia="ar-SA"/>
        </w:rPr>
        <w:t xml:space="preserve"> do </w:t>
      </w:r>
      <w:r w:rsidR="002D4237" w:rsidRPr="004A64D8">
        <w:rPr>
          <w:szCs w:val="24"/>
          <w:lang w:eastAsia="ar-SA"/>
        </w:rPr>
        <w:t>organu właściwego do spraw rejestracji organizacji altruizmu danych</w:t>
      </w:r>
      <w:r w:rsidR="002D4237">
        <w:rPr>
          <w:szCs w:val="24"/>
          <w:lang w:eastAsia="ar-SA"/>
        </w:rPr>
        <w:t xml:space="preserve"> (np. </w:t>
      </w:r>
      <w:r w:rsidR="002D4237" w:rsidRPr="004A64D8">
        <w:rPr>
          <w:szCs w:val="24"/>
          <w:lang w:eastAsia="ar-SA"/>
        </w:rPr>
        <w:t>rocznych sprawozdań</w:t>
      </w:r>
      <w:r w:rsidR="002D4237">
        <w:rPr>
          <w:szCs w:val="24"/>
          <w:lang w:eastAsia="ar-SA"/>
        </w:rPr>
        <w:t>).</w:t>
      </w:r>
    </w:p>
    <w:p w14:paraId="0C987E86" w14:textId="73F3A1BF" w:rsidR="0094266F" w:rsidRDefault="0094266F" w:rsidP="00E74DEB">
      <w:pPr>
        <w:pStyle w:val="NIEARTTEKSTtekstnieartykuowanynppodstprawnarozplubpreambua"/>
        <w:ind w:firstLine="0"/>
      </w:pPr>
      <w:r>
        <w:t xml:space="preserve">W projektowanej ustawie znalazły się również regulacje zapewniające stosowanie przepisów DGA dotyczących monitoringu i nadzoru prowadzonego </w:t>
      </w:r>
      <w:r w:rsidRPr="00CC30AC">
        <w:t xml:space="preserve">nad </w:t>
      </w:r>
      <w:r w:rsidRPr="0094266F">
        <w:t>uznanymi organizacjami altruizmu danych</w:t>
      </w:r>
      <w:r>
        <w:t xml:space="preserve"> przez </w:t>
      </w:r>
      <w:r w:rsidRPr="0094266F">
        <w:t>organ właściw</w:t>
      </w:r>
      <w:r>
        <w:t>y</w:t>
      </w:r>
      <w:r w:rsidRPr="0094266F">
        <w:t xml:space="preserve"> do spraw rejestracji organizacji altruizmu</w:t>
      </w:r>
      <w:r w:rsidR="008C5D99">
        <w:t>.</w:t>
      </w:r>
    </w:p>
    <w:p w14:paraId="13AE94D8" w14:textId="0CCEF7D6" w:rsidR="002D4237" w:rsidRPr="00AD4FC9" w:rsidRDefault="0094266F" w:rsidP="00E74DEB">
      <w:pPr>
        <w:pStyle w:val="NIEARTTEKSTtekstnieartykuowanynppodstprawnarozplubpreambua"/>
        <w:ind w:firstLine="0"/>
        <w:rPr>
          <w:szCs w:val="24"/>
          <w:lang w:eastAsia="ar-SA"/>
        </w:rPr>
      </w:pPr>
      <w:r w:rsidRPr="0094266F">
        <w:t>Zgodnie z DGA, w przypadku niezaprzestania przez uznan</w:t>
      </w:r>
      <w:r>
        <w:t xml:space="preserve">ą organizację </w:t>
      </w:r>
      <w:r w:rsidRPr="0094266F">
        <w:t xml:space="preserve">altruizmu danych naruszania wymogów świadczenia usług pośrednictwa danych organ właściwy do spraw usług pośrednictwa danych będzie uprawniony, w odpowiednich przypadkach, </w:t>
      </w:r>
      <w:r>
        <w:t xml:space="preserve">do </w:t>
      </w:r>
      <w:r w:rsidRPr="0094266F">
        <w:t>wykreślenia organizacji z publicznego krajowego rejestru uznanych organizacji altruizmu danych oraz z</w:t>
      </w:r>
      <w:r w:rsidR="008C5D99">
        <w:t> </w:t>
      </w:r>
      <w:r w:rsidRPr="0094266F">
        <w:t>publicznego unijnego rejestru uznanych organizacji altruizmu danych.</w:t>
      </w:r>
      <w:r>
        <w:t xml:space="preserve"> Skutkować to będzie </w:t>
      </w:r>
      <w:r w:rsidRPr="0094266F">
        <w:t>zakaz</w:t>
      </w:r>
      <w:r>
        <w:t>em</w:t>
      </w:r>
      <w:r w:rsidRPr="0094266F">
        <w:t xml:space="preserve"> posługiwania się w komunikacji pisemnej i ustnej oznakowaniem „uznana w Unii organizacja altruizmu danych”</w:t>
      </w:r>
      <w:r w:rsidR="007335C9">
        <w:t xml:space="preserve">. </w:t>
      </w:r>
      <w:r w:rsidRPr="0094266F">
        <w:t xml:space="preserve">W projektowanej ustawie przesądzono, że </w:t>
      </w:r>
      <w:r w:rsidR="007335C9">
        <w:t xml:space="preserve">wykreślenie z rejestru następować będzie </w:t>
      </w:r>
      <w:r w:rsidRPr="0094266F">
        <w:t>w drodze decyzji. Decyzj</w:t>
      </w:r>
      <w:r w:rsidR="007335C9">
        <w:t>a</w:t>
      </w:r>
      <w:r w:rsidRPr="0094266F">
        <w:t xml:space="preserve"> będ</w:t>
      </w:r>
      <w:r w:rsidR="007335C9">
        <w:t>zie</w:t>
      </w:r>
      <w:r w:rsidRPr="0094266F">
        <w:t xml:space="preserve"> natychmiast wykonaln</w:t>
      </w:r>
      <w:r w:rsidR="007335C9">
        <w:t xml:space="preserve">a, </w:t>
      </w:r>
      <w:r w:rsidR="007335C9">
        <w:lastRenderedPageBreak/>
        <w:t>a informacje o jej</w:t>
      </w:r>
      <w:r w:rsidRPr="0094266F">
        <w:t xml:space="preserve"> wydaniu będą podlegały upublicznieniu w Biuletynie Informacji Publicznej Urzędu Oc</w:t>
      </w:r>
      <w:r w:rsidR="007335C9">
        <w:t xml:space="preserve">hrony Konkurencji i Konsumentów. </w:t>
      </w:r>
      <w:r w:rsidR="002D4237" w:rsidRPr="00AD4FC9">
        <w:rPr>
          <w:szCs w:val="24"/>
          <w:lang w:eastAsia="ar-SA"/>
        </w:rPr>
        <w:t>W zakresie nieuregulowanym ustawą do decyzji wydawan</w:t>
      </w:r>
      <w:r w:rsidR="007335C9">
        <w:rPr>
          <w:szCs w:val="24"/>
          <w:lang w:eastAsia="ar-SA"/>
        </w:rPr>
        <w:t>ej</w:t>
      </w:r>
      <w:r w:rsidR="002D4237" w:rsidRPr="00AD4FC9">
        <w:rPr>
          <w:szCs w:val="24"/>
          <w:lang w:eastAsia="ar-SA"/>
        </w:rPr>
        <w:t xml:space="preserve"> przez organ </w:t>
      </w:r>
      <w:r w:rsidR="002D4237" w:rsidRPr="003E3879">
        <w:rPr>
          <w:szCs w:val="24"/>
          <w:lang w:eastAsia="ar-SA"/>
        </w:rPr>
        <w:t>właściw</w:t>
      </w:r>
      <w:r w:rsidR="002D4237">
        <w:rPr>
          <w:szCs w:val="24"/>
          <w:lang w:eastAsia="ar-SA"/>
        </w:rPr>
        <w:t>y</w:t>
      </w:r>
      <w:r w:rsidR="002D4237" w:rsidRPr="003E3879">
        <w:rPr>
          <w:szCs w:val="24"/>
          <w:lang w:eastAsia="ar-SA"/>
        </w:rPr>
        <w:t xml:space="preserve"> do spraw rejestracji organizacji altruizmu danych</w:t>
      </w:r>
      <w:r w:rsidR="002D4237">
        <w:rPr>
          <w:szCs w:val="24"/>
          <w:lang w:eastAsia="ar-SA"/>
        </w:rPr>
        <w:t xml:space="preserve"> stosowane będą przepisy k.p.a.</w:t>
      </w:r>
    </w:p>
    <w:p w14:paraId="2B90CF21" w14:textId="79F8EEFA" w:rsidR="002D4237" w:rsidRPr="003E3879" w:rsidRDefault="002D4237" w:rsidP="00E74DEB">
      <w:pPr>
        <w:pStyle w:val="NIEARTTEKSTtekstnieartykuowanynppodstprawnarozplubpreambua"/>
        <w:ind w:firstLine="0"/>
        <w:rPr>
          <w:szCs w:val="24"/>
          <w:lang w:eastAsia="ar-SA"/>
        </w:rPr>
      </w:pPr>
      <w:r w:rsidRPr="003E3879">
        <w:rPr>
          <w:szCs w:val="24"/>
          <w:lang w:eastAsia="ar-SA"/>
        </w:rPr>
        <w:t xml:space="preserve">W </w:t>
      </w:r>
      <w:r w:rsidR="00384373">
        <w:rPr>
          <w:szCs w:val="24"/>
          <w:lang w:eastAsia="ar-SA"/>
        </w:rPr>
        <w:t>projekcie</w:t>
      </w:r>
      <w:r w:rsidRPr="003E3879">
        <w:rPr>
          <w:szCs w:val="24"/>
          <w:lang w:eastAsia="ar-SA"/>
        </w:rPr>
        <w:t xml:space="preserve"> ustawy uregulowano procedurę rozpatrywania przez organ właściw</w:t>
      </w:r>
      <w:r>
        <w:rPr>
          <w:szCs w:val="24"/>
          <w:lang w:eastAsia="ar-SA"/>
        </w:rPr>
        <w:t xml:space="preserve">y </w:t>
      </w:r>
      <w:r w:rsidRPr="003E3879">
        <w:rPr>
          <w:szCs w:val="24"/>
          <w:lang w:eastAsia="ar-SA"/>
        </w:rPr>
        <w:t>do spraw rejestracji organizacji altruizmu danych skarg przeciwko uznan</w:t>
      </w:r>
      <w:r>
        <w:rPr>
          <w:szCs w:val="24"/>
          <w:lang w:eastAsia="ar-SA"/>
        </w:rPr>
        <w:t>ym</w:t>
      </w:r>
      <w:r w:rsidRPr="003E3879">
        <w:rPr>
          <w:szCs w:val="24"/>
          <w:lang w:eastAsia="ar-SA"/>
        </w:rPr>
        <w:t xml:space="preserve"> organizacj</w:t>
      </w:r>
      <w:r>
        <w:rPr>
          <w:szCs w:val="24"/>
          <w:lang w:eastAsia="ar-SA"/>
        </w:rPr>
        <w:t>om</w:t>
      </w:r>
      <w:r w:rsidRPr="003E3879">
        <w:rPr>
          <w:szCs w:val="24"/>
          <w:lang w:eastAsia="ar-SA"/>
        </w:rPr>
        <w:t xml:space="preserve"> altruizmu danych</w:t>
      </w:r>
      <w:r>
        <w:rPr>
          <w:szCs w:val="24"/>
          <w:lang w:eastAsia="ar-SA"/>
        </w:rPr>
        <w:t>,</w:t>
      </w:r>
      <w:r w:rsidRPr="003E3879">
        <w:rPr>
          <w:szCs w:val="24"/>
          <w:lang w:eastAsia="ar-SA"/>
        </w:rPr>
        <w:t xml:space="preserve"> </w:t>
      </w:r>
      <w:r w:rsidR="007335C9" w:rsidRPr="007335C9">
        <w:rPr>
          <w:szCs w:val="24"/>
          <w:lang w:eastAsia="ar-SA"/>
        </w:rPr>
        <w:t xml:space="preserve">tj. skarg, o których mowa </w:t>
      </w:r>
      <w:r w:rsidRPr="003E3879">
        <w:rPr>
          <w:szCs w:val="24"/>
          <w:lang w:eastAsia="ar-SA"/>
        </w:rPr>
        <w:t>w art. 27 DGA.</w:t>
      </w:r>
    </w:p>
    <w:p w14:paraId="6D66E25A" w14:textId="77777777" w:rsidR="002D4237" w:rsidRDefault="002D4237" w:rsidP="00F5466D">
      <w:pPr>
        <w:pStyle w:val="NIEARTTEKSTtekstnieartykuowanynppodstprawnarozplubpreambua"/>
        <w:spacing w:before="240"/>
        <w:ind w:firstLine="0"/>
        <w:rPr>
          <w:b/>
          <w:szCs w:val="24"/>
          <w:lang w:eastAsia="ar-SA"/>
        </w:rPr>
      </w:pPr>
      <w:r w:rsidRPr="006F51D1">
        <w:rPr>
          <w:b/>
          <w:szCs w:val="24"/>
          <w:lang w:eastAsia="ar-SA"/>
        </w:rPr>
        <w:t>Rozdział 5.</w:t>
      </w:r>
      <w:r w:rsidRPr="006F51D1">
        <w:t xml:space="preserve"> </w:t>
      </w:r>
      <w:r w:rsidRPr="006F51D1">
        <w:rPr>
          <w:b/>
          <w:szCs w:val="24"/>
          <w:lang w:eastAsia="ar-SA"/>
        </w:rPr>
        <w:t>Przepisy o karach pieniężnych.</w:t>
      </w:r>
    </w:p>
    <w:p w14:paraId="1F068DD5" w14:textId="4E06031D" w:rsidR="002D4237" w:rsidRDefault="002D4237" w:rsidP="00E74DEB">
      <w:pPr>
        <w:pStyle w:val="NIEARTTEKSTtekstnieartykuowanynppodstprawnarozplubpreambua"/>
        <w:ind w:firstLine="0"/>
        <w:rPr>
          <w:szCs w:val="24"/>
          <w:lang w:eastAsia="ar-SA"/>
        </w:rPr>
      </w:pPr>
      <w:r w:rsidRPr="00653CC9">
        <w:rPr>
          <w:szCs w:val="24"/>
          <w:lang w:eastAsia="ar-SA"/>
        </w:rPr>
        <w:t xml:space="preserve">W rozdziale </w:t>
      </w:r>
      <w:r>
        <w:rPr>
          <w:szCs w:val="24"/>
          <w:lang w:eastAsia="ar-SA"/>
        </w:rPr>
        <w:t>5 projektu zawarte zostały przepisy dotyczące kar pieniężnych za naruszenie regulacji DGA. Przepisy te w części wzorowane są na rozwiązaniach zawartych w ustawie z</w:t>
      </w:r>
      <w:r w:rsidR="006F51D1">
        <w:rPr>
          <w:szCs w:val="24"/>
          <w:lang w:eastAsia="ar-SA"/>
        </w:rPr>
        <w:t> </w:t>
      </w:r>
      <w:r>
        <w:rPr>
          <w:szCs w:val="24"/>
          <w:lang w:eastAsia="ar-SA"/>
        </w:rPr>
        <w:t>dnia 16 lutego 2007 </w:t>
      </w:r>
      <w:r w:rsidRPr="00864B49">
        <w:rPr>
          <w:szCs w:val="24"/>
          <w:lang w:eastAsia="ar-SA"/>
        </w:rPr>
        <w:t>r</w:t>
      </w:r>
      <w:r>
        <w:rPr>
          <w:szCs w:val="24"/>
          <w:lang w:eastAsia="ar-SA"/>
        </w:rPr>
        <w:t>. o ochronie konkurencji i konsumentów.</w:t>
      </w:r>
    </w:p>
    <w:p w14:paraId="597BF706" w14:textId="6C822762" w:rsidR="002D4237" w:rsidRPr="00653CC9" w:rsidRDefault="002D4237" w:rsidP="00E74DEB">
      <w:pPr>
        <w:pStyle w:val="NIEARTTEKSTtekstnieartykuowanynppodstprawnarozplubpreambua"/>
        <w:ind w:firstLine="0"/>
        <w:rPr>
          <w:szCs w:val="24"/>
          <w:lang w:eastAsia="ar-SA"/>
        </w:rPr>
      </w:pPr>
      <w:r>
        <w:rPr>
          <w:szCs w:val="24"/>
          <w:lang w:eastAsia="ar-SA"/>
        </w:rPr>
        <w:t xml:space="preserve">W </w:t>
      </w:r>
      <w:r w:rsidR="00871612">
        <w:rPr>
          <w:szCs w:val="24"/>
          <w:lang w:eastAsia="ar-SA"/>
        </w:rPr>
        <w:t>projekcie</w:t>
      </w:r>
      <w:r>
        <w:rPr>
          <w:szCs w:val="24"/>
          <w:lang w:eastAsia="ar-SA"/>
        </w:rPr>
        <w:t xml:space="preserve"> ustawy uregulowano kary pieniężne jakie będzie mógł (</w:t>
      </w:r>
      <w:r w:rsidRPr="00864B49">
        <w:rPr>
          <w:szCs w:val="24"/>
          <w:lang w:eastAsia="ar-SA"/>
        </w:rPr>
        <w:t>w drodze decyzji</w:t>
      </w:r>
      <w:r>
        <w:rPr>
          <w:szCs w:val="24"/>
          <w:lang w:eastAsia="ar-SA"/>
        </w:rPr>
        <w:t>)</w:t>
      </w:r>
      <w:r w:rsidRPr="00864B49">
        <w:rPr>
          <w:szCs w:val="24"/>
          <w:lang w:eastAsia="ar-SA"/>
        </w:rPr>
        <w:t xml:space="preserve"> </w:t>
      </w:r>
      <w:r>
        <w:rPr>
          <w:szCs w:val="24"/>
          <w:lang w:eastAsia="ar-SA"/>
        </w:rPr>
        <w:t>nałożyć o</w:t>
      </w:r>
      <w:r w:rsidRPr="00864B49">
        <w:rPr>
          <w:szCs w:val="24"/>
          <w:lang w:eastAsia="ar-SA"/>
        </w:rPr>
        <w:t>rgan właściwy do spraw usług pośrednictwa danych</w:t>
      </w:r>
      <w:r>
        <w:rPr>
          <w:szCs w:val="24"/>
          <w:lang w:eastAsia="ar-SA"/>
        </w:rPr>
        <w:t xml:space="preserve">. Przyjęto, że w przypadku </w:t>
      </w:r>
      <w:r w:rsidRPr="00864B49">
        <w:rPr>
          <w:szCs w:val="24"/>
          <w:lang w:eastAsia="ar-SA"/>
        </w:rPr>
        <w:t>dostawc</w:t>
      </w:r>
      <w:r>
        <w:rPr>
          <w:szCs w:val="24"/>
          <w:lang w:eastAsia="ar-SA"/>
        </w:rPr>
        <w:t>ów</w:t>
      </w:r>
      <w:r w:rsidRPr="00864B49">
        <w:rPr>
          <w:szCs w:val="24"/>
          <w:lang w:eastAsia="ar-SA"/>
        </w:rPr>
        <w:t xml:space="preserve"> usług pośrednictwa danych</w:t>
      </w:r>
      <w:r>
        <w:rPr>
          <w:szCs w:val="24"/>
          <w:lang w:eastAsia="ar-SA"/>
        </w:rPr>
        <w:t xml:space="preserve"> możliwe będzie nałożenie </w:t>
      </w:r>
      <w:r w:rsidRPr="00864B49">
        <w:rPr>
          <w:szCs w:val="24"/>
          <w:lang w:eastAsia="ar-SA"/>
        </w:rPr>
        <w:t>kar</w:t>
      </w:r>
      <w:r>
        <w:rPr>
          <w:szCs w:val="24"/>
          <w:lang w:eastAsia="ar-SA"/>
        </w:rPr>
        <w:t>y</w:t>
      </w:r>
      <w:r w:rsidRPr="00864B49">
        <w:rPr>
          <w:szCs w:val="24"/>
          <w:lang w:eastAsia="ar-SA"/>
        </w:rPr>
        <w:t xml:space="preserve"> pieniężn</w:t>
      </w:r>
      <w:r>
        <w:rPr>
          <w:szCs w:val="24"/>
          <w:lang w:eastAsia="ar-SA"/>
        </w:rPr>
        <w:t>ej</w:t>
      </w:r>
      <w:r w:rsidRPr="00864B49">
        <w:rPr>
          <w:szCs w:val="24"/>
          <w:lang w:eastAsia="ar-SA"/>
        </w:rPr>
        <w:t xml:space="preserve"> w wysokości nie większej niż 10% obrotu osiągniętego w roku obrotowym poprzedzającym rok nałożenia kary</w:t>
      </w:r>
      <w:r>
        <w:rPr>
          <w:szCs w:val="24"/>
          <w:lang w:eastAsia="ar-SA"/>
        </w:rPr>
        <w:t>. Z kolei, z uwagi na odmienną specyfikę usług, które oferować będą uznane organizacje altruizmu danych, o</w:t>
      </w:r>
      <w:r w:rsidRPr="00864B49">
        <w:rPr>
          <w:szCs w:val="24"/>
          <w:lang w:eastAsia="ar-SA"/>
        </w:rPr>
        <w:t xml:space="preserve">rgan właściwy do spraw rejestracji organizacji altruizmu danych </w:t>
      </w:r>
      <w:r>
        <w:rPr>
          <w:szCs w:val="24"/>
          <w:lang w:eastAsia="ar-SA"/>
        </w:rPr>
        <w:t xml:space="preserve">będzie mógł nałożyć </w:t>
      </w:r>
      <w:r w:rsidRPr="00864B49">
        <w:rPr>
          <w:szCs w:val="24"/>
          <w:lang w:eastAsia="ar-SA"/>
        </w:rPr>
        <w:t xml:space="preserve">na </w:t>
      </w:r>
      <w:r>
        <w:rPr>
          <w:szCs w:val="24"/>
          <w:lang w:eastAsia="ar-SA"/>
        </w:rPr>
        <w:t xml:space="preserve">taką </w:t>
      </w:r>
      <w:r w:rsidRPr="00864B49">
        <w:rPr>
          <w:szCs w:val="24"/>
          <w:lang w:eastAsia="ar-SA"/>
        </w:rPr>
        <w:t>organizację</w:t>
      </w:r>
      <w:r>
        <w:rPr>
          <w:szCs w:val="24"/>
          <w:lang w:eastAsia="ar-SA"/>
        </w:rPr>
        <w:t xml:space="preserve"> (</w:t>
      </w:r>
      <w:r w:rsidRPr="00864B49">
        <w:rPr>
          <w:szCs w:val="24"/>
          <w:lang w:eastAsia="ar-SA"/>
        </w:rPr>
        <w:t>w drodze decyzji</w:t>
      </w:r>
      <w:r>
        <w:rPr>
          <w:szCs w:val="24"/>
          <w:lang w:eastAsia="ar-SA"/>
        </w:rPr>
        <w:t>)</w:t>
      </w:r>
      <w:r w:rsidRPr="00864B49">
        <w:rPr>
          <w:szCs w:val="24"/>
          <w:lang w:eastAsia="ar-SA"/>
        </w:rPr>
        <w:t xml:space="preserve"> karę pieniężną w wysokości nieprzekraczającej kwoty</w:t>
      </w:r>
      <w:r w:rsidR="006F51D1">
        <w:rPr>
          <w:szCs w:val="24"/>
          <w:lang w:eastAsia="ar-SA"/>
        </w:rPr>
        <w:t xml:space="preserve"> 5 000 euro</w:t>
      </w:r>
      <w:r>
        <w:rPr>
          <w:szCs w:val="24"/>
          <w:lang w:eastAsia="ar-SA"/>
        </w:rPr>
        <w:t>. W obu przypadkach organ będzie mógł zastosować sankcję w postaci kary pieniężnej niezależnie od zastosowania innych środków nadzorczych.</w:t>
      </w:r>
    </w:p>
    <w:p w14:paraId="03C0886F" w14:textId="77777777" w:rsidR="002D4237" w:rsidRDefault="002D4237" w:rsidP="00C60F22">
      <w:pPr>
        <w:pStyle w:val="NIEARTTEKSTtekstnieartykuowanynppodstprawnarozplubpreambua"/>
        <w:rPr>
          <w:b/>
          <w:szCs w:val="24"/>
          <w:lang w:eastAsia="ar-SA"/>
        </w:rPr>
      </w:pPr>
      <w:r>
        <w:rPr>
          <w:b/>
          <w:szCs w:val="24"/>
          <w:lang w:eastAsia="ar-SA"/>
        </w:rPr>
        <w:t>Rozdział 6.</w:t>
      </w:r>
      <w:r w:rsidRPr="00AB172D">
        <w:t xml:space="preserve"> </w:t>
      </w:r>
      <w:r w:rsidR="00871612">
        <w:rPr>
          <w:b/>
          <w:szCs w:val="24"/>
          <w:lang w:eastAsia="ar-SA"/>
        </w:rPr>
        <w:t>Przepis</w:t>
      </w:r>
      <w:r w:rsidRPr="00AB172D">
        <w:rPr>
          <w:b/>
          <w:szCs w:val="24"/>
          <w:lang w:eastAsia="ar-SA"/>
        </w:rPr>
        <w:t xml:space="preserve"> </w:t>
      </w:r>
      <w:r w:rsidR="00871612">
        <w:rPr>
          <w:b/>
          <w:szCs w:val="24"/>
          <w:lang w:eastAsia="ar-SA"/>
        </w:rPr>
        <w:t>końcowy</w:t>
      </w:r>
      <w:r>
        <w:rPr>
          <w:b/>
          <w:szCs w:val="24"/>
          <w:lang w:eastAsia="ar-SA"/>
        </w:rPr>
        <w:t>.</w:t>
      </w:r>
    </w:p>
    <w:p w14:paraId="0C3EC958" w14:textId="3370D798" w:rsidR="002D4237" w:rsidRPr="003C5893" w:rsidRDefault="002D4237" w:rsidP="00E74DEB">
      <w:pPr>
        <w:pStyle w:val="NIEARTTEKSTtekstnieartykuowanynppodstprawnarozplubpreambua"/>
        <w:ind w:firstLine="0"/>
        <w:rPr>
          <w:rFonts w:eastAsia="Calibri" w:cs="Times New Roman"/>
          <w:szCs w:val="24"/>
          <w:lang w:eastAsia="en-US"/>
        </w:rPr>
      </w:pPr>
      <w:r w:rsidRPr="00653CC9">
        <w:rPr>
          <w:rFonts w:eastAsia="Calibri" w:cs="Times New Roman"/>
          <w:szCs w:val="24"/>
          <w:lang w:eastAsia="en-US"/>
        </w:rPr>
        <w:t xml:space="preserve">Mając na względzie, że </w:t>
      </w:r>
      <w:r>
        <w:rPr>
          <w:rFonts w:eastAsia="Calibri" w:cs="Times New Roman"/>
          <w:szCs w:val="24"/>
          <w:lang w:eastAsia="en-US"/>
        </w:rPr>
        <w:t>DGA</w:t>
      </w:r>
      <w:r w:rsidRPr="00653CC9">
        <w:rPr>
          <w:rFonts w:eastAsia="Calibri" w:cs="Times New Roman"/>
          <w:szCs w:val="24"/>
          <w:lang w:eastAsia="en-US"/>
        </w:rPr>
        <w:t xml:space="preserve"> </w:t>
      </w:r>
      <w:r>
        <w:rPr>
          <w:rFonts w:eastAsia="Calibri" w:cs="Times New Roman"/>
          <w:szCs w:val="24"/>
          <w:lang w:eastAsia="en-US"/>
        </w:rPr>
        <w:t xml:space="preserve">będzie stosowane w polskim porządku prawnym od 24 września 2023 r. </w:t>
      </w:r>
      <w:r w:rsidRPr="00653CC9">
        <w:rPr>
          <w:rFonts w:eastAsia="Calibri" w:cs="Times New Roman"/>
          <w:szCs w:val="24"/>
          <w:lang w:eastAsia="en-US"/>
        </w:rPr>
        <w:t>niezbędne jest, aby projektowan</w:t>
      </w:r>
      <w:r>
        <w:rPr>
          <w:rFonts w:eastAsia="Calibri" w:cs="Times New Roman"/>
          <w:szCs w:val="24"/>
          <w:lang w:eastAsia="en-US"/>
        </w:rPr>
        <w:t>a ustawa</w:t>
      </w:r>
      <w:r w:rsidRPr="00653CC9">
        <w:rPr>
          <w:rFonts w:eastAsia="Calibri" w:cs="Times New Roman"/>
          <w:szCs w:val="24"/>
          <w:lang w:eastAsia="en-US"/>
        </w:rPr>
        <w:t xml:space="preserve"> </w:t>
      </w:r>
      <w:r>
        <w:rPr>
          <w:rFonts w:eastAsia="Calibri" w:cs="Times New Roman"/>
          <w:szCs w:val="24"/>
          <w:lang w:eastAsia="en-US"/>
        </w:rPr>
        <w:t>weszła w życie w tym terminie.</w:t>
      </w:r>
      <w:r w:rsidRPr="00653CC9">
        <w:rPr>
          <w:rFonts w:eastAsia="Calibri" w:cs="Times New Roman"/>
          <w:szCs w:val="24"/>
          <w:lang w:eastAsia="en-US"/>
        </w:rPr>
        <w:t xml:space="preserve"> </w:t>
      </w:r>
      <w:r>
        <w:rPr>
          <w:rFonts w:eastAsia="Calibri" w:cs="Times New Roman"/>
          <w:szCs w:val="24"/>
          <w:lang w:eastAsia="en-US"/>
        </w:rPr>
        <w:t xml:space="preserve">Do </w:t>
      </w:r>
      <w:r w:rsidRPr="00653CC9">
        <w:rPr>
          <w:rFonts w:eastAsia="Calibri" w:cs="Times New Roman"/>
          <w:szCs w:val="24"/>
          <w:lang w:eastAsia="en-US"/>
        </w:rPr>
        <w:t xml:space="preserve">dnia </w:t>
      </w:r>
      <w:r>
        <w:rPr>
          <w:rFonts w:eastAsia="Calibri" w:cs="Times New Roman"/>
          <w:szCs w:val="24"/>
          <w:lang w:eastAsia="en-US"/>
        </w:rPr>
        <w:t xml:space="preserve">rozpoczęcia stosowania przepisów rozporządzenia </w:t>
      </w:r>
      <w:r w:rsidRPr="00653CC9">
        <w:rPr>
          <w:rFonts w:eastAsia="Calibri" w:cs="Times New Roman"/>
          <w:szCs w:val="24"/>
          <w:lang w:eastAsia="en-US"/>
        </w:rPr>
        <w:t xml:space="preserve">państwa członkowskie </w:t>
      </w:r>
      <w:r>
        <w:rPr>
          <w:rFonts w:eastAsia="Calibri" w:cs="Times New Roman"/>
          <w:szCs w:val="24"/>
          <w:lang w:eastAsia="en-US"/>
        </w:rPr>
        <w:t xml:space="preserve">są zobowiązane </w:t>
      </w:r>
      <w:r w:rsidRPr="00FA010D">
        <w:rPr>
          <w:rFonts w:eastAsia="Calibri" w:cs="Times New Roman"/>
          <w:szCs w:val="24"/>
          <w:lang w:eastAsia="en-US"/>
        </w:rPr>
        <w:t>przedstawi</w:t>
      </w:r>
      <w:r>
        <w:rPr>
          <w:rFonts w:eastAsia="Calibri" w:cs="Times New Roman"/>
          <w:szCs w:val="24"/>
          <w:lang w:eastAsia="en-US"/>
        </w:rPr>
        <w:t xml:space="preserve">ć </w:t>
      </w:r>
      <w:r w:rsidRPr="00FA010D">
        <w:rPr>
          <w:rFonts w:eastAsia="Calibri" w:cs="Times New Roman"/>
          <w:szCs w:val="24"/>
          <w:lang w:eastAsia="en-US"/>
        </w:rPr>
        <w:t>Komisji</w:t>
      </w:r>
      <w:r>
        <w:rPr>
          <w:rFonts w:eastAsia="Calibri" w:cs="Times New Roman"/>
          <w:szCs w:val="24"/>
          <w:lang w:eastAsia="en-US"/>
        </w:rPr>
        <w:t xml:space="preserve"> Europejskiej d</w:t>
      </w:r>
      <w:r w:rsidRPr="00FA010D">
        <w:rPr>
          <w:rFonts w:eastAsia="Calibri" w:cs="Times New Roman"/>
          <w:szCs w:val="24"/>
          <w:lang w:eastAsia="en-US"/>
        </w:rPr>
        <w:t>ane identyfikacyjne właściwego podmiotu, organu właściwego do spraw usług pośrednictwa danych oraz organu właściwego do spraw rejestrac</w:t>
      </w:r>
      <w:r>
        <w:rPr>
          <w:rFonts w:eastAsia="Calibri" w:cs="Times New Roman"/>
          <w:szCs w:val="24"/>
          <w:lang w:eastAsia="en-US"/>
        </w:rPr>
        <w:t>ji organizacji altruizmu danych.</w:t>
      </w:r>
    </w:p>
    <w:p w14:paraId="5FBEDF3A" w14:textId="77777777" w:rsidR="002D4237" w:rsidRPr="00E74DEB" w:rsidRDefault="00E74DEB" w:rsidP="00C60F22">
      <w:pPr>
        <w:pStyle w:val="NIEARTTEKSTtekstnieartykuowanynppodstprawnarozplubpreambua"/>
        <w:rPr>
          <w:rStyle w:val="Ppogrubienie"/>
        </w:rPr>
      </w:pPr>
      <w:r w:rsidRPr="00E74DEB">
        <w:rPr>
          <w:rStyle w:val="Ppogrubienie"/>
        </w:rPr>
        <w:t xml:space="preserve">V. </w:t>
      </w:r>
      <w:r w:rsidR="002D4237" w:rsidRPr="00E74DEB">
        <w:rPr>
          <w:rStyle w:val="Ppogrubienie"/>
        </w:rPr>
        <w:t>Pozostałe informacje</w:t>
      </w:r>
    </w:p>
    <w:p w14:paraId="38869EFE" w14:textId="6F3624ED" w:rsidR="002D4237" w:rsidRPr="00653CC9" w:rsidRDefault="002D4237" w:rsidP="001257F2">
      <w:pPr>
        <w:pStyle w:val="NIEARTTEKSTtekstnieartykuowanynppodstprawnarozplubpreambua"/>
        <w:ind w:firstLine="0"/>
        <w:rPr>
          <w:rFonts w:eastAsia="Calibri" w:cs="Times New Roman"/>
          <w:szCs w:val="24"/>
          <w:lang w:eastAsia="en-US"/>
        </w:rPr>
      </w:pPr>
      <w:r w:rsidRPr="00653CC9">
        <w:rPr>
          <w:rFonts w:eastAsia="Calibri" w:cs="Times New Roman"/>
          <w:szCs w:val="24"/>
          <w:lang w:eastAsia="en-US"/>
        </w:rPr>
        <w:t xml:space="preserve">Projekt ustawy nie zawiera przepisów technicznych w rozumieniu przepisów rozporządzenia Rady Ministrów z dnia 23 grudnia 2002 r. w sprawie sposobu funkcjonowania krajowego </w:t>
      </w:r>
      <w:r w:rsidRPr="00653CC9">
        <w:rPr>
          <w:rFonts w:eastAsia="Calibri" w:cs="Times New Roman"/>
          <w:szCs w:val="24"/>
          <w:lang w:eastAsia="en-US"/>
        </w:rPr>
        <w:lastRenderedPageBreak/>
        <w:t>systemu notyfikacji norm i aktów prawnych</w:t>
      </w:r>
      <w:r w:rsidR="008478C3">
        <w:rPr>
          <w:rFonts w:eastAsia="Calibri" w:cs="Times New Roman"/>
          <w:szCs w:val="24"/>
          <w:lang w:eastAsia="en-US"/>
        </w:rPr>
        <w:t xml:space="preserve"> (</w:t>
      </w:r>
      <w:r w:rsidR="004C4F82">
        <w:rPr>
          <w:rFonts w:eastAsia="Calibri" w:cs="Times New Roman"/>
          <w:szCs w:val="24"/>
          <w:lang w:eastAsia="en-US"/>
        </w:rPr>
        <w:t>Dz. U. poz. 2039 oraz z 2004 r. poz. 597</w:t>
      </w:r>
      <w:r w:rsidR="008478C3">
        <w:rPr>
          <w:rFonts w:eastAsia="Calibri" w:cs="Times New Roman"/>
          <w:szCs w:val="24"/>
          <w:lang w:eastAsia="en-US"/>
        </w:rPr>
        <w:t xml:space="preserve">) </w:t>
      </w:r>
      <w:r w:rsidR="008478C3">
        <w:rPr>
          <w:rFonts w:eastAsia="Calibri"/>
          <w:szCs w:val="24"/>
          <w:lang w:eastAsia="en-US"/>
        </w:rPr>
        <w:t>i</w:t>
      </w:r>
      <w:r w:rsidR="006F51D1">
        <w:rPr>
          <w:rFonts w:eastAsia="Calibri" w:cs="Times New Roman"/>
          <w:szCs w:val="24"/>
          <w:lang w:eastAsia="en-US"/>
        </w:rPr>
        <w:t> </w:t>
      </w:r>
      <w:r>
        <w:rPr>
          <w:rFonts w:eastAsia="Calibri" w:cs="Times New Roman"/>
          <w:szCs w:val="24"/>
          <w:lang w:eastAsia="en-US"/>
        </w:rPr>
        <w:t>w</w:t>
      </w:r>
      <w:r w:rsidR="006F51D1">
        <w:rPr>
          <w:rFonts w:eastAsia="Calibri" w:cs="Times New Roman"/>
          <w:szCs w:val="24"/>
          <w:lang w:eastAsia="en-US"/>
        </w:rPr>
        <w:t> </w:t>
      </w:r>
      <w:r>
        <w:rPr>
          <w:rFonts w:eastAsia="Calibri" w:cs="Times New Roman"/>
          <w:szCs w:val="24"/>
          <w:lang w:eastAsia="en-US"/>
        </w:rPr>
        <w:t>związku z </w:t>
      </w:r>
      <w:r w:rsidRPr="00653CC9">
        <w:rPr>
          <w:rFonts w:eastAsia="Calibri" w:cs="Times New Roman"/>
          <w:szCs w:val="24"/>
          <w:lang w:eastAsia="en-US"/>
        </w:rPr>
        <w:t>tym nie podlega procedurze notyfikacji.</w:t>
      </w:r>
    </w:p>
    <w:p w14:paraId="1F8E57D5" w14:textId="77777777" w:rsidR="002D4237" w:rsidRPr="00653CC9" w:rsidRDefault="002D4237" w:rsidP="00E74DEB">
      <w:pPr>
        <w:pStyle w:val="NIEARTTEKSTtekstnieartykuowanynppodstprawnarozplubpreambua"/>
        <w:ind w:firstLine="0"/>
        <w:rPr>
          <w:rFonts w:eastAsia="Calibri" w:cs="Times New Roman"/>
          <w:szCs w:val="24"/>
          <w:lang w:eastAsia="en-US"/>
        </w:rPr>
      </w:pPr>
      <w:r w:rsidRPr="00653CC9">
        <w:rPr>
          <w:rFonts w:eastAsia="Calibri" w:cs="Times New Roman"/>
          <w:szCs w:val="24"/>
          <w:lang w:eastAsia="en-US"/>
        </w:rPr>
        <w:t>Projekt ustawy jest zgodny z przepisami prawa Unii Europejskiej i służy ich stosowaniu.</w:t>
      </w:r>
    </w:p>
    <w:p w14:paraId="32CC4CE3" w14:textId="77777777" w:rsidR="002D4237" w:rsidRPr="00653CC9" w:rsidRDefault="002D4237" w:rsidP="00E74DEB">
      <w:pPr>
        <w:pStyle w:val="NIEARTTEKSTtekstnieartykuowanynppodstprawnarozplubpreambua"/>
        <w:ind w:firstLine="0"/>
        <w:rPr>
          <w:rFonts w:eastAsia="Calibri" w:cs="Times New Roman"/>
          <w:szCs w:val="24"/>
          <w:lang w:eastAsia="en-US"/>
        </w:rPr>
      </w:pPr>
      <w:r w:rsidRPr="00653CC9">
        <w:rPr>
          <w:rFonts w:eastAsia="Calibri" w:cs="Times New Roman"/>
          <w:szCs w:val="24"/>
          <w:lang w:eastAsia="en-US"/>
        </w:rPr>
        <w:t>Projekt ustawy nie podlega przedstawieniu właściwym organom i instytucjom Unii Europejskiej, w tym Europejskiemu Bankowi Centralnemu, w celu uzyskania opinii, dokonania powiadomienia, konsultacji albo uzgodnienia.</w:t>
      </w:r>
    </w:p>
    <w:p w14:paraId="5A26B90D" w14:textId="605750EF" w:rsidR="0042722C" w:rsidRPr="004537AF" w:rsidRDefault="002D4237" w:rsidP="004537AF">
      <w:pPr>
        <w:pStyle w:val="NIEARTTEKSTtekstnieartykuowanynppodstprawnarozplubpreambua"/>
        <w:ind w:firstLine="0"/>
        <w:rPr>
          <w:rFonts w:eastAsia="Calibri" w:cs="Times New Roman"/>
          <w:szCs w:val="24"/>
          <w:lang w:eastAsia="en-US"/>
        </w:rPr>
        <w:sectPr w:rsidR="0042722C" w:rsidRPr="004537AF" w:rsidSect="001A7F15">
          <w:footnotePr>
            <w:numRestart w:val="eachSect"/>
          </w:footnotePr>
          <w:pgSz w:w="11906" w:h="16838"/>
          <w:pgMar w:top="1560" w:right="1434" w:bottom="1560" w:left="1418" w:header="709" w:footer="709" w:gutter="0"/>
          <w:cols w:space="708"/>
          <w:titlePg/>
          <w:docGrid w:linePitch="254"/>
        </w:sectPr>
      </w:pPr>
      <w:r w:rsidRPr="00653CC9">
        <w:rPr>
          <w:rFonts w:eastAsia="Calibri" w:cs="Times New Roman"/>
          <w:szCs w:val="24"/>
          <w:lang w:eastAsia="en-US"/>
        </w:rPr>
        <w:t>Projekt ustawy stosownie do wymogów art. 5 ustawy z dnia 7 lipca 2005 r. o działalności lobbingowe</w:t>
      </w:r>
      <w:r>
        <w:rPr>
          <w:rFonts w:eastAsia="Calibri" w:cs="Times New Roman"/>
          <w:szCs w:val="24"/>
          <w:lang w:eastAsia="en-US"/>
        </w:rPr>
        <w:t>j w procesie stanowienia prawa</w:t>
      </w:r>
      <w:r w:rsidR="008478C3">
        <w:rPr>
          <w:rFonts w:eastAsia="Calibri" w:cs="Times New Roman"/>
          <w:szCs w:val="24"/>
          <w:lang w:eastAsia="en-US"/>
        </w:rPr>
        <w:t xml:space="preserve"> (</w:t>
      </w:r>
      <w:r w:rsidR="008478C3" w:rsidRPr="008478C3">
        <w:rPr>
          <w:rFonts w:eastAsia="Calibri" w:cs="Times New Roman"/>
          <w:szCs w:val="24"/>
          <w:lang w:eastAsia="en-US"/>
        </w:rPr>
        <w:t>Dz. U. z 2017 r. poz. 248</w:t>
      </w:r>
      <w:r w:rsidR="008478C3">
        <w:rPr>
          <w:rFonts w:eastAsia="Calibri" w:cs="Times New Roman"/>
          <w:szCs w:val="24"/>
          <w:lang w:eastAsia="en-US"/>
        </w:rPr>
        <w:t xml:space="preserve">) </w:t>
      </w:r>
      <w:r w:rsidRPr="00653CC9">
        <w:rPr>
          <w:rFonts w:eastAsia="Calibri" w:cs="Times New Roman"/>
          <w:szCs w:val="24"/>
          <w:lang w:eastAsia="en-US"/>
        </w:rPr>
        <w:t>oraz zgodnie z § 52 ust. 1 uchwały nr 190 Rady Ministrów z dnia 29 października 2013 r. – Regulamin pracy R</w:t>
      </w:r>
      <w:r>
        <w:rPr>
          <w:rFonts w:eastAsia="Calibri" w:cs="Times New Roman"/>
          <w:szCs w:val="24"/>
          <w:lang w:eastAsia="en-US"/>
        </w:rPr>
        <w:t>ady Ministrów</w:t>
      </w:r>
      <w:r w:rsidR="008478C3">
        <w:rPr>
          <w:rFonts w:eastAsia="Calibri" w:cs="Times New Roman"/>
          <w:szCs w:val="24"/>
          <w:lang w:eastAsia="en-US"/>
        </w:rPr>
        <w:t xml:space="preserve"> (</w:t>
      </w:r>
      <w:r w:rsidRPr="00653CC9">
        <w:rPr>
          <w:rFonts w:eastAsia="Calibri" w:cs="Times New Roman"/>
          <w:szCs w:val="24"/>
          <w:lang w:eastAsia="en-US"/>
        </w:rPr>
        <w:t xml:space="preserve"> </w:t>
      </w:r>
      <w:r w:rsidR="008478C3" w:rsidRPr="008478C3">
        <w:rPr>
          <w:rFonts w:eastAsia="Calibri" w:cs="Times New Roman"/>
          <w:szCs w:val="24"/>
          <w:lang w:eastAsia="en-US"/>
        </w:rPr>
        <w:t>M.P. z 2022 r. poz. 348</w:t>
      </w:r>
      <w:r w:rsidR="008478C3">
        <w:rPr>
          <w:rFonts w:eastAsia="Calibri" w:cs="Times New Roman"/>
          <w:szCs w:val="24"/>
          <w:lang w:eastAsia="en-US"/>
        </w:rPr>
        <w:t xml:space="preserve">) </w:t>
      </w:r>
      <w:r w:rsidRPr="00653CC9">
        <w:rPr>
          <w:rFonts w:eastAsia="Calibri" w:cs="Times New Roman"/>
          <w:szCs w:val="24"/>
          <w:lang w:eastAsia="en-US"/>
        </w:rPr>
        <w:t>zosta</w:t>
      </w:r>
      <w:r w:rsidR="008C5D99">
        <w:rPr>
          <w:rFonts w:eastAsia="Calibri" w:cs="Times New Roman"/>
          <w:szCs w:val="24"/>
          <w:lang w:eastAsia="en-US"/>
        </w:rPr>
        <w:t>ł</w:t>
      </w:r>
      <w:r w:rsidRPr="00653CC9">
        <w:rPr>
          <w:rFonts w:eastAsia="Calibri" w:cs="Times New Roman"/>
          <w:szCs w:val="24"/>
          <w:lang w:eastAsia="en-US"/>
        </w:rPr>
        <w:t xml:space="preserve"> zamieszczony w Biuletynie Informacji Publicznej na stronie podmiotowej Rządowego Centrum Legislacji, w serwi</w:t>
      </w:r>
      <w:r w:rsidR="00982C84">
        <w:rPr>
          <w:rFonts w:eastAsia="Calibri" w:cs="Times New Roman"/>
          <w:szCs w:val="24"/>
          <w:lang w:eastAsia="en-US"/>
        </w:rPr>
        <w:t>sie Rządowy Proces Legislacyjny</w:t>
      </w:r>
      <w:bookmarkStart w:id="12" w:name="Wybór1"/>
      <w:bookmarkEnd w:id="12"/>
    </w:p>
    <w:tbl>
      <w:tblPr>
        <w:tblW w:w="1094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96"/>
        <w:gridCol w:w="647"/>
        <w:gridCol w:w="425"/>
        <w:gridCol w:w="338"/>
        <w:gridCol w:w="541"/>
        <w:gridCol w:w="168"/>
        <w:gridCol w:w="557"/>
        <w:gridCol w:w="554"/>
        <w:gridCol w:w="16"/>
        <w:gridCol w:w="118"/>
        <w:gridCol w:w="151"/>
        <w:gridCol w:w="300"/>
        <w:gridCol w:w="353"/>
        <w:gridCol w:w="217"/>
        <w:gridCol w:w="570"/>
        <w:gridCol w:w="80"/>
        <w:gridCol w:w="71"/>
        <w:gridCol w:w="419"/>
        <w:gridCol w:w="113"/>
        <w:gridCol w:w="405"/>
        <w:gridCol w:w="51"/>
        <w:gridCol w:w="266"/>
        <w:gridCol w:w="304"/>
        <w:gridCol w:w="317"/>
        <w:gridCol w:w="253"/>
        <w:gridCol w:w="570"/>
        <w:gridCol w:w="115"/>
        <w:gridCol w:w="1422"/>
        <w:gridCol w:w="10"/>
      </w:tblGrid>
      <w:tr w:rsidR="00654783" w14:paraId="3BCD41F5" w14:textId="77777777" w:rsidTr="00CA6AF1">
        <w:trPr>
          <w:gridAfter w:val="1"/>
          <w:wAfter w:w="10" w:type="dxa"/>
          <w:trHeight w:val="1611"/>
        </w:trPr>
        <w:tc>
          <w:tcPr>
            <w:tcW w:w="6631" w:type="dxa"/>
            <w:gridSpan w:val="16"/>
            <w:tcBorders>
              <w:top w:val="single" w:sz="4" w:space="0" w:color="auto"/>
              <w:left w:val="single" w:sz="4" w:space="0" w:color="auto"/>
              <w:bottom w:val="single" w:sz="4" w:space="0" w:color="auto"/>
              <w:right w:val="single" w:sz="4" w:space="0" w:color="auto"/>
            </w:tcBorders>
            <w:hideMark/>
          </w:tcPr>
          <w:p w14:paraId="3C1F7F37" w14:textId="77777777" w:rsidR="00654783" w:rsidRDefault="00654783">
            <w:pPr>
              <w:widowControl/>
              <w:autoSpaceDE/>
              <w:adjustRightInd/>
              <w:spacing w:line="240" w:lineRule="auto"/>
              <w:rPr>
                <w:rFonts w:eastAsia="Calibri" w:cs="Times New Roman"/>
                <w:color w:val="000000"/>
                <w:sz w:val="22"/>
                <w:szCs w:val="22"/>
                <w:lang w:eastAsia="en-US"/>
              </w:rPr>
            </w:pPr>
            <w:bookmarkStart w:id="13" w:name="t1"/>
            <w:r>
              <w:rPr>
                <w:rFonts w:eastAsia="Calibri" w:cs="Times New Roman"/>
                <w:b/>
                <w:color w:val="000000"/>
                <w:sz w:val="22"/>
                <w:szCs w:val="22"/>
                <w:lang w:eastAsia="en-US"/>
              </w:rPr>
              <w:lastRenderedPageBreak/>
              <w:t>Nazwa projektu</w:t>
            </w:r>
          </w:p>
          <w:p w14:paraId="1F60428A" w14:textId="77777777" w:rsidR="00654783" w:rsidRDefault="00654783">
            <w:pPr>
              <w:widowControl/>
              <w:autoSpaceDE/>
              <w:adjustRightInd/>
              <w:spacing w:line="240" w:lineRule="auto"/>
              <w:rPr>
                <w:rFonts w:eastAsia="Calibri" w:cs="Times New Roman"/>
                <w:color w:val="000000"/>
                <w:sz w:val="22"/>
                <w:szCs w:val="22"/>
                <w:lang w:eastAsia="en-US"/>
              </w:rPr>
            </w:pPr>
            <w:r>
              <w:rPr>
                <w:rFonts w:eastAsia="Calibri" w:cs="Times New Roman"/>
                <w:color w:val="000000"/>
                <w:sz w:val="22"/>
                <w:szCs w:val="22"/>
                <w:lang w:eastAsia="en-US"/>
              </w:rPr>
              <w:t>Projekt ustawy o zarządzaniu danymi</w:t>
            </w:r>
          </w:p>
          <w:p w14:paraId="4AE56EA4" w14:textId="77777777" w:rsidR="00654783" w:rsidRDefault="00654783">
            <w:pPr>
              <w:widowControl/>
              <w:autoSpaceDE/>
              <w:adjustRightInd/>
              <w:spacing w:before="120" w:line="240" w:lineRule="auto"/>
              <w:ind w:left="45" w:hanging="45"/>
              <w:rPr>
                <w:rFonts w:eastAsia="Calibri" w:cs="Times New Roman"/>
                <w:b/>
                <w:color w:val="000000"/>
                <w:sz w:val="22"/>
                <w:szCs w:val="22"/>
                <w:lang w:eastAsia="en-US"/>
              </w:rPr>
            </w:pPr>
            <w:r>
              <w:rPr>
                <w:rFonts w:eastAsia="Calibri" w:cs="Times New Roman"/>
                <w:b/>
                <w:color w:val="000000"/>
                <w:sz w:val="22"/>
                <w:szCs w:val="22"/>
                <w:lang w:eastAsia="en-US"/>
              </w:rPr>
              <w:t>Ministerstwo wiodące i ministerstwa współpracujące</w:t>
            </w:r>
            <w:bookmarkEnd w:id="13"/>
          </w:p>
          <w:p w14:paraId="5ED2607E" w14:textId="77777777" w:rsidR="00654783" w:rsidRDefault="00654783">
            <w:pPr>
              <w:widowControl/>
              <w:autoSpaceDE/>
              <w:adjustRightInd/>
              <w:spacing w:line="240" w:lineRule="auto"/>
              <w:ind w:left="34" w:hanging="34"/>
              <w:rPr>
                <w:rFonts w:eastAsia="Calibri" w:cs="Times New Roman"/>
                <w:color w:val="000000"/>
                <w:sz w:val="22"/>
                <w:szCs w:val="22"/>
                <w:lang w:eastAsia="en-US"/>
              </w:rPr>
            </w:pPr>
            <w:r>
              <w:rPr>
                <w:rFonts w:eastAsia="Calibri" w:cs="Times New Roman"/>
                <w:color w:val="000000"/>
                <w:sz w:val="22"/>
                <w:szCs w:val="22"/>
                <w:lang w:eastAsia="en-US"/>
              </w:rPr>
              <w:t>Ministerstwo Cyfryzacji</w:t>
            </w:r>
          </w:p>
          <w:p w14:paraId="47CCB696" w14:textId="77777777" w:rsidR="00654783" w:rsidRDefault="00654783">
            <w:pPr>
              <w:widowControl/>
              <w:autoSpaceDE/>
              <w:adjustRightInd/>
              <w:spacing w:before="120" w:line="240" w:lineRule="auto"/>
              <w:rPr>
                <w:rFonts w:eastAsia="Calibri" w:cs="Times New Roman"/>
                <w:b/>
                <w:sz w:val="21"/>
                <w:szCs w:val="21"/>
                <w:lang w:eastAsia="en-US"/>
              </w:rPr>
            </w:pPr>
            <w:r>
              <w:rPr>
                <w:rFonts w:eastAsia="Calibri" w:cs="Times New Roman"/>
                <w:b/>
                <w:sz w:val="21"/>
                <w:szCs w:val="24"/>
                <w:lang w:eastAsia="en-US"/>
              </w:rPr>
              <w:t>Osoba odpowiedzialna za projekt w randze Ministra, Sekretarza Stanu lub Podsekretarza Stanu</w:t>
            </w:r>
          </w:p>
          <w:p w14:paraId="13857927" w14:textId="77777777" w:rsidR="00654783" w:rsidRDefault="00654783">
            <w:pPr>
              <w:widowControl/>
              <w:autoSpaceDE/>
              <w:adjustRightInd/>
              <w:spacing w:line="240" w:lineRule="auto"/>
              <w:rPr>
                <w:rFonts w:eastAsia="Calibri" w:cs="Times New Roman"/>
                <w:sz w:val="21"/>
                <w:szCs w:val="21"/>
                <w:lang w:eastAsia="en-US"/>
              </w:rPr>
            </w:pPr>
            <w:r>
              <w:rPr>
                <w:rFonts w:eastAsia="Calibri" w:cs="Times New Roman"/>
                <w:sz w:val="21"/>
                <w:szCs w:val="21"/>
                <w:lang w:eastAsia="en-US"/>
              </w:rPr>
              <w:t>Sekretarz Stanu Adam Andruszkiewicz</w:t>
            </w:r>
          </w:p>
          <w:p w14:paraId="02858CC9" w14:textId="77777777" w:rsidR="00654783" w:rsidRDefault="00654783">
            <w:pPr>
              <w:widowControl/>
              <w:autoSpaceDE/>
              <w:adjustRightInd/>
              <w:spacing w:before="120" w:line="240" w:lineRule="auto"/>
              <w:rPr>
                <w:rFonts w:eastAsia="Calibri" w:cs="Times New Roman"/>
                <w:b/>
                <w:color w:val="000000"/>
                <w:sz w:val="22"/>
                <w:szCs w:val="22"/>
                <w:lang w:eastAsia="en-US"/>
              </w:rPr>
            </w:pPr>
            <w:r>
              <w:rPr>
                <w:rFonts w:eastAsia="Calibri" w:cs="Times New Roman"/>
                <w:b/>
                <w:color w:val="000000"/>
                <w:sz w:val="22"/>
                <w:szCs w:val="22"/>
                <w:lang w:eastAsia="en-US"/>
              </w:rPr>
              <w:t>Kontakt do opiekuna merytorycznego projektu</w:t>
            </w:r>
          </w:p>
          <w:p w14:paraId="5D4A61B7" w14:textId="77777777" w:rsidR="00654783" w:rsidRDefault="00654783">
            <w:pPr>
              <w:widowControl/>
              <w:autoSpaceDE/>
              <w:adjustRightInd/>
              <w:spacing w:before="120" w:line="276" w:lineRule="auto"/>
              <w:rPr>
                <w:rFonts w:eastAsia="Calibri" w:cs="Times New Roman"/>
                <w:color w:val="000000"/>
                <w:sz w:val="22"/>
                <w:szCs w:val="22"/>
                <w:lang w:eastAsia="en-US"/>
              </w:rPr>
            </w:pPr>
            <w:r>
              <w:rPr>
                <w:rFonts w:eastAsia="Calibri" w:cs="Times New Roman"/>
                <w:color w:val="000000"/>
                <w:sz w:val="22"/>
                <w:szCs w:val="22"/>
                <w:lang w:eastAsia="en-US"/>
              </w:rPr>
              <w:t xml:space="preserve">Joanna Malczewska, Radca w Wydziale Regulacji Wykorzystywania i Wymiany Danych w Departamencie Zarządzania Danymi, MC, </w:t>
            </w:r>
            <w:hyperlink r:id="rId16" w:history="1">
              <w:r>
                <w:rPr>
                  <w:rStyle w:val="Hipercze"/>
                  <w:rFonts w:eastAsia="Calibri" w:cs="Times New Roman"/>
                  <w:sz w:val="22"/>
                  <w:szCs w:val="22"/>
                  <w:lang w:eastAsia="en-US"/>
                </w:rPr>
                <w:t>Joanna.Malczewska@cyfra.gov.pl</w:t>
              </w:r>
            </w:hyperlink>
          </w:p>
          <w:p w14:paraId="09937EAD" w14:textId="77777777" w:rsidR="00654783" w:rsidRDefault="00654783">
            <w:pPr>
              <w:widowControl/>
              <w:autoSpaceDE/>
              <w:adjustRightInd/>
              <w:spacing w:before="120" w:line="276" w:lineRule="auto"/>
              <w:rPr>
                <w:rFonts w:eastAsia="Calibri" w:cs="Times New Roman"/>
                <w:color w:val="000000"/>
                <w:sz w:val="22"/>
                <w:szCs w:val="22"/>
                <w:lang w:eastAsia="en-US"/>
              </w:rPr>
            </w:pPr>
            <w:r>
              <w:rPr>
                <w:rFonts w:eastAsia="Calibri" w:cs="Times New Roman"/>
                <w:color w:val="000000"/>
                <w:sz w:val="22"/>
                <w:szCs w:val="22"/>
                <w:lang w:eastAsia="en-US"/>
              </w:rPr>
              <w:t xml:space="preserve">Mikołaj Garstka, Radca w Wydziale Regulacji Wykorzystywania i Wymiany Danych w Departamencie Zarządzania Danymi, MC, </w:t>
            </w:r>
            <w:hyperlink r:id="rId17" w:history="1">
              <w:r>
                <w:rPr>
                  <w:rStyle w:val="Hipercze"/>
                  <w:rFonts w:eastAsia="Calibri" w:cs="Times New Roman"/>
                  <w:sz w:val="22"/>
                  <w:szCs w:val="22"/>
                  <w:lang w:eastAsia="en-US"/>
                </w:rPr>
                <w:t>mikolaj.garstka@cyfra.gov.pl</w:t>
              </w:r>
            </w:hyperlink>
          </w:p>
        </w:tc>
        <w:tc>
          <w:tcPr>
            <w:tcW w:w="4306" w:type="dxa"/>
            <w:gridSpan w:val="12"/>
            <w:tcBorders>
              <w:top w:val="single" w:sz="4" w:space="0" w:color="auto"/>
              <w:left w:val="single" w:sz="4" w:space="0" w:color="auto"/>
              <w:bottom w:val="single" w:sz="4" w:space="0" w:color="auto"/>
              <w:right w:val="single" w:sz="4" w:space="0" w:color="auto"/>
            </w:tcBorders>
            <w:shd w:val="clear" w:color="auto" w:fill="FFFFFF"/>
            <w:hideMark/>
          </w:tcPr>
          <w:p w14:paraId="7A6F7A7A" w14:textId="53BF50F8" w:rsidR="00654783" w:rsidRDefault="00654783">
            <w:pPr>
              <w:widowControl/>
              <w:autoSpaceDE/>
              <w:adjustRightInd/>
              <w:spacing w:line="240" w:lineRule="auto"/>
              <w:rPr>
                <w:rFonts w:eastAsia="Calibri" w:cs="Times New Roman"/>
                <w:b/>
                <w:sz w:val="21"/>
                <w:szCs w:val="21"/>
                <w:lang w:eastAsia="en-US"/>
              </w:rPr>
            </w:pPr>
            <w:r>
              <w:rPr>
                <w:rFonts w:eastAsia="Calibri" w:cs="Times New Roman"/>
                <w:b/>
                <w:sz w:val="21"/>
                <w:szCs w:val="21"/>
                <w:lang w:eastAsia="en-US"/>
              </w:rPr>
              <w:t>Data sporządzenia</w:t>
            </w:r>
            <w:r>
              <w:rPr>
                <w:rFonts w:eastAsia="Calibri" w:cs="Times New Roman"/>
                <w:b/>
                <w:sz w:val="21"/>
                <w:szCs w:val="21"/>
                <w:lang w:eastAsia="en-US"/>
              </w:rPr>
              <w:br/>
            </w:r>
            <w:r>
              <w:rPr>
                <w:rFonts w:eastAsia="Calibri" w:cs="Times New Roman"/>
                <w:sz w:val="21"/>
                <w:szCs w:val="21"/>
                <w:lang w:eastAsia="en-US"/>
              </w:rPr>
              <w:t>2023-</w:t>
            </w:r>
            <w:r w:rsidR="00FA1161">
              <w:rPr>
                <w:rFonts w:eastAsia="Calibri" w:cs="Times New Roman"/>
                <w:sz w:val="21"/>
                <w:szCs w:val="21"/>
                <w:lang w:eastAsia="en-US"/>
              </w:rPr>
              <w:t>07</w:t>
            </w:r>
            <w:r>
              <w:rPr>
                <w:rFonts w:eastAsia="Calibri" w:cs="Times New Roman"/>
                <w:sz w:val="21"/>
                <w:szCs w:val="21"/>
                <w:lang w:eastAsia="en-US"/>
              </w:rPr>
              <w:t>-</w:t>
            </w:r>
            <w:r w:rsidR="00FA1161">
              <w:rPr>
                <w:rFonts w:eastAsia="Calibri" w:cs="Times New Roman"/>
                <w:sz w:val="21"/>
                <w:szCs w:val="21"/>
                <w:lang w:eastAsia="en-US"/>
              </w:rPr>
              <w:t>0</w:t>
            </w:r>
            <w:r w:rsidR="008C5D99">
              <w:rPr>
                <w:rFonts w:eastAsia="Calibri" w:cs="Times New Roman"/>
                <w:sz w:val="21"/>
                <w:szCs w:val="21"/>
                <w:lang w:eastAsia="en-US"/>
              </w:rPr>
              <w:t>13</w:t>
            </w:r>
          </w:p>
          <w:p w14:paraId="21BA8D0A" w14:textId="77777777" w:rsidR="00654783" w:rsidRDefault="00654783">
            <w:pPr>
              <w:widowControl/>
              <w:autoSpaceDE/>
              <w:adjustRightInd/>
              <w:spacing w:before="120" w:line="240" w:lineRule="auto"/>
              <w:rPr>
                <w:rFonts w:eastAsia="Calibri" w:cs="Times New Roman"/>
                <w:b/>
                <w:sz w:val="22"/>
                <w:szCs w:val="22"/>
                <w:lang w:eastAsia="en-US"/>
              </w:rPr>
            </w:pPr>
            <w:bookmarkStart w:id="14" w:name="Lista1"/>
            <w:r>
              <w:rPr>
                <w:rFonts w:eastAsia="Calibri" w:cs="Times New Roman"/>
                <w:b/>
                <w:sz w:val="22"/>
                <w:szCs w:val="22"/>
                <w:lang w:eastAsia="en-US"/>
              </w:rPr>
              <w:t>Źródło:</w:t>
            </w:r>
            <w:bookmarkEnd w:id="14"/>
          </w:p>
          <w:p w14:paraId="0CC16FB5" w14:textId="77777777" w:rsidR="00654783" w:rsidRDefault="00654783">
            <w:pPr>
              <w:widowControl/>
              <w:autoSpaceDE/>
              <w:adjustRightInd/>
              <w:spacing w:line="240" w:lineRule="auto"/>
              <w:jc w:val="both"/>
              <w:rPr>
                <w:rFonts w:eastAsia="Calibri" w:cs="Times New Roman"/>
                <w:sz w:val="22"/>
                <w:szCs w:val="22"/>
                <w:lang w:eastAsia="en-US"/>
              </w:rPr>
            </w:pPr>
            <w:r>
              <w:rPr>
                <w:rFonts w:eastAsia="Calibri" w:cs="Times New Roman"/>
                <w:sz w:val="22"/>
                <w:szCs w:val="22"/>
                <w:lang w:eastAsia="en-US"/>
              </w:rPr>
              <w:t>Prawo UE (rozporządzenie)</w:t>
            </w:r>
          </w:p>
          <w:p w14:paraId="73E739A2" w14:textId="617A643A" w:rsidR="00654783" w:rsidRDefault="00654783">
            <w:pPr>
              <w:widowControl/>
              <w:autoSpaceDE/>
              <w:adjustRightInd/>
              <w:spacing w:line="240" w:lineRule="auto"/>
              <w:jc w:val="both"/>
              <w:rPr>
                <w:rFonts w:eastAsia="Calibri" w:cs="Times New Roman"/>
                <w:sz w:val="22"/>
                <w:szCs w:val="22"/>
                <w:lang w:eastAsia="en-US"/>
              </w:rPr>
            </w:pPr>
            <w:r>
              <w:rPr>
                <w:rFonts w:eastAsia="Calibri" w:cs="Times New Roman"/>
                <w:sz w:val="22"/>
                <w:szCs w:val="22"/>
                <w:lang w:eastAsia="en-US"/>
              </w:rPr>
              <w:t>Rozporządzenie Parlamentu Europejskiego i Rady (UE) 2022/868 z dnia 30 maja 2022 r. w sprawie eur</w:t>
            </w:r>
            <w:r w:rsidR="00542AB5">
              <w:rPr>
                <w:rFonts w:eastAsia="Calibri" w:cs="Times New Roman"/>
                <w:sz w:val="22"/>
                <w:szCs w:val="22"/>
                <w:lang w:eastAsia="en-US"/>
              </w:rPr>
              <w:t>opejskiego zarządzania danymi i </w:t>
            </w:r>
            <w:r>
              <w:rPr>
                <w:rFonts w:eastAsia="Calibri" w:cs="Times New Roman"/>
                <w:sz w:val="22"/>
                <w:szCs w:val="22"/>
                <w:lang w:eastAsia="en-US"/>
              </w:rPr>
              <w:t>zmieniające rozporządzenie (UE) 2018/1724 (akt w sprawie zarządzania danymi) (Dz. Urz. UE L 152 z 03.06.2022, str. 1)</w:t>
            </w:r>
          </w:p>
          <w:p w14:paraId="089AF59D" w14:textId="5FCAAA74" w:rsidR="00654783" w:rsidRDefault="00654783" w:rsidP="00542AB5">
            <w:pPr>
              <w:widowControl/>
              <w:autoSpaceDE/>
              <w:adjustRightInd/>
              <w:spacing w:before="120" w:line="240" w:lineRule="auto"/>
              <w:rPr>
                <w:rFonts w:eastAsia="Calibri" w:cs="Times New Roman"/>
                <w:b/>
                <w:color w:val="000000"/>
                <w:sz w:val="22"/>
                <w:szCs w:val="22"/>
                <w:lang w:eastAsia="en-US"/>
              </w:rPr>
            </w:pPr>
            <w:r w:rsidRPr="00542AB5">
              <w:rPr>
                <w:rFonts w:eastAsia="Calibri" w:cs="Times New Roman"/>
                <w:b/>
                <w:color w:val="000000"/>
                <w:sz w:val="22"/>
                <w:szCs w:val="22"/>
                <w:lang w:eastAsia="en-US"/>
              </w:rPr>
              <w:t xml:space="preserve">Nr w wykazie prac </w:t>
            </w:r>
            <w:r w:rsidR="00542AB5" w:rsidRPr="00542AB5">
              <w:rPr>
                <w:rFonts w:eastAsia="Calibri" w:cs="Times New Roman"/>
                <w:b/>
                <w:color w:val="000000"/>
                <w:sz w:val="22"/>
                <w:szCs w:val="22"/>
                <w:lang w:eastAsia="en-US"/>
              </w:rPr>
              <w:t>UC146</w:t>
            </w:r>
          </w:p>
        </w:tc>
      </w:tr>
      <w:tr w:rsidR="00654783" w14:paraId="504C9053" w14:textId="77777777" w:rsidTr="00CA6AF1">
        <w:trPr>
          <w:gridAfter w:val="1"/>
          <w:wAfter w:w="10" w:type="dxa"/>
          <w:trHeight w:val="142"/>
        </w:trPr>
        <w:tc>
          <w:tcPr>
            <w:tcW w:w="10937" w:type="dxa"/>
            <w:gridSpan w:val="28"/>
            <w:tcBorders>
              <w:top w:val="single" w:sz="4" w:space="0" w:color="auto"/>
              <w:left w:val="single" w:sz="4" w:space="0" w:color="auto"/>
              <w:bottom w:val="single" w:sz="4" w:space="0" w:color="auto"/>
              <w:right w:val="single" w:sz="4" w:space="0" w:color="auto"/>
            </w:tcBorders>
            <w:shd w:val="clear" w:color="auto" w:fill="99CCFF"/>
            <w:hideMark/>
          </w:tcPr>
          <w:p w14:paraId="4C681724" w14:textId="77777777" w:rsidR="00654783" w:rsidRDefault="00654783">
            <w:pPr>
              <w:widowControl/>
              <w:autoSpaceDE/>
              <w:adjustRightInd/>
              <w:spacing w:line="240" w:lineRule="auto"/>
              <w:ind w:left="57"/>
              <w:jc w:val="center"/>
              <w:rPr>
                <w:rFonts w:eastAsia="Calibri" w:cs="Times New Roman"/>
                <w:b/>
                <w:color w:val="FFFFFF"/>
                <w:sz w:val="32"/>
                <w:szCs w:val="32"/>
                <w:lang w:eastAsia="en-US"/>
              </w:rPr>
            </w:pPr>
            <w:r>
              <w:rPr>
                <w:rFonts w:eastAsia="Calibri" w:cs="Times New Roman"/>
                <w:b/>
                <w:color w:val="FFFFFF"/>
                <w:sz w:val="32"/>
                <w:szCs w:val="32"/>
                <w:lang w:eastAsia="en-US"/>
              </w:rPr>
              <w:t>OCENA SKUTKÓW REGULACJI</w:t>
            </w:r>
          </w:p>
        </w:tc>
      </w:tr>
      <w:tr w:rsidR="00654783" w14:paraId="39BBF362" w14:textId="77777777" w:rsidTr="00CA6AF1">
        <w:trPr>
          <w:gridAfter w:val="1"/>
          <w:wAfter w:w="10" w:type="dxa"/>
          <w:trHeight w:val="333"/>
        </w:trPr>
        <w:tc>
          <w:tcPr>
            <w:tcW w:w="10937" w:type="dxa"/>
            <w:gridSpan w:val="28"/>
            <w:tcBorders>
              <w:top w:val="single" w:sz="4" w:space="0" w:color="auto"/>
              <w:left w:val="single" w:sz="4" w:space="0" w:color="auto"/>
              <w:bottom w:val="single" w:sz="4" w:space="0" w:color="auto"/>
              <w:right w:val="single" w:sz="4" w:space="0" w:color="auto"/>
            </w:tcBorders>
            <w:shd w:val="clear" w:color="auto" w:fill="99CCFF"/>
            <w:vAlign w:val="center"/>
            <w:hideMark/>
          </w:tcPr>
          <w:p w14:paraId="2449AE99" w14:textId="77777777" w:rsidR="00654783" w:rsidRDefault="00654783" w:rsidP="00654783">
            <w:pPr>
              <w:widowControl/>
              <w:numPr>
                <w:ilvl w:val="0"/>
                <w:numId w:val="18"/>
              </w:numPr>
              <w:autoSpaceDE/>
              <w:adjustRightInd/>
              <w:spacing w:before="60" w:after="60" w:line="240" w:lineRule="auto"/>
              <w:ind w:left="318" w:hanging="284"/>
              <w:jc w:val="both"/>
              <w:rPr>
                <w:rFonts w:eastAsia="Calibri" w:cs="Times New Roman"/>
                <w:b/>
                <w:color w:val="000000"/>
                <w:sz w:val="22"/>
                <w:szCs w:val="22"/>
                <w:lang w:eastAsia="en-US"/>
              </w:rPr>
            </w:pPr>
            <w:r>
              <w:rPr>
                <w:rFonts w:eastAsia="Calibri" w:cs="Times New Roman"/>
                <w:b/>
                <w:sz w:val="22"/>
                <w:szCs w:val="22"/>
                <w:lang w:eastAsia="en-US"/>
              </w:rPr>
              <w:t>Jaki problem jest rozwiązywany?</w:t>
            </w:r>
          </w:p>
        </w:tc>
      </w:tr>
      <w:tr w:rsidR="00654783" w14:paraId="0ED2EB8F" w14:textId="77777777" w:rsidTr="00CA6AF1">
        <w:trPr>
          <w:gridAfter w:val="1"/>
          <w:wAfter w:w="10" w:type="dxa"/>
          <w:trHeight w:val="142"/>
        </w:trPr>
        <w:tc>
          <w:tcPr>
            <w:tcW w:w="10937" w:type="dxa"/>
            <w:gridSpan w:val="28"/>
            <w:tcBorders>
              <w:top w:val="single" w:sz="4" w:space="0" w:color="auto"/>
              <w:left w:val="single" w:sz="4" w:space="0" w:color="auto"/>
              <w:bottom w:val="single" w:sz="4" w:space="0" w:color="auto"/>
              <w:right w:val="single" w:sz="4" w:space="0" w:color="auto"/>
            </w:tcBorders>
            <w:shd w:val="clear" w:color="auto" w:fill="FFFFFF"/>
            <w:hideMark/>
          </w:tcPr>
          <w:p w14:paraId="7A74BB3C" w14:textId="35B10157" w:rsidR="00654783" w:rsidRDefault="008C5D99">
            <w:pPr>
              <w:widowControl/>
              <w:autoSpaceDE/>
              <w:adjustRightInd/>
              <w:spacing w:line="276" w:lineRule="auto"/>
              <w:jc w:val="both"/>
              <w:rPr>
                <w:rFonts w:eastAsia="Calibri" w:cs="Times New Roman"/>
                <w:color w:val="000000"/>
                <w:sz w:val="22"/>
                <w:szCs w:val="22"/>
                <w:lang w:eastAsia="en-US"/>
              </w:rPr>
            </w:pPr>
            <w:r>
              <w:rPr>
                <w:rFonts w:eastAsia="Calibri" w:cs="Times New Roman"/>
                <w:color w:val="000000"/>
                <w:sz w:val="22"/>
                <w:szCs w:val="22"/>
                <w:lang w:eastAsia="en-US"/>
              </w:rPr>
              <w:t xml:space="preserve">W dniu </w:t>
            </w:r>
            <w:r w:rsidR="00654783">
              <w:rPr>
                <w:rFonts w:eastAsia="Calibri" w:cs="Times New Roman"/>
                <w:color w:val="000000"/>
                <w:sz w:val="22"/>
                <w:szCs w:val="22"/>
                <w:lang w:eastAsia="en-US"/>
              </w:rPr>
              <w:t>23 czerwca 2022 r. weszło w życie rozporządzenie Parlamentu Europejskiego i Rady (UE) 2022/868 z dnia 30 maja 2022 r. w sprawie europejskiego zarządzania danymi i zmieniające rozporządzenie (UE) 2018/1724 (akt w sprawie zarządzania danymi) (Dz. Urz. UE L 152 z 03.06.2022, str. 1) (dalej jako: DGA lub rozporządzenie). DGA reguluje trzy główne obszary:</w:t>
            </w:r>
          </w:p>
          <w:p w14:paraId="6B3FD552" w14:textId="2D876275" w:rsidR="00654783" w:rsidRDefault="00654783" w:rsidP="00654783">
            <w:pPr>
              <w:widowControl/>
              <w:numPr>
                <w:ilvl w:val="0"/>
                <w:numId w:val="19"/>
              </w:numPr>
              <w:autoSpaceDE/>
              <w:adjustRightInd/>
              <w:spacing w:before="120" w:line="276" w:lineRule="auto"/>
              <w:ind w:left="346" w:hanging="357"/>
              <w:jc w:val="both"/>
              <w:rPr>
                <w:rFonts w:eastAsia="Calibri" w:cs="Times New Roman"/>
                <w:color w:val="000000"/>
                <w:sz w:val="22"/>
                <w:szCs w:val="22"/>
                <w:lang w:eastAsia="en-US"/>
              </w:rPr>
            </w:pPr>
            <w:r>
              <w:rPr>
                <w:rFonts w:eastAsia="Calibri" w:cs="Times New Roman"/>
                <w:color w:val="000000"/>
                <w:sz w:val="22"/>
                <w:szCs w:val="22"/>
                <w:lang w:eastAsia="en-US"/>
              </w:rPr>
              <w:t>Ponowne wykorzystywanie niektórych kategorii chronionych danych będących w posiadaniu podmiotów sektora publicznego, dalej jako „chronione dane”</w:t>
            </w:r>
            <w:r>
              <w:rPr>
                <w:rFonts w:eastAsia="Calibri" w:cs="Times New Roman"/>
                <w:sz w:val="22"/>
                <w:szCs w:val="22"/>
                <w:lang w:eastAsia="en-US"/>
              </w:rPr>
              <w:t xml:space="preserve">, tj. </w:t>
            </w:r>
            <w:r>
              <w:rPr>
                <w:rFonts w:eastAsia="Calibri" w:cs="Times New Roman"/>
                <w:color w:val="000000"/>
                <w:sz w:val="22"/>
                <w:szCs w:val="22"/>
                <w:lang w:eastAsia="en-US"/>
              </w:rPr>
              <w:t>danych wyłączonych z zakresu regulacji dyrektywy</w:t>
            </w:r>
            <w:r>
              <w:rPr>
                <w:rFonts w:eastAsia="Calibri" w:cs="Times New Roman"/>
                <w:sz w:val="22"/>
                <w:szCs w:val="22"/>
                <w:lang w:eastAsia="en-US"/>
              </w:rPr>
              <w:t xml:space="preserve"> </w:t>
            </w:r>
            <w:r>
              <w:rPr>
                <w:rFonts w:eastAsia="Calibri" w:cs="Times New Roman"/>
                <w:color w:val="000000"/>
                <w:sz w:val="22"/>
                <w:szCs w:val="22"/>
                <w:lang w:eastAsia="en-US"/>
              </w:rPr>
              <w:t>Parlamentu Europejskiego i Rady (UE) 2019/1024 z dnia 20 czerwca 2019 r. w sprawie otwartych danych i ponownego wykorzystywania informacji sektora publicznego (Dz. Urz. UE L 172 z 26.06.2019, st</w:t>
            </w:r>
            <w:r w:rsidR="00542AB5">
              <w:rPr>
                <w:rFonts w:eastAsia="Calibri" w:cs="Times New Roman"/>
                <w:color w:val="000000"/>
                <w:sz w:val="22"/>
                <w:szCs w:val="22"/>
                <w:lang w:eastAsia="en-US"/>
              </w:rPr>
              <w:t>r. 56), dalej jako „dyrektywa w </w:t>
            </w:r>
            <w:r>
              <w:rPr>
                <w:rFonts w:eastAsia="Calibri" w:cs="Times New Roman"/>
                <w:color w:val="000000"/>
                <w:sz w:val="22"/>
                <w:szCs w:val="22"/>
                <w:lang w:eastAsia="en-US"/>
              </w:rPr>
              <w:t>sprawie otwartych danych”. Regulacje te dotyczą danych chronionych ze względu na:</w:t>
            </w:r>
          </w:p>
          <w:p w14:paraId="0AE7939E" w14:textId="77777777" w:rsidR="00654783" w:rsidRDefault="00654783" w:rsidP="00654783">
            <w:pPr>
              <w:widowControl/>
              <w:numPr>
                <w:ilvl w:val="0"/>
                <w:numId w:val="20"/>
              </w:numPr>
              <w:autoSpaceDE/>
              <w:adjustRightInd/>
              <w:spacing w:line="276" w:lineRule="auto"/>
              <w:ind w:left="772"/>
              <w:contextualSpacing/>
              <w:jc w:val="both"/>
              <w:rPr>
                <w:rFonts w:eastAsia="Calibri" w:cs="Times New Roman"/>
                <w:color w:val="000000"/>
                <w:sz w:val="22"/>
                <w:szCs w:val="22"/>
                <w:lang w:eastAsia="en-US"/>
              </w:rPr>
            </w:pPr>
            <w:r>
              <w:rPr>
                <w:rFonts w:eastAsia="Calibri" w:cs="Times New Roman"/>
                <w:color w:val="000000"/>
                <w:sz w:val="22"/>
                <w:szCs w:val="22"/>
                <w:lang w:eastAsia="en-US"/>
              </w:rPr>
              <w:t>poufność informacji handlowych, w tym tajemnicę handlową, zawodową i tajemnicę przedsiębiorstwa,</w:t>
            </w:r>
          </w:p>
          <w:p w14:paraId="7116CC5E" w14:textId="77777777" w:rsidR="00654783" w:rsidRDefault="00654783" w:rsidP="00654783">
            <w:pPr>
              <w:widowControl/>
              <w:numPr>
                <w:ilvl w:val="0"/>
                <w:numId w:val="20"/>
              </w:numPr>
              <w:autoSpaceDE/>
              <w:adjustRightInd/>
              <w:spacing w:line="276" w:lineRule="auto"/>
              <w:ind w:left="772"/>
              <w:contextualSpacing/>
              <w:jc w:val="both"/>
              <w:rPr>
                <w:rFonts w:eastAsia="Calibri" w:cs="Times New Roman"/>
                <w:color w:val="000000"/>
                <w:sz w:val="22"/>
                <w:szCs w:val="22"/>
                <w:lang w:eastAsia="en-US"/>
              </w:rPr>
            </w:pPr>
            <w:r>
              <w:rPr>
                <w:rFonts w:eastAsia="Calibri" w:cs="Times New Roman"/>
                <w:color w:val="000000"/>
                <w:sz w:val="22"/>
                <w:szCs w:val="22"/>
                <w:lang w:eastAsia="en-US"/>
              </w:rPr>
              <w:t>poufność informacji statystycznych,</w:t>
            </w:r>
          </w:p>
          <w:p w14:paraId="12AB264A" w14:textId="77777777" w:rsidR="00654783" w:rsidRDefault="00654783" w:rsidP="00654783">
            <w:pPr>
              <w:widowControl/>
              <w:numPr>
                <w:ilvl w:val="0"/>
                <w:numId w:val="20"/>
              </w:numPr>
              <w:autoSpaceDE/>
              <w:adjustRightInd/>
              <w:spacing w:line="276" w:lineRule="auto"/>
              <w:ind w:left="772"/>
              <w:contextualSpacing/>
              <w:jc w:val="both"/>
              <w:rPr>
                <w:rFonts w:eastAsia="Calibri" w:cs="Times New Roman"/>
                <w:color w:val="000000"/>
                <w:sz w:val="22"/>
                <w:szCs w:val="22"/>
                <w:lang w:eastAsia="en-US"/>
              </w:rPr>
            </w:pPr>
            <w:r>
              <w:rPr>
                <w:rFonts w:eastAsia="Calibri" w:cs="Times New Roman"/>
                <w:color w:val="000000"/>
                <w:sz w:val="22"/>
                <w:szCs w:val="22"/>
                <w:lang w:eastAsia="en-US"/>
              </w:rPr>
              <w:t>ochronę praw własności intelektualnej osób trzecich,</w:t>
            </w:r>
          </w:p>
          <w:p w14:paraId="4AE8AD57" w14:textId="01E4831F" w:rsidR="00654783" w:rsidRDefault="00654783" w:rsidP="00654783">
            <w:pPr>
              <w:widowControl/>
              <w:numPr>
                <w:ilvl w:val="0"/>
                <w:numId w:val="20"/>
              </w:numPr>
              <w:autoSpaceDE/>
              <w:adjustRightInd/>
              <w:spacing w:line="276" w:lineRule="auto"/>
              <w:ind w:left="743" w:hanging="331"/>
              <w:contextualSpacing/>
              <w:jc w:val="both"/>
              <w:rPr>
                <w:rFonts w:eastAsia="Calibri" w:cs="Times New Roman"/>
                <w:color w:val="000000"/>
                <w:sz w:val="22"/>
                <w:szCs w:val="22"/>
                <w:lang w:eastAsia="en-US"/>
              </w:rPr>
            </w:pPr>
            <w:r>
              <w:rPr>
                <w:rFonts w:eastAsia="Calibri" w:cs="Times New Roman"/>
                <w:color w:val="000000"/>
                <w:sz w:val="22"/>
                <w:szCs w:val="22"/>
                <w:lang w:eastAsia="en-US"/>
              </w:rPr>
              <w:t>ochronę danych osobowych w zakresie, w jakim dane te wykraczają poz</w:t>
            </w:r>
            <w:r w:rsidR="00542AB5">
              <w:rPr>
                <w:rFonts w:eastAsia="Calibri" w:cs="Times New Roman"/>
                <w:color w:val="000000"/>
                <w:sz w:val="22"/>
                <w:szCs w:val="22"/>
                <w:lang w:eastAsia="en-US"/>
              </w:rPr>
              <w:t>a zakres stosowania dyrektywy w </w:t>
            </w:r>
            <w:r>
              <w:rPr>
                <w:rFonts w:eastAsia="Calibri" w:cs="Times New Roman"/>
                <w:color w:val="000000"/>
                <w:sz w:val="22"/>
                <w:szCs w:val="22"/>
                <w:lang w:eastAsia="en-US"/>
              </w:rPr>
              <w:t>sprawie otwartych danych.</w:t>
            </w:r>
          </w:p>
          <w:p w14:paraId="5B4EAEE2" w14:textId="77777777" w:rsidR="00654783" w:rsidRDefault="00654783" w:rsidP="00654783">
            <w:pPr>
              <w:widowControl/>
              <w:numPr>
                <w:ilvl w:val="0"/>
                <w:numId w:val="19"/>
              </w:numPr>
              <w:autoSpaceDE/>
              <w:adjustRightInd/>
              <w:spacing w:before="120" w:line="276" w:lineRule="auto"/>
              <w:ind w:left="346" w:hanging="357"/>
              <w:jc w:val="both"/>
              <w:rPr>
                <w:rFonts w:eastAsia="Calibri" w:cs="Times New Roman"/>
                <w:color w:val="000000"/>
                <w:sz w:val="22"/>
                <w:szCs w:val="22"/>
                <w:lang w:eastAsia="en-US"/>
              </w:rPr>
            </w:pPr>
            <w:r>
              <w:rPr>
                <w:rFonts w:eastAsia="Calibri" w:cs="Times New Roman"/>
                <w:color w:val="000000"/>
                <w:sz w:val="22"/>
                <w:szCs w:val="22"/>
                <w:lang w:eastAsia="en-US"/>
              </w:rPr>
              <w:t>Usługi pośrednictwa danych</w:t>
            </w:r>
          </w:p>
          <w:p w14:paraId="7497EA7E" w14:textId="77777777" w:rsidR="00654783" w:rsidRDefault="00654783" w:rsidP="00654783">
            <w:pPr>
              <w:widowControl/>
              <w:numPr>
                <w:ilvl w:val="0"/>
                <w:numId w:val="19"/>
              </w:numPr>
              <w:autoSpaceDE/>
              <w:adjustRightInd/>
              <w:spacing w:before="120" w:line="276" w:lineRule="auto"/>
              <w:ind w:left="346" w:hanging="357"/>
              <w:jc w:val="both"/>
              <w:rPr>
                <w:rFonts w:eastAsia="Calibri" w:cs="Times New Roman"/>
                <w:color w:val="000000"/>
                <w:sz w:val="22"/>
                <w:szCs w:val="22"/>
                <w:lang w:eastAsia="en-US"/>
              </w:rPr>
            </w:pPr>
            <w:r>
              <w:rPr>
                <w:rFonts w:eastAsia="Calibri" w:cs="Times New Roman"/>
                <w:color w:val="000000"/>
                <w:sz w:val="22"/>
                <w:szCs w:val="22"/>
                <w:lang w:eastAsia="en-US"/>
              </w:rPr>
              <w:t>Altruizm danych</w:t>
            </w:r>
          </w:p>
          <w:p w14:paraId="030BCE2D" w14:textId="77777777" w:rsidR="00654783" w:rsidRDefault="00654783">
            <w:pPr>
              <w:widowControl/>
              <w:autoSpaceDE/>
              <w:adjustRightInd/>
              <w:spacing w:before="120" w:line="276" w:lineRule="auto"/>
              <w:ind w:left="-11"/>
              <w:jc w:val="both"/>
              <w:rPr>
                <w:rFonts w:eastAsia="Calibri" w:cs="Times New Roman"/>
                <w:color w:val="000000"/>
                <w:sz w:val="22"/>
                <w:szCs w:val="22"/>
                <w:lang w:eastAsia="en-US"/>
              </w:rPr>
            </w:pPr>
            <w:r>
              <w:rPr>
                <w:rFonts w:eastAsia="Calibri" w:cs="Times New Roman"/>
                <w:color w:val="000000"/>
                <w:sz w:val="22"/>
                <w:szCs w:val="22"/>
                <w:lang w:eastAsia="en-US"/>
              </w:rPr>
              <w:t>W rozporządzeniu uregulowano również funkcjonowanie Europejskiej Rady ds. Innowacji w zakresie Danych, a także problematykę dostępu międzynarodowego oraz przekazywania międzynarodowego w kontekście danych nieosobowych.</w:t>
            </w:r>
          </w:p>
          <w:p w14:paraId="76F1451F" w14:textId="2762ACDD" w:rsidR="00654783" w:rsidRDefault="00654783">
            <w:pPr>
              <w:widowControl/>
              <w:autoSpaceDE/>
              <w:adjustRightInd/>
              <w:spacing w:before="120" w:line="276" w:lineRule="auto"/>
              <w:ind w:left="-11"/>
              <w:jc w:val="both"/>
              <w:rPr>
                <w:rFonts w:eastAsia="Calibri" w:cs="Times New Roman"/>
                <w:sz w:val="22"/>
                <w:szCs w:val="22"/>
                <w:lang w:eastAsia="en-US"/>
              </w:rPr>
            </w:pPr>
            <w:r>
              <w:rPr>
                <w:rFonts w:eastAsia="Calibri" w:cs="Times New Roman"/>
                <w:color w:val="000000"/>
                <w:sz w:val="22"/>
                <w:szCs w:val="22"/>
                <w:lang w:eastAsia="en-US"/>
              </w:rPr>
              <w:t>DGA wprowadza horyzontalne ramy zarządzania danymi. Poziom unifikacji przepisów dotyczących systemu stosowania rozporządzenia nie jest jednak pełny. Prawodawca unijny pozostawił państwom członkowskim pewną swobodę w zakresie organizacji tego systemu. W największym stopniu dotyczy to zorganizowania otoczenia i</w:t>
            </w:r>
            <w:r w:rsidR="007D2B90">
              <w:rPr>
                <w:rFonts w:eastAsia="Calibri" w:cs="Times New Roman"/>
                <w:color w:val="000000"/>
                <w:sz w:val="22"/>
                <w:szCs w:val="22"/>
                <w:lang w:eastAsia="en-US"/>
              </w:rPr>
              <w:t>nstytucjonalno-regulacyjnego. W </w:t>
            </w:r>
            <w:r>
              <w:rPr>
                <w:rFonts w:eastAsia="Calibri" w:cs="Times New Roman"/>
                <w:color w:val="000000"/>
                <w:sz w:val="22"/>
                <w:szCs w:val="22"/>
                <w:lang w:eastAsia="en-US"/>
              </w:rPr>
              <w:t>aspekcie instytucjonalnym każde państwo członkowskie zobowiązane jest powołać lub wyznaczyć podmioty</w:t>
            </w:r>
            <w:r>
              <w:rPr>
                <w:rFonts w:eastAsia="Calibri" w:cs="Times New Roman"/>
                <w:sz w:val="22"/>
                <w:szCs w:val="22"/>
                <w:lang w:eastAsia="en-US"/>
              </w:rPr>
              <w:t>, które pełnić będą zadania właściwego podmiotu oraz pojedynczego punktu informacyjnego (w odniesieniu do ponownego wykorzystywania chronionych danych), a także organu właściwego do spraw usług pośrednictwa danych oraz organu właściwego do spraw rejestracji organizacji altruizmu danych. Podmioty te powinny być zdolne do realizacji zadań wskazanych w rozporządzeniu. W aspekcie regulacyjnym DGA nakłada na państwa członkowskie obowiązek unormowania w prawie krajowym niektórych kwestii proceduralnych, a także wymaga ustanowienia przepisów dotyczących kar za naruszenie obowiązków przewidzianych w rozporządzeniu.</w:t>
            </w:r>
          </w:p>
          <w:p w14:paraId="20F5BFFC" w14:textId="77777777" w:rsidR="00654783" w:rsidRDefault="00654783">
            <w:pPr>
              <w:widowControl/>
              <w:autoSpaceDE/>
              <w:adjustRightInd/>
              <w:spacing w:before="120" w:line="240" w:lineRule="auto"/>
              <w:jc w:val="both"/>
              <w:rPr>
                <w:rFonts w:eastAsia="Calibri" w:cs="Times New Roman"/>
                <w:color w:val="000000"/>
                <w:sz w:val="22"/>
                <w:szCs w:val="22"/>
                <w:lang w:eastAsia="en-US"/>
              </w:rPr>
            </w:pPr>
            <w:r>
              <w:rPr>
                <w:rFonts w:eastAsia="Calibri" w:cs="Times New Roman"/>
                <w:color w:val="000000"/>
                <w:sz w:val="22"/>
                <w:szCs w:val="22"/>
                <w:lang w:eastAsia="en-US"/>
              </w:rPr>
              <w:t>Rozporządzenie będzie stosowane bezpośrednio we wszystkich państwach członkowskich od 24 września 2023 r. W związku z tym, że polskie prawo nie przewiduje obecnie rozwiązań, które odpowiadałyby mechanizmom regulowanym przez DGA, konieczne jest uchwalenie krajowych regulacji, które będą służyć stosowaniu przepisów rozporządzenia.</w:t>
            </w:r>
          </w:p>
        </w:tc>
      </w:tr>
      <w:tr w:rsidR="00654783" w14:paraId="392EF400" w14:textId="77777777" w:rsidTr="00CA6AF1">
        <w:trPr>
          <w:gridAfter w:val="1"/>
          <w:wAfter w:w="10" w:type="dxa"/>
          <w:trHeight w:val="142"/>
        </w:trPr>
        <w:tc>
          <w:tcPr>
            <w:tcW w:w="10937" w:type="dxa"/>
            <w:gridSpan w:val="28"/>
            <w:tcBorders>
              <w:top w:val="single" w:sz="4" w:space="0" w:color="auto"/>
              <w:left w:val="single" w:sz="4" w:space="0" w:color="auto"/>
              <w:bottom w:val="single" w:sz="4" w:space="0" w:color="auto"/>
              <w:right w:val="single" w:sz="4" w:space="0" w:color="auto"/>
            </w:tcBorders>
            <w:shd w:val="clear" w:color="auto" w:fill="99CCFF"/>
            <w:vAlign w:val="center"/>
            <w:hideMark/>
          </w:tcPr>
          <w:p w14:paraId="4CA38B97" w14:textId="77777777" w:rsidR="00654783" w:rsidRDefault="00654783" w:rsidP="00654783">
            <w:pPr>
              <w:widowControl/>
              <w:numPr>
                <w:ilvl w:val="0"/>
                <w:numId w:val="18"/>
              </w:numPr>
              <w:autoSpaceDE/>
              <w:adjustRightInd/>
              <w:spacing w:before="60" w:after="60" w:line="240" w:lineRule="auto"/>
              <w:ind w:left="318" w:hanging="284"/>
              <w:jc w:val="both"/>
              <w:rPr>
                <w:rFonts w:eastAsia="Calibri" w:cs="Times New Roman"/>
                <w:b/>
                <w:color w:val="000000"/>
                <w:sz w:val="22"/>
                <w:szCs w:val="22"/>
                <w:lang w:eastAsia="en-US"/>
              </w:rPr>
            </w:pPr>
            <w:r>
              <w:rPr>
                <w:rFonts w:eastAsia="Calibri" w:cs="Times New Roman"/>
                <w:b/>
                <w:color w:val="000000"/>
                <w:spacing w:val="-2"/>
                <w:sz w:val="22"/>
                <w:szCs w:val="22"/>
                <w:lang w:eastAsia="en-US"/>
              </w:rPr>
              <w:lastRenderedPageBreak/>
              <w:t>Rekomendowane rozwiązanie, w tym planowane narzędzia interwencji, i oczekiwany efekt</w:t>
            </w:r>
          </w:p>
        </w:tc>
      </w:tr>
      <w:tr w:rsidR="00654783" w14:paraId="6E0CA04C" w14:textId="77777777" w:rsidTr="00CA6AF1">
        <w:trPr>
          <w:gridAfter w:val="1"/>
          <w:wAfter w:w="10" w:type="dxa"/>
          <w:trHeight w:val="142"/>
        </w:trPr>
        <w:tc>
          <w:tcPr>
            <w:tcW w:w="10937" w:type="dxa"/>
            <w:gridSpan w:val="28"/>
            <w:tcBorders>
              <w:top w:val="single" w:sz="4" w:space="0" w:color="auto"/>
              <w:left w:val="single" w:sz="4" w:space="0" w:color="auto"/>
              <w:bottom w:val="single" w:sz="4" w:space="0" w:color="auto"/>
              <w:right w:val="single" w:sz="4" w:space="0" w:color="auto"/>
            </w:tcBorders>
            <w:hideMark/>
          </w:tcPr>
          <w:p w14:paraId="59537D2A" w14:textId="718997F0" w:rsidR="00654783" w:rsidRDefault="00654783">
            <w:pPr>
              <w:widowControl/>
              <w:autoSpaceDE/>
              <w:adjustRightInd/>
              <w:spacing w:line="276" w:lineRule="auto"/>
              <w:jc w:val="both"/>
              <w:rPr>
                <w:rFonts w:eastAsia="Calibri" w:cs="Times New Roman"/>
                <w:color w:val="000000"/>
                <w:spacing w:val="-2"/>
                <w:sz w:val="22"/>
                <w:szCs w:val="22"/>
                <w:lang w:eastAsia="en-US"/>
              </w:rPr>
            </w:pPr>
            <w:r>
              <w:rPr>
                <w:rFonts w:eastAsia="Calibri" w:cs="Times New Roman"/>
                <w:color w:val="000000"/>
                <w:spacing w:val="-2"/>
                <w:sz w:val="22"/>
                <w:szCs w:val="22"/>
                <w:lang w:eastAsia="en-US"/>
              </w:rPr>
              <w:t>Rekomendowanym rozwiązaniem jest uchwalenie nowej ustawy, w której zawarte zostaną przepisy prawa krajowego umożliwiające stosowanie DGA w Polsce. Przepisy te regulować będą obszary pozostawione przez prawodawcę europejskiego do uregulowania przez państwa członkowskie. Nowej ustawie proponuje się nadać tytu</w:t>
            </w:r>
            <w:r w:rsidR="007D2B90">
              <w:rPr>
                <w:rFonts w:eastAsia="Calibri" w:cs="Times New Roman"/>
                <w:color w:val="000000"/>
                <w:spacing w:val="-2"/>
                <w:sz w:val="22"/>
                <w:szCs w:val="22"/>
                <w:lang w:eastAsia="en-US"/>
              </w:rPr>
              <w:t>ł „ustawa o zarządzaniu danymi”</w:t>
            </w:r>
            <w:r>
              <w:rPr>
                <w:rFonts w:eastAsia="Calibri" w:cs="Times New Roman"/>
                <w:color w:val="000000"/>
                <w:spacing w:val="-2"/>
                <w:sz w:val="22"/>
                <w:szCs w:val="22"/>
                <w:lang w:eastAsia="en-US"/>
              </w:rPr>
              <w:t>. W przyszłości ustawa o zarządzaniu danymi może zostać poszerzona o nowe regulacje służące stosowaniu innych instrumentów prawa UE przewidzianych w Komunikacie Komisji do Parlamentu Europejskiego, Rady, Europejskiego Komitetu Ekonomiczno-Społecznego i Komitetu Regionów z dnia 19 lutego 2020 r. „Europejska strategia w zakresie danych”. Dotyczy to w szczególności projektu rozporządzenia Parlamentu Europejskiego i Rady w sprawie zharmonizowanych przepisów dotyczących sprawiedliwego dostępu do danych i ich wykorzystywania (akt w sprawie danych). Możliwe będzie również zawarcie w projektowanej ustawie krajowych przepisów dotyczących wspólnych europejskich przestrzeni danych (przepisy sektorowe), które także przewiduje wskazana strategia. Docelowo ustawa o zarządzaniu danymi może zatem pełnić funkcję głównego aktu prawa krajowego w zakresie regulacji UE w obszarze szeroko rozumianego zarządzania danymi.</w:t>
            </w:r>
          </w:p>
          <w:p w14:paraId="72F593F0" w14:textId="77777777" w:rsidR="00654783" w:rsidRDefault="00654783">
            <w:pPr>
              <w:widowControl/>
              <w:autoSpaceDE/>
              <w:adjustRightInd/>
              <w:spacing w:before="120" w:line="276" w:lineRule="auto"/>
              <w:jc w:val="both"/>
              <w:rPr>
                <w:rFonts w:eastAsia="Calibri" w:cs="Times New Roman"/>
                <w:color w:val="000000"/>
                <w:spacing w:val="-2"/>
                <w:sz w:val="22"/>
                <w:szCs w:val="22"/>
                <w:lang w:eastAsia="en-US"/>
              </w:rPr>
            </w:pPr>
            <w:r>
              <w:rPr>
                <w:rFonts w:eastAsia="Calibri" w:cs="Times New Roman"/>
                <w:color w:val="000000"/>
                <w:spacing w:val="-2"/>
                <w:sz w:val="22"/>
                <w:szCs w:val="22"/>
                <w:lang w:eastAsia="en-US"/>
              </w:rPr>
              <w:t>Istota rozwiązań przewidzianych w projekcie polega na zbudowaniu odpowiedniego otoczenia instytucjonalno-regulacyjnego, które umożliwi stosowanie przepisów DGA w Polsce.</w:t>
            </w:r>
          </w:p>
          <w:p w14:paraId="52395CAA" w14:textId="77777777" w:rsidR="00654783" w:rsidRDefault="00654783" w:rsidP="00654783">
            <w:pPr>
              <w:widowControl/>
              <w:numPr>
                <w:ilvl w:val="0"/>
                <w:numId w:val="21"/>
              </w:numPr>
              <w:autoSpaceDE/>
              <w:adjustRightInd/>
              <w:spacing w:before="120" w:line="276" w:lineRule="auto"/>
              <w:ind w:left="204" w:hanging="74"/>
              <w:jc w:val="both"/>
              <w:rPr>
                <w:rFonts w:eastAsia="Calibri" w:cs="Times New Roman"/>
                <w:b/>
                <w:color w:val="000000"/>
                <w:sz w:val="22"/>
                <w:szCs w:val="22"/>
                <w:lang w:eastAsia="en-US"/>
              </w:rPr>
            </w:pPr>
            <w:r>
              <w:rPr>
                <w:rFonts w:eastAsia="Calibri" w:cs="Times New Roman"/>
                <w:b/>
                <w:color w:val="000000"/>
                <w:sz w:val="22"/>
                <w:szCs w:val="22"/>
                <w:lang w:eastAsia="en-US"/>
              </w:rPr>
              <w:t>Otoczenie instytucjonalne</w:t>
            </w:r>
          </w:p>
          <w:p w14:paraId="7DA4D6F9" w14:textId="77777777" w:rsidR="00654783" w:rsidRDefault="00654783">
            <w:pPr>
              <w:widowControl/>
              <w:autoSpaceDE/>
              <w:adjustRightInd/>
              <w:spacing w:line="276" w:lineRule="auto"/>
              <w:jc w:val="both"/>
              <w:rPr>
                <w:rFonts w:eastAsia="Calibri" w:cs="Times New Roman"/>
                <w:color w:val="000000"/>
                <w:sz w:val="22"/>
                <w:szCs w:val="22"/>
                <w:lang w:eastAsia="en-US"/>
              </w:rPr>
            </w:pPr>
            <w:r>
              <w:rPr>
                <w:rFonts w:eastAsia="Calibri" w:cs="Times New Roman"/>
                <w:color w:val="000000"/>
                <w:sz w:val="22"/>
                <w:szCs w:val="22"/>
                <w:lang w:eastAsia="en-US"/>
              </w:rPr>
              <w:t>W związku z koniecznością zorganizowania przez państwa członkowskie otoczenia instytucjonalnego na potrzeby stosowania DGA, ustawa o zarządzaniu danymi zawierać będzie regulacje w ramach, których wyznaczone zostaną podmioty odpowiedzialne za realizację przepisów rozporządzenia. Projektowana ustawa wyznaczy:</w:t>
            </w:r>
          </w:p>
          <w:p w14:paraId="37D7F9E8" w14:textId="77777777" w:rsidR="00654783" w:rsidRDefault="00654783" w:rsidP="00654783">
            <w:pPr>
              <w:widowControl/>
              <w:numPr>
                <w:ilvl w:val="0"/>
                <w:numId w:val="22"/>
              </w:numPr>
              <w:autoSpaceDE/>
              <w:adjustRightInd/>
              <w:spacing w:before="120" w:line="276" w:lineRule="auto"/>
              <w:ind w:left="346" w:hanging="357"/>
              <w:jc w:val="both"/>
              <w:rPr>
                <w:rFonts w:eastAsia="Calibri" w:cs="Times New Roman"/>
                <w:b/>
                <w:color w:val="000000"/>
                <w:sz w:val="22"/>
                <w:szCs w:val="22"/>
                <w:lang w:eastAsia="en-US"/>
              </w:rPr>
            </w:pPr>
            <w:r>
              <w:rPr>
                <w:rFonts w:eastAsia="Calibri" w:cs="Times New Roman"/>
                <w:b/>
                <w:color w:val="000000"/>
                <w:sz w:val="22"/>
                <w:szCs w:val="22"/>
                <w:lang w:eastAsia="en-US"/>
              </w:rPr>
              <w:t>Właściwy podmiot (właściwy podmiot ds. DGA)</w:t>
            </w:r>
          </w:p>
          <w:p w14:paraId="739AFF09" w14:textId="5F784C63" w:rsidR="00654783" w:rsidRDefault="00654783" w:rsidP="00C461AB">
            <w:pPr>
              <w:widowControl/>
              <w:autoSpaceDE/>
              <w:adjustRightInd/>
              <w:spacing w:line="276" w:lineRule="auto"/>
              <w:contextualSpacing/>
              <w:jc w:val="both"/>
              <w:rPr>
                <w:rFonts w:eastAsia="Calibri" w:cs="Times New Roman"/>
                <w:b/>
                <w:color w:val="000000"/>
                <w:sz w:val="22"/>
                <w:szCs w:val="22"/>
                <w:lang w:eastAsia="en-US"/>
              </w:rPr>
            </w:pPr>
            <w:r>
              <w:rPr>
                <w:rFonts w:eastAsia="Calibri" w:cs="Times New Roman"/>
                <w:color w:val="000000"/>
                <w:sz w:val="22"/>
                <w:szCs w:val="22"/>
                <w:lang w:eastAsia="en-US"/>
              </w:rPr>
              <w:t>DGA zawiera przepisy stanowiące podstawę do ponownego wykorzystywania chronionych danych znajdujących się w</w:t>
            </w:r>
            <w:r w:rsidR="008C5D99">
              <w:rPr>
                <w:rFonts w:eastAsia="Calibri" w:cs="Times New Roman"/>
                <w:color w:val="000000"/>
                <w:sz w:val="22"/>
                <w:szCs w:val="22"/>
                <w:lang w:eastAsia="en-US"/>
              </w:rPr>
              <w:t> </w:t>
            </w:r>
            <w:r>
              <w:rPr>
                <w:rFonts w:eastAsia="Calibri" w:cs="Times New Roman"/>
                <w:color w:val="000000"/>
                <w:sz w:val="22"/>
                <w:szCs w:val="22"/>
                <w:lang w:eastAsia="en-US"/>
              </w:rPr>
              <w:t>posiadaniu podmiotów sektora publicznego (zob. pkt 1.1.). Aby wesprzeć podmioty sektora publicznego w procesie zezwalania na dostęp do celów ponownego wykorzystywania tego rodzaju danych, rozporządzenie nakłada na państwa członkowskie obowiązek wyznaczenia właściwego podmiotu (lub kilku takich podmiotów, również sektorowych), które w zależności od potrzeb będą służyć pomocą i wsparciem dla podmiotów sektora publicznego poprzez:</w:t>
            </w:r>
          </w:p>
          <w:p w14:paraId="1C370098" w14:textId="5738EB9B" w:rsidR="00654783" w:rsidRDefault="00654783" w:rsidP="00C461AB">
            <w:pPr>
              <w:widowControl/>
              <w:numPr>
                <w:ilvl w:val="0"/>
                <w:numId w:val="23"/>
              </w:numPr>
              <w:autoSpaceDE/>
              <w:adjustRightInd/>
              <w:spacing w:line="276" w:lineRule="auto"/>
              <w:ind w:left="352" w:hanging="284"/>
              <w:contextualSpacing/>
              <w:jc w:val="both"/>
              <w:rPr>
                <w:rFonts w:eastAsia="Calibri" w:cs="Times New Roman"/>
                <w:color w:val="000000"/>
                <w:sz w:val="22"/>
                <w:szCs w:val="22"/>
                <w:lang w:eastAsia="en-US"/>
              </w:rPr>
            </w:pPr>
            <w:r>
              <w:rPr>
                <w:rFonts w:eastAsia="Calibri" w:cs="Times New Roman"/>
                <w:color w:val="000000"/>
                <w:sz w:val="22"/>
                <w:szCs w:val="22"/>
                <w:lang w:eastAsia="en-US"/>
              </w:rPr>
              <w:t xml:space="preserve">zapewnianie wsparcia technicznego polegającego na udostępnianiu bezpiecznego środowiska przetwarzania na potrzeby zapewniania dostępu do </w:t>
            </w:r>
            <w:r w:rsidR="007D2B90">
              <w:rPr>
                <w:rFonts w:eastAsia="Calibri" w:cs="Times New Roman"/>
                <w:color w:val="000000"/>
                <w:sz w:val="22"/>
                <w:szCs w:val="22"/>
                <w:lang w:eastAsia="en-US"/>
              </w:rPr>
              <w:t xml:space="preserve">celów ponownego wykorzystywania </w:t>
            </w:r>
            <w:r>
              <w:rPr>
                <w:rFonts w:eastAsia="Calibri" w:cs="Times New Roman"/>
                <w:color w:val="000000"/>
                <w:sz w:val="22"/>
                <w:szCs w:val="22"/>
                <w:lang w:eastAsia="en-US"/>
              </w:rPr>
              <w:t>danych,</w:t>
            </w:r>
          </w:p>
          <w:p w14:paraId="051E98AB" w14:textId="77777777" w:rsidR="00654783" w:rsidRDefault="00654783" w:rsidP="00C461AB">
            <w:pPr>
              <w:widowControl/>
              <w:numPr>
                <w:ilvl w:val="0"/>
                <w:numId w:val="23"/>
              </w:numPr>
              <w:autoSpaceDE/>
              <w:adjustRightInd/>
              <w:spacing w:line="276" w:lineRule="auto"/>
              <w:ind w:left="352" w:hanging="284"/>
              <w:contextualSpacing/>
              <w:jc w:val="both"/>
              <w:rPr>
                <w:rFonts w:eastAsia="Calibri" w:cs="Times New Roman"/>
                <w:color w:val="000000"/>
                <w:sz w:val="22"/>
                <w:szCs w:val="22"/>
                <w:lang w:eastAsia="en-US"/>
              </w:rPr>
            </w:pPr>
            <w:r>
              <w:rPr>
                <w:rFonts w:eastAsia="Calibri" w:cs="Times New Roman"/>
                <w:color w:val="000000"/>
                <w:sz w:val="22"/>
                <w:szCs w:val="22"/>
                <w:lang w:eastAsia="en-US"/>
              </w:rPr>
              <w:t>udzielanie wskazówek i zapewnianie wsparcia technicznego w zakresie ustrukturyzowania danych i ich przechowywania, tak by były one łatwo dostępne,</w:t>
            </w:r>
          </w:p>
          <w:p w14:paraId="01D39C9C" w14:textId="77777777" w:rsidR="00654783" w:rsidRDefault="00654783" w:rsidP="00C461AB">
            <w:pPr>
              <w:widowControl/>
              <w:numPr>
                <w:ilvl w:val="0"/>
                <w:numId w:val="23"/>
              </w:numPr>
              <w:autoSpaceDE/>
              <w:adjustRightInd/>
              <w:spacing w:line="276" w:lineRule="auto"/>
              <w:ind w:left="352" w:hanging="284"/>
              <w:contextualSpacing/>
              <w:jc w:val="both"/>
              <w:rPr>
                <w:rFonts w:eastAsia="Calibri" w:cs="Times New Roman"/>
                <w:color w:val="000000"/>
                <w:sz w:val="22"/>
                <w:szCs w:val="22"/>
                <w:lang w:eastAsia="en-US"/>
              </w:rPr>
            </w:pPr>
            <w:r>
              <w:rPr>
                <w:rFonts w:eastAsia="Calibri" w:cs="Times New Roman"/>
                <w:color w:val="000000"/>
                <w:sz w:val="22"/>
                <w:szCs w:val="22"/>
                <w:lang w:eastAsia="en-US"/>
              </w:rPr>
              <w:t xml:space="preserve">zapewnianie wsparcia technicznego w zakresie </w:t>
            </w:r>
            <w:proofErr w:type="spellStart"/>
            <w:r>
              <w:rPr>
                <w:rFonts w:eastAsia="Calibri" w:cs="Times New Roman"/>
                <w:color w:val="000000"/>
                <w:sz w:val="22"/>
                <w:szCs w:val="22"/>
                <w:lang w:eastAsia="en-US"/>
              </w:rPr>
              <w:t>pseudonimizacji</w:t>
            </w:r>
            <w:proofErr w:type="spellEnd"/>
            <w:r>
              <w:rPr>
                <w:rFonts w:eastAsia="Calibri" w:cs="Times New Roman"/>
                <w:color w:val="000000"/>
                <w:sz w:val="22"/>
                <w:szCs w:val="22"/>
                <w:lang w:eastAsia="en-US"/>
              </w:rPr>
              <w:t xml:space="preserve"> oraz zapewnianie przetwarzania danych w sposób skutecznie chroniący prywatność, poufność, integralność i dostępność informacji zawartych w danych, na których ponowne wykorzystywanie zezwolono,</w:t>
            </w:r>
          </w:p>
          <w:p w14:paraId="2E2BC0E6" w14:textId="77777777" w:rsidR="00654783" w:rsidRDefault="00654783" w:rsidP="00C461AB">
            <w:pPr>
              <w:widowControl/>
              <w:numPr>
                <w:ilvl w:val="0"/>
                <w:numId w:val="23"/>
              </w:numPr>
              <w:autoSpaceDE/>
              <w:adjustRightInd/>
              <w:spacing w:line="276" w:lineRule="auto"/>
              <w:ind w:left="352" w:hanging="284"/>
              <w:contextualSpacing/>
              <w:jc w:val="both"/>
              <w:rPr>
                <w:rFonts w:eastAsia="Calibri" w:cs="Times New Roman"/>
                <w:color w:val="000000"/>
                <w:sz w:val="22"/>
                <w:szCs w:val="22"/>
                <w:lang w:eastAsia="en-US"/>
              </w:rPr>
            </w:pPr>
            <w:r>
              <w:rPr>
                <w:rFonts w:eastAsia="Calibri" w:cs="Times New Roman"/>
                <w:color w:val="000000"/>
                <w:sz w:val="22"/>
                <w:szCs w:val="22"/>
                <w:lang w:eastAsia="en-US"/>
              </w:rPr>
              <w:t>udzielanie pomocy podmiotom sektora publicznego w zapewnianiu wsparcia ponownym użytkownikom w występowaniu do osób, których dane dotyczą, o zgodę na ponowne wykorzystywanie danych oraz do posiadaczy danych – o pozwolenie,</w:t>
            </w:r>
          </w:p>
          <w:p w14:paraId="5F94022F" w14:textId="77777777" w:rsidR="00654783" w:rsidRDefault="00654783" w:rsidP="00C461AB">
            <w:pPr>
              <w:widowControl/>
              <w:numPr>
                <w:ilvl w:val="0"/>
                <w:numId w:val="23"/>
              </w:numPr>
              <w:autoSpaceDE/>
              <w:adjustRightInd/>
              <w:spacing w:line="276" w:lineRule="auto"/>
              <w:ind w:left="352" w:hanging="284"/>
              <w:contextualSpacing/>
              <w:jc w:val="both"/>
              <w:rPr>
                <w:rFonts w:eastAsia="Calibri" w:cs="Times New Roman"/>
                <w:color w:val="000000"/>
                <w:sz w:val="22"/>
                <w:szCs w:val="22"/>
                <w:lang w:eastAsia="en-US"/>
              </w:rPr>
            </w:pPr>
            <w:r>
              <w:rPr>
                <w:rFonts w:eastAsia="Calibri" w:cs="Times New Roman"/>
                <w:color w:val="000000"/>
                <w:sz w:val="22"/>
                <w:szCs w:val="22"/>
                <w:lang w:eastAsia="en-US"/>
              </w:rPr>
              <w:t>udzielanie pomocy podmiotom sektora publicznego w zakresie oceny adekwatności zobowiązań umownych w sytuacjach transferu danych do państw trzecich.</w:t>
            </w:r>
          </w:p>
          <w:p w14:paraId="4C24B29E" w14:textId="77777777" w:rsidR="00654783" w:rsidRDefault="00654783" w:rsidP="00C461AB">
            <w:pPr>
              <w:widowControl/>
              <w:autoSpaceDE/>
              <w:adjustRightInd/>
              <w:spacing w:before="120" w:line="276" w:lineRule="auto"/>
              <w:jc w:val="both"/>
              <w:rPr>
                <w:rFonts w:eastAsia="Calibri" w:cs="Times New Roman"/>
                <w:color w:val="000000"/>
                <w:sz w:val="22"/>
                <w:szCs w:val="22"/>
                <w:lang w:eastAsia="en-US"/>
              </w:rPr>
            </w:pPr>
            <w:r>
              <w:rPr>
                <w:rFonts w:eastAsia="Calibri" w:cs="Times New Roman"/>
                <w:color w:val="000000"/>
                <w:sz w:val="22"/>
                <w:szCs w:val="22"/>
                <w:lang w:eastAsia="en-US"/>
              </w:rPr>
              <w:t>Właściwym podmiotom należy zapewnić odpowiednie zasoby prawne, finansowe, techniczne i ludzkie do wykonywania powierzonych im zadań, w tym niezbędną wiedzę techniczną, aby były w stanie przestrzegać odpowiednich przepisów prawa UE lub prawa krajowego dotyczących systemów dostępu do kategorii danych objętych zakresem regulacji DGA.</w:t>
            </w:r>
          </w:p>
          <w:p w14:paraId="36E546AB" w14:textId="77777777" w:rsidR="00654783" w:rsidRDefault="00654783" w:rsidP="00C461AB">
            <w:pPr>
              <w:widowControl/>
              <w:autoSpaceDE/>
              <w:adjustRightInd/>
              <w:spacing w:before="120" w:line="276" w:lineRule="auto"/>
              <w:jc w:val="both"/>
              <w:rPr>
                <w:rFonts w:eastAsia="Calibri" w:cs="Times New Roman"/>
                <w:color w:val="000000"/>
                <w:sz w:val="22"/>
                <w:szCs w:val="22"/>
                <w:lang w:eastAsia="en-US"/>
              </w:rPr>
            </w:pPr>
            <w:r>
              <w:rPr>
                <w:rFonts w:eastAsia="Calibri" w:cs="Times New Roman"/>
                <w:color w:val="000000"/>
                <w:sz w:val="22"/>
                <w:szCs w:val="22"/>
                <w:lang w:eastAsia="en-US"/>
              </w:rPr>
              <w:t>W przepisach projektowanej ustawy wyznaczone zostaną dwa właściwe podmioty. Funkcję tę pełnić będzie Prezes Głównego Urzędu Statystycznego oraz Naukowa i Akademicka Sieć Komputerowa - Państwowy Instytut Badawczy.</w:t>
            </w:r>
          </w:p>
          <w:p w14:paraId="14D4DDD9" w14:textId="77777777" w:rsidR="00654783" w:rsidRDefault="00654783" w:rsidP="00654783">
            <w:pPr>
              <w:widowControl/>
              <w:numPr>
                <w:ilvl w:val="0"/>
                <w:numId w:val="22"/>
              </w:numPr>
              <w:autoSpaceDE/>
              <w:adjustRightInd/>
              <w:spacing w:before="120" w:line="276" w:lineRule="auto"/>
              <w:ind w:left="346" w:hanging="357"/>
              <w:jc w:val="both"/>
              <w:rPr>
                <w:rFonts w:eastAsia="Calibri" w:cs="Times New Roman"/>
                <w:b/>
                <w:color w:val="000000"/>
                <w:sz w:val="22"/>
                <w:szCs w:val="22"/>
                <w:lang w:eastAsia="en-US"/>
              </w:rPr>
            </w:pPr>
            <w:r>
              <w:rPr>
                <w:rFonts w:eastAsia="Calibri" w:cs="Times New Roman"/>
                <w:b/>
                <w:color w:val="000000"/>
                <w:sz w:val="22"/>
                <w:szCs w:val="22"/>
                <w:lang w:eastAsia="en-US"/>
              </w:rPr>
              <w:t>Pojedynczy punkt informacyjny</w:t>
            </w:r>
          </w:p>
          <w:p w14:paraId="454F8B7F" w14:textId="72FDB65C" w:rsidR="00654783" w:rsidRDefault="00654783" w:rsidP="00C461AB">
            <w:pPr>
              <w:widowControl/>
              <w:autoSpaceDE/>
              <w:adjustRightInd/>
              <w:spacing w:line="276" w:lineRule="auto"/>
              <w:ind w:left="-11"/>
              <w:contextualSpacing/>
              <w:jc w:val="both"/>
              <w:rPr>
                <w:rFonts w:eastAsia="Calibri" w:cs="Times New Roman"/>
                <w:color w:val="000000"/>
                <w:sz w:val="22"/>
                <w:szCs w:val="22"/>
                <w:lang w:eastAsia="en-US"/>
              </w:rPr>
            </w:pPr>
            <w:r>
              <w:rPr>
                <w:rFonts w:eastAsia="Calibri" w:cs="Times New Roman"/>
                <w:color w:val="000000"/>
                <w:sz w:val="22"/>
                <w:szCs w:val="22"/>
                <w:lang w:eastAsia="en-US"/>
              </w:rPr>
              <w:t xml:space="preserve">Drugim elementem systemu wspierającego realizację postanowień DGA w odniesieniu do ponownego wykorzystywania chronionych danych będących w posiadaniu podmiotów sektora publicznego jest pojedynczy punkt informacyjny. Państwa członkowskie zobowiązane zostały do utworzenia takiego punktu dla podmiotów chcących skorzystać z danych, który będzie wspierał ich w identyfikacji właściwych zasobów możliwych do ponownego wykorzystywania na podstawie przepisów rozporządzenia. Punkt prowadzić będzie elektroniczny wykaz dostępnych zasobów wraz z odpowiednimi </w:t>
            </w:r>
            <w:r>
              <w:rPr>
                <w:rFonts w:eastAsia="Calibri" w:cs="Times New Roman"/>
                <w:color w:val="000000"/>
                <w:sz w:val="22"/>
                <w:szCs w:val="22"/>
                <w:lang w:eastAsia="en-US"/>
              </w:rPr>
              <w:lastRenderedPageBreak/>
              <w:t xml:space="preserve">informacjami opisującymi dane, w tym przynajmniej format i rozmiar danych oraz warunki ich ponownego wykorzystywania. </w:t>
            </w:r>
          </w:p>
          <w:p w14:paraId="17A773C9" w14:textId="031E360C" w:rsidR="00654783" w:rsidRDefault="00654783" w:rsidP="00C461AB">
            <w:pPr>
              <w:widowControl/>
              <w:autoSpaceDE/>
              <w:adjustRightInd/>
              <w:spacing w:before="120" w:line="276" w:lineRule="auto"/>
              <w:jc w:val="both"/>
              <w:rPr>
                <w:rFonts w:eastAsia="Calibri" w:cs="Times New Roman"/>
                <w:color w:val="000000"/>
                <w:sz w:val="22"/>
                <w:szCs w:val="22"/>
                <w:lang w:eastAsia="en-US"/>
              </w:rPr>
            </w:pPr>
            <w:r w:rsidRPr="00177A3C">
              <w:rPr>
                <w:rFonts w:eastAsia="Calibri" w:cs="Times New Roman"/>
                <w:sz w:val="22"/>
                <w:szCs w:val="22"/>
                <w:lang w:eastAsia="en-US"/>
              </w:rPr>
              <w:t>Projektowana ustawa przewiduje, że rolę pojedynczego punktu informacyjnego pełnić będzie portal danych, o którym mowa w art. 2 pkt 13 ustawy z dnia 11 sierpnia 2021 r. o otwartych danych i ponownym wykorzystywaniu informacji sekto</w:t>
            </w:r>
            <w:r w:rsidR="00B32BEC" w:rsidRPr="00177A3C">
              <w:rPr>
                <w:rFonts w:eastAsia="Calibri" w:cs="Times New Roman"/>
                <w:sz w:val="22"/>
                <w:szCs w:val="22"/>
                <w:lang w:eastAsia="en-US"/>
              </w:rPr>
              <w:t>ra publicznego (</w:t>
            </w:r>
            <w:r w:rsidR="00177A3C" w:rsidRPr="00177A3C">
              <w:rPr>
                <w:rFonts w:eastAsia="Calibri" w:cs="Times New Roman"/>
                <w:sz w:val="22"/>
                <w:szCs w:val="22"/>
                <w:lang w:eastAsia="en-US"/>
              </w:rPr>
              <w:t>Dz. U. z 2021 r. poz. 1641 oraz z 2022 r. poz. 1700</w:t>
            </w:r>
            <w:r w:rsidRPr="00177A3C">
              <w:rPr>
                <w:rFonts w:eastAsia="Calibri" w:cs="Times New Roman"/>
                <w:sz w:val="22"/>
                <w:szCs w:val="22"/>
                <w:lang w:eastAsia="en-US"/>
              </w:rPr>
              <w:t xml:space="preserve">), </w:t>
            </w:r>
            <w:r>
              <w:rPr>
                <w:rFonts w:eastAsia="Calibri" w:cs="Times New Roman"/>
                <w:color w:val="000000"/>
                <w:sz w:val="22"/>
                <w:szCs w:val="22"/>
                <w:lang w:eastAsia="en-US"/>
              </w:rPr>
              <w:t>dalej jako „ustawa o otwartych danych”. Funkcję portalu danych pełni portal dane.gov.pl prowadzony przez ministra właściwego do spraw informatyzacji.</w:t>
            </w:r>
          </w:p>
          <w:p w14:paraId="0E11A809" w14:textId="77777777" w:rsidR="00654783" w:rsidRDefault="00654783" w:rsidP="00654783">
            <w:pPr>
              <w:widowControl/>
              <w:numPr>
                <w:ilvl w:val="0"/>
                <w:numId w:val="22"/>
              </w:numPr>
              <w:autoSpaceDE/>
              <w:adjustRightInd/>
              <w:spacing w:before="120" w:line="276" w:lineRule="auto"/>
              <w:ind w:left="346" w:hanging="357"/>
              <w:jc w:val="both"/>
              <w:rPr>
                <w:rFonts w:eastAsia="Calibri" w:cs="Times New Roman"/>
                <w:b/>
                <w:color w:val="000000"/>
                <w:sz w:val="22"/>
                <w:szCs w:val="22"/>
                <w:lang w:eastAsia="en-US"/>
              </w:rPr>
            </w:pPr>
            <w:r>
              <w:rPr>
                <w:rFonts w:eastAsia="Calibri" w:cs="Times New Roman"/>
                <w:b/>
                <w:color w:val="000000"/>
                <w:sz w:val="22"/>
                <w:szCs w:val="22"/>
                <w:lang w:eastAsia="en-US"/>
              </w:rPr>
              <w:t>Organ właściwy do spraw usług pośrednictwa danych</w:t>
            </w:r>
          </w:p>
          <w:p w14:paraId="566815B8" w14:textId="77777777" w:rsidR="00654783" w:rsidRDefault="00654783" w:rsidP="00C461AB">
            <w:pPr>
              <w:widowControl/>
              <w:autoSpaceDE/>
              <w:adjustRightInd/>
              <w:spacing w:line="276" w:lineRule="auto"/>
              <w:ind w:left="-11"/>
              <w:contextualSpacing/>
              <w:jc w:val="both"/>
              <w:rPr>
                <w:rFonts w:eastAsia="Calibri" w:cs="Times New Roman"/>
                <w:color w:val="000000"/>
                <w:sz w:val="22"/>
                <w:szCs w:val="22"/>
                <w:lang w:eastAsia="en-US"/>
              </w:rPr>
            </w:pPr>
            <w:r>
              <w:rPr>
                <w:rFonts w:eastAsia="Calibri" w:cs="Times New Roman"/>
                <w:color w:val="000000"/>
                <w:sz w:val="22"/>
                <w:szCs w:val="22"/>
                <w:lang w:eastAsia="en-US"/>
              </w:rPr>
              <w:t xml:space="preserve">DGA nakłada na państwa członkowskie obowiązek wyznaczenia co najmniej jednego organu właściwego do spraw usług pośrednictwa danych. Zadaniem takiego organu będzie rejestrowanie dostawców usług pośrednictwa danych chcących świadczyć swoje usługi na terenie UE oraz monitorowanie i nadzorowanie zgodności ich działań z wymogami określonymi w rozporządzeniu. Organy właściwe do spraw usług pośrednictwa danych są zobowiązane do ścisłej współpracy i wymiany informacji z organami ochrony danych, organami ochrony konkurencji, organami odpowiedzialnymi za </w:t>
            </w:r>
            <w:proofErr w:type="spellStart"/>
            <w:r>
              <w:rPr>
                <w:rFonts w:eastAsia="Calibri" w:cs="Times New Roman"/>
                <w:color w:val="000000"/>
                <w:sz w:val="22"/>
                <w:szCs w:val="22"/>
                <w:lang w:eastAsia="en-US"/>
              </w:rPr>
              <w:t>cyberbezpieczeństwo</w:t>
            </w:r>
            <w:proofErr w:type="spellEnd"/>
            <w:r>
              <w:rPr>
                <w:rFonts w:eastAsia="Calibri" w:cs="Times New Roman"/>
                <w:color w:val="000000"/>
                <w:sz w:val="22"/>
                <w:szCs w:val="22"/>
                <w:lang w:eastAsia="en-US"/>
              </w:rPr>
              <w:t xml:space="preserve"> oraz innymi odpowiednimi organami sektorowymi, a także z Komisją Europejską i swoimi odpowiednikami z innych państw członkowskich. Ponadto przedstawiciele organów właściwych do spraw usług pośrednictwa danych zasiadać będą w Europejskiej Radzie ds. Innowacji w zakresie Danych. Zadaniem Rady będzie zapewnienie jednolitego stosowania przepisów rozporządzenia oraz doradzanie Komisji w kwestiach dotyczących interoperacyjności i standaryzacji. Organy właściwe do spraw usług pośrednictwa danych muszą spełniać ściśle określone wymogi wskazane w rozporządzeniu.</w:t>
            </w:r>
          </w:p>
          <w:p w14:paraId="72161360" w14:textId="77777777" w:rsidR="00654783" w:rsidRDefault="00654783" w:rsidP="00C461AB">
            <w:pPr>
              <w:widowControl/>
              <w:autoSpaceDE/>
              <w:adjustRightInd/>
              <w:spacing w:before="120" w:line="276" w:lineRule="auto"/>
              <w:jc w:val="both"/>
              <w:rPr>
                <w:rFonts w:eastAsia="Calibri" w:cs="Times New Roman"/>
                <w:color w:val="000000"/>
                <w:sz w:val="22"/>
                <w:szCs w:val="22"/>
                <w:lang w:eastAsia="en-US"/>
              </w:rPr>
            </w:pPr>
            <w:r>
              <w:rPr>
                <w:rFonts w:eastAsia="Calibri" w:cs="Times New Roman"/>
                <w:color w:val="000000"/>
                <w:sz w:val="22"/>
                <w:szCs w:val="22"/>
                <w:lang w:eastAsia="en-US"/>
              </w:rPr>
              <w:t>W przepisach projektowanej ustawy wyznaczony zostanie jeden organ właściwy do spraw usług pośrednictwa danych. Funkcję tę pełnić będzie Prezes Urzędu Ochrony Konkurencji i Konsumentów.</w:t>
            </w:r>
          </w:p>
          <w:p w14:paraId="53F23A6B" w14:textId="77777777" w:rsidR="00654783" w:rsidRDefault="00654783" w:rsidP="00654783">
            <w:pPr>
              <w:widowControl/>
              <w:numPr>
                <w:ilvl w:val="0"/>
                <w:numId w:val="22"/>
              </w:numPr>
              <w:autoSpaceDE/>
              <w:adjustRightInd/>
              <w:spacing w:before="120" w:line="276" w:lineRule="auto"/>
              <w:ind w:left="346" w:hanging="357"/>
              <w:jc w:val="both"/>
              <w:rPr>
                <w:rFonts w:eastAsia="Calibri" w:cs="Times New Roman"/>
                <w:b/>
                <w:color w:val="000000"/>
                <w:sz w:val="22"/>
                <w:szCs w:val="22"/>
                <w:lang w:eastAsia="en-US"/>
              </w:rPr>
            </w:pPr>
            <w:r>
              <w:rPr>
                <w:rFonts w:eastAsia="Calibri" w:cs="Times New Roman"/>
                <w:b/>
                <w:color w:val="000000"/>
                <w:sz w:val="22"/>
                <w:szCs w:val="22"/>
                <w:lang w:eastAsia="en-US"/>
              </w:rPr>
              <w:t>Organ właściwy do spraw rejestracji organizacji altruizmu danych</w:t>
            </w:r>
          </w:p>
          <w:p w14:paraId="0EB7EE1F" w14:textId="77777777" w:rsidR="00654783" w:rsidRDefault="00654783" w:rsidP="00C461AB">
            <w:pPr>
              <w:widowControl/>
              <w:autoSpaceDE/>
              <w:adjustRightInd/>
              <w:spacing w:line="276" w:lineRule="auto"/>
              <w:ind w:left="-11"/>
              <w:jc w:val="both"/>
              <w:rPr>
                <w:rFonts w:eastAsia="Calibri" w:cs="Times New Roman"/>
                <w:color w:val="000000"/>
                <w:sz w:val="22"/>
                <w:szCs w:val="22"/>
                <w:lang w:eastAsia="en-US"/>
              </w:rPr>
            </w:pPr>
            <w:r>
              <w:rPr>
                <w:rFonts w:eastAsia="Calibri" w:cs="Times New Roman"/>
                <w:color w:val="000000"/>
                <w:sz w:val="22"/>
                <w:szCs w:val="22"/>
                <w:lang w:eastAsia="en-US"/>
              </w:rPr>
              <w:t>Podobny system rejestracji oraz monitorowania i nadzorowania rozporządzenie wprowadza w odniesieniu do uznanych organizacji altruizmu danych. Państwa członkowskie zostały zobowiązane do wyznaczenia co najmniej jednego takiego organu. Charakter zadań przypisanych organom właściwym do spraw rejestracji organizacji altruizmu danych oraz organom właściwym do spraw usług pośrednictwa danych jest zasadniczo podobny. Dotyczy to również wymogów jakie organy te muszą spełniać.</w:t>
            </w:r>
          </w:p>
          <w:p w14:paraId="4136C72C" w14:textId="77777777" w:rsidR="00654783" w:rsidRDefault="00654783" w:rsidP="00C461AB">
            <w:pPr>
              <w:widowControl/>
              <w:autoSpaceDE/>
              <w:adjustRightInd/>
              <w:spacing w:before="120" w:line="276" w:lineRule="auto"/>
              <w:jc w:val="both"/>
              <w:rPr>
                <w:rFonts w:eastAsia="Calibri" w:cs="Times New Roman"/>
                <w:color w:val="000000"/>
                <w:sz w:val="22"/>
                <w:szCs w:val="22"/>
                <w:lang w:eastAsia="en-US"/>
              </w:rPr>
            </w:pPr>
            <w:r>
              <w:rPr>
                <w:rFonts w:eastAsia="Calibri" w:cs="Times New Roman"/>
                <w:color w:val="000000"/>
                <w:sz w:val="22"/>
                <w:szCs w:val="22"/>
                <w:lang w:eastAsia="en-US"/>
              </w:rPr>
              <w:t>DGA przewiduje możliwość aby funkcję organu właściwego do spraw rejestracji organizacji altruizmu danych wykonywał ten sam podmiot, który pełni rolę organu właściwego do spraw usług pośrednictwa danych. Taki model został również przewidziany w przepisach projektowanej ustawy. Funkcję tę pełnić będzie w związku z tym Prezes Urzędu Ochrony Konkurencji i Konsumentów.</w:t>
            </w:r>
          </w:p>
          <w:p w14:paraId="6D83A764" w14:textId="7EB632B1" w:rsidR="00654783" w:rsidRDefault="00654783">
            <w:pPr>
              <w:widowControl/>
              <w:autoSpaceDE/>
              <w:adjustRightInd/>
              <w:spacing w:before="120" w:line="276" w:lineRule="auto"/>
              <w:jc w:val="both"/>
              <w:rPr>
                <w:rFonts w:eastAsia="Calibri" w:cs="Times New Roman"/>
                <w:color w:val="000000"/>
                <w:spacing w:val="-2"/>
                <w:sz w:val="22"/>
                <w:szCs w:val="22"/>
                <w:lang w:eastAsia="en-US"/>
              </w:rPr>
            </w:pPr>
            <w:r>
              <w:rPr>
                <w:rFonts w:eastAsia="Calibri" w:cs="Times New Roman"/>
                <w:color w:val="000000"/>
                <w:spacing w:val="-2"/>
                <w:sz w:val="22"/>
                <w:szCs w:val="22"/>
                <w:lang w:eastAsia="en-US"/>
              </w:rPr>
              <w:t>W procesie wyboru podmiotów, które realizować będą zadania przewidziane w DGA uwzględniono omówienie tej kwestii na forum Grupy roboczej do spraw strategicznych kierunków zarządzania danymi. Grupa została utworzona w ramach Zespołu zadaniowego do spraw realizacji ,,Programu otwierania danych na lata 2021-2027” i skupia przedstawicieli administracji publicznej, organizacji pozarządowych, przedsiębiorców, a także środowiska naukowego. Opinie członków Grupy zostały wykorzystane w toku prac nad projektem ustawy. Ponadto wystosowane zostały zapytania do pozostałych państw członkowskich dotyczące tego, w jaki sposób zamierzają dostosować krajowe systemy prawne do wymogów rozporządzenia. Pytania dotycz</w:t>
            </w:r>
            <w:r w:rsidR="007E1EAF">
              <w:rPr>
                <w:rFonts w:eastAsia="Calibri" w:cs="Times New Roman"/>
                <w:color w:val="000000"/>
                <w:spacing w:val="-2"/>
                <w:sz w:val="22"/>
                <w:szCs w:val="22"/>
                <w:lang w:eastAsia="en-US"/>
              </w:rPr>
              <w:t>yły</w:t>
            </w:r>
            <w:r>
              <w:rPr>
                <w:rFonts w:eastAsia="Calibri" w:cs="Times New Roman"/>
                <w:color w:val="000000"/>
                <w:spacing w:val="-2"/>
                <w:sz w:val="22"/>
                <w:szCs w:val="22"/>
                <w:lang w:eastAsia="en-US"/>
              </w:rPr>
              <w:t xml:space="preserve"> również otoczenia instytucjonalnego. Zebrane dane pozwoliły na porównanie i ocenę rozwiązań planowanych w projektowanej ustawie.</w:t>
            </w:r>
          </w:p>
          <w:p w14:paraId="6EB9A14F" w14:textId="2EC3B945" w:rsidR="00654783" w:rsidRDefault="00654783">
            <w:pPr>
              <w:widowControl/>
              <w:autoSpaceDE/>
              <w:adjustRightInd/>
              <w:spacing w:before="120" w:line="276" w:lineRule="auto"/>
              <w:jc w:val="both"/>
              <w:rPr>
                <w:rFonts w:eastAsia="Calibri" w:cs="Times New Roman"/>
                <w:color w:val="000000"/>
                <w:spacing w:val="-2"/>
                <w:sz w:val="22"/>
                <w:szCs w:val="22"/>
                <w:lang w:eastAsia="en-US"/>
              </w:rPr>
            </w:pPr>
            <w:r>
              <w:rPr>
                <w:rFonts w:eastAsia="Calibri" w:cs="Times New Roman"/>
                <w:color w:val="000000"/>
                <w:spacing w:val="-2"/>
                <w:sz w:val="22"/>
                <w:szCs w:val="22"/>
                <w:lang w:eastAsia="en-US"/>
              </w:rPr>
              <w:t>Dane identyfikacyjne właściwego podmiotu, organu właściwego do spraw usług pośrednictwa danych oraz organu właściwego do spraw rejestracji organizacji altruizmu danych muszą zostać przedstawione Komisji przez każde państwo członkowskie do 24 września 2023 r.</w:t>
            </w:r>
          </w:p>
          <w:p w14:paraId="626E48CF" w14:textId="77777777" w:rsidR="00654783" w:rsidRDefault="00654783" w:rsidP="00654783">
            <w:pPr>
              <w:widowControl/>
              <w:numPr>
                <w:ilvl w:val="0"/>
                <w:numId w:val="21"/>
              </w:numPr>
              <w:autoSpaceDE/>
              <w:adjustRightInd/>
              <w:spacing w:before="120" w:line="276" w:lineRule="auto"/>
              <w:ind w:left="489" w:hanging="217"/>
              <w:jc w:val="both"/>
              <w:rPr>
                <w:rFonts w:eastAsia="Calibri" w:cs="Times New Roman"/>
                <w:b/>
                <w:color w:val="000000"/>
                <w:sz w:val="22"/>
                <w:szCs w:val="22"/>
                <w:lang w:eastAsia="en-US"/>
              </w:rPr>
            </w:pPr>
            <w:r>
              <w:rPr>
                <w:rFonts w:eastAsia="Calibri" w:cs="Times New Roman"/>
                <w:b/>
                <w:color w:val="000000"/>
                <w:sz w:val="22"/>
                <w:szCs w:val="22"/>
                <w:lang w:eastAsia="en-US"/>
              </w:rPr>
              <w:t>Otoczenie regulacyjne</w:t>
            </w:r>
          </w:p>
          <w:p w14:paraId="3BEC29CE" w14:textId="429A8F6D" w:rsidR="00654783" w:rsidRDefault="00654783">
            <w:pPr>
              <w:widowControl/>
              <w:autoSpaceDE/>
              <w:adjustRightInd/>
              <w:spacing w:line="276" w:lineRule="auto"/>
              <w:jc w:val="both"/>
              <w:rPr>
                <w:rFonts w:eastAsia="Calibri" w:cs="Times New Roman"/>
                <w:color w:val="000000"/>
                <w:sz w:val="22"/>
                <w:szCs w:val="22"/>
                <w:lang w:eastAsia="en-US"/>
              </w:rPr>
            </w:pPr>
            <w:r>
              <w:rPr>
                <w:rFonts w:eastAsia="Calibri" w:cs="Times New Roman"/>
                <w:color w:val="000000"/>
                <w:sz w:val="22"/>
                <w:szCs w:val="22"/>
                <w:lang w:eastAsia="en-US"/>
              </w:rPr>
              <w:t xml:space="preserve">Oprócz konieczności stworzenia odpowiedniego otoczenia instytucjonalnego dla celów stosowania DGA państwa członkowskie zobowiązane są również zapewnić możliwość realizacji w prawie krajowym przepisów proceduralnych przewidzianych w rozporządzeniu oraz ustanowić regulacje dotyczące kar za naruszenie jego przepisów. W projektowanej ustawie zawarte zostaną w związku z tym niezbędne przepisy regulujące wskazane obszary. Kształt przepisów proceduralnych będzie ściśle powiązany z rozwiązaniami instytucjonalnymi. Z kolei w przypadku regulacji dotyczących kar propozycje wyjściowe są oparte na rozwiązaniach podobnych do tych przewidzianych w już obowiązujących </w:t>
            </w:r>
            <w:r w:rsidRPr="00CC589B">
              <w:rPr>
                <w:rFonts w:eastAsia="Calibri" w:cs="Times New Roman"/>
                <w:color w:val="000000"/>
                <w:sz w:val="22"/>
                <w:szCs w:val="22"/>
                <w:lang w:eastAsia="en-US"/>
              </w:rPr>
              <w:lastRenderedPageBreak/>
              <w:t>przepisach krajowych i unijnych, m.in. w ustawie z dnia 16 lutego 2007 r. o ochronie konkurencji i konsumentów (</w:t>
            </w:r>
            <w:r w:rsidR="00CC589B" w:rsidRPr="00CC589B">
              <w:rPr>
                <w:rFonts w:eastAsia="Calibri" w:cs="Times New Roman"/>
                <w:color w:val="000000"/>
                <w:sz w:val="22"/>
                <w:szCs w:val="22"/>
                <w:lang w:eastAsia="en-US"/>
              </w:rPr>
              <w:t>Dz. U. z 2021 r. poz. 275, z 2022 r. poz. 2581 i 2640 oraz z 2023 poz. 852</w:t>
            </w:r>
            <w:r w:rsidRPr="00CC589B">
              <w:rPr>
                <w:rFonts w:eastAsia="Calibri" w:cs="Times New Roman"/>
                <w:color w:val="000000"/>
                <w:sz w:val="22"/>
                <w:szCs w:val="22"/>
                <w:lang w:eastAsia="en-US"/>
              </w:rPr>
              <w:t>).</w:t>
            </w:r>
          </w:p>
        </w:tc>
      </w:tr>
      <w:tr w:rsidR="00654783" w14:paraId="26D88CF5" w14:textId="77777777" w:rsidTr="00CA6AF1">
        <w:trPr>
          <w:gridAfter w:val="1"/>
          <w:wAfter w:w="10" w:type="dxa"/>
          <w:trHeight w:val="307"/>
        </w:trPr>
        <w:tc>
          <w:tcPr>
            <w:tcW w:w="10937" w:type="dxa"/>
            <w:gridSpan w:val="28"/>
            <w:tcBorders>
              <w:top w:val="single" w:sz="4" w:space="0" w:color="auto"/>
              <w:left w:val="single" w:sz="4" w:space="0" w:color="auto"/>
              <w:bottom w:val="single" w:sz="4" w:space="0" w:color="auto"/>
              <w:right w:val="single" w:sz="4" w:space="0" w:color="auto"/>
            </w:tcBorders>
            <w:shd w:val="clear" w:color="auto" w:fill="99CCFF"/>
            <w:vAlign w:val="center"/>
            <w:hideMark/>
          </w:tcPr>
          <w:p w14:paraId="756E62FD" w14:textId="77777777" w:rsidR="00654783" w:rsidRDefault="00654783" w:rsidP="00654783">
            <w:pPr>
              <w:widowControl/>
              <w:numPr>
                <w:ilvl w:val="0"/>
                <w:numId w:val="18"/>
              </w:numPr>
              <w:autoSpaceDE/>
              <w:adjustRightInd/>
              <w:spacing w:before="60" w:after="60" w:line="240" w:lineRule="auto"/>
              <w:ind w:left="318" w:hanging="284"/>
              <w:jc w:val="both"/>
              <w:rPr>
                <w:rFonts w:eastAsia="Calibri" w:cs="Times New Roman"/>
                <w:b/>
                <w:color w:val="000000"/>
                <w:sz w:val="22"/>
                <w:szCs w:val="22"/>
                <w:lang w:eastAsia="en-US"/>
              </w:rPr>
            </w:pPr>
            <w:r>
              <w:rPr>
                <w:rFonts w:eastAsia="Calibri" w:cs="Times New Roman"/>
                <w:b/>
                <w:spacing w:val="-2"/>
                <w:sz w:val="22"/>
                <w:szCs w:val="22"/>
                <w:lang w:eastAsia="en-US"/>
              </w:rPr>
              <w:lastRenderedPageBreak/>
              <w:t>Jak problem został rozwiązany w innych krajach, w szczególności krajach członkowskich OECD/UE</w:t>
            </w:r>
            <w:r>
              <w:rPr>
                <w:rFonts w:eastAsia="Calibri" w:cs="Times New Roman"/>
                <w:b/>
                <w:color w:val="000000"/>
                <w:sz w:val="22"/>
                <w:szCs w:val="22"/>
                <w:lang w:eastAsia="en-US"/>
              </w:rPr>
              <w:t>?</w:t>
            </w:r>
            <w:r>
              <w:rPr>
                <w:rFonts w:eastAsia="Calibri" w:cs="Times New Roman"/>
                <w:i/>
                <w:color w:val="000000"/>
                <w:sz w:val="22"/>
                <w:szCs w:val="22"/>
                <w:lang w:eastAsia="en-US"/>
              </w:rPr>
              <w:t xml:space="preserve"> </w:t>
            </w:r>
          </w:p>
        </w:tc>
      </w:tr>
      <w:tr w:rsidR="00654783" w14:paraId="7BFA174B" w14:textId="77777777" w:rsidTr="00CA6AF1">
        <w:trPr>
          <w:gridAfter w:val="1"/>
          <w:wAfter w:w="10" w:type="dxa"/>
          <w:trHeight w:val="142"/>
        </w:trPr>
        <w:tc>
          <w:tcPr>
            <w:tcW w:w="10937" w:type="dxa"/>
            <w:gridSpan w:val="28"/>
            <w:tcBorders>
              <w:top w:val="single" w:sz="4" w:space="0" w:color="auto"/>
              <w:left w:val="single" w:sz="4" w:space="0" w:color="auto"/>
              <w:bottom w:val="single" w:sz="4" w:space="0" w:color="auto"/>
              <w:right w:val="single" w:sz="4" w:space="0" w:color="auto"/>
            </w:tcBorders>
            <w:hideMark/>
          </w:tcPr>
          <w:p w14:paraId="5CA44F05" w14:textId="77777777" w:rsidR="00654783" w:rsidRDefault="00654783">
            <w:pPr>
              <w:widowControl/>
              <w:autoSpaceDE/>
              <w:adjustRightInd/>
              <w:spacing w:line="276" w:lineRule="auto"/>
              <w:jc w:val="both"/>
              <w:rPr>
                <w:rFonts w:eastAsia="Calibri" w:cs="Times New Roman"/>
                <w:color w:val="000000"/>
                <w:spacing w:val="-2"/>
                <w:sz w:val="22"/>
                <w:szCs w:val="22"/>
                <w:lang w:eastAsia="en-US"/>
              </w:rPr>
            </w:pPr>
            <w:r>
              <w:rPr>
                <w:rFonts w:eastAsia="Calibri" w:cs="Times New Roman"/>
                <w:color w:val="000000"/>
                <w:spacing w:val="-2"/>
                <w:sz w:val="22"/>
                <w:szCs w:val="22"/>
                <w:lang w:eastAsia="en-US"/>
              </w:rPr>
              <w:t>DGA wprowadza nowe rozwiązania, które nie funkcjonują jeszcze w większości krajów członkowskich Unii Europejskiej. Można znaleźć pojedyncze przykłady zbliżonych mechanizmów wymiany danych G2B oraz B2B dotyczące ponownego wykorzystywania danych, usług pośrednictwa danych oraz altruizmu danych.</w:t>
            </w:r>
          </w:p>
          <w:p w14:paraId="26785F9D" w14:textId="77777777" w:rsidR="00654783" w:rsidRDefault="00654783">
            <w:pPr>
              <w:widowControl/>
              <w:autoSpaceDE/>
              <w:adjustRightInd/>
              <w:spacing w:before="120" w:line="276" w:lineRule="auto"/>
              <w:jc w:val="both"/>
              <w:rPr>
                <w:rFonts w:eastAsia="Calibri" w:cs="Times New Roman"/>
                <w:color w:val="000000"/>
                <w:spacing w:val="-2"/>
                <w:sz w:val="22"/>
                <w:szCs w:val="22"/>
                <w:lang w:eastAsia="en-US"/>
              </w:rPr>
            </w:pPr>
            <w:r>
              <w:rPr>
                <w:rFonts w:eastAsia="Calibri" w:cs="Times New Roman"/>
                <w:color w:val="000000"/>
                <w:spacing w:val="-2"/>
                <w:sz w:val="22"/>
                <w:szCs w:val="22"/>
                <w:lang w:eastAsia="en-US"/>
              </w:rPr>
              <w:t>Regulowany w DGA mechanizm rejestracji oraz oznaczania dostawców usług pośrednictwa danych i organizacji altruizmu danych, a także nadzorowania ich działalności nie znajduje odpowiednika w funkcjonujących już rozwiązaniach. Otoczenie instytucjonalne i regulacyjne służące stosowaniu przepisów DGA określone będzie przez każde z państw członkowskich indywidualnie, a DGA reguluje tylko najbardziej podstawowe jego założenia.</w:t>
            </w:r>
          </w:p>
          <w:p w14:paraId="72F8D9FB" w14:textId="77777777" w:rsidR="00654783" w:rsidRDefault="00654783" w:rsidP="00654783">
            <w:pPr>
              <w:widowControl/>
              <w:numPr>
                <w:ilvl w:val="0"/>
                <w:numId w:val="24"/>
              </w:numPr>
              <w:autoSpaceDE/>
              <w:adjustRightInd/>
              <w:spacing w:before="120" w:line="276" w:lineRule="auto"/>
              <w:ind w:left="318" w:hanging="284"/>
              <w:jc w:val="both"/>
              <w:rPr>
                <w:rFonts w:eastAsia="Calibri" w:cs="Times New Roman"/>
                <w:b/>
                <w:color w:val="000000"/>
                <w:spacing w:val="-2"/>
                <w:sz w:val="22"/>
                <w:szCs w:val="22"/>
                <w:lang w:eastAsia="en-US"/>
              </w:rPr>
            </w:pPr>
            <w:r>
              <w:rPr>
                <w:rFonts w:eastAsia="Calibri" w:cs="Times New Roman"/>
                <w:b/>
                <w:color w:val="000000"/>
                <w:spacing w:val="-2"/>
                <w:sz w:val="22"/>
                <w:szCs w:val="22"/>
                <w:lang w:eastAsia="en-US"/>
              </w:rPr>
              <w:t>Ponowne wykorzystywanie chronionych danych posiadanych przez podmioty sektora publicznego</w:t>
            </w:r>
          </w:p>
          <w:p w14:paraId="4FCF6B1E" w14:textId="77777777" w:rsidR="00654783" w:rsidRDefault="00654783" w:rsidP="00C461AB">
            <w:pPr>
              <w:widowControl/>
              <w:autoSpaceDE/>
              <w:adjustRightInd/>
              <w:spacing w:line="276" w:lineRule="auto"/>
              <w:ind w:left="34"/>
              <w:jc w:val="both"/>
              <w:rPr>
                <w:rFonts w:eastAsia="Calibri" w:cs="Times New Roman"/>
                <w:color w:val="000000"/>
                <w:spacing w:val="-2"/>
                <w:sz w:val="22"/>
                <w:szCs w:val="22"/>
                <w:lang w:eastAsia="en-US"/>
              </w:rPr>
            </w:pPr>
            <w:r>
              <w:rPr>
                <w:rFonts w:eastAsia="Calibri" w:cs="Times New Roman"/>
                <w:color w:val="000000"/>
                <w:spacing w:val="-2"/>
                <w:sz w:val="22"/>
                <w:szCs w:val="22"/>
                <w:lang w:eastAsia="en-US"/>
              </w:rPr>
              <w:t xml:space="preserve">Najbardziej rozpowszechnionym w Europie modelem udostępniania do ponownego wykorzystywania publicznych danych objętych prawami osób trzecich (przede wszystkim danych osobowych) jest rozwiązanie, w którym statystyka publiczna umożliwia dostęp do swoich danych, w tym mikro danych, ale także innych objętych tajemnicą statystyczną, najczęściej za opłatą oraz przede wszystkim do celów badań naukowych. Dla przykładu, niemieckie Centrum Danych Badawczych umożliwia badaczom dostęp do statystycznych </w:t>
            </w:r>
            <w:proofErr w:type="spellStart"/>
            <w:r>
              <w:rPr>
                <w:rFonts w:eastAsia="Calibri" w:cs="Times New Roman"/>
                <w:color w:val="000000"/>
                <w:spacing w:val="-2"/>
                <w:sz w:val="22"/>
                <w:szCs w:val="22"/>
                <w:lang w:eastAsia="en-US"/>
              </w:rPr>
              <w:t>mikrodanych</w:t>
            </w:r>
            <w:proofErr w:type="spellEnd"/>
            <w:r>
              <w:rPr>
                <w:rFonts w:eastAsia="Calibri" w:cs="Times New Roman"/>
                <w:color w:val="000000"/>
                <w:spacing w:val="-2"/>
                <w:sz w:val="22"/>
                <w:szCs w:val="22"/>
                <w:lang w:eastAsia="en-US"/>
              </w:rPr>
              <w:t xml:space="preserve"> m.in. na temat zdrowia, dochodów, warunków życia, rolnictwa, edukacji, energii, podatków, zarówno na poziomie federalnym jak i regionalnym. Dane dostępne są na wniosek oraz za opłatą. W podobny sposób można zawnioskować o dostęp do celów badań naukowych do zanonimizowanych lub </w:t>
            </w:r>
            <w:proofErr w:type="spellStart"/>
            <w:r>
              <w:rPr>
                <w:rFonts w:eastAsia="Calibri" w:cs="Times New Roman"/>
                <w:color w:val="000000"/>
                <w:spacing w:val="-2"/>
                <w:sz w:val="22"/>
                <w:szCs w:val="22"/>
                <w:lang w:eastAsia="en-US"/>
              </w:rPr>
              <w:t>spseudonimizowanych</w:t>
            </w:r>
            <w:proofErr w:type="spellEnd"/>
            <w:r>
              <w:rPr>
                <w:rFonts w:eastAsia="Calibri" w:cs="Times New Roman"/>
                <w:color w:val="000000"/>
                <w:spacing w:val="-2"/>
                <w:sz w:val="22"/>
                <w:szCs w:val="22"/>
                <w:lang w:eastAsia="en-US"/>
              </w:rPr>
              <w:t xml:space="preserve"> mikro danych statystycznych w Danii poprzez</w:t>
            </w:r>
            <w:r>
              <w:rPr>
                <w:rFonts w:ascii="Calibri" w:eastAsia="Calibri" w:hAnsi="Calibri" w:cs="Times New Roman"/>
                <w:sz w:val="22"/>
                <w:szCs w:val="22"/>
                <w:lang w:eastAsia="en-US"/>
              </w:rPr>
              <w:t xml:space="preserve"> </w:t>
            </w:r>
            <w:proofErr w:type="spellStart"/>
            <w:r>
              <w:rPr>
                <w:rFonts w:eastAsia="Calibri" w:cs="Times New Roman"/>
                <w:color w:val="000000"/>
                <w:spacing w:val="-2"/>
                <w:sz w:val="22"/>
                <w:szCs w:val="22"/>
                <w:lang w:eastAsia="en-US"/>
              </w:rPr>
              <w:t>Statistics</w:t>
            </w:r>
            <w:proofErr w:type="spellEnd"/>
            <w:r>
              <w:rPr>
                <w:rFonts w:eastAsia="Calibri" w:cs="Times New Roman"/>
                <w:color w:val="000000"/>
                <w:spacing w:val="-2"/>
                <w:sz w:val="22"/>
                <w:szCs w:val="22"/>
                <w:lang w:eastAsia="en-US"/>
              </w:rPr>
              <w:t xml:space="preserve"> </w:t>
            </w:r>
            <w:proofErr w:type="spellStart"/>
            <w:r>
              <w:rPr>
                <w:rFonts w:eastAsia="Calibri" w:cs="Times New Roman"/>
                <w:color w:val="000000"/>
                <w:spacing w:val="-2"/>
                <w:sz w:val="22"/>
                <w:szCs w:val="22"/>
                <w:lang w:eastAsia="en-US"/>
              </w:rPr>
              <w:t>Denmark</w:t>
            </w:r>
            <w:proofErr w:type="spellEnd"/>
            <w:r>
              <w:rPr>
                <w:rFonts w:eastAsia="Calibri" w:cs="Times New Roman"/>
                <w:color w:val="000000"/>
                <w:spacing w:val="-2"/>
                <w:sz w:val="22"/>
                <w:szCs w:val="22"/>
                <w:lang w:eastAsia="en-US"/>
              </w:rPr>
              <w:t xml:space="preserve">, w Belgii za pośrednictwem </w:t>
            </w:r>
            <w:proofErr w:type="spellStart"/>
            <w:r>
              <w:rPr>
                <w:rFonts w:eastAsia="Calibri" w:cs="Times New Roman"/>
                <w:color w:val="000000"/>
                <w:spacing w:val="-2"/>
                <w:sz w:val="22"/>
                <w:szCs w:val="22"/>
                <w:lang w:eastAsia="en-US"/>
              </w:rPr>
              <w:t>Statbel</w:t>
            </w:r>
            <w:proofErr w:type="spellEnd"/>
            <w:r>
              <w:rPr>
                <w:rFonts w:eastAsia="Calibri" w:cs="Times New Roman"/>
                <w:color w:val="000000"/>
                <w:spacing w:val="-2"/>
                <w:sz w:val="22"/>
                <w:szCs w:val="22"/>
                <w:lang w:eastAsia="en-US"/>
              </w:rPr>
              <w:t xml:space="preserve"> czy też w Czechach. Urząd statystyczny Wielkiej Brytanii umożliwia dostęp do zastrzeżonych danych ze spisów oraz innych poufnych danych zbieranych w ramach statystyki publicznej dla akredytowanych badaczy.</w:t>
            </w:r>
          </w:p>
          <w:p w14:paraId="634D3E54" w14:textId="0C05B584" w:rsidR="00654783" w:rsidRDefault="00654783" w:rsidP="00C461AB">
            <w:pPr>
              <w:widowControl/>
              <w:autoSpaceDE/>
              <w:adjustRightInd/>
              <w:spacing w:line="276" w:lineRule="auto"/>
              <w:jc w:val="both"/>
              <w:rPr>
                <w:rFonts w:eastAsia="Calibri" w:cs="Times New Roman"/>
                <w:color w:val="000000"/>
                <w:spacing w:val="-2"/>
                <w:sz w:val="22"/>
                <w:szCs w:val="22"/>
                <w:lang w:eastAsia="en-US"/>
              </w:rPr>
            </w:pPr>
            <w:r>
              <w:rPr>
                <w:rFonts w:eastAsia="Calibri" w:cs="Times New Roman"/>
                <w:color w:val="000000"/>
                <w:spacing w:val="-2"/>
                <w:sz w:val="22"/>
                <w:szCs w:val="22"/>
                <w:lang w:eastAsia="en-US"/>
              </w:rPr>
              <w:t xml:space="preserve">Osobną, mniej liczną kategorię podmiotów, stanowią instytucje powołane do udostępniania publicznych danych zdrowotnych. Przykładem jest tu francuskie Centrum Danych nt. Zdrowia (French </w:t>
            </w:r>
            <w:proofErr w:type="spellStart"/>
            <w:r>
              <w:rPr>
                <w:rFonts w:eastAsia="Calibri" w:cs="Times New Roman"/>
                <w:color w:val="000000"/>
                <w:spacing w:val="-2"/>
                <w:sz w:val="22"/>
                <w:szCs w:val="22"/>
                <w:lang w:eastAsia="en-US"/>
              </w:rPr>
              <w:t>Health</w:t>
            </w:r>
            <w:proofErr w:type="spellEnd"/>
            <w:r>
              <w:rPr>
                <w:rFonts w:eastAsia="Calibri" w:cs="Times New Roman"/>
                <w:color w:val="000000"/>
                <w:spacing w:val="-2"/>
                <w:sz w:val="22"/>
                <w:szCs w:val="22"/>
                <w:lang w:eastAsia="en-US"/>
              </w:rPr>
              <w:t xml:space="preserve"> Data Hub), które gromadzi dane dotyczące zdrowia z różnych baz danych w celu ułatwienia ich ponownego wykorzystywania przez instytucje badawcze. Innym przykładem jest fińska instytucja </w:t>
            </w:r>
            <w:proofErr w:type="spellStart"/>
            <w:r>
              <w:rPr>
                <w:rFonts w:eastAsia="Calibri" w:cs="Times New Roman"/>
                <w:color w:val="000000"/>
                <w:spacing w:val="-2"/>
                <w:sz w:val="22"/>
                <w:szCs w:val="22"/>
                <w:lang w:eastAsia="en-US"/>
              </w:rPr>
              <w:t>FinData</w:t>
            </w:r>
            <w:proofErr w:type="spellEnd"/>
            <w:r>
              <w:rPr>
                <w:rFonts w:eastAsia="Calibri" w:cs="Times New Roman"/>
                <w:color w:val="000000"/>
                <w:spacing w:val="-2"/>
                <w:sz w:val="22"/>
                <w:szCs w:val="22"/>
                <w:lang w:eastAsia="en-US"/>
              </w:rPr>
              <w:t xml:space="preserve">. Jest to rodzaj pośrednika, który obsługuje zezwolenia na dostęp do danych gromadzonych w publicznych bazach zawierających dane z zakresu zdrowia i opieki społecznej. </w:t>
            </w:r>
            <w:proofErr w:type="spellStart"/>
            <w:r>
              <w:rPr>
                <w:rFonts w:eastAsia="Calibri" w:cs="Times New Roman"/>
                <w:color w:val="000000"/>
                <w:spacing w:val="-2"/>
                <w:sz w:val="22"/>
                <w:szCs w:val="22"/>
                <w:lang w:eastAsia="en-US"/>
              </w:rPr>
              <w:t>FinData</w:t>
            </w:r>
            <w:proofErr w:type="spellEnd"/>
            <w:r>
              <w:rPr>
                <w:rFonts w:eastAsia="Calibri" w:cs="Times New Roman"/>
                <w:color w:val="000000"/>
                <w:spacing w:val="-2"/>
                <w:sz w:val="22"/>
                <w:szCs w:val="22"/>
                <w:lang w:eastAsia="en-US"/>
              </w:rPr>
              <w:t xml:space="preserve"> działa na zasadzie one-stop-shop – na podstawie jednego, stałego pozwolenia możliwe jest przetwarzanie danych gromadzonych przez wiele instytucji. Ponowne wykorzystywanie takich zasobów możliwe jest w celach związanych z zarządzaniem opieką zdrowotną i społeczną, badaniami nad innowacjami w tych dwóch sektorach oraz pogłębieniem wiedzy na temat społeczeństwa i</w:t>
            </w:r>
            <w:r w:rsidR="008C5D99">
              <w:rPr>
                <w:rFonts w:eastAsia="Calibri" w:cs="Times New Roman"/>
                <w:color w:val="000000"/>
                <w:spacing w:val="-2"/>
                <w:sz w:val="22"/>
                <w:szCs w:val="22"/>
                <w:lang w:eastAsia="en-US"/>
              </w:rPr>
              <w:t> </w:t>
            </w:r>
            <w:r>
              <w:rPr>
                <w:rFonts w:eastAsia="Calibri" w:cs="Times New Roman"/>
                <w:color w:val="000000"/>
                <w:spacing w:val="-2"/>
                <w:sz w:val="22"/>
                <w:szCs w:val="22"/>
                <w:lang w:eastAsia="en-US"/>
              </w:rPr>
              <w:t>skuteczności podejmowanych przez państwo polityk.</w:t>
            </w:r>
          </w:p>
          <w:p w14:paraId="255D13F4" w14:textId="77777777" w:rsidR="00654783" w:rsidRDefault="00654783" w:rsidP="00654783">
            <w:pPr>
              <w:widowControl/>
              <w:numPr>
                <w:ilvl w:val="0"/>
                <w:numId w:val="24"/>
              </w:numPr>
              <w:autoSpaceDE/>
              <w:adjustRightInd/>
              <w:spacing w:before="120" w:line="276" w:lineRule="auto"/>
              <w:ind w:left="318" w:hanging="284"/>
              <w:jc w:val="both"/>
              <w:rPr>
                <w:rFonts w:eastAsia="Calibri" w:cs="Times New Roman"/>
                <w:b/>
                <w:color w:val="000000"/>
                <w:spacing w:val="-2"/>
                <w:sz w:val="22"/>
                <w:szCs w:val="22"/>
                <w:lang w:eastAsia="en-US"/>
              </w:rPr>
            </w:pPr>
            <w:r>
              <w:rPr>
                <w:rFonts w:eastAsia="Calibri" w:cs="Times New Roman"/>
                <w:b/>
                <w:color w:val="000000"/>
                <w:spacing w:val="-2"/>
                <w:sz w:val="22"/>
                <w:szCs w:val="22"/>
                <w:lang w:eastAsia="en-US"/>
              </w:rPr>
              <w:t>Dostawcy usług pośrednictwa danych</w:t>
            </w:r>
          </w:p>
          <w:p w14:paraId="7ED33FA5" w14:textId="77777777" w:rsidR="00654783" w:rsidRDefault="00654783" w:rsidP="00C461AB">
            <w:pPr>
              <w:widowControl/>
              <w:autoSpaceDE/>
              <w:adjustRightInd/>
              <w:spacing w:line="276" w:lineRule="auto"/>
              <w:ind w:left="34"/>
              <w:jc w:val="both"/>
              <w:rPr>
                <w:rFonts w:eastAsia="Calibri" w:cs="Times New Roman"/>
                <w:color w:val="000000"/>
                <w:spacing w:val="-2"/>
                <w:sz w:val="22"/>
                <w:szCs w:val="22"/>
                <w:lang w:eastAsia="en-US"/>
              </w:rPr>
            </w:pPr>
            <w:r>
              <w:rPr>
                <w:rFonts w:eastAsia="Calibri" w:cs="Times New Roman"/>
                <w:color w:val="000000"/>
                <w:spacing w:val="-2"/>
                <w:sz w:val="22"/>
                <w:szCs w:val="22"/>
                <w:lang w:eastAsia="en-US"/>
              </w:rPr>
              <w:t xml:space="preserve">Na rynku europejskim funkcjonuje wielu pośredników danych, jednak z reguły nie są oni neutralni w tym sensie, że wykorzystują wymieniane dane do polepszania świadczonych usług lub oferowania usług powiązanych (usługi wartości dodanej). Jako przykłady wskazać można firmy takie jak Airbus, Siemens czy MAN, które oferują swoim klientom i dostawcom dostęp do platformy wymiany danych przemysłowych. Platformy udostępniane są zatem dla ograniczonego kręgu podmiotów. Działalność tego typu pośredników obejmuje z reguły cały łańcuch wartości – od gromadzenia danych (za pośrednictwem produktów </w:t>
            </w:r>
            <w:proofErr w:type="spellStart"/>
            <w:r>
              <w:rPr>
                <w:rFonts w:eastAsia="Calibri" w:cs="Times New Roman"/>
                <w:color w:val="000000"/>
                <w:spacing w:val="-2"/>
                <w:sz w:val="22"/>
                <w:szCs w:val="22"/>
                <w:lang w:eastAsia="en-US"/>
              </w:rPr>
              <w:t>internetu</w:t>
            </w:r>
            <w:proofErr w:type="spellEnd"/>
            <w:r>
              <w:rPr>
                <w:rFonts w:eastAsia="Calibri" w:cs="Times New Roman"/>
                <w:color w:val="000000"/>
                <w:spacing w:val="-2"/>
                <w:sz w:val="22"/>
                <w:szCs w:val="22"/>
                <w:lang w:eastAsia="en-US"/>
              </w:rPr>
              <w:t xml:space="preserve"> rzeczy czy stron internetowych), poprzez ich przechowywanie i przetwarzania (usługi chmurowe) aż do świadczenia usług.</w:t>
            </w:r>
          </w:p>
          <w:p w14:paraId="093D8C23" w14:textId="77777777" w:rsidR="00654783" w:rsidRDefault="00654783" w:rsidP="00654783">
            <w:pPr>
              <w:widowControl/>
              <w:numPr>
                <w:ilvl w:val="0"/>
                <w:numId w:val="24"/>
              </w:numPr>
              <w:autoSpaceDE/>
              <w:adjustRightInd/>
              <w:spacing w:before="120" w:line="276" w:lineRule="auto"/>
              <w:ind w:left="318" w:hanging="284"/>
              <w:jc w:val="both"/>
              <w:rPr>
                <w:rFonts w:eastAsia="Calibri" w:cs="Times New Roman"/>
                <w:b/>
                <w:color w:val="000000"/>
                <w:spacing w:val="-2"/>
                <w:sz w:val="22"/>
                <w:szCs w:val="22"/>
                <w:lang w:eastAsia="en-US"/>
              </w:rPr>
            </w:pPr>
            <w:r>
              <w:rPr>
                <w:rFonts w:eastAsia="Calibri" w:cs="Times New Roman"/>
                <w:b/>
                <w:color w:val="000000"/>
                <w:spacing w:val="-2"/>
                <w:sz w:val="22"/>
                <w:szCs w:val="22"/>
                <w:lang w:eastAsia="en-US"/>
              </w:rPr>
              <w:t>Organizacje altruizmu danych</w:t>
            </w:r>
          </w:p>
          <w:p w14:paraId="1935E379" w14:textId="77777777" w:rsidR="00654783" w:rsidRDefault="00654783" w:rsidP="00C461AB">
            <w:pPr>
              <w:widowControl/>
              <w:autoSpaceDE/>
              <w:adjustRightInd/>
              <w:spacing w:line="276" w:lineRule="auto"/>
              <w:ind w:left="34"/>
              <w:jc w:val="both"/>
              <w:rPr>
                <w:rFonts w:eastAsia="Calibri" w:cs="Times New Roman"/>
                <w:color w:val="000000"/>
                <w:spacing w:val="-2"/>
                <w:sz w:val="22"/>
                <w:szCs w:val="22"/>
                <w:lang w:eastAsia="en-US"/>
              </w:rPr>
            </w:pPr>
            <w:r>
              <w:rPr>
                <w:rFonts w:eastAsia="Calibri" w:cs="Times New Roman"/>
                <w:color w:val="000000"/>
                <w:spacing w:val="-2"/>
                <w:sz w:val="22"/>
                <w:szCs w:val="22"/>
                <w:lang w:eastAsia="en-US"/>
              </w:rPr>
              <w:t xml:space="preserve">Koncepcja altruizmu danych – dobrowolnego przekazywania danych do celów interesu ogólnego ‒ zyskała na popularności w okresie pandemii, jednak w żadnym z krajów członkowskich Unii Europejskiej nie została jak dotąd szeroko rozpowszechniona. Udostępnianie danych, a zwłaszcza danych osobowych, dla dobra wspólnego pozostaje słabo rozwinięte. Nie ma przykładów funkcjonujących organizacji altruizmu danych, jednak można wskazać pewne projekty, które od pewnego czasu badają możliwości, jakie niesie ze sobą altruizm danych. Jedną z nich jest fiński </w:t>
            </w:r>
            <w:proofErr w:type="spellStart"/>
            <w:r>
              <w:rPr>
                <w:rFonts w:eastAsia="Calibri" w:cs="Times New Roman"/>
                <w:color w:val="000000"/>
                <w:spacing w:val="-2"/>
                <w:sz w:val="22"/>
                <w:szCs w:val="22"/>
                <w:lang w:eastAsia="en-US"/>
              </w:rPr>
              <w:t>MyData</w:t>
            </w:r>
            <w:proofErr w:type="spellEnd"/>
            <w:r>
              <w:rPr>
                <w:rFonts w:eastAsia="Calibri" w:cs="Times New Roman"/>
                <w:color w:val="000000"/>
                <w:spacing w:val="-2"/>
                <w:sz w:val="22"/>
                <w:szCs w:val="22"/>
                <w:lang w:eastAsia="en-US"/>
              </w:rPr>
              <w:t xml:space="preserve">. Projekt ten ma na celu przekształcenie obecnego systemu zarządzania i przetwarzania danych osobowych na zorientowany na człowieka a nie na instytucje. </w:t>
            </w:r>
            <w:proofErr w:type="spellStart"/>
            <w:r>
              <w:rPr>
                <w:rFonts w:eastAsia="Calibri" w:cs="Times New Roman"/>
                <w:color w:val="000000"/>
                <w:spacing w:val="-2"/>
                <w:sz w:val="22"/>
                <w:szCs w:val="22"/>
                <w:lang w:eastAsia="en-US"/>
              </w:rPr>
              <w:t>MyData</w:t>
            </w:r>
            <w:proofErr w:type="spellEnd"/>
            <w:r>
              <w:rPr>
                <w:rFonts w:eastAsia="Calibri" w:cs="Times New Roman"/>
                <w:color w:val="000000"/>
                <w:spacing w:val="-2"/>
                <w:sz w:val="22"/>
                <w:szCs w:val="22"/>
                <w:lang w:eastAsia="en-US"/>
              </w:rPr>
              <w:t xml:space="preserve"> dąży do stworzenia infrastruktury, która stworzy wspólne ramy dla różnych rodzajów banków danych badawczych, aby łatwo mogły one uzyskać zgodę osób na zbieranie ich danych. </w:t>
            </w:r>
          </w:p>
          <w:p w14:paraId="43645ABF" w14:textId="77777777" w:rsidR="00654783" w:rsidRDefault="00654783" w:rsidP="00C461AB">
            <w:pPr>
              <w:widowControl/>
              <w:autoSpaceDE/>
              <w:adjustRightInd/>
              <w:spacing w:before="120" w:line="276" w:lineRule="auto"/>
              <w:jc w:val="both"/>
              <w:rPr>
                <w:rFonts w:eastAsia="Calibri" w:cs="Times New Roman"/>
                <w:color w:val="000000"/>
                <w:spacing w:val="-2"/>
                <w:sz w:val="22"/>
                <w:szCs w:val="22"/>
                <w:lang w:eastAsia="en-US"/>
              </w:rPr>
            </w:pPr>
            <w:r>
              <w:rPr>
                <w:rFonts w:eastAsia="Calibri" w:cs="Times New Roman"/>
                <w:color w:val="000000"/>
                <w:spacing w:val="-2"/>
                <w:sz w:val="22"/>
                <w:szCs w:val="22"/>
                <w:lang w:eastAsia="en-US"/>
              </w:rPr>
              <w:t xml:space="preserve">Przykładem zbierania danych zgodnie z założeniami altruizmu danych (dobrowolnie, dla celów interesu ogólnego, zgodnie z poszanowaniem prywatności, w tym z zachowaniem prawa do wycofania zgody na przetwarzanie danych) jest inicjatywa </w:t>
            </w:r>
            <w:r>
              <w:rPr>
                <w:rFonts w:eastAsia="Calibri" w:cs="Times New Roman"/>
                <w:color w:val="000000"/>
                <w:spacing w:val="-2"/>
                <w:sz w:val="22"/>
                <w:szCs w:val="22"/>
                <w:lang w:eastAsia="en-US"/>
              </w:rPr>
              <w:lastRenderedPageBreak/>
              <w:t xml:space="preserve">Instytutu Kocha, który za pośrednictwem aplikacji gromadził dane zdrowotne użytkowników związane z koronawirusem. Dane były </w:t>
            </w:r>
            <w:proofErr w:type="spellStart"/>
            <w:r>
              <w:rPr>
                <w:rFonts w:eastAsia="Calibri" w:cs="Times New Roman"/>
                <w:color w:val="000000"/>
                <w:spacing w:val="-2"/>
                <w:sz w:val="22"/>
                <w:szCs w:val="22"/>
                <w:lang w:eastAsia="en-US"/>
              </w:rPr>
              <w:t>anonimizowane</w:t>
            </w:r>
            <w:proofErr w:type="spellEnd"/>
            <w:r>
              <w:rPr>
                <w:rFonts w:eastAsia="Calibri" w:cs="Times New Roman"/>
                <w:color w:val="000000"/>
                <w:spacing w:val="-2"/>
                <w:sz w:val="22"/>
                <w:szCs w:val="22"/>
                <w:lang w:eastAsia="en-US"/>
              </w:rPr>
              <w:t>, wykorzystywane wyłącznie do celów badań naukowych. Użytkownicy mieli dostęp do swoich danych, mogli nimi administrować oraz w każdej chwili usunąć.</w:t>
            </w:r>
          </w:p>
        </w:tc>
      </w:tr>
      <w:tr w:rsidR="00654783" w14:paraId="2C46487F" w14:textId="77777777" w:rsidTr="00CA6AF1">
        <w:trPr>
          <w:gridAfter w:val="1"/>
          <w:wAfter w:w="10" w:type="dxa"/>
          <w:trHeight w:val="359"/>
        </w:trPr>
        <w:tc>
          <w:tcPr>
            <w:tcW w:w="10937" w:type="dxa"/>
            <w:gridSpan w:val="28"/>
            <w:tcBorders>
              <w:top w:val="single" w:sz="4" w:space="0" w:color="auto"/>
              <w:left w:val="single" w:sz="4" w:space="0" w:color="auto"/>
              <w:bottom w:val="single" w:sz="4" w:space="0" w:color="auto"/>
              <w:right w:val="single" w:sz="4" w:space="0" w:color="auto"/>
            </w:tcBorders>
            <w:shd w:val="clear" w:color="auto" w:fill="99CCFF"/>
            <w:vAlign w:val="center"/>
            <w:hideMark/>
          </w:tcPr>
          <w:p w14:paraId="445C8425" w14:textId="77777777" w:rsidR="00654783" w:rsidRDefault="00654783" w:rsidP="00654783">
            <w:pPr>
              <w:widowControl/>
              <w:numPr>
                <w:ilvl w:val="0"/>
                <w:numId w:val="18"/>
              </w:numPr>
              <w:autoSpaceDE/>
              <w:adjustRightInd/>
              <w:spacing w:before="60" w:after="60" w:line="240" w:lineRule="auto"/>
              <w:jc w:val="both"/>
              <w:rPr>
                <w:rFonts w:eastAsia="Calibri" w:cs="Times New Roman"/>
                <w:b/>
                <w:color w:val="000000"/>
                <w:sz w:val="22"/>
                <w:szCs w:val="22"/>
                <w:lang w:eastAsia="en-US"/>
              </w:rPr>
            </w:pPr>
            <w:r>
              <w:rPr>
                <w:rFonts w:eastAsia="Calibri" w:cs="Times New Roman"/>
                <w:b/>
                <w:color w:val="000000"/>
                <w:sz w:val="22"/>
                <w:szCs w:val="22"/>
                <w:lang w:eastAsia="en-US"/>
              </w:rPr>
              <w:lastRenderedPageBreak/>
              <w:t>Podmioty, na które oddziałuje projekt</w:t>
            </w:r>
          </w:p>
        </w:tc>
      </w:tr>
      <w:tr w:rsidR="00654783" w14:paraId="2182F19F" w14:textId="77777777" w:rsidTr="00CA6AF1">
        <w:trPr>
          <w:gridAfter w:val="1"/>
          <w:wAfter w:w="10" w:type="dxa"/>
          <w:trHeight w:val="142"/>
        </w:trPr>
        <w:tc>
          <w:tcPr>
            <w:tcW w:w="2668" w:type="dxa"/>
            <w:gridSpan w:val="3"/>
            <w:tcBorders>
              <w:top w:val="single" w:sz="4" w:space="0" w:color="auto"/>
              <w:left w:val="single" w:sz="4" w:space="0" w:color="auto"/>
              <w:bottom w:val="single" w:sz="4" w:space="0" w:color="auto"/>
              <w:right w:val="single" w:sz="4" w:space="0" w:color="auto"/>
            </w:tcBorders>
            <w:hideMark/>
          </w:tcPr>
          <w:p w14:paraId="1F580DCD" w14:textId="77777777" w:rsidR="00654783" w:rsidRDefault="00654783">
            <w:pPr>
              <w:widowControl/>
              <w:autoSpaceDE/>
              <w:adjustRightInd/>
              <w:spacing w:before="40" w:line="240" w:lineRule="auto"/>
              <w:jc w:val="center"/>
              <w:rPr>
                <w:rFonts w:eastAsia="Calibri" w:cs="Times New Roman"/>
                <w:color w:val="000000"/>
                <w:spacing w:val="-2"/>
                <w:sz w:val="22"/>
                <w:szCs w:val="22"/>
                <w:lang w:eastAsia="en-US"/>
              </w:rPr>
            </w:pPr>
            <w:r>
              <w:rPr>
                <w:rFonts w:eastAsia="Calibri" w:cs="Times New Roman"/>
                <w:color w:val="000000"/>
                <w:spacing w:val="-2"/>
                <w:sz w:val="22"/>
                <w:szCs w:val="22"/>
                <w:lang w:eastAsia="en-US"/>
              </w:rPr>
              <w:t>Grupa</w:t>
            </w:r>
          </w:p>
        </w:tc>
        <w:tc>
          <w:tcPr>
            <w:tcW w:w="2292" w:type="dxa"/>
            <w:gridSpan w:val="7"/>
            <w:tcBorders>
              <w:top w:val="single" w:sz="4" w:space="0" w:color="auto"/>
              <w:left w:val="single" w:sz="4" w:space="0" w:color="auto"/>
              <w:bottom w:val="single" w:sz="4" w:space="0" w:color="auto"/>
              <w:right w:val="single" w:sz="4" w:space="0" w:color="auto"/>
            </w:tcBorders>
            <w:hideMark/>
          </w:tcPr>
          <w:p w14:paraId="101626E6" w14:textId="77777777" w:rsidR="00654783" w:rsidRDefault="00654783">
            <w:pPr>
              <w:widowControl/>
              <w:autoSpaceDE/>
              <w:adjustRightInd/>
              <w:spacing w:before="40" w:line="240" w:lineRule="auto"/>
              <w:jc w:val="center"/>
              <w:rPr>
                <w:rFonts w:eastAsia="Calibri" w:cs="Times New Roman"/>
                <w:color w:val="000000"/>
                <w:spacing w:val="-2"/>
                <w:sz w:val="22"/>
                <w:szCs w:val="22"/>
                <w:lang w:eastAsia="en-US"/>
              </w:rPr>
            </w:pPr>
            <w:r>
              <w:rPr>
                <w:rFonts w:eastAsia="Calibri" w:cs="Times New Roman"/>
                <w:color w:val="000000"/>
                <w:spacing w:val="-2"/>
                <w:sz w:val="22"/>
                <w:szCs w:val="22"/>
                <w:lang w:eastAsia="en-US"/>
              </w:rPr>
              <w:t>Wielkość</w:t>
            </w:r>
          </w:p>
        </w:tc>
        <w:tc>
          <w:tcPr>
            <w:tcW w:w="2996" w:type="dxa"/>
            <w:gridSpan w:val="12"/>
            <w:tcBorders>
              <w:top w:val="single" w:sz="4" w:space="0" w:color="auto"/>
              <w:left w:val="single" w:sz="4" w:space="0" w:color="auto"/>
              <w:bottom w:val="single" w:sz="4" w:space="0" w:color="auto"/>
              <w:right w:val="single" w:sz="4" w:space="0" w:color="auto"/>
            </w:tcBorders>
            <w:hideMark/>
          </w:tcPr>
          <w:p w14:paraId="3CDF0C96" w14:textId="77777777" w:rsidR="00654783" w:rsidRDefault="00654783">
            <w:pPr>
              <w:widowControl/>
              <w:autoSpaceDE/>
              <w:adjustRightInd/>
              <w:spacing w:before="40" w:line="240" w:lineRule="auto"/>
              <w:jc w:val="center"/>
              <w:rPr>
                <w:rFonts w:eastAsia="Calibri" w:cs="Times New Roman"/>
                <w:color w:val="000000"/>
                <w:spacing w:val="-2"/>
                <w:sz w:val="22"/>
                <w:szCs w:val="22"/>
                <w:lang w:eastAsia="en-US"/>
              </w:rPr>
            </w:pPr>
            <w:r>
              <w:rPr>
                <w:rFonts w:eastAsia="Calibri" w:cs="Times New Roman"/>
                <w:color w:val="000000"/>
                <w:spacing w:val="-2"/>
                <w:sz w:val="22"/>
                <w:szCs w:val="22"/>
                <w:lang w:eastAsia="en-US"/>
              </w:rPr>
              <w:t xml:space="preserve">Źródło danych </w:t>
            </w:r>
          </w:p>
        </w:tc>
        <w:tc>
          <w:tcPr>
            <w:tcW w:w="2981" w:type="dxa"/>
            <w:gridSpan w:val="6"/>
            <w:tcBorders>
              <w:top w:val="single" w:sz="4" w:space="0" w:color="auto"/>
              <w:left w:val="single" w:sz="4" w:space="0" w:color="auto"/>
              <w:bottom w:val="single" w:sz="4" w:space="0" w:color="auto"/>
              <w:right w:val="single" w:sz="4" w:space="0" w:color="auto"/>
            </w:tcBorders>
            <w:hideMark/>
          </w:tcPr>
          <w:p w14:paraId="53F2B7D3" w14:textId="77777777" w:rsidR="00654783" w:rsidRDefault="00654783">
            <w:pPr>
              <w:widowControl/>
              <w:autoSpaceDE/>
              <w:adjustRightInd/>
              <w:spacing w:before="40" w:line="240" w:lineRule="auto"/>
              <w:jc w:val="center"/>
              <w:rPr>
                <w:rFonts w:eastAsia="Calibri" w:cs="Times New Roman"/>
                <w:color w:val="000000"/>
                <w:spacing w:val="-2"/>
                <w:sz w:val="22"/>
                <w:szCs w:val="22"/>
                <w:lang w:eastAsia="en-US"/>
              </w:rPr>
            </w:pPr>
            <w:r>
              <w:rPr>
                <w:rFonts w:eastAsia="Calibri" w:cs="Times New Roman"/>
                <w:color w:val="000000"/>
                <w:spacing w:val="-2"/>
                <w:sz w:val="22"/>
                <w:szCs w:val="22"/>
                <w:lang w:eastAsia="en-US"/>
              </w:rPr>
              <w:t>Oddziaływanie</w:t>
            </w:r>
          </w:p>
        </w:tc>
      </w:tr>
      <w:tr w:rsidR="00654783" w14:paraId="1B4A25AB" w14:textId="77777777" w:rsidTr="00CA6AF1">
        <w:trPr>
          <w:gridAfter w:val="1"/>
          <w:wAfter w:w="10" w:type="dxa"/>
          <w:trHeight w:val="142"/>
        </w:trPr>
        <w:tc>
          <w:tcPr>
            <w:tcW w:w="2668" w:type="dxa"/>
            <w:gridSpan w:val="3"/>
            <w:tcBorders>
              <w:top w:val="single" w:sz="4" w:space="0" w:color="auto"/>
              <w:left w:val="single" w:sz="4" w:space="0" w:color="auto"/>
              <w:bottom w:val="single" w:sz="4" w:space="0" w:color="auto"/>
              <w:right w:val="single" w:sz="4" w:space="0" w:color="auto"/>
            </w:tcBorders>
            <w:hideMark/>
          </w:tcPr>
          <w:p w14:paraId="377C1DAE" w14:textId="535911C6" w:rsidR="00654783" w:rsidRDefault="00CA6AF1" w:rsidP="00AF0F1A">
            <w:pPr>
              <w:widowControl/>
              <w:autoSpaceDE/>
              <w:adjustRightInd/>
              <w:spacing w:line="240" w:lineRule="auto"/>
              <w:rPr>
                <w:rFonts w:eastAsia="Calibri" w:cs="Times New Roman"/>
                <w:color w:val="000000"/>
                <w:spacing w:val="-2"/>
                <w:sz w:val="22"/>
                <w:szCs w:val="22"/>
                <w:lang w:eastAsia="en-US"/>
              </w:rPr>
            </w:pPr>
            <w:r w:rsidRPr="00CA6AF1">
              <w:rPr>
                <w:rFonts w:eastAsia="Calibri" w:cs="Times New Roman"/>
                <w:color w:val="000000"/>
                <w:spacing w:val="-2"/>
                <w:sz w:val="22"/>
                <w:szCs w:val="22"/>
                <w:lang w:eastAsia="en-US"/>
              </w:rPr>
              <w:t xml:space="preserve">Podmioty </w:t>
            </w:r>
            <w:r w:rsidR="00AF0F1A">
              <w:rPr>
                <w:rFonts w:eastAsia="Calibri" w:cs="Times New Roman"/>
                <w:color w:val="000000"/>
                <w:spacing w:val="-2"/>
                <w:sz w:val="22"/>
                <w:szCs w:val="22"/>
                <w:lang w:eastAsia="en-US"/>
              </w:rPr>
              <w:t xml:space="preserve">sektora </w:t>
            </w:r>
            <w:r w:rsidRPr="00CA6AF1">
              <w:rPr>
                <w:rFonts w:eastAsia="Calibri" w:cs="Times New Roman"/>
                <w:color w:val="000000"/>
                <w:spacing w:val="-2"/>
                <w:sz w:val="22"/>
                <w:szCs w:val="22"/>
                <w:lang w:eastAsia="en-US"/>
              </w:rPr>
              <w:t>publiczne</w:t>
            </w:r>
            <w:r w:rsidR="00AF0F1A">
              <w:rPr>
                <w:rFonts w:eastAsia="Calibri" w:cs="Times New Roman"/>
                <w:color w:val="000000"/>
                <w:spacing w:val="-2"/>
                <w:sz w:val="22"/>
                <w:szCs w:val="22"/>
                <w:lang w:eastAsia="en-US"/>
              </w:rPr>
              <w:t>go (</w:t>
            </w:r>
            <w:hyperlink r:id="rId18" w:history="1">
              <w:r w:rsidR="00AF0F1A" w:rsidRPr="00AF0F1A">
                <w:rPr>
                  <w:rStyle w:val="Hipercze"/>
                  <w:rFonts w:eastAsia="Calibri" w:cs="Times New Roman"/>
                  <w:spacing w:val="-2"/>
                  <w:sz w:val="22"/>
                  <w:szCs w:val="22"/>
                  <w:lang w:eastAsia="en-US"/>
                </w:rPr>
                <w:t>sektor publiczny</w:t>
              </w:r>
            </w:hyperlink>
            <w:r w:rsidR="00AF0F1A">
              <w:rPr>
                <w:rFonts w:eastAsia="Calibri" w:cs="Times New Roman"/>
                <w:color w:val="000000"/>
                <w:spacing w:val="-2"/>
                <w:sz w:val="22"/>
                <w:szCs w:val="22"/>
                <w:lang w:eastAsia="en-US"/>
              </w:rPr>
              <w:t xml:space="preserve"> – definicja GUS)</w:t>
            </w:r>
          </w:p>
        </w:tc>
        <w:tc>
          <w:tcPr>
            <w:tcW w:w="2292" w:type="dxa"/>
            <w:gridSpan w:val="7"/>
            <w:tcBorders>
              <w:top w:val="single" w:sz="4" w:space="0" w:color="auto"/>
              <w:left w:val="single" w:sz="4" w:space="0" w:color="auto"/>
              <w:bottom w:val="single" w:sz="4" w:space="0" w:color="auto"/>
              <w:right w:val="single" w:sz="4" w:space="0" w:color="auto"/>
            </w:tcBorders>
            <w:hideMark/>
          </w:tcPr>
          <w:p w14:paraId="125C97FF" w14:textId="2C348738" w:rsidR="00654783" w:rsidRDefault="00CA6AF1" w:rsidP="00AF0F1A">
            <w:pPr>
              <w:spacing w:line="240" w:lineRule="auto"/>
              <w:rPr>
                <w:rFonts w:eastAsia="Times New Roman" w:cs="Times New Roman"/>
                <w:sz w:val="22"/>
                <w:szCs w:val="22"/>
              </w:rPr>
            </w:pPr>
            <w:r>
              <w:rPr>
                <w:rFonts w:eastAsia="Times New Roman" w:cs="Times New Roman"/>
                <w:sz w:val="22"/>
                <w:szCs w:val="22"/>
              </w:rPr>
              <w:t>Ok. 68 000</w:t>
            </w:r>
          </w:p>
        </w:tc>
        <w:tc>
          <w:tcPr>
            <w:tcW w:w="2996" w:type="dxa"/>
            <w:gridSpan w:val="12"/>
            <w:tcBorders>
              <w:top w:val="single" w:sz="4" w:space="0" w:color="auto"/>
              <w:left w:val="single" w:sz="4" w:space="0" w:color="auto"/>
              <w:bottom w:val="single" w:sz="4" w:space="0" w:color="auto"/>
              <w:right w:val="single" w:sz="4" w:space="0" w:color="auto"/>
            </w:tcBorders>
            <w:hideMark/>
          </w:tcPr>
          <w:p w14:paraId="7A0F5FFD" w14:textId="19DC9833" w:rsidR="00654783" w:rsidRDefault="00CA6AF1" w:rsidP="00AF0F1A">
            <w:pPr>
              <w:widowControl/>
              <w:autoSpaceDE/>
              <w:adjustRightInd/>
              <w:spacing w:line="240" w:lineRule="auto"/>
              <w:rPr>
                <w:rFonts w:eastAsia="Calibri" w:cs="Times New Roman"/>
                <w:sz w:val="22"/>
                <w:szCs w:val="22"/>
                <w:lang w:eastAsia="en-US"/>
              </w:rPr>
            </w:pPr>
            <w:r w:rsidRPr="00CA6AF1">
              <w:rPr>
                <w:rFonts w:eastAsia="Calibri" w:cs="Times New Roman"/>
                <w:sz w:val="22"/>
                <w:szCs w:val="22"/>
                <w:lang w:eastAsia="en-US"/>
              </w:rPr>
              <w:t>Informacje o liczbie podmiotów – według stanu rejestru REGON na dzień 30 czerwca 2017 r.</w:t>
            </w:r>
          </w:p>
        </w:tc>
        <w:tc>
          <w:tcPr>
            <w:tcW w:w="2981" w:type="dxa"/>
            <w:gridSpan w:val="6"/>
            <w:tcBorders>
              <w:top w:val="single" w:sz="4" w:space="0" w:color="auto"/>
              <w:left w:val="single" w:sz="4" w:space="0" w:color="auto"/>
              <w:bottom w:val="single" w:sz="4" w:space="0" w:color="auto"/>
              <w:right w:val="single" w:sz="4" w:space="0" w:color="auto"/>
            </w:tcBorders>
            <w:hideMark/>
          </w:tcPr>
          <w:p w14:paraId="3AE26BB1" w14:textId="3EEA3499" w:rsidR="00654783" w:rsidRDefault="00654783" w:rsidP="00AF0F1A">
            <w:pPr>
              <w:widowControl/>
              <w:autoSpaceDE/>
              <w:adjustRightInd/>
              <w:spacing w:line="240" w:lineRule="auto"/>
              <w:rPr>
                <w:rFonts w:eastAsia="Times New Roman" w:cs="Times New Roman"/>
                <w:sz w:val="20"/>
              </w:rPr>
            </w:pPr>
            <w:r>
              <w:rPr>
                <w:rFonts w:eastAsia="Times New Roman" w:cs="Times New Roman"/>
                <w:sz w:val="20"/>
              </w:rPr>
              <w:t xml:space="preserve">Udostępnianie do ponownego wykorzystywania (na wniosek) posiadanych danych objętych zakresem DGA. Podmioty </w:t>
            </w:r>
            <w:r w:rsidR="006D365D">
              <w:rPr>
                <w:rFonts w:eastAsia="Times New Roman" w:cs="Times New Roman"/>
                <w:sz w:val="20"/>
              </w:rPr>
              <w:t xml:space="preserve">sektora </w:t>
            </w:r>
            <w:r>
              <w:rPr>
                <w:rFonts w:eastAsia="Times New Roman" w:cs="Times New Roman"/>
                <w:sz w:val="20"/>
              </w:rPr>
              <w:t>publiczne</w:t>
            </w:r>
            <w:r w:rsidR="006D365D">
              <w:rPr>
                <w:rFonts w:eastAsia="Times New Roman" w:cs="Times New Roman"/>
                <w:sz w:val="20"/>
              </w:rPr>
              <w:t>go</w:t>
            </w:r>
            <w:r>
              <w:rPr>
                <w:rFonts w:eastAsia="Times New Roman" w:cs="Times New Roman"/>
                <w:sz w:val="20"/>
              </w:rPr>
              <w:t xml:space="preserve"> nie będą miały obowiązku automatycznego udostępniania danych (konieczność rozpatrzenia wniosku), jednak będą musiały zinwentaryzować posiadane zasoby i wskazać dane, które </w:t>
            </w:r>
            <w:r w:rsidR="00AF0F1A">
              <w:rPr>
                <w:rFonts w:eastAsia="Times New Roman" w:cs="Times New Roman"/>
                <w:sz w:val="20"/>
              </w:rPr>
              <w:t xml:space="preserve">mogą </w:t>
            </w:r>
            <w:r>
              <w:rPr>
                <w:rFonts w:eastAsia="Times New Roman" w:cs="Times New Roman"/>
                <w:sz w:val="20"/>
              </w:rPr>
              <w:t>podlegać udostępnianiu.</w:t>
            </w:r>
          </w:p>
        </w:tc>
      </w:tr>
      <w:tr w:rsidR="00654783" w14:paraId="47818C39" w14:textId="77777777" w:rsidTr="00CA6AF1">
        <w:trPr>
          <w:gridAfter w:val="1"/>
          <w:wAfter w:w="10" w:type="dxa"/>
          <w:trHeight w:val="142"/>
        </w:trPr>
        <w:tc>
          <w:tcPr>
            <w:tcW w:w="2668" w:type="dxa"/>
            <w:gridSpan w:val="3"/>
            <w:tcBorders>
              <w:top w:val="single" w:sz="4" w:space="0" w:color="auto"/>
              <w:left w:val="single" w:sz="4" w:space="0" w:color="auto"/>
              <w:bottom w:val="single" w:sz="4" w:space="0" w:color="auto"/>
              <w:right w:val="single" w:sz="4" w:space="0" w:color="auto"/>
            </w:tcBorders>
            <w:hideMark/>
          </w:tcPr>
          <w:p w14:paraId="25B1CD81" w14:textId="77777777" w:rsidR="00654783" w:rsidRDefault="00654783">
            <w:pPr>
              <w:tabs>
                <w:tab w:val="left" w:pos="1560"/>
              </w:tabs>
              <w:spacing w:line="240" w:lineRule="auto"/>
              <w:rPr>
                <w:rFonts w:eastAsia="Times New Roman" w:cs="Times New Roman"/>
                <w:sz w:val="22"/>
                <w:szCs w:val="22"/>
              </w:rPr>
            </w:pPr>
            <w:r>
              <w:rPr>
                <w:rFonts w:eastAsia="Times New Roman" w:cs="Times New Roman"/>
                <w:sz w:val="22"/>
                <w:szCs w:val="22"/>
              </w:rPr>
              <w:t>Sądy administracyjne</w:t>
            </w:r>
          </w:p>
        </w:tc>
        <w:tc>
          <w:tcPr>
            <w:tcW w:w="2292" w:type="dxa"/>
            <w:gridSpan w:val="7"/>
            <w:tcBorders>
              <w:top w:val="single" w:sz="4" w:space="0" w:color="auto"/>
              <w:left w:val="single" w:sz="4" w:space="0" w:color="auto"/>
              <w:bottom w:val="single" w:sz="4" w:space="0" w:color="auto"/>
              <w:right w:val="single" w:sz="4" w:space="0" w:color="auto"/>
            </w:tcBorders>
            <w:hideMark/>
          </w:tcPr>
          <w:p w14:paraId="3125A6CE" w14:textId="77777777" w:rsidR="00654783" w:rsidRDefault="00654783">
            <w:pPr>
              <w:spacing w:line="240" w:lineRule="auto"/>
              <w:rPr>
                <w:rFonts w:eastAsia="Times New Roman" w:cs="Times New Roman"/>
                <w:sz w:val="22"/>
                <w:szCs w:val="22"/>
              </w:rPr>
            </w:pPr>
            <w:r>
              <w:rPr>
                <w:rFonts w:eastAsia="Times New Roman" w:cs="Times New Roman"/>
                <w:sz w:val="22"/>
                <w:szCs w:val="22"/>
              </w:rPr>
              <w:t>Naczelny Sąd Administracyjny i 16 wojewódzkich sądów administracyjnych</w:t>
            </w:r>
          </w:p>
        </w:tc>
        <w:tc>
          <w:tcPr>
            <w:tcW w:w="2996" w:type="dxa"/>
            <w:gridSpan w:val="12"/>
            <w:tcBorders>
              <w:top w:val="single" w:sz="4" w:space="0" w:color="auto"/>
              <w:left w:val="single" w:sz="4" w:space="0" w:color="auto"/>
              <w:bottom w:val="single" w:sz="4" w:space="0" w:color="auto"/>
              <w:right w:val="single" w:sz="4" w:space="0" w:color="auto"/>
            </w:tcBorders>
            <w:hideMark/>
          </w:tcPr>
          <w:p w14:paraId="0C7CF79E" w14:textId="77777777" w:rsidR="00654783" w:rsidRDefault="00811AAF">
            <w:pPr>
              <w:spacing w:line="240" w:lineRule="auto"/>
              <w:rPr>
                <w:rFonts w:eastAsia="Times New Roman" w:cs="Times New Roman"/>
                <w:sz w:val="22"/>
                <w:szCs w:val="22"/>
              </w:rPr>
            </w:pPr>
            <w:hyperlink r:id="rId19" w:history="1">
              <w:r w:rsidR="00654783">
                <w:rPr>
                  <w:rStyle w:val="Hipercze"/>
                  <w:rFonts w:eastAsia="Times New Roman" w:cs="Times New Roman"/>
                  <w:sz w:val="22"/>
                  <w:szCs w:val="22"/>
                </w:rPr>
                <w:t>https://www.nsa.gov.pl</w:t>
              </w:r>
            </w:hyperlink>
            <w:r w:rsidR="00654783">
              <w:rPr>
                <w:rFonts w:eastAsia="Times New Roman" w:cs="Times New Roman"/>
                <w:sz w:val="22"/>
                <w:szCs w:val="22"/>
              </w:rPr>
              <w:t xml:space="preserve"> </w:t>
            </w:r>
          </w:p>
        </w:tc>
        <w:tc>
          <w:tcPr>
            <w:tcW w:w="2981" w:type="dxa"/>
            <w:gridSpan w:val="6"/>
            <w:tcBorders>
              <w:top w:val="single" w:sz="4" w:space="0" w:color="auto"/>
              <w:left w:val="single" w:sz="4" w:space="0" w:color="auto"/>
              <w:bottom w:val="single" w:sz="4" w:space="0" w:color="auto"/>
              <w:right w:val="single" w:sz="4" w:space="0" w:color="auto"/>
            </w:tcBorders>
            <w:hideMark/>
          </w:tcPr>
          <w:p w14:paraId="31342684" w14:textId="42ADE9FA" w:rsidR="00654783" w:rsidRDefault="00654783">
            <w:pPr>
              <w:widowControl/>
              <w:autoSpaceDE/>
              <w:adjustRightInd/>
              <w:spacing w:line="240" w:lineRule="auto"/>
              <w:ind w:left="37"/>
              <w:rPr>
                <w:rFonts w:eastAsia="Times New Roman" w:cs="Times New Roman"/>
                <w:sz w:val="20"/>
              </w:rPr>
            </w:pPr>
            <w:r>
              <w:rPr>
                <w:rFonts w:eastAsia="Times New Roman" w:cs="Times New Roman"/>
                <w:sz w:val="20"/>
              </w:rPr>
              <w:t>Stosowanie przepisów rozporządzenia może pośrednio wpłynąć na pracę sądów administracyjnych</w:t>
            </w:r>
            <w:r>
              <w:rPr>
                <w:rFonts w:ascii="Calibri" w:eastAsia="Calibri" w:hAnsi="Calibri" w:cs="Times New Roman"/>
                <w:sz w:val="22"/>
                <w:szCs w:val="22"/>
                <w:lang w:eastAsia="en-US"/>
              </w:rPr>
              <w:t xml:space="preserve"> </w:t>
            </w:r>
            <w:r>
              <w:rPr>
                <w:rFonts w:eastAsia="Times New Roman" w:cs="Times New Roman"/>
                <w:sz w:val="20"/>
              </w:rPr>
              <w:t xml:space="preserve">jako właściwych do rozpatrywania skarg na działania </w:t>
            </w:r>
            <w:r w:rsidR="006D365D">
              <w:rPr>
                <w:rFonts w:eastAsia="Times New Roman" w:cs="Times New Roman"/>
                <w:sz w:val="20"/>
              </w:rPr>
              <w:t>podmiotów sektora publicznego</w:t>
            </w:r>
            <w:r>
              <w:rPr>
                <w:rFonts w:eastAsia="Times New Roman" w:cs="Times New Roman"/>
                <w:sz w:val="20"/>
              </w:rPr>
              <w:t>. Wpływ</w:t>
            </w:r>
          </w:p>
          <w:p w14:paraId="38B65FAF" w14:textId="77777777" w:rsidR="00654783" w:rsidRDefault="00654783">
            <w:pPr>
              <w:widowControl/>
              <w:autoSpaceDE/>
              <w:adjustRightInd/>
              <w:spacing w:line="240" w:lineRule="auto"/>
              <w:ind w:left="37"/>
              <w:rPr>
                <w:rFonts w:eastAsia="Times New Roman" w:cs="Times New Roman"/>
                <w:sz w:val="20"/>
              </w:rPr>
            </w:pPr>
            <w:r>
              <w:rPr>
                <w:rFonts w:eastAsia="Times New Roman" w:cs="Times New Roman"/>
                <w:sz w:val="20"/>
              </w:rPr>
              <w:t>ten można jednak oszacować jako znikomy (zob. pkt 8).</w:t>
            </w:r>
          </w:p>
        </w:tc>
      </w:tr>
      <w:tr w:rsidR="00654783" w14:paraId="03A85C90" w14:textId="77777777" w:rsidTr="00CA6AF1">
        <w:trPr>
          <w:gridAfter w:val="1"/>
          <w:wAfter w:w="10" w:type="dxa"/>
          <w:trHeight w:val="142"/>
        </w:trPr>
        <w:tc>
          <w:tcPr>
            <w:tcW w:w="2668" w:type="dxa"/>
            <w:gridSpan w:val="3"/>
            <w:tcBorders>
              <w:top w:val="single" w:sz="4" w:space="0" w:color="auto"/>
              <w:left w:val="single" w:sz="4" w:space="0" w:color="auto"/>
              <w:bottom w:val="single" w:sz="4" w:space="0" w:color="auto"/>
              <w:right w:val="single" w:sz="4" w:space="0" w:color="auto"/>
            </w:tcBorders>
            <w:hideMark/>
          </w:tcPr>
          <w:p w14:paraId="4FED43C4" w14:textId="77777777" w:rsidR="00654783" w:rsidRDefault="00654783">
            <w:pPr>
              <w:tabs>
                <w:tab w:val="left" w:pos="1560"/>
              </w:tabs>
              <w:spacing w:line="240" w:lineRule="auto"/>
              <w:rPr>
                <w:rFonts w:eastAsia="Times New Roman" w:cs="Times New Roman"/>
                <w:sz w:val="22"/>
                <w:szCs w:val="22"/>
              </w:rPr>
            </w:pPr>
            <w:r>
              <w:rPr>
                <w:rFonts w:eastAsia="Times New Roman" w:cs="Times New Roman"/>
                <w:sz w:val="22"/>
                <w:szCs w:val="22"/>
              </w:rPr>
              <w:t>Obywatele</w:t>
            </w:r>
          </w:p>
        </w:tc>
        <w:tc>
          <w:tcPr>
            <w:tcW w:w="2292" w:type="dxa"/>
            <w:gridSpan w:val="7"/>
            <w:tcBorders>
              <w:top w:val="single" w:sz="4" w:space="0" w:color="auto"/>
              <w:left w:val="single" w:sz="4" w:space="0" w:color="auto"/>
              <w:bottom w:val="single" w:sz="4" w:space="0" w:color="auto"/>
              <w:right w:val="single" w:sz="4" w:space="0" w:color="auto"/>
            </w:tcBorders>
            <w:hideMark/>
          </w:tcPr>
          <w:p w14:paraId="5C4DA6F8" w14:textId="77777777" w:rsidR="00654783" w:rsidRDefault="00654783">
            <w:pPr>
              <w:tabs>
                <w:tab w:val="left" w:pos="1560"/>
              </w:tabs>
              <w:spacing w:line="240" w:lineRule="auto"/>
              <w:rPr>
                <w:rFonts w:eastAsia="Times New Roman" w:cs="Times New Roman"/>
                <w:sz w:val="22"/>
                <w:szCs w:val="22"/>
              </w:rPr>
            </w:pPr>
            <w:r>
              <w:rPr>
                <w:rFonts w:eastAsia="Times New Roman" w:cs="Times New Roman"/>
                <w:sz w:val="22"/>
                <w:szCs w:val="22"/>
              </w:rPr>
              <w:t>Wszyscy obywatele RP</w:t>
            </w:r>
          </w:p>
        </w:tc>
        <w:tc>
          <w:tcPr>
            <w:tcW w:w="2996" w:type="dxa"/>
            <w:gridSpan w:val="12"/>
            <w:tcBorders>
              <w:top w:val="single" w:sz="4" w:space="0" w:color="auto"/>
              <w:left w:val="single" w:sz="4" w:space="0" w:color="auto"/>
              <w:bottom w:val="single" w:sz="4" w:space="0" w:color="auto"/>
              <w:right w:val="single" w:sz="4" w:space="0" w:color="auto"/>
            </w:tcBorders>
          </w:tcPr>
          <w:p w14:paraId="2A0B6019" w14:textId="77777777" w:rsidR="00654783" w:rsidRDefault="00654783">
            <w:pPr>
              <w:spacing w:line="240" w:lineRule="auto"/>
              <w:rPr>
                <w:rFonts w:eastAsia="Times New Roman" w:cs="Times New Roman"/>
                <w:sz w:val="22"/>
                <w:szCs w:val="22"/>
              </w:rPr>
            </w:pPr>
          </w:p>
        </w:tc>
        <w:tc>
          <w:tcPr>
            <w:tcW w:w="2981" w:type="dxa"/>
            <w:gridSpan w:val="6"/>
            <w:tcBorders>
              <w:top w:val="single" w:sz="4" w:space="0" w:color="auto"/>
              <w:left w:val="single" w:sz="4" w:space="0" w:color="auto"/>
              <w:bottom w:val="single" w:sz="4" w:space="0" w:color="auto"/>
              <w:right w:val="single" w:sz="4" w:space="0" w:color="auto"/>
            </w:tcBorders>
            <w:hideMark/>
          </w:tcPr>
          <w:p w14:paraId="1172570E" w14:textId="77777777" w:rsidR="00654783" w:rsidRDefault="00654783" w:rsidP="00654783">
            <w:pPr>
              <w:widowControl/>
              <w:numPr>
                <w:ilvl w:val="0"/>
                <w:numId w:val="25"/>
              </w:numPr>
              <w:autoSpaceDE/>
              <w:adjustRightInd/>
              <w:spacing w:line="240" w:lineRule="auto"/>
              <w:ind w:left="158" w:hanging="142"/>
              <w:contextualSpacing/>
              <w:rPr>
                <w:rFonts w:eastAsia="Calibri" w:cs="Times New Roman"/>
                <w:sz w:val="20"/>
                <w:lang w:eastAsia="en-US"/>
              </w:rPr>
            </w:pPr>
            <w:r>
              <w:rPr>
                <w:rFonts w:eastAsia="Calibri" w:cs="Times New Roman"/>
                <w:sz w:val="20"/>
                <w:lang w:eastAsia="en-US"/>
              </w:rPr>
              <w:t>dostęp do szerszego niż dotychczas zakresu danych publicznych do ponownego wykorzystywania</w:t>
            </w:r>
          </w:p>
          <w:p w14:paraId="6A8281DC" w14:textId="77777777" w:rsidR="00654783" w:rsidRDefault="00654783" w:rsidP="00654783">
            <w:pPr>
              <w:widowControl/>
              <w:numPr>
                <w:ilvl w:val="0"/>
                <w:numId w:val="25"/>
              </w:numPr>
              <w:autoSpaceDE/>
              <w:adjustRightInd/>
              <w:spacing w:line="240" w:lineRule="auto"/>
              <w:ind w:left="158" w:hanging="142"/>
              <w:contextualSpacing/>
              <w:rPr>
                <w:rFonts w:eastAsia="Calibri" w:cs="Times New Roman"/>
                <w:sz w:val="22"/>
                <w:szCs w:val="22"/>
                <w:lang w:eastAsia="en-US"/>
              </w:rPr>
            </w:pPr>
            <w:r>
              <w:rPr>
                <w:rFonts w:eastAsia="Calibri" w:cs="Times New Roman"/>
                <w:sz w:val="20"/>
                <w:lang w:eastAsia="en-US"/>
              </w:rPr>
              <w:t>uzyskanie dostępu do bezpiecznych i zaufanych usług pośrednictwa danych, które gwarantują kontrolę nad udostępnianymi danymi oraz przestrzeganie przepisów o ich ochronie</w:t>
            </w:r>
          </w:p>
          <w:p w14:paraId="2BBCC398" w14:textId="77777777" w:rsidR="00654783" w:rsidRDefault="00654783" w:rsidP="00654783">
            <w:pPr>
              <w:widowControl/>
              <w:numPr>
                <w:ilvl w:val="0"/>
                <w:numId w:val="25"/>
              </w:numPr>
              <w:autoSpaceDE/>
              <w:adjustRightInd/>
              <w:spacing w:line="240" w:lineRule="auto"/>
              <w:ind w:left="158" w:hanging="142"/>
              <w:contextualSpacing/>
              <w:rPr>
                <w:rFonts w:eastAsia="Calibri" w:cs="Times New Roman"/>
                <w:sz w:val="22"/>
                <w:szCs w:val="22"/>
                <w:lang w:eastAsia="en-US"/>
              </w:rPr>
            </w:pPr>
            <w:r>
              <w:rPr>
                <w:rFonts w:eastAsia="Calibri" w:cs="Times New Roman"/>
                <w:sz w:val="20"/>
                <w:lang w:eastAsia="en-US"/>
              </w:rPr>
              <w:t>uzyskanie możliwości oferowania danych na cele interesu ogólnego w sposób zapewniający kontrolę nad danymi oraz przestrzeganie przepisów o ich ochronie</w:t>
            </w:r>
          </w:p>
        </w:tc>
      </w:tr>
      <w:tr w:rsidR="00654783" w14:paraId="18BF6404" w14:textId="77777777" w:rsidTr="00CA6AF1">
        <w:trPr>
          <w:gridAfter w:val="1"/>
          <w:wAfter w:w="10" w:type="dxa"/>
          <w:trHeight w:val="142"/>
        </w:trPr>
        <w:tc>
          <w:tcPr>
            <w:tcW w:w="2668" w:type="dxa"/>
            <w:gridSpan w:val="3"/>
            <w:tcBorders>
              <w:top w:val="single" w:sz="4" w:space="0" w:color="auto"/>
              <w:left w:val="single" w:sz="4" w:space="0" w:color="auto"/>
              <w:bottom w:val="single" w:sz="4" w:space="0" w:color="auto"/>
              <w:right w:val="single" w:sz="4" w:space="0" w:color="auto"/>
            </w:tcBorders>
            <w:hideMark/>
          </w:tcPr>
          <w:p w14:paraId="6CF3B895" w14:textId="77777777" w:rsidR="00654783" w:rsidRDefault="00654783">
            <w:pPr>
              <w:widowControl/>
              <w:tabs>
                <w:tab w:val="left" w:pos="1560"/>
              </w:tabs>
              <w:autoSpaceDE/>
              <w:adjustRightInd/>
              <w:spacing w:line="240" w:lineRule="auto"/>
              <w:rPr>
                <w:rFonts w:eastAsia="Calibri" w:cs="Times New Roman"/>
                <w:color w:val="000000"/>
                <w:sz w:val="22"/>
                <w:szCs w:val="22"/>
                <w:lang w:eastAsia="en-US"/>
              </w:rPr>
            </w:pPr>
            <w:r>
              <w:rPr>
                <w:rFonts w:eastAsia="Calibri" w:cs="Times New Roman"/>
                <w:color w:val="000000"/>
                <w:sz w:val="22"/>
                <w:szCs w:val="22"/>
                <w:lang w:eastAsia="en-US"/>
              </w:rPr>
              <w:t>Duże przedsiębiorstwa</w:t>
            </w:r>
          </w:p>
        </w:tc>
        <w:tc>
          <w:tcPr>
            <w:tcW w:w="2292" w:type="dxa"/>
            <w:gridSpan w:val="7"/>
            <w:tcBorders>
              <w:top w:val="single" w:sz="4" w:space="0" w:color="auto"/>
              <w:left w:val="single" w:sz="4" w:space="0" w:color="auto"/>
              <w:bottom w:val="single" w:sz="4" w:space="0" w:color="auto"/>
              <w:right w:val="single" w:sz="4" w:space="0" w:color="auto"/>
            </w:tcBorders>
            <w:hideMark/>
          </w:tcPr>
          <w:p w14:paraId="5CFD15C7" w14:textId="77777777" w:rsidR="00654783" w:rsidRDefault="00654783">
            <w:pPr>
              <w:widowControl/>
              <w:autoSpaceDE/>
              <w:adjustRightInd/>
              <w:spacing w:line="240" w:lineRule="auto"/>
              <w:rPr>
                <w:rFonts w:eastAsia="Calibri" w:cs="Times New Roman"/>
                <w:color w:val="000000"/>
                <w:spacing w:val="-2"/>
                <w:sz w:val="22"/>
                <w:szCs w:val="22"/>
                <w:lang w:eastAsia="en-US"/>
              </w:rPr>
            </w:pPr>
            <w:r>
              <w:rPr>
                <w:rFonts w:eastAsia="Calibri" w:cs="Times New Roman"/>
                <w:color w:val="000000"/>
                <w:spacing w:val="-2"/>
                <w:sz w:val="22"/>
                <w:szCs w:val="22"/>
                <w:lang w:eastAsia="en-US"/>
              </w:rPr>
              <w:t>3 665</w:t>
            </w:r>
          </w:p>
        </w:tc>
        <w:tc>
          <w:tcPr>
            <w:tcW w:w="2996" w:type="dxa"/>
            <w:gridSpan w:val="12"/>
            <w:tcBorders>
              <w:top w:val="single" w:sz="4" w:space="0" w:color="auto"/>
              <w:left w:val="single" w:sz="4" w:space="0" w:color="auto"/>
              <w:bottom w:val="single" w:sz="4" w:space="0" w:color="auto"/>
              <w:right w:val="single" w:sz="4" w:space="0" w:color="auto"/>
            </w:tcBorders>
            <w:hideMark/>
          </w:tcPr>
          <w:p w14:paraId="743951A0" w14:textId="77777777" w:rsidR="00654783" w:rsidRDefault="00811AAF">
            <w:pPr>
              <w:widowControl/>
              <w:autoSpaceDE/>
              <w:adjustRightInd/>
              <w:spacing w:line="240" w:lineRule="auto"/>
              <w:rPr>
                <w:rFonts w:eastAsia="Calibri" w:cs="Times New Roman"/>
                <w:color w:val="000000"/>
                <w:spacing w:val="-2"/>
                <w:sz w:val="22"/>
                <w:szCs w:val="22"/>
                <w:lang w:eastAsia="en-US"/>
              </w:rPr>
            </w:pPr>
            <w:hyperlink r:id="rId20" w:history="1">
              <w:r w:rsidR="00654783">
                <w:rPr>
                  <w:rStyle w:val="Hipercze"/>
                  <w:rFonts w:eastAsia="Calibri" w:cs="Times New Roman"/>
                  <w:sz w:val="22"/>
                  <w:szCs w:val="22"/>
                  <w:lang w:eastAsia="en-US"/>
                </w:rPr>
                <w:t>https://stat.gov.pl/obszary-tematyczne/podmioty-gospodarcze-wyniki-finansowe/przedsiebiorstwa-niefinansowe/dzialalnosc-przedsiebiorstw-niefinansowych-w-2020-roku,2,17.html</w:t>
              </w:r>
            </w:hyperlink>
          </w:p>
        </w:tc>
        <w:tc>
          <w:tcPr>
            <w:tcW w:w="2981" w:type="dxa"/>
            <w:gridSpan w:val="6"/>
            <w:tcBorders>
              <w:top w:val="single" w:sz="4" w:space="0" w:color="auto"/>
              <w:left w:val="single" w:sz="4" w:space="0" w:color="auto"/>
              <w:bottom w:val="single" w:sz="4" w:space="0" w:color="auto"/>
              <w:right w:val="single" w:sz="4" w:space="0" w:color="auto"/>
            </w:tcBorders>
            <w:hideMark/>
          </w:tcPr>
          <w:p w14:paraId="55FD5B43" w14:textId="77777777" w:rsidR="00654783" w:rsidRDefault="00654783" w:rsidP="00654783">
            <w:pPr>
              <w:widowControl/>
              <w:numPr>
                <w:ilvl w:val="0"/>
                <w:numId w:val="25"/>
              </w:numPr>
              <w:autoSpaceDE/>
              <w:adjustRightInd/>
              <w:spacing w:line="240" w:lineRule="auto"/>
              <w:ind w:left="158" w:hanging="142"/>
              <w:contextualSpacing/>
              <w:rPr>
                <w:rFonts w:eastAsia="Calibri" w:cs="Times New Roman"/>
                <w:sz w:val="20"/>
                <w:lang w:eastAsia="en-US"/>
              </w:rPr>
            </w:pPr>
            <w:r>
              <w:rPr>
                <w:rFonts w:eastAsia="Calibri" w:cs="Times New Roman"/>
                <w:sz w:val="20"/>
                <w:lang w:eastAsia="en-US"/>
              </w:rPr>
              <w:t>dostęp do szerszego niż dotychczas zakresu danych publicznych do ponownego wykorzystywania</w:t>
            </w:r>
          </w:p>
          <w:p w14:paraId="73A30828" w14:textId="77777777" w:rsidR="00654783" w:rsidRDefault="00654783" w:rsidP="00654783">
            <w:pPr>
              <w:widowControl/>
              <w:numPr>
                <w:ilvl w:val="0"/>
                <w:numId w:val="25"/>
              </w:numPr>
              <w:autoSpaceDE/>
              <w:adjustRightInd/>
              <w:spacing w:line="240" w:lineRule="auto"/>
              <w:ind w:left="158" w:hanging="142"/>
              <w:contextualSpacing/>
              <w:rPr>
                <w:rFonts w:eastAsia="Calibri" w:cs="Times New Roman"/>
                <w:sz w:val="22"/>
                <w:szCs w:val="22"/>
                <w:lang w:eastAsia="en-US"/>
              </w:rPr>
            </w:pPr>
            <w:r>
              <w:rPr>
                <w:rFonts w:eastAsia="Calibri" w:cs="Times New Roman"/>
                <w:sz w:val="20"/>
                <w:lang w:eastAsia="en-US"/>
              </w:rPr>
              <w:t>uzyskanie dostępu do bezpiecznych i zaufanych usług pośrednictwa danych, które gwarantują kontrolę nad udostępnianymi danymi oraz przestrzeganie przepisów o ich ochronie</w:t>
            </w:r>
          </w:p>
          <w:p w14:paraId="507CD92C" w14:textId="77777777" w:rsidR="00654783" w:rsidRDefault="00654783" w:rsidP="00654783">
            <w:pPr>
              <w:widowControl/>
              <w:numPr>
                <w:ilvl w:val="0"/>
                <w:numId w:val="25"/>
              </w:numPr>
              <w:autoSpaceDE/>
              <w:adjustRightInd/>
              <w:spacing w:line="240" w:lineRule="auto"/>
              <w:ind w:left="158" w:hanging="142"/>
              <w:contextualSpacing/>
              <w:rPr>
                <w:rFonts w:eastAsia="Calibri" w:cs="Times New Roman"/>
                <w:sz w:val="22"/>
                <w:szCs w:val="22"/>
                <w:lang w:eastAsia="en-US"/>
              </w:rPr>
            </w:pPr>
            <w:r>
              <w:rPr>
                <w:rFonts w:eastAsia="Calibri" w:cs="Times New Roman"/>
                <w:sz w:val="20"/>
                <w:lang w:eastAsia="en-US"/>
              </w:rPr>
              <w:t>możliwość oferowania usług pośrednictwa danych na podstawie przepisów DGA</w:t>
            </w:r>
          </w:p>
          <w:p w14:paraId="60A44386" w14:textId="77777777" w:rsidR="00654783" w:rsidRDefault="00654783" w:rsidP="00654783">
            <w:pPr>
              <w:widowControl/>
              <w:numPr>
                <w:ilvl w:val="0"/>
                <w:numId w:val="25"/>
              </w:numPr>
              <w:autoSpaceDE/>
              <w:adjustRightInd/>
              <w:spacing w:line="240" w:lineRule="auto"/>
              <w:ind w:left="158" w:hanging="142"/>
              <w:contextualSpacing/>
              <w:rPr>
                <w:rFonts w:eastAsia="Calibri" w:cs="Times New Roman"/>
                <w:sz w:val="22"/>
                <w:szCs w:val="22"/>
                <w:lang w:eastAsia="en-US"/>
              </w:rPr>
            </w:pPr>
            <w:r>
              <w:rPr>
                <w:rFonts w:eastAsia="Calibri" w:cs="Times New Roman"/>
                <w:sz w:val="20"/>
                <w:lang w:eastAsia="en-US"/>
              </w:rPr>
              <w:t xml:space="preserve">uzyskanie możliwości oferowania danych na cele interesu ogólnego w sposób zapewniający kontrolę nad </w:t>
            </w:r>
            <w:r>
              <w:rPr>
                <w:rFonts w:eastAsia="Calibri" w:cs="Times New Roman"/>
                <w:sz w:val="20"/>
                <w:lang w:eastAsia="en-US"/>
              </w:rPr>
              <w:lastRenderedPageBreak/>
              <w:t>danymi oraz przestrzeganie przepisów o ich ochronie</w:t>
            </w:r>
          </w:p>
        </w:tc>
      </w:tr>
      <w:tr w:rsidR="00654783" w14:paraId="590CC43D" w14:textId="77777777" w:rsidTr="00CA6AF1">
        <w:trPr>
          <w:gridAfter w:val="1"/>
          <w:wAfter w:w="10" w:type="dxa"/>
          <w:trHeight w:val="142"/>
        </w:trPr>
        <w:tc>
          <w:tcPr>
            <w:tcW w:w="2668" w:type="dxa"/>
            <w:gridSpan w:val="3"/>
            <w:tcBorders>
              <w:top w:val="single" w:sz="4" w:space="0" w:color="auto"/>
              <w:left w:val="single" w:sz="4" w:space="0" w:color="auto"/>
              <w:bottom w:val="single" w:sz="4" w:space="0" w:color="auto"/>
              <w:right w:val="single" w:sz="4" w:space="0" w:color="auto"/>
            </w:tcBorders>
            <w:hideMark/>
          </w:tcPr>
          <w:p w14:paraId="016CBC5B" w14:textId="77777777" w:rsidR="00654783" w:rsidRDefault="00654783">
            <w:pPr>
              <w:widowControl/>
              <w:tabs>
                <w:tab w:val="left" w:pos="1560"/>
              </w:tabs>
              <w:autoSpaceDE/>
              <w:adjustRightInd/>
              <w:spacing w:line="240" w:lineRule="auto"/>
              <w:rPr>
                <w:rFonts w:eastAsia="Calibri" w:cs="Times New Roman"/>
                <w:color w:val="000000"/>
                <w:sz w:val="22"/>
                <w:szCs w:val="22"/>
                <w:lang w:eastAsia="en-US"/>
              </w:rPr>
            </w:pPr>
            <w:r>
              <w:rPr>
                <w:rFonts w:eastAsia="Calibri" w:cs="Times New Roman"/>
                <w:color w:val="000000"/>
                <w:sz w:val="22"/>
                <w:szCs w:val="22"/>
                <w:lang w:eastAsia="en-US"/>
              </w:rPr>
              <w:lastRenderedPageBreak/>
              <w:t>Mikro-, małe i średnice przedsiębiorstwa</w:t>
            </w:r>
          </w:p>
        </w:tc>
        <w:tc>
          <w:tcPr>
            <w:tcW w:w="2292" w:type="dxa"/>
            <w:gridSpan w:val="7"/>
            <w:tcBorders>
              <w:top w:val="single" w:sz="4" w:space="0" w:color="auto"/>
              <w:left w:val="single" w:sz="4" w:space="0" w:color="auto"/>
              <w:bottom w:val="single" w:sz="4" w:space="0" w:color="auto"/>
              <w:right w:val="single" w:sz="4" w:space="0" w:color="auto"/>
            </w:tcBorders>
            <w:hideMark/>
          </w:tcPr>
          <w:p w14:paraId="4382ACCD" w14:textId="77777777" w:rsidR="00654783" w:rsidRDefault="00654783">
            <w:pPr>
              <w:widowControl/>
              <w:autoSpaceDE/>
              <w:adjustRightInd/>
              <w:spacing w:line="240" w:lineRule="auto"/>
              <w:rPr>
                <w:rFonts w:eastAsia="Calibri" w:cs="Times New Roman"/>
                <w:color w:val="000000"/>
                <w:spacing w:val="-2"/>
                <w:sz w:val="22"/>
                <w:szCs w:val="22"/>
                <w:lang w:eastAsia="en-US"/>
              </w:rPr>
            </w:pPr>
            <w:r>
              <w:rPr>
                <w:rFonts w:eastAsia="Calibri" w:cs="Times New Roman"/>
                <w:color w:val="000000"/>
                <w:spacing w:val="-2"/>
                <w:sz w:val="22"/>
                <w:szCs w:val="22"/>
                <w:lang w:eastAsia="en-US"/>
              </w:rPr>
              <w:t>2 258 191</w:t>
            </w:r>
          </w:p>
        </w:tc>
        <w:tc>
          <w:tcPr>
            <w:tcW w:w="2996" w:type="dxa"/>
            <w:gridSpan w:val="12"/>
            <w:tcBorders>
              <w:top w:val="single" w:sz="4" w:space="0" w:color="auto"/>
              <w:left w:val="single" w:sz="4" w:space="0" w:color="auto"/>
              <w:bottom w:val="single" w:sz="4" w:space="0" w:color="auto"/>
              <w:right w:val="single" w:sz="4" w:space="0" w:color="auto"/>
            </w:tcBorders>
            <w:hideMark/>
          </w:tcPr>
          <w:p w14:paraId="072C01BB" w14:textId="77777777" w:rsidR="00654783" w:rsidRDefault="00811AAF">
            <w:pPr>
              <w:widowControl/>
              <w:autoSpaceDE/>
              <w:adjustRightInd/>
              <w:spacing w:line="240" w:lineRule="auto"/>
              <w:rPr>
                <w:rFonts w:eastAsia="Calibri" w:cs="Times New Roman"/>
                <w:color w:val="000000"/>
                <w:spacing w:val="-2"/>
                <w:sz w:val="22"/>
                <w:szCs w:val="22"/>
                <w:lang w:eastAsia="en-US"/>
              </w:rPr>
            </w:pPr>
            <w:hyperlink r:id="rId21" w:history="1">
              <w:r w:rsidR="00654783">
                <w:rPr>
                  <w:rStyle w:val="Hipercze"/>
                  <w:rFonts w:eastAsia="Calibri" w:cs="Times New Roman"/>
                  <w:spacing w:val="-2"/>
                  <w:sz w:val="22"/>
                  <w:szCs w:val="22"/>
                  <w:lang w:eastAsia="en-US"/>
                </w:rPr>
                <w:t>https://stat.gov.pl/obszary-tematyczne/podmioty-gospodarcze-wyniki-finansowe/przedsiebiorstwa-niefinansowe/dzialalnosc-przedsiebiorstw-niefinansowych-w-2020-roku,2,17.html</w:t>
              </w:r>
            </w:hyperlink>
            <w:r w:rsidR="00654783">
              <w:rPr>
                <w:rFonts w:eastAsia="Calibri" w:cs="Times New Roman"/>
                <w:color w:val="000000"/>
                <w:spacing w:val="-2"/>
                <w:sz w:val="22"/>
                <w:szCs w:val="22"/>
                <w:lang w:eastAsia="en-US"/>
              </w:rPr>
              <w:t xml:space="preserve"> </w:t>
            </w:r>
          </w:p>
        </w:tc>
        <w:tc>
          <w:tcPr>
            <w:tcW w:w="2981" w:type="dxa"/>
            <w:gridSpan w:val="6"/>
            <w:tcBorders>
              <w:top w:val="single" w:sz="4" w:space="0" w:color="auto"/>
              <w:left w:val="single" w:sz="4" w:space="0" w:color="auto"/>
              <w:bottom w:val="single" w:sz="4" w:space="0" w:color="auto"/>
              <w:right w:val="single" w:sz="4" w:space="0" w:color="auto"/>
            </w:tcBorders>
            <w:hideMark/>
          </w:tcPr>
          <w:p w14:paraId="3E4B05ED" w14:textId="77777777" w:rsidR="00654783" w:rsidRDefault="00654783" w:rsidP="00654783">
            <w:pPr>
              <w:widowControl/>
              <w:numPr>
                <w:ilvl w:val="0"/>
                <w:numId w:val="25"/>
              </w:numPr>
              <w:autoSpaceDE/>
              <w:adjustRightInd/>
              <w:spacing w:line="240" w:lineRule="auto"/>
              <w:ind w:left="158" w:hanging="142"/>
              <w:contextualSpacing/>
              <w:rPr>
                <w:rFonts w:eastAsia="Calibri" w:cs="Times New Roman"/>
                <w:sz w:val="20"/>
                <w:lang w:eastAsia="en-US"/>
              </w:rPr>
            </w:pPr>
            <w:r>
              <w:rPr>
                <w:rFonts w:eastAsia="Calibri" w:cs="Times New Roman"/>
                <w:sz w:val="20"/>
                <w:lang w:eastAsia="en-US"/>
              </w:rPr>
              <w:t>dostęp do szerszego niż dotychczas zakresu danych publicznych do ponownego wykorzystywania</w:t>
            </w:r>
          </w:p>
          <w:p w14:paraId="5F2F2844" w14:textId="77777777" w:rsidR="00654783" w:rsidRDefault="00654783" w:rsidP="00654783">
            <w:pPr>
              <w:widowControl/>
              <w:numPr>
                <w:ilvl w:val="0"/>
                <w:numId w:val="25"/>
              </w:numPr>
              <w:autoSpaceDE/>
              <w:adjustRightInd/>
              <w:spacing w:line="240" w:lineRule="auto"/>
              <w:ind w:left="158" w:hanging="142"/>
              <w:contextualSpacing/>
              <w:rPr>
                <w:rFonts w:eastAsia="Calibri" w:cs="Times New Roman"/>
                <w:sz w:val="22"/>
                <w:szCs w:val="22"/>
                <w:lang w:eastAsia="en-US"/>
              </w:rPr>
            </w:pPr>
            <w:r>
              <w:rPr>
                <w:rFonts w:eastAsia="Calibri" w:cs="Times New Roman"/>
                <w:sz w:val="20"/>
                <w:lang w:eastAsia="en-US"/>
              </w:rPr>
              <w:t>uzyskanie dostępu do bezpiecznych i zaufanych usług pośrednictwa danych, które gwarantują kontrolę nad udostępnianymi danymi oraz przestrzeganie przepisów o ich ochronie</w:t>
            </w:r>
          </w:p>
          <w:p w14:paraId="2F28AA5F" w14:textId="77777777" w:rsidR="00654783" w:rsidRDefault="00654783" w:rsidP="00654783">
            <w:pPr>
              <w:widowControl/>
              <w:numPr>
                <w:ilvl w:val="0"/>
                <w:numId w:val="25"/>
              </w:numPr>
              <w:autoSpaceDE/>
              <w:adjustRightInd/>
              <w:spacing w:line="240" w:lineRule="auto"/>
              <w:ind w:left="158" w:hanging="142"/>
              <w:contextualSpacing/>
              <w:rPr>
                <w:rFonts w:eastAsia="Calibri" w:cs="Times New Roman"/>
                <w:sz w:val="22"/>
                <w:szCs w:val="22"/>
                <w:lang w:eastAsia="en-US"/>
              </w:rPr>
            </w:pPr>
            <w:r>
              <w:rPr>
                <w:rFonts w:eastAsia="Calibri" w:cs="Times New Roman"/>
                <w:sz w:val="20"/>
                <w:lang w:eastAsia="en-US"/>
              </w:rPr>
              <w:t>możliwość oferowania usług pośrednictwa danych na podstawie przepisów DGA</w:t>
            </w:r>
          </w:p>
          <w:p w14:paraId="461CC70B" w14:textId="77777777" w:rsidR="00654783" w:rsidRDefault="00654783" w:rsidP="00654783">
            <w:pPr>
              <w:widowControl/>
              <w:numPr>
                <w:ilvl w:val="0"/>
                <w:numId w:val="25"/>
              </w:numPr>
              <w:autoSpaceDE/>
              <w:adjustRightInd/>
              <w:spacing w:line="240" w:lineRule="auto"/>
              <w:ind w:left="158" w:hanging="142"/>
              <w:contextualSpacing/>
              <w:rPr>
                <w:rFonts w:eastAsia="Calibri" w:cs="Times New Roman"/>
                <w:sz w:val="22"/>
                <w:szCs w:val="22"/>
                <w:lang w:eastAsia="en-US"/>
              </w:rPr>
            </w:pPr>
            <w:r>
              <w:rPr>
                <w:rFonts w:eastAsia="Calibri" w:cs="Times New Roman"/>
                <w:sz w:val="20"/>
                <w:lang w:eastAsia="en-US"/>
              </w:rPr>
              <w:t>uzyskanie możliwości oferowania danych na cele interesu ogólnego w sposób zapewniający kontrolę nad danymi oraz przestrzeganie przepisów o ich ochronie</w:t>
            </w:r>
          </w:p>
        </w:tc>
      </w:tr>
      <w:tr w:rsidR="00654783" w14:paraId="4E156685" w14:textId="77777777" w:rsidTr="00CA6AF1">
        <w:trPr>
          <w:gridAfter w:val="1"/>
          <w:wAfter w:w="10" w:type="dxa"/>
          <w:trHeight w:val="302"/>
        </w:trPr>
        <w:tc>
          <w:tcPr>
            <w:tcW w:w="10937" w:type="dxa"/>
            <w:gridSpan w:val="28"/>
            <w:tcBorders>
              <w:top w:val="single" w:sz="4" w:space="0" w:color="auto"/>
              <w:left w:val="single" w:sz="4" w:space="0" w:color="auto"/>
              <w:bottom w:val="single" w:sz="4" w:space="0" w:color="auto"/>
              <w:right w:val="single" w:sz="4" w:space="0" w:color="auto"/>
            </w:tcBorders>
            <w:shd w:val="clear" w:color="auto" w:fill="99CCFF"/>
            <w:vAlign w:val="center"/>
            <w:hideMark/>
          </w:tcPr>
          <w:p w14:paraId="59D150CB" w14:textId="77777777" w:rsidR="00654783" w:rsidRDefault="00654783" w:rsidP="00654783">
            <w:pPr>
              <w:widowControl/>
              <w:numPr>
                <w:ilvl w:val="0"/>
                <w:numId w:val="18"/>
              </w:numPr>
              <w:autoSpaceDE/>
              <w:adjustRightInd/>
              <w:spacing w:before="60" w:after="60" w:line="240" w:lineRule="auto"/>
              <w:ind w:left="318" w:hanging="284"/>
              <w:jc w:val="both"/>
              <w:rPr>
                <w:rFonts w:eastAsia="Calibri" w:cs="Times New Roman"/>
                <w:b/>
                <w:color w:val="000000"/>
                <w:sz w:val="22"/>
                <w:szCs w:val="22"/>
                <w:lang w:eastAsia="en-US"/>
              </w:rPr>
            </w:pPr>
            <w:r>
              <w:rPr>
                <w:rFonts w:eastAsia="Calibri" w:cs="Times New Roman"/>
                <w:b/>
                <w:color w:val="000000"/>
                <w:sz w:val="22"/>
                <w:szCs w:val="22"/>
                <w:lang w:eastAsia="en-US"/>
              </w:rPr>
              <w:t>Informacje na temat zakresu, czasu trwania i podsumowanie wyników konsultacji</w:t>
            </w:r>
          </w:p>
        </w:tc>
      </w:tr>
      <w:tr w:rsidR="00654783" w14:paraId="2F9FE973" w14:textId="77777777" w:rsidTr="00CA6AF1">
        <w:trPr>
          <w:gridAfter w:val="1"/>
          <w:wAfter w:w="10" w:type="dxa"/>
          <w:trHeight w:val="342"/>
        </w:trPr>
        <w:tc>
          <w:tcPr>
            <w:tcW w:w="10937" w:type="dxa"/>
            <w:gridSpan w:val="28"/>
            <w:tcBorders>
              <w:top w:val="single" w:sz="4" w:space="0" w:color="auto"/>
              <w:left w:val="single" w:sz="4" w:space="0" w:color="auto"/>
              <w:bottom w:val="single" w:sz="4" w:space="0" w:color="auto"/>
              <w:right w:val="single" w:sz="4" w:space="0" w:color="auto"/>
            </w:tcBorders>
            <w:shd w:val="clear" w:color="auto" w:fill="FFFFFF"/>
            <w:hideMark/>
          </w:tcPr>
          <w:p w14:paraId="260ACFF0" w14:textId="77777777" w:rsidR="00654783" w:rsidRDefault="00654783">
            <w:pPr>
              <w:widowControl/>
              <w:autoSpaceDE/>
              <w:adjustRightInd/>
              <w:spacing w:line="276" w:lineRule="auto"/>
              <w:jc w:val="both"/>
              <w:rPr>
                <w:rFonts w:eastAsia="Calibri" w:cs="Times New Roman"/>
                <w:color w:val="000000"/>
                <w:spacing w:val="-2"/>
                <w:sz w:val="22"/>
                <w:szCs w:val="22"/>
                <w:lang w:eastAsia="en-US"/>
              </w:rPr>
            </w:pPr>
            <w:r>
              <w:rPr>
                <w:rFonts w:eastAsia="Calibri" w:cs="Times New Roman"/>
                <w:color w:val="000000"/>
                <w:spacing w:val="-2"/>
                <w:sz w:val="22"/>
                <w:szCs w:val="22"/>
                <w:lang w:eastAsia="en-US"/>
              </w:rPr>
              <w:t>Projekt zostanie skierowany do konsultacji publicznych oraz opiniowania do szerokiego kręgu interesariuszy z co najmniej 21-dniowym terminem na przedstawienie stanowiska. Z konsultacji zostanie przygotowany raport. Ponadto planowane jest skonsultowanie projektowanych rozwiązań na forum Grupy roboczej do spraw strategicznych kierunków zarządzania danymi powołanej przy Komitecie Rady Ministrów do spraw Cyfryzacji.</w:t>
            </w:r>
          </w:p>
          <w:p w14:paraId="07D7F8F1" w14:textId="31424980" w:rsidR="00654783" w:rsidRDefault="00654783">
            <w:pPr>
              <w:widowControl/>
              <w:autoSpaceDE/>
              <w:adjustRightInd/>
              <w:spacing w:before="120" w:line="276" w:lineRule="auto"/>
              <w:jc w:val="both"/>
              <w:rPr>
                <w:rFonts w:eastAsia="Calibri" w:cs="Times New Roman"/>
                <w:color w:val="000000"/>
                <w:spacing w:val="-2"/>
                <w:sz w:val="22"/>
                <w:szCs w:val="22"/>
                <w:lang w:eastAsia="en-US"/>
              </w:rPr>
            </w:pPr>
            <w:r>
              <w:rPr>
                <w:rFonts w:eastAsia="Calibri" w:cs="Times New Roman"/>
                <w:color w:val="000000"/>
                <w:spacing w:val="-2"/>
                <w:sz w:val="22"/>
                <w:szCs w:val="22"/>
                <w:lang w:eastAsia="en-US"/>
              </w:rPr>
              <w:t xml:space="preserve">Projekt ustawy zostanie skierowany w ramach konsultacji </w:t>
            </w:r>
            <w:r w:rsidR="003F4981">
              <w:rPr>
                <w:rFonts w:eastAsia="Calibri" w:cs="Times New Roman"/>
                <w:color w:val="000000"/>
                <w:spacing w:val="-2"/>
                <w:sz w:val="22"/>
                <w:szCs w:val="22"/>
                <w:lang w:eastAsia="en-US"/>
              </w:rPr>
              <w:t xml:space="preserve">publicznych </w:t>
            </w:r>
            <w:r>
              <w:rPr>
                <w:rFonts w:eastAsia="Calibri" w:cs="Times New Roman"/>
                <w:color w:val="000000"/>
                <w:spacing w:val="-2"/>
                <w:sz w:val="22"/>
                <w:szCs w:val="22"/>
                <w:lang w:eastAsia="en-US"/>
              </w:rPr>
              <w:t>do podmiotów wskazanych w przepisach o związkach zawodowych, organizacjach pracodawców oraz o Radzie Dialogu Społecznego i innych instytucjach dialogu społecznego, a także co najmniej do następujących podmiotów:</w:t>
            </w:r>
          </w:p>
          <w:p w14:paraId="3251C872" w14:textId="0F9BBE4D" w:rsidR="00D77A9B" w:rsidRPr="00D77A9B" w:rsidRDefault="00D77A9B" w:rsidP="00D77A9B">
            <w:pPr>
              <w:pStyle w:val="Akapitzlist"/>
              <w:numPr>
                <w:ilvl w:val="0"/>
                <w:numId w:val="41"/>
              </w:numPr>
              <w:spacing w:before="120"/>
              <w:jc w:val="both"/>
              <w:rPr>
                <w:rFonts w:ascii="Times New Roman" w:hAnsi="Times New Roman"/>
                <w:color w:val="000000"/>
                <w:spacing w:val="-2"/>
              </w:rPr>
            </w:pPr>
            <w:r w:rsidRPr="00D77A9B">
              <w:rPr>
                <w:rFonts w:ascii="Times New Roman" w:hAnsi="Times New Roman"/>
                <w:color w:val="000000"/>
                <w:spacing w:val="-2"/>
              </w:rPr>
              <w:t>Centrum Cyberbezpieczeństwa AGH</w:t>
            </w:r>
            <w:r w:rsidR="00C461AB">
              <w:rPr>
                <w:rFonts w:ascii="Times New Roman" w:hAnsi="Times New Roman"/>
                <w:color w:val="000000"/>
                <w:spacing w:val="-2"/>
              </w:rPr>
              <w:t>;</w:t>
            </w:r>
          </w:p>
          <w:p w14:paraId="068396A8" w14:textId="61AEB93D" w:rsidR="00D77A9B" w:rsidRPr="00D77A9B" w:rsidRDefault="00D77A9B" w:rsidP="00D77A9B">
            <w:pPr>
              <w:pStyle w:val="Akapitzlist"/>
              <w:numPr>
                <w:ilvl w:val="0"/>
                <w:numId w:val="41"/>
              </w:numPr>
              <w:spacing w:before="120"/>
              <w:jc w:val="both"/>
              <w:rPr>
                <w:rFonts w:ascii="Times New Roman" w:hAnsi="Times New Roman"/>
                <w:color w:val="000000"/>
                <w:spacing w:val="-2"/>
              </w:rPr>
            </w:pPr>
            <w:r w:rsidRPr="00D77A9B">
              <w:rPr>
                <w:rFonts w:ascii="Times New Roman" w:hAnsi="Times New Roman"/>
                <w:color w:val="000000"/>
                <w:spacing w:val="-2"/>
              </w:rPr>
              <w:t>Centrum Informatyczne Trójmiejskiej Akademickiej Sieci Komputerowej</w:t>
            </w:r>
            <w:r w:rsidR="00C461AB">
              <w:rPr>
                <w:rFonts w:ascii="Times New Roman" w:hAnsi="Times New Roman"/>
                <w:color w:val="000000"/>
                <w:spacing w:val="-2"/>
              </w:rPr>
              <w:t>;</w:t>
            </w:r>
          </w:p>
          <w:p w14:paraId="01376B53" w14:textId="4993A3EE" w:rsidR="00D77A9B" w:rsidRPr="00D77A9B" w:rsidRDefault="00D77A9B" w:rsidP="00D77A9B">
            <w:pPr>
              <w:pStyle w:val="Akapitzlist"/>
              <w:numPr>
                <w:ilvl w:val="0"/>
                <w:numId w:val="41"/>
              </w:numPr>
              <w:spacing w:before="120"/>
              <w:jc w:val="both"/>
              <w:rPr>
                <w:rFonts w:ascii="Times New Roman" w:hAnsi="Times New Roman"/>
                <w:color w:val="000000"/>
                <w:spacing w:val="-2"/>
              </w:rPr>
            </w:pPr>
            <w:r w:rsidRPr="00D77A9B">
              <w:rPr>
                <w:rFonts w:ascii="Times New Roman" w:hAnsi="Times New Roman"/>
                <w:color w:val="000000"/>
                <w:spacing w:val="-2"/>
              </w:rPr>
              <w:t xml:space="preserve">Creative </w:t>
            </w:r>
            <w:proofErr w:type="spellStart"/>
            <w:r w:rsidRPr="00D77A9B">
              <w:rPr>
                <w:rFonts w:ascii="Times New Roman" w:hAnsi="Times New Roman"/>
                <w:color w:val="000000"/>
                <w:spacing w:val="-2"/>
              </w:rPr>
              <w:t>Commons</w:t>
            </w:r>
            <w:proofErr w:type="spellEnd"/>
            <w:r w:rsidRPr="00D77A9B">
              <w:rPr>
                <w:rFonts w:ascii="Times New Roman" w:hAnsi="Times New Roman"/>
                <w:color w:val="000000"/>
                <w:spacing w:val="-2"/>
              </w:rPr>
              <w:t xml:space="preserve"> Polska</w:t>
            </w:r>
            <w:r w:rsidR="00C461AB">
              <w:rPr>
                <w:rFonts w:ascii="Times New Roman" w:hAnsi="Times New Roman"/>
                <w:color w:val="000000"/>
                <w:spacing w:val="-2"/>
              </w:rPr>
              <w:t>;</w:t>
            </w:r>
          </w:p>
          <w:p w14:paraId="461CFCC9" w14:textId="1F79889C" w:rsidR="00D77A9B" w:rsidRPr="00D77A9B" w:rsidRDefault="00D77A9B" w:rsidP="00D77A9B">
            <w:pPr>
              <w:pStyle w:val="Akapitzlist"/>
              <w:numPr>
                <w:ilvl w:val="0"/>
                <w:numId w:val="41"/>
              </w:numPr>
              <w:spacing w:before="120"/>
              <w:jc w:val="both"/>
              <w:rPr>
                <w:rFonts w:ascii="Times New Roman" w:hAnsi="Times New Roman"/>
                <w:color w:val="000000"/>
                <w:spacing w:val="-2"/>
              </w:rPr>
            </w:pPr>
            <w:r w:rsidRPr="00D77A9B">
              <w:rPr>
                <w:rFonts w:ascii="Times New Roman" w:hAnsi="Times New Roman"/>
                <w:color w:val="000000"/>
                <w:spacing w:val="-2"/>
              </w:rPr>
              <w:t>Federacja Związków Zawodowych Pracowników Kultury i Sztuki</w:t>
            </w:r>
            <w:r w:rsidR="00C461AB">
              <w:rPr>
                <w:rFonts w:ascii="Times New Roman" w:hAnsi="Times New Roman"/>
                <w:color w:val="000000"/>
                <w:spacing w:val="-2"/>
              </w:rPr>
              <w:t>;</w:t>
            </w:r>
          </w:p>
          <w:p w14:paraId="611A763F" w14:textId="1EED8660" w:rsidR="00D77A9B" w:rsidRPr="00D77A9B" w:rsidRDefault="00D77A9B" w:rsidP="00D77A9B">
            <w:pPr>
              <w:pStyle w:val="Akapitzlist"/>
              <w:numPr>
                <w:ilvl w:val="0"/>
                <w:numId w:val="41"/>
              </w:numPr>
              <w:spacing w:before="120"/>
              <w:jc w:val="both"/>
              <w:rPr>
                <w:rFonts w:ascii="Times New Roman" w:hAnsi="Times New Roman"/>
                <w:color w:val="000000"/>
                <w:spacing w:val="-2"/>
              </w:rPr>
            </w:pPr>
            <w:r w:rsidRPr="00D77A9B">
              <w:rPr>
                <w:rFonts w:ascii="Times New Roman" w:hAnsi="Times New Roman"/>
                <w:color w:val="000000"/>
                <w:spacing w:val="-2"/>
              </w:rPr>
              <w:t>Fundacja Bezpieczna Cyberprzestrzeń</w:t>
            </w:r>
            <w:r w:rsidR="00C461AB">
              <w:rPr>
                <w:rFonts w:ascii="Times New Roman" w:hAnsi="Times New Roman"/>
                <w:color w:val="000000"/>
                <w:spacing w:val="-2"/>
              </w:rPr>
              <w:t>;</w:t>
            </w:r>
          </w:p>
          <w:p w14:paraId="4F374247" w14:textId="564E35E3" w:rsidR="00D77A9B" w:rsidRPr="00D77A9B" w:rsidRDefault="00D77A9B" w:rsidP="00D77A9B">
            <w:pPr>
              <w:pStyle w:val="Akapitzlist"/>
              <w:numPr>
                <w:ilvl w:val="0"/>
                <w:numId w:val="41"/>
              </w:numPr>
              <w:spacing w:before="120"/>
              <w:jc w:val="both"/>
              <w:rPr>
                <w:rFonts w:ascii="Times New Roman" w:hAnsi="Times New Roman"/>
                <w:color w:val="000000"/>
                <w:spacing w:val="-2"/>
              </w:rPr>
            </w:pPr>
            <w:r w:rsidRPr="00D77A9B">
              <w:rPr>
                <w:rFonts w:ascii="Times New Roman" w:hAnsi="Times New Roman"/>
                <w:color w:val="000000"/>
                <w:spacing w:val="-2"/>
              </w:rPr>
              <w:t>Fundacja Centrum Cyfrowe</w:t>
            </w:r>
            <w:r w:rsidR="00C461AB">
              <w:rPr>
                <w:rFonts w:ascii="Times New Roman" w:hAnsi="Times New Roman"/>
                <w:color w:val="000000"/>
                <w:spacing w:val="-2"/>
              </w:rPr>
              <w:t>;</w:t>
            </w:r>
          </w:p>
          <w:p w14:paraId="15F66D25" w14:textId="245D8C3E" w:rsidR="00D77A9B" w:rsidRPr="00D77A9B" w:rsidRDefault="00D77A9B" w:rsidP="00D77A9B">
            <w:pPr>
              <w:pStyle w:val="Akapitzlist"/>
              <w:numPr>
                <w:ilvl w:val="0"/>
                <w:numId w:val="41"/>
              </w:numPr>
              <w:spacing w:before="120"/>
              <w:jc w:val="both"/>
              <w:rPr>
                <w:rFonts w:ascii="Times New Roman" w:hAnsi="Times New Roman"/>
                <w:color w:val="000000"/>
                <w:spacing w:val="-2"/>
              </w:rPr>
            </w:pPr>
            <w:r w:rsidRPr="00D77A9B">
              <w:rPr>
                <w:rFonts w:ascii="Times New Roman" w:hAnsi="Times New Roman"/>
                <w:color w:val="000000"/>
                <w:spacing w:val="-2"/>
              </w:rPr>
              <w:t>Fundacja im. Stefana Batorego</w:t>
            </w:r>
            <w:r w:rsidR="00C461AB">
              <w:rPr>
                <w:rFonts w:ascii="Times New Roman" w:hAnsi="Times New Roman"/>
                <w:color w:val="000000"/>
                <w:spacing w:val="-2"/>
              </w:rPr>
              <w:t>;</w:t>
            </w:r>
          </w:p>
          <w:p w14:paraId="29C5E5A1" w14:textId="56C05763" w:rsidR="00D77A9B" w:rsidRPr="00D77A9B" w:rsidRDefault="00D77A9B" w:rsidP="00D77A9B">
            <w:pPr>
              <w:pStyle w:val="Akapitzlist"/>
              <w:numPr>
                <w:ilvl w:val="0"/>
                <w:numId w:val="41"/>
              </w:numPr>
              <w:spacing w:before="120"/>
              <w:jc w:val="both"/>
              <w:rPr>
                <w:rFonts w:ascii="Times New Roman" w:hAnsi="Times New Roman"/>
                <w:color w:val="000000"/>
                <w:spacing w:val="-2"/>
              </w:rPr>
            </w:pPr>
            <w:r w:rsidRPr="00D77A9B">
              <w:rPr>
                <w:rFonts w:ascii="Times New Roman" w:hAnsi="Times New Roman"/>
                <w:color w:val="000000"/>
                <w:spacing w:val="-2"/>
              </w:rPr>
              <w:t xml:space="preserve">Fundacja </w:t>
            </w:r>
            <w:proofErr w:type="spellStart"/>
            <w:r w:rsidRPr="00D77A9B">
              <w:rPr>
                <w:rFonts w:ascii="Times New Roman" w:hAnsi="Times New Roman"/>
                <w:color w:val="000000"/>
                <w:spacing w:val="-2"/>
              </w:rPr>
              <w:t>Instrat</w:t>
            </w:r>
            <w:proofErr w:type="spellEnd"/>
            <w:r w:rsidR="00C461AB">
              <w:rPr>
                <w:rFonts w:ascii="Times New Roman" w:hAnsi="Times New Roman"/>
                <w:color w:val="000000"/>
                <w:spacing w:val="-2"/>
              </w:rPr>
              <w:t>;</w:t>
            </w:r>
          </w:p>
          <w:p w14:paraId="28072C61" w14:textId="1A6D4DC2" w:rsidR="00D77A9B" w:rsidRPr="00D77A9B" w:rsidRDefault="00D77A9B" w:rsidP="00D77A9B">
            <w:pPr>
              <w:pStyle w:val="Akapitzlist"/>
              <w:numPr>
                <w:ilvl w:val="0"/>
                <w:numId w:val="41"/>
              </w:numPr>
              <w:spacing w:before="120"/>
              <w:jc w:val="both"/>
              <w:rPr>
                <w:rFonts w:ascii="Times New Roman" w:hAnsi="Times New Roman"/>
                <w:color w:val="000000"/>
                <w:spacing w:val="-2"/>
              </w:rPr>
            </w:pPr>
            <w:r w:rsidRPr="00D77A9B">
              <w:rPr>
                <w:rFonts w:ascii="Times New Roman" w:hAnsi="Times New Roman"/>
                <w:color w:val="000000"/>
                <w:spacing w:val="-2"/>
              </w:rPr>
              <w:t>Fundacja Moje Państwo</w:t>
            </w:r>
            <w:r w:rsidR="00C461AB">
              <w:rPr>
                <w:rFonts w:ascii="Times New Roman" w:hAnsi="Times New Roman"/>
                <w:color w:val="000000"/>
                <w:spacing w:val="-2"/>
              </w:rPr>
              <w:t>;</w:t>
            </w:r>
            <w:r w:rsidRPr="00D77A9B">
              <w:rPr>
                <w:rFonts w:ascii="Times New Roman" w:hAnsi="Times New Roman"/>
                <w:color w:val="000000"/>
                <w:spacing w:val="-2"/>
              </w:rPr>
              <w:t xml:space="preserve"> </w:t>
            </w:r>
          </w:p>
          <w:p w14:paraId="363E4561" w14:textId="4C08E54B" w:rsidR="00D77A9B" w:rsidRPr="00D77A9B" w:rsidRDefault="00D77A9B" w:rsidP="00D77A9B">
            <w:pPr>
              <w:pStyle w:val="Akapitzlist"/>
              <w:numPr>
                <w:ilvl w:val="0"/>
                <w:numId w:val="41"/>
              </w:numPr>
              <w:spacing w:before="120"/>
              <w:jc w:val="both"/>
              <w:rPr>
                <w:rFonts w:ascii="Times New Roman" w:hAnsi="Times New Roman"/>
                <w:color w:val="000000"/>
                <w:spacing w:val="-2"/>
              </w:rPr>
            </w:pPr>
            <w:r w:rsidRPr="00D77A9B">
              <w:rPr>
                <w:rFonts w:ascii="Times New Roman" w:hAnsi="Times New Roman"/>
                <w:color w:val="000000"/>
                <w:spacing w:val="-2"/>
              </w:rPr>
              <w:t xml:space="preserve">Fundacja </w:t>
            </w:r>
            <w:proofErr w:type="spellStart"/>
            <w:r w:rsidRPr="00D77A9B">
              <w:rPr>
                <w:rFonts w:ascii="Times New Roman" w:hAnsi="Times New Roman"/>
                <w:color w:val="000000"/>
                <w:spacing w:val="-2"/>
              </w:rPr>
              <w:t>OpenStax</w:t>
            </w:r>
            <w:proofErr w:type="spellEnd"/>
            <w:r w:rsidRPr="00D77A9B">
              <w:rPr>
                <w:rFonts w:ascii="Times New Roman" w:hAnsi="Times New Roman"/>
                <w:color w:val="000000"/>
                <w:spacing w:val="-2"/>
              </w:rPr>
              <w:t xml:space="preserve"> Poland</w:t>
            </w:r>
            <w:r w:rsidR="00C461AB">
              <w:rPr>
                <w:rFonts w:ascii="Times New Roman" w:hAnsi="Times New Roman"/>
                <w:color w:val="000000"/>
                <w:spacing w:val="-2"/>
              </w:rPr>
              <w:t>;</w:t>
            </w:r>
          </w:p>
          <w:p w14:paraId="0DF8604D" w14:textId="711CF28E" w:rsidR="00D77A9B" w:rsidRPr="00D77A9B" w:rsidRDefault="00D77A9B" w:rsidP="00D77A9B">
            <w:pPr>
              <w:pStyle w:val="Akapitzlist"/>
              <w:numPr>
                <w:ilvl w:val="0"/>
                <w:numId w:val="41"/>
              </w:numPr>
              <w:spacing w:before="120"/>
              <w:jc w:val="both"/>
              <w:rPr>
                <w:rFonts w:ascii="Times New Roman" w:hAnsi="Times New Roman"/>
                <w:color w:val="000000"/>
                <w:spacing w:val="-2"/>
              </w:rPr>
            </w:pPr>
            <w:r w:rsidRPr="00D77A9B">
              <w:rPr>
                <w:rFonts w:ascii="Times New Roman" w:hAnsi="Times New Roman"/>
                <w:color w:val="000000"/>
                <w:spacing w:val="-2"/>
              </w:rPr>
              <w:t>Fundacja Panoptykon</w:t>
            </w:r>
            <w:r w:rsidR="00C461AB">
              <w:rPr>
                <w:rFonts w:ascii="Times New Roman" w:hAnsi="Times New Roman"/>
                <w:color w:val="000000"/>
                <w:spacing w:val="-2"/>
              </w:rPr>
              <w:t>;</w:t>
            </w:r>
          </w:p>
          <w:p w14:paraId="0C931715" w14:textId="23C84C88" w:rsidR="00D77A9B" w:rsidRPr="00D77A9B" w:rsidRDefault="00D77A9B" w:rsidP="00D77A9B">
            <w:pPr>
              <w:pStyle w:val="Akapitzlist"/>
              <w:numPr>
                <w:ilvl w:val="0"/>
                <w:numId w:val="41"/>
              </w:numPr>
              <w:spacing w:before="120"/>
              <w:jc w:val="both"/>
              <w:rPr>
                <w:rFonts w:ascii="Times New Roman" w:hAnsi="Times New Roman"/>
                <w:color w:val="000000"/>
                <w:spacing w:val="-2"/>
              </w:rPr>
            </w:pPr>
            <w:r w:rsidRPr="00D77A9B">
              <w:rPr>
                <w:rFonts w:ascii="Times New Roman" w:hAnsi="Times New Roman"/>
                <w:color w:val="000000"/>
                <w:spacing w:val="-2"/>
              </w:rPr>
              <w:t>Fundacja Republikańska</w:t>
            </w:r>
            <w:r w:rsidR="00C461AB">
              <w:rPr>
                <w:rFonts w:ascii="Times New Roman" w:hAnsi="Times New Roman"/>
                <w:color w:val="000000"/>
                <w:spacing w:val="-2"/>
              </w:rPr>
              <w:t>;</w:t>
            </w:r>
          </w:p>
          <w:p w14:paraId="01E94172" w14:textId="0FF11C1D" w:rsidR="00D77A9B" w:rsidRPr="00D77A9B" w:rsidRDefault="00D77A9B" w:rsidP="00D77A9B">
            <w:pPr>
              <w:pStyle w:val="Akapitzlist"/>
              <w:numPr>
                <w:ilvl w:val="0"/>
                <w:numId w:val="41"/>
              </w:numPr>
              <w:spacing w:before="120"/>
              <w:jc w:val="both"/>
              <w:rPr>
                <w:rFonts w:ascii="Times New Roman" w:hAnsi="Times New Roman"/>
                <w:color w:val="000000"/>
                <w:spacing w:val="-2"/>
              </w:rPr>
            </w:pPr>
            <w:r w:rsidRPr="00D77A9B">
              <w:rPr>
                <w:rFonts w:ascii="Times New Roman" w:hAnsi="Times New Roman"/>
                <w:color w:val="000000"/>
                <w:spacing w:val="-2"/>
              </w:rPr>
              <w:t>Fundacja Rozwoju Społeczeństwa Informacyjnego</w:t>
            </w:r>
            <w:r w:rsidR="00C461AB">
              <w:rPr>
                <w:rFonts w:ascii="Times New Roman" w:hAnsi="Times New Roman"/>
                <w:color w:val="000000"/>
                <w:spacing w:val="-2"/>
              </w:rPr>
              <w:t>;</w:t>
            </w:r>
          </w:p>
          <w:p w14:paraId="6C806A75" w14:textId="6C6D7755" w:rsidR="00D77A9B" w:rsidRPr="00D77A9B" w:rsidRDefault="00D77A9B" w:rsidP="00D77A9B">
            <w:pPr>
              <w:pStyle w:val="Akapitzlist"/>
              <w:numPr>
                <w:ilvl w:val="0"/>
                <w:numId w:val="41"/>
              </w:numPr>
              <w:spacing w:before="120"/>
              <w:jc w:val="both"/>
              <w:rPr>
                <w:rFonts w:ascii="Times New Roman" w:hAnsi="Times New Roman"/>
                <w:color w:val="000000"/>
                <w:spacing w:val="-2"/>
              </w:rPr>
            </w:pPr>
            <w:r w:rsidRPr="00D77A9B">
              <w:rPr>
                <w:rFonts w:ascii="Times New Roman" w:hAnsi="Times New Roman"/>
                <w:color w:val="000000"/>
                <w:spacing w:val="-2"/>
              </w:rPr>
              <w:t>Fundacja Wolności</w:t>
            </w:r>
            <w:r w:rsidR="00C461AB">
              <w:rPr>
                <w:rFonts w:ascii="Times New Roman" w:hAnsi="Times New Roman"/>
                <w:color w:val="000000"/>
                <w:spacing w:val="-2"/>
              </w:rPr>
              <w:t>;</w:t>
            </w:r>
          </w:p>
          <w:p w14:paraId="1581059E" w14:textId="10BB8D21" w:rsidR="00D77A9B" w:rsidRPr="00D77A9B" w:rsidRDefault="00D77A9B" w:rsidP="00D77A9B">
            <w:pPr>
              <w:pStyle w:val="Akapitzlist"/>
              <w:numPr>
                <w:ilvl w:val="0"/>
                <w:numId w:val="41"/>
              </w:numPr>
              <w:spacing w:before="120"/>
              <w:jc w:val="both"/>
              <w:rPr>
                <w:rFonts w:ascii="Times New Roman" w:hAnsi="Times New Roman"/>
                <w:color w:val="000000"/>
                <w:spacing w:val="-2"/>
              </w:rPr>
            </w:pPr>
            <w:r w:rsidRPr="00D77A9B">
              <w:rPr>
                <w:rFonts w:ascii="Times New Roman" w:hAnsi="Times New Roman"/>
                <w:color w:val="000000"/>
                <w:spacing w:val="-2"/>
              </w:rPr>
              <w:t>Helsińska Fundacja Praw Człowieka</w:t>
            </w:r>
            <w:r w:rsidR="00C461AB">
              <w:rPr>
                <w:rFonts w:ascii="Times New Roman" w:hAnsi="Times New Roman"/>
                <w:color w:val="000000"/>
                <w:spacing w:val="-2"/>
              </w:rPr>
              <w:t>;</w:t>
            </w:r>
          </w:p>
          <w:p w14:paraId="11C1333A" w14:textId="34E35635" w:rsidR="00D77A9B" w:rsidRPr="00D77A9B" w:rsidRDefault="00D77A9B" w:rsidP="00D77A9B">
            <w:pPr>
              <w:pStyle w:val="Akapitzlist"/>
              <w:numPr>
                <w:ilvl w:val="0"/>
                <w:numId w:val="41"/>
              </w:numPr>
              <w:spacing w:before="120"/>
              <w:jc w:val="both"/>
              <w:rPr>
                <w:rFonts w:ascii="Times New Roman" w:hAnsi="Times New Roman"/>
                <w:color w:val="000000"/>
                <w:spacing w:val="-2"/>
              </w:rPr>
            </w:pPr>
            <w:r w:rsidRPr="00D77A9B">
              <w:rPr>
                <w:rFonts w:ascii="Times New Roman" w:hAnsi="Times New Roman"/>
                <w:color w:val="000000"/>
                <w:spacing w:val="-2"/>
              </w:rPr>
              <w:t xml:space="preserve">Instytut </w:t>
            </w:r>
            <w:proofErr w:type="spellStart"/>
            <w:r w:rsidRPr="00D77A9B">
              <w:rPr>
                <w:rFonts w:ascii="Times New Roman" w:hAnsi="Times New Roman"/>
                <w:color w:val="000000"/>
                <w:spacing w:val="-2"/>
              </w:rPr>
              <w:t>Allerhanda</w:t>
            </w:r>
            <w:proofErr w:type="spellEnd"/>
            <w:r w:rsidR="00C461AB">
              <w:rPr>
                <w:rFonts w:ascii="Times New Roman" w:hAnsi="Times New Roman"/>
                <w:color w:val="000000"/>
                <w:spacing w:val="-2"/>
              </w:rPr>
              <w:t>;</w:t>
            </w:r>
          </w:p>
          <w:p w14:paraId="3BD6EDB8" w14:textId="669EB73D" w:rsidR="00D77A9B" w:rsidRPr="00D77A9B" w:rsidRDefault="00C461AB" w:rsidP="00D77A9B">
            <w:pPr>
              <w:pStyle w:val="Akapitzlist"/>
              <w:numPr>
                <w:ilvl w:val="0"/>
                <w:numId w:val="41"/>
              </w:numPr>
              <w:spacing w:before="120"/>
              <w:jc w:val="both"/>
              <w:rPr>
                <w:rFonts w:ascii="Times New Roman" w:hAnsi="Times New Roman"/>
                <w:color w:val="000000"/>
                <w:spacing w:val="-2"/>
              </w:rPr>
            </w:pPr>
            <w:r>
              <w:rPr>
                <w:rFonts w:ascii="Times New Roman" w:hAnsi="Times New Roman"/>
                <w:color w:val="000000"/>
                <w:spacing w:val="-2"/>
              </w:rPr>
              <w:t>Instytut Kościuszki;</w:t>
            </w:r>
          </w:p>
          <w:p w14:paraId="3F6A87C8" w14:textId="76C6ACCE" w:rsidR="00D77A9B" w:rsidRPr="00D77A9B" w:rsidRDefault="00D77A9B" w:rsidP="00D77A9B">
            <w:pPr>
              <w:pStyle w:val="Akapitzlist"/>
              <w:numPr>
                <w:ilvl w:val="0"/>
                <w:numId w:val="41"/>
              </w:numPr>
              <w:spacing w:before="120"/>
              <w:jc w:val="both"/>
              <w:rPr>
                <w:rFonts w:ascii="Times New Roman" w:hAnsi="Times New Roman"/>
                <w:color w:val="000000"/>
                <w:spacing w:val="-2"/>
              </w:rPr>
            </w:pPr>
            <w:r w:rsidRPr="00D77A9B">
              <w:rPr>
                <w:rFonts w:ascii="Times New Roman" w:hAnsi="Times New Roman"/>
                <w:color w:val="000000"/>
                <w:spacing w:val="-2"/>
              </w:rPr>
              <w:t>Instytut Ordo Iuris</w:t>
            </w:r>
            <w:r w:rsidR="00C461AB">
              <w:rPr>
                <w:rFonts w:ascii="Times New Roman" w:hAnsi="Times New Roman"/>
                <w:color w:val="000000"/>
                <w:spacing w:val="-2"/>
              </w:rPr>
              <w:t>;</w:t>
            </w:r>
          </w:p>
          <w:p w14:paraId="74E7D89F" w14:textId="5B38E6C6" w:rsidR="00D77A9B" w:rsidRPr="00D77A9B" w:rsidRDefault="00D77A9B" w:rsidP="00D77A9B">
            <w:pPr>
              <w:pStyle w:val="Akapitzlist"/>
              <w:numPr>
                <w:ilvl w:val="0"/>
                <w:numId w:val="41"/>
              </w:numPr>
              <w:spacing w:before="120"/>
              <w:jc w:val="both"/>
              <w:rPr>
                <w:rFonts w:ascii="Times New Roman" w:hAnsi="Times New Roman"/>
                <w:color w:val="000000"/>
                <w:spacing w:val="-2"/>
              </w:rPr>
            </w:pPr>
            <w:r w:rsidRPr="00D77A9B">
              <w:rPr>
                <w:rFonts w:ascii="Times New Roman" w:hAnsi="Times New Roman"/>
                <w:color w:val="000000"/>
                <w:spacing w:val="-2"/>
              </w:rPr>
              <w:t>Instytut Sobieskiego</w:t>
            </w:r>
            <w:r w:rsidR="00C461AB">
              <w:rPr>
                <w:rFonts w:ascii="Times New Roman" w:hAnsi="Times New Roman"/>
                <w:color w:val="000000"/>
                <w:spacing w:val="-2"/>
              </w:rPr>
              <w:t>;</w:t>
            </w:r>
          </w:p>
          <w:p w14:paraId="7D6E4B36" w14:textId="2E5CD9D3" w:rsidR="00D77A9B" w:rsidRPr="00D77A9B" w:rsidRDefault="00D77A9B" w:rsidP="00D77A9B">
            <w:pPr>
              <w:pStyle w:val="Akapitzlist"/>
              <w:numPr>
                <w:ilvl w:val="0"/>
                <w:numId w:val="41"/>
              </w:numPr>
              <w:spacing w:before="120"/>
              <w:jc w:val="both"/>
              <w:rPr>
                <w:rFonts w:ascii="Times New Roman" w:hAnsi="Times New Roman"/>
                <w:color w:val="000000"/>
                <w:spacing w:val="-2"/>
              </w:rPr>
            </w:pPr>
            <w:r w:rsidRPr="00D77A9B">
              <w:rPr>
                <w:rFonts w:ascii="Times New Roman" w:hAnsi="Times New Roman"/>
                <w:color w:val="000000"/>
                <w:spacing w:val="-2"/>
              </w:rPr>
              <w:t>Instytut Spraw Publicznych</w:t>
            </w:r>
            <w:r w:rsidR="00C461AB">
              <w:rPr>
                <w:rFonts w:ascii="Times New Roman" w:hAnsi="Times New Roman"/>
                <w:color w:val="000000"/>
                <w:spacing w:val="-2"/>
              </w:rPr>
              <w:t>;</w:t>
            </w:r>
          </w:p>
          <w:p w14:paraId="0B4855C6" w14:textId="4192BCD3" w:rsidR="00D77A9B" w:rsidRPr="00D77A9B" w:rsidRDefault="00D77A9B" w:rsidP="00D77A9B">
            <w:pPr>
              <w:pStyle w:val="Akapitzlist"/>
              <w:numPr>
                <w:ilvl w:val="0"/>
                <w:numId w:val="41"/>
              </w:numPr>
              <w:spacing w:before="120"/>
              <w:jc w:val="both"/>
              <w:rPr>
                <w:rFonts w:ascii="Times New Roman" w:hAnsi="Times New Roman"/>
                <w:color w:val="000000"/>
                <w:spacing w:val="-2"/>
              </w:rPr>
            </w:pPr>
            <w:r w:rsidRPr="00D77A9B">
              <w:rPr>
                <w:rFonts w:ascii="Times New Roman" w:hAnsi="Times New Roman"/>
                <w:color w:val="000000"/>
                <w:spacing w:val="-2"/>
              </w:rPr>
              <w:t>Instytut Wiedzy i Innowacji</w:t>
            </w:r>
            <w:r w:rsidR="00C461AB">
              <w:rPr>
                <w:rFonts w:ascii="Times New Roman" w:hAnsi="Times New Roman"/>
                <w:color w:val="000000"/>
                <w:spacing w:val="-2"/>
              </w:rPr>
              <w:t>;</w:t>
            </w:r>
          </w:p>
          <w:p w14:paraId="710F49D8" w14:textId="6AF5BB31" w:rsidR="00D77A9B" w:rsidRPr="00D77A9B" w:rsidRDefault="00D77A9B" w:rsidP="00D77A9B">
            <w:pPr>
              <w:pStyle w:val="Akapitzlist"/>
              <w:numPr>
                <w:ilvl w:val="0"/>
                <w:numId w:val="41"/>
              </w:numPr>
              <w:spacing w:before="120"/>
              <w:jc w:val="both"/>
              <w:rPr>
                <w:rFonts w:ascii="Times New Roman" w:hAnsi="Times New Roman"/>
                <w:color w:val="000000"/>
                <w:spacing w:val="-2"/>
              </w:rPr>
            </w:pPr>
            <w:r w:rsidRPr="00D77A9B">
              <w:rPr>
                <w:rFonts w:ascii="Times New Roman" w:hAnsi="Times New Roman"/>
                <w:color w:val="000000"/>
                <w:spacing w:val="-2"/>
              </w:rPr>
              <w:t>Interdyscyplinarne Centrum Modelowania Matematycznego i Komputerowego (ICM)</w:t>
            </w:r>
            <w:r w:rsidR="00C461AB">
              <w:rPr>
                <w:rFonts w:ascii="Times New Roman" w:hAnsi="Times New Roman"/>
                <w:color w:val="000000"/>
                <w:spacing w:val="-2"/>
              </w:rPr>
              <w:t>;</w:t>
            </w:r>
          </w:p>
          <w:p w14:paraId="7290D728" w14:textId="3297DE20" w:rsidR="00D77A9B" w:rsidRPr="00D77A9B" w:rsidRDefault="00D77A9B" w:rsidP="00D77A9B">
            <w:pPr>
              <w:pStyle w:val="Akapitzlist"/>
              <w:numPr>
                <w:ilvl w:val="0"/>
                <w:numId w:val="41"/>
              </w:numPr>
              <w:spacing w:before="120"/>
              <w:jc w:val="both"/>
              <w:rPr>
                <w:rFonts w:ascii="Times New Roman" w:hAnsi="Times New Roman"/>
                <w:color w:val="000000"/>
                <w:spacing w:val="-2"/>
              </w:rPr>
            </w:pPr>
            <w:r w:rsidRPr="00D77A9B">
              <w:rPr>
                <w:rFonts w:ascii="Times New Roman" w:hAnsi="Times New Roman"/>
                <w:color w:val="000000"/>
                <w:spacing w:val="-2"/>
              </w:rPr>
              <w:t>Klub Jagielloński</w:t>
            </w:r>
            <w:r w:rsidR="00C461AB">
              <w:rPr>
                <w:rFonts w:ascii="Times New Roman" w:hAnsi="Times New Roman"/>
                <w:color w:val="000000"/>
                <w:spacing w:val="-2"/>
              </w:rPr>
              <w:t>;</w:t>
            </w:r>
          </w:p>
          <w:p w14:paraId="399B04C1" w14:textId="56A61B2D" w:rsidR="00D77A9B" w:rsidRPr="00D77A9B" w:rsidRDefault="00C461AB" w:rsidP="00D77A9B">
            <w:pPr>
              <w:pStyle w:val="Akapitzlist"/>
              <w:numPr>
                <w:ilvl w:val="0"/>
                <w:numId w:val="41"/>
              </w:numPr>
              <w:spacing w:before="120"/>
              <w:jc w:val="both"/>
              <w:rPr>
                <w:rFonts w:ascii="Times New Roman" w:hAnsi="Times New Roman"/>
                <w:color w:val="000000"/>
                <w:spacing w:val="-2"/>
              </w:rPr>
            </w:pPr>
            <w:r>
              <w:rPr>
                <w:rFonts w:ascii="Times New Roman" w:hAnsi="Times New Roman"/>
                <w:color w:val="000000"/>
                <w:spacing w:val="-2"/>
              </w:rPr>
              <w:t>Koalicja Otwartej Edukacji;</w:t>
            </w:r>
          </w:p>
          <w:p w14:paraId="0B123742" w14:textId="7A14B90F" w:rsidR="00D77A9B" w:rsidRPr="00D77A9B" w:rsidRDefault="00D77A9B" w:rsidP="00D77A9B">
            <w:pPr>
              <w:pStyle w:val="Akapitzlist"/>
              <w:numPr>
                <w:ilvl w:val="0"/>
                <w:numId w:val="41"/>
              </w:numPr>
              <w:spacing w:before="120"/>
              <w:jc w:val="both"/>
              <w:rPr>
                <w:rFonts w:ascii="Times New Roman" w:hAnsi="Times New Roman"/>
                <w:color w:val="000000"/>
                <w:spacing w:val="-2"/>
              </w:rPr>
            </w:pPr>
            <w:r w:rsidRPr="00D77A9B">
              <w:rPr>
                <w:rFonts w:ascii="Times New Roman" w:hAnsi="Times New Roman"/>
                <w:color w:val="000000"/>
                <w:spacing w:val="-2"/>
              </w:rPr>
              <w:lastRenderedPageBreak/>
              <w:t>Krajowa Izba Gospodarcza Elektroniki i Telekomunikacji</w:t>
            </w:r>
            <w:r w:rsidR="00C461AB">
              <w:rPr>
                <w:rFonts w:ascii="Times New Roman" w:hAnsi="Times New Roman"/>
                <w:color w:val="000000"/>
                <w:spacing w:val="-2"/>
              </w:rPr>
              <w:t>;</w:t>
            </w:r>
          </w:p>
          <w:p w14:paraId="54DE9BF8" w14:textId="20F9D336" w:rsidR="00D77A9B" w:rsidRPr="00D77A9B" w:rsidRDefault="00D77A9B" w:rsidP="00D77A9B">
            <w:pPr>
              <w:pStyle w:val="Akapitzlist"/>
              <w:numPr>
                <w:ilvl w:val="0"/>
                <w:numId w:val="41"/>
              </w:numPr>
              <w:spacing w:before="120"/>
              <w:jc w:val="both"/>
              <w:rPr>
                <w:rFonts w:ascii="Times New Roman" w:hAnsi="Times New Roman"/>
                <w:color w:val="000000"/>
                <w:spacing w:val="-2"/>
              </w:rPr>
            </w:pPr>
            <w:r w:rsidRPr="00D77A9B">
              <w:rPr>
                <w:rFonts w:ascii="Times New Roman" w:hAnsi="Times New Roman"/>
                <w:color w:val="000000"/>
                <w:spacing w:val="-2"/>
              </w:rPr>
              <w:t>Krajowa Izba Producentów Audiowizualnych</w:t>
            </w:r>
            <w:r w:rsidR="00C461AB">
              <w:rPr>
                <w:rFonts w:ascii="Times New Roman" w:hAnsi="Times New Roman"/>
                <w:color w:val="000000"/>
                <w:spacing w:val="-2"/>
              </w:rPr>
              <w:t>;</w:t>
            </w:r>
          </w:p>
          <w:p w14:paraId="7B124D63" w14:textId="0AE42D14" w:rsidR="00D77A9B" w:rsidRPr="00D77A9B" w:rsidRDefault="00D77A9B" w:rsidP="00D77A9B">
            <w:pPr>
              <w:pStyle w:val="Akapitzlist"/>
              <w:numPr>
                <w:ilvl w:val="0"/>
                <w:numId w:val="41"/>
              </w:numPr>
              <w:spacing w:before="120"/>
              <w:jc w:val="both"/>
              <w:rPr>
                <w:rFonts w:ascii="Times New Roman" w:hAnsi="Times New Roman"/>
                <w:color w:val="000000"/>
                <w:spacing w:val="-2"/>
              </w:rPr>
            </w:pPr>
            <w:r w:rsidRPr="00D77A9B">
              <w:rPr>
                <w:rFonts w:ascii="Times New Roman" w:hAnsi="Times New Roman"/>
                <w:color w:val="000000"/>
                <w:spacing w:val="-2"/>
              </w:rPr>
              <w:t>Platforma Przemysłu Przyszłości</w:t>
            </w:r>
            <w:r w:rsidR="00C461AB">
              <w:rPr>
                <w:rFonts w:ascii="Times New Roman" w:hAnsi="Times New Roman"/>
                <w:color w:val="000000"/>
                <w:spacing w:val="-2"/>
              </w:rPr>
              <w:t>;</w:t>
            </w:r>
          </w:p>
          <w:p w14:paraId="082FB612" w14:textId="5D116E4A" w:rsidR="00D77A9B" w:rsidRPr="00D77A9B" w:rsidRDefault="00D77A9B" w:rsidP="00D77A9B">
            <w:pPr>
              <w:pStyle w:val="Akapitzlist"/>
              <w:numPr>
                <w:ilvl w:val="0"/>
                <w:numId w:val="41"/>
              </w:numPr>
              <w:spacing w:before="120"/>
              <w:jc w:val="both"/>
              <w:rPr>
                <w:rFonts w:ascii="Times New Roman" w:hAnsi="Times New Roman"/>
                <w:color w:val="000000"/>
                <w:spacing w:val="-2"/>
              </w:rPr>
            </w:pPr>
            <w:r w:rsidRPr="00D77A9B">
              <w:rPr>
                <w:rFonts w:ascii="Times New Roman" w:hAnsi="Times New Roman"/>
                <w:color w:val="000000"/>
                <w:spacing w:val="-2"/>
              </w:rPr>
              <w:t>Polska Akademia Umiejętności</w:t>
            </w:r>
            <w:r w:rsidR="00C461AB">
              <w:rPr>
                <w:rFonts w:ascii="Times New Roman" w:hAnsi="Times New Roman"/>
                <w:color w:val="000000"/>
                <w:spacing w:val="-2"/>
              </w:rPr>
              <w:t>;</w:t>
            </w:r>
          </w:p>
          <w:p w14:paraId="2968819E" w14:textId="6B4EF41B" w:rsidR="00D77A9B" w:rsidRPr="00D77A9B" w:rsidRDefault="00D77A9B" w:rsidP="00D77A9B">
            <w:pPr>
              <w:pStyle w:val="Akapitzlist"/>
              <w:numPr>
                <w:ilvl w:val="0"/>
                <w:numId w:val="41"/>
              </w:numPr>
              <w:spacing w:before="120"/>
              <w:jc w:val="both"/>
              <w:rPr>
                <w:rFonts w:ascii="Times New Roman" w:hAnsi="Times New Roman"/>
                <w:color w:val="000000"/>
                <w:spacing w:val="-2"/>
              </w:rPr>
            </w:pPr>
            <w:r w:rsidRPr="00D77A9B">
              <w:rPr>
                <w:rFonts w:ascii="Times New Roman" w:hAnsi="Times New Roman"/>
                <w:color w:val="000000"/>
                <w:spacing w:val="-2"/>
              </w:rPr>
              <w:t>Polska Izba Informatyki i Telekomunikacji</w:t>
            </w:r>
            <w:r w:rsidR="00C461AB">
              <w:rPr>
                <w:rFonts w:ascii="Times New Roman" w:hAnsi="Times New Roman"/>
                <w:color w:val="000000"/>
                <w:spacing w:val="-2"/>
              </w:rPr>
              <w:t>;</w:t>
            </w:r>
          </w:p>
          <w:p w14:paraId="29416344" w14:textId="622F3029" w:rsidR="00D77A9B" w:rsidRPr="00D77A9B" w:rsidRDefault="00D77A9B" w:rsidP="00D77A9B">
            <w:pPr>
              <w:pStyle w:val="Akapitzlist"/>
              <w:numPr>
                <w:ilvl w:val="0"/>
                <w:numId w:val="41"/>
              </w:numPr>
              <w:spacing w:before="120"/>
              <w:jc w:val="both"/>
              <w:rPr>
                <w:rFonts w:ascii="Times New Roman" w:hAnsi="Times New Roman"/>
                <w:color w:val="000000"/>
                <w:spacing w:val="-2"/>
              </w:rPr>
            </w:pPr>
            <w:r w:rsidRPr="00D77A9B">
              <w:rPr>
                <w:rFonts w:ascii="Times New Roman" w:hAnsi="Times New Roman"/>
                <w:color w:val="000000"/>
                <w:spacing w:val="-2"/>
              </w:rPr>
              <w:t>Polska Izba Komunikacji Elektronicznej</w:t>
            </w:r>
            <w:r w:rsidR="00C461AB">
              <w:rPr>
                <w:rFonts w:ascii="Times New Roman" w:hAnsi="Times New Roman"/>
                <w:color w:val="000000"/>
                <w:spacing w:val="-2"/>
              </w:rPr>
              <w:t>;</w:t>
            </w:r>
          </w:p>
          <w:p w14:paraId="4C89EB83" w14:textId="19F652B4" w:rsidR="00D77A9B" w:rsidRPr="00D77A9B" w:rsidRDefault="00D77A9B" w:rsidP="00D77A9B">
            <w:pPr>
              <w:pStyle w:val="Akapitzlist"/>
              <w:numPr>
                <w:ilvl w:val="0"/>
                <w:numId w:val="41"/>
              </w:numPr>
              <w:spacing w:before="120"/>
              <w:jc w:val="both"/>
              <w:rPr>
                <w:rFonts w:ascii="Times New Roman" w:hAnsi="Times New Roman"/>
                <w:color w:val="000000"/>
                <w:spacing w:val="-2"/>
              </w:rPr>
            </w:pPr>
            <w:r w:rsidRPr="00D77A9B">
              <w:rPr>
                <w:rFonts w:ascii="Times New Roman" w:hAnsi="Times New Roman"/>
                <w:color w:val="000000"/>
                <w:spacing w:val="-2"/>
              </w:rPr>
              <w:t>Polskie Towarzystwo Informatyczne</w:t>
            </w:r>
            <w:r w:rsidR="00C461AB">
              <w:rPr>
                <w:rFonts w:ascii="Times New Roman" w:hAnsi="Times New Roman"/>
                <w:color w:val="000000"/>
                <w:spacing w:val="-2"/>
              </w:rPr>
              <w:t>;</w:t>
            </w:r>
          </w:p>
          <w:p w14:paraId="621CE930" w14:textId="51055320" w:rsidR="00D77A9B" w:rsidRPr="00D77A9B" w:rsidRDefault="00D77A9B" w:rsidP="00D77A9B">
            <w:pPr>
              <w:pStyle w:val="Akapitzlist"/>
              <w:numPr>
                <w:ilvl w:val="0"/>
                <w:numId w:val="41"/>
              </w:numPr>
              <w:spacing w:before="120"/>
              <w:jc w:val="both"/>
              <w:rPr>
                <w:rFonts w:ascii="Times New Roman" w:hAnsi="Times New Roman"/>
                <w:color w:val="000000"/>
                <w:spacing w:val="-2"/>
              </w:rPr>
            </w:pPr>
            <w:r w:rsidRPr="00D77A9B">
              <w:rPr>
                <w:rFonts w:ascii="Times New Roman" w:hAnsi="Times New Roman"/>
                <w:color w:val="000000"/>
                <w:spacing w:val="-2"/>
              </w:rPr>
              <w:t>Poznańskie Centrum Superkomputerowo-Sieciowe</w:t>
            </w:r>
            <w:r w:rsidR="00C461AB">
              <w:rPr>
                <w:rFonts w:ascii="Times New Roman" w:hAnsi="Times New Roman"/>
                <w:color w:val="000000"/>
                <w:spacing w:val="-2"/>
              </w:rPr>
              <w:t>;</w:t>
            </w:r>
          </w:p>
          <w:p w14:paraId="0A2AC629" w14:textId="51ACDC9A" w:rsidR="00D77A9B" w:rsidRPr="00D77A9B" w:rsidRDefault="00D77A9B" w:rsidP="00D77A9B">
            <w:pPr>
              <w:pStyle w:val="Akapitzlist"/>
              <w:numPr>
                <w:ilvl w:val="0"/>
                <w:numId w:val="41"/>
              </w:numPr>
              <w:spacing w:before="120"/>
              <w:jc w:val="both"/>
              <w:rPr>
                <w:rFonts w:ascii="Times New Roman" w:hAnsi="Times New Roman"/>
                <w:color w:val="000000"/>
                <w:spacing w:val="-2"/>
              </w:rPr>
            </w:pPr>
            <w:r w:rsidRPr="00D77A9B">
              <w:rPr>
                <w:rFonts w:ascii="Times New Roman" w:hAnsi="Times New Roman"/>
                <w:color w:val="000000"/>
                <w:spacing w:val="-2"/>
              </w:rPr>
              <w:t>Poznańskie Towarzystwo Przyjaciół Nauk</w:t>
            </w:r>
            <w:r w:rsidR="00C461AB">
              <w:rPr>
                <w:rFonts w:ascii="Times New Roman" w:hAnsi="Times New Roman"/>
                <w:color w:val="000000"/>
                <w:spacing w:val="-2"/>
              </w:rPr>
              <w:t>;</w:t>
            </w:r>
          </w:p>
          <w:p w14:paraId="2600BFB4" w14:textId="3AF83B77" w:rsidR="00D77A9B" w:rsidRPr="00D77A9B" w:rsidRDefault="00D77A9B" w:rsidP="00D77A9B">
            <w:pPr>
              <w:pStyle w:val="Akapitzlist"/>
              <w:numPr>
                <w:ilvl w:val="0"/>
                <w:numId w:val="41"/>
              </w:numPr>
              <w:spacing w:before="120"/>
              <w:jc w:val="both"/>
              <w:rPr>
                <w:rFonts w:ascii="Times New Roman" w:hAnsi="Times New Roman"/>
                <w:color w:val="000000"/>
                <w:spacing w:val="-2"/>
              </w:rPr>
            </w:pPr>
            <w:r w:rsidRPr="00D77A9B">
              <w:rPr>
                <w:rFonts w:ascii="Times New Roman" w:hAnsi="Times New Roman"/>
                <w:color w:val="000000"/>
                <w:spacing w:val="-2"/>
              </w:rPr>
              <w:t xml:space="preserve">Sieć Obywatelska </w:t>
            </w:r>
            <w:proofErr w:type="spellStart"/>
            <w:r w:rsidRPr="00D77A9B">
              <w:rPr>
                <w:rFonts w:ascii="Times New Roman" w:hAnsi="Times New Roman"/>
                <w:color w:val="000000"/>
                <w:spacing w:val="-2"/>
              </w:rPr>
              <w:t>Watchdog</w:t>
            </w:r>
            <w:proofErr w:type="spellEnd"/>
            <w:r w:rsidRPr="00D77A9B">
              <w:rPr>
                <w:rFonts w:ascii="Times New Roman" w:hAnsi="Times New Roman"/>
                <w:color w:val="000000"/>
                <w:spacing w:val="-2"/>
              </w:rPr>
              <w:t xml:space="preserve"> Polska</w:t>
            </w:r>
            <w:r w:rsidR="00C461AB">
              <w:rPr>
                <w:rFonts w:ascii="Times New Roman" w:hAnsi="Times New Roman"/>
                <w:color w:val="000000"/>
                <w:spacing w:val="-2"/>
              </w:rPr>
              <w:t>;</w:t>
            </w:r>
          </w:p>
          <w:p w14:paraId="05C727B3" w14:textId="78F98234" w:rsidR="00D77A9B" w:rsidRPr="00D77A9B" w:rsidRDefault="00D77A9B" w:rsidP="00D77A9B">
            <w:pPr>
              <w:pStyle w:val="Akapitzlist"/>
              <w:numPr>
                <w:ilvl w:val="0"/>
                <w:numId w:val="41"/>
              </w:numPr>
              <w:spacing w:before="120"/>
              <w:jc w:val="both"/>
              <w:rPr>
                <w:rFonts w:ascii="Times New Roman" w:hAnsi="Times New Roman"/>
                <w:color w:val="000000"/>
                <w:spacing w:val="-2"/>
              </w:rPr>
            </w:pPr>
            <w:r w:rsidRPr="00D77A9B">
              <w:rPr>
                <w:rFonts w:ascii="Times New Roman" w:hAnsi="Times New Roman"/>
                <w:color w:val="000000"/>
                <w:spacing w:val="-2"/>
              </w:rPr>
              <w:t>Stowarzyszenie Autorów i Wydawców COPYRIGHT POLSKA</w:t>
            </w:r>
            <w:r w:rsidR="00C461AB">
              <w:rPr>
                <w:rFonts w:ascii="Times New Roman" w:hAnsi="Times New Roman"/>
                <w:color w:val="000000"/>
                <w:spacing w:val="-2"/>
              </w:rPr>
              <w:t>;</w:t>
            </w:r>
          </w:p>
          <w:p w14:paraId="444AA032" w14:textId="526E1F15" w:rsidR="00D77A9B" w:rsidRPr="00D77A9B" w:rsidRDefault="00D77A9B" w:rsidP="00D77A9B">
            <w:pPr>
              <w:pStyle w:val="Akapitzlist"/>
              <w:numPr>
                <w:ilvl w:val="0"/>
                <w:numId w:val="41"/>
              </w:numPr>
              <w:spacing w:before="120"/>
              <w:jc w:val="both"/>
              <w:rPr>
                <w:rFonts w:ascii="Times New Roman" w:hAnsi="Times New Roman"/>
                <w:color w:val="000000"/>
                <w:spacing w:val="-2"/>
              </w:rPr>
            </w:pPr>
            <w:r w:rsidRPr="00D77A9B">
              <w:rPr>
                <w:rFonts w:ascii="Times New Roman" w:hAnsi="Times New Roman"/>
                <w:color w:val="000000"/>
                <w:spacing w:val="-2"/>
              </w:rPr>
              <w:t>Stowarzyszenie autorów ZAiKS</w:t>
            </w:r>
            <w:r w:rsidR="00C461AB">
              <w:rPr>
                <w:rFonts w:ascii="Times New Roman" w:hAnsi="Times New Roman"/>
                <w:color w:val="000000"/>
                <w:spacing w:val="-2"/>
              </w:rPr>
              <w:t>;</w:t>
            </w:r>
          </w:p>
          <w:p w14:paraId="7DF07168" w14:textId="4B972B01" w:rsidR="00D77A9B" w:rsidRPr="00D77A9B" w:rsidRDefault="00D77A9B" w:rsidP="00D77A9B">
            <w:pPr>
              <w:pStyle w:val="Akapitzlist"/>
              <w:numPr>
                <w:ilvl w:val="0"/>
                <w:numId w:val="41"/>
              </w:numPr>
              <w:spacing w:before="120"/>
              <w:jc w:val="both"/>
              <w:rPr>
                <w:rFonts w:ascii="Times New Roman" w:hAnsi="Times New Roman"/>
                <w:color w:val="000000"/>
                <w:spacing w:val="-2"/>
              </w:rPr>
            </w:pPr>
            <w:r w:rsidRPr="00D77A9B">
              <w:rPr>
                <w:rFonts w:ascii="Times New Roman" w:hAnsi="Times New Roman"/>
                <w:color w:val="000000"/>
                <w:spacing w:val="-2"/>
              </w:rPr>
              <w:t>Stowarzyszenie Bibliotekarzy Polskich</w:t>
            </w:r>
            <w:r w:rsidR="00C461AB">
              <w:rPr>
                <w:rFonts w:ascii="Times New Roman" w:hAnsi="Times New Roman"/>
                <w:color w:val="000000"/>
                <w:spacing w:val="-2"/>
              </w:rPr>
              <w:t>;</w:t>
            </w:r>
          </w:p>
          <w:p w14:paraId="0C3B9B6B" w14:textId="2C524427" w:rsidR="00D77A9B" w:rsidRPr="00D77A9B" w:rsidRDefault="00D77A9B" w:rsidP="00D77A9B">
            <w:pPr>
              <w:pStyle w:val="Akapitzlist"/>
              <w:numPr>
                <w:ilvl w:val="0"/>
                <w:numId w:val="41"/>
              </w:numPr>
              <w:spacing w:before="120"/>
              <w:jc w:val="both"/>
              <w:rPr>
                <w:rFonts w:ascii="Times New Roman" w:hAnsi="Times New Roman"/>
                <w:color w:val="000000"/>
                <w:spacing w:val="-2"/>
              </w:rPr>
            </w:pPr>
            <w:r w:rsidRPr="00D77A9B">
              <w:rPr>
                <w:rFonts w:ascii="Times New Roman" w:hAnsi="Times New Roman"/>
                <w:color w:val="000000"/>
                <w:spacing w:val="-2"/>
              </w:rPr>
              <w:t>Stowarzyszenie EBIB</w:t>
            </w:r>
            <w:r w:rsidR="00C461AB">
              <w:rPr>
                <w:rFonts w:ascii="Times New Roman" w:hAnsi="Times New Roman"/>
                <w:color w:val="000000"/>
                <w:spacing w:val="-2"/>
              </w:rPr>
              <w:t>;</w:t>
            </w:r>
          </w:p>
          <w:p w14:paraId="65C61C6E" w14:textId="6CD3C81A" w:rsidR="00D77A9B" w:rsidRPr="00D77A9B" w:rsidRDefault="00D77A9B" w:rsidP="00D77A9B">
            <w:pPr>
              <w:pStyle w:val="Akapitzlist"/>
              <w:numPr>
                <w:ilvl w:val="0"/>
                <w:numId w:val="41"/>
              </w:numPr>
              <w:spacing w:before="120"/>
              <w:jc w:val="both"/>
              <w:rPr>
                <w:rFonts w:ascii="Times New Roman" w:hAnsi="Times New Roman"/>
                <w:color w:val="000000"/>
                <w:spacing w:val="-2"/>
              </w:rPr>
            </w:pPr>
            <w:r w:rsidRPr="00D77A9B">
              <w:rPr>
                <w:rFonts w:ascii="Times New Roman" w:hAnsi="Times New Roman"/>
                <w:color w:val="000000"/>
                <w:spacing w:val="-2"/>
              </w:rPr>
              <w:t>Stowarzyszenie Klimatologów Polskich</w:t>
            </w:r>
            <w:r w:rsidR="00C461AB">
              <w:rPr>
                <w:rFonts w:ascii="Times New Roman" w:hAnsi="Times New Roman"/>
                <w:color w:val="000000"/>
                <w:spacing w:val="-2"/>
              </w:rPr>
              <w:t>;</w:t>
            </w:r>
          </w:p>
          <w:p w14:paraId="7C3D8984" w14:textId="2A3E0E9A" w:rsidR="00D77A9B" w:rsidRPr="00D77A9B" w:rsidRDefault="00D77A9B" w:rsidP="00D77A9B">
            <w:pPr>
              <w:pStyle w:val="Akapitzlist"/>
              <w:numPr>
                <w:ilvl w:val="0"/>
                <w:numId w:val="41"/>
              </w:numPr>
              <w:spacing w:before="120"/>
              <w:jc w:val="both"/>
              <w:rPr>
                <w:rFonts w:ascii="Times New Roman" w:hAnsi="Times New Roman"/>
                <w:color w:val="000000"/>
                <w:spacing w:val="-2"/>
              </w:rPr>
            </w:pPr>
            <w:r w:rsidRPr="00D77A9B">
              <w:rPr>
                <w:rFonts w:ascii="Times New Roman" w:hAnsi="Times New Roman"/>
                <w:color w:val="000000"/>
                <w:spacing w:val="-2"/>
              </w:rPr>
              <w:t>Stowarzyszenie Kreatywna Polska</w:t>
            </w:r>
            <w:r w:rsidR="00C461AB">
              <w:rPr>
                <w:rFonts w:ascii="Times New Roman" w:hAnsi="Times New Roman"/>
                <w:color w:val="000000"/>
                <w:spacing w:val="-2"/>
              </w:rPr>
              <w:t>;</w:t>
            </w:r>
          </w:p>
          <w:p w14:paraId="5FD179D3" w14:textId="0B2A0E63" w:rsidR="00D77A9B" w:rsidRPr="00D77A9B" w:rsidRDefault="00D77A9B" w:rsidP="00D77A9B">
            <w:pPr>
              <w:pStyle w:val="Akapitzlist"/>
              <w:numPr>
                <w:ilvl w:val="0"/>
                <w:numId w:val="41"/>
              </w:numPr>
              <w:spacing w:before="120"/>
              <w:jc w:val="both"/>
              <w:rPr>
                <w:rFonts w:ascii="Times New Roman" w:hAnsi="Times New Roman"/>
                <w:color w:val="000000"/>
                <w:spacing w:val="-2"/>
              </w:rPr>
            </w:pPr>
            <w:r w:rsidRPr="00D77A9B">
              <w:rPr>
                <w:rFonts w:ascii="Times New Roman" w:hAnsi="Times New Roman"/>
                <w:color w:val="000000"/>
                <w:spacing w:val="-2"/>
              </w:rPr>
              <w:t>Stowarzyszenie Muzealników Polskich</w:t>
            </w:r>
            <w:r w:rsidR="00C461AB">
              <w:rPr>
                <w:rFonts w:ascii="Times New Roman" w:hAnsi="Times New Roman"/>
                <w:color w:val="000000"/>
                <w:spacing w:val="-2"/>
              </w:rPr>
              <w:t>;</w:t>
            </w:r>
          </w:p>
          <w:p w14:paraId="023B6AA6" w14:textId="01A3273F" w:rsidR="00D77A9B" w:rsidRPr="00D77A9B" w:rsidRDefault="00D77A9B" w:rsidP="00D77A9B">
            <w:pPr>
              <w:pStyle w:val="Akapitzlist"/>
              <w:numPr>
                <w:ilvl w:val="0"/>
                <w:numId w:val="41"/>
              </w:numPr>
              <w:spacing w:before="120"/>
              <w:jc w:val="both"/>
              <w:rPr>
                <w:rFonts w:ascii="Times New Roman" w:hAnsi="Times New Roman"/>
                <w:color w:val="000000"/>
                <w:spacing w:val="-2"/>
              </w:rPr>
            </w:pPr>
            <w:r w:rsidRPr="00D77A9B">
              <w:rPr>
                <w:rFonts w:ascii="Times New Roman" w:hAnsi="Times New Roman"/>
                <w:color w:val="000000"/>
                <w:spacing w:val="-2"/>
              </w:rPr>
              <w:t xml:space="preserve">Stowarzyszenie </w:t>
            </w:r>
            <w:proofErr w:type="spellStart"/>
            <w:r w:rsidRPr="00D77A9B">
              <w:rPr>
                <w:rFonts w:ascii="Times New Roman" w:hAnsi="Times New Roman"/>
                <w:color w:val="000000"/>
                <w:spacing w:val="-2"/>
              </w:rPr>
              <w:t>OpenStreetMap</w:t>
            </w:r>
            <w:proofErr w:type="spellEnd"/>
            <w:r w:rsidRPr="00D77A9B">
              <w:rPr>
                <w:rFonts w:ascii="Times New Roman" w:hAnsi="Times New Roman"/>
                <w:color w:val="000000"/>
                <w:spacing w:val="-2"/>
              </w:rPr>
              <w:t xml:space="preserve"> Polska</w:t>
            </w:r>
            <w:r w:rsidR="00C461AB">
              <w:rPr>
                <w:rFonts w:ascii="Times New Roman" w:hAnsi="Times New Roman"/>
                <w:color w:val="000000"/>
                <w:spacing w:val="-2"/>
              </w:rPr>
              <w:t>;</w:t>
            </w:r>
          </w:p>
          <w:p w14:paraId="3C77115C" w14:textId="7D202B70" w:rsidR="00D77A9B" w:rsidRPr="00D77A9B" w:rsidRDefault="00D77A9B" w:rsidP="00D77A9B">
            <w:pPr>
              <w:pStyle w:val="Akapitzlist"/>
              <w:numPr>
                <w:ilvl w:val="0"/>
                <w:numId w:val="41"/>
              </w:numPr>
              <w:spacing w:before="120"/>
              <w:jc w:val="both"/>
              <w:rPr>
                <w:rFonts w:ascii="Times New Roman" w:hAnsi="Times New Roman"/>
                <w:color w:val="000000"/>
                <w:spacing w:val="-2"/>
              </w:rPr>
            </w:pPr>
            <w:r w:rsidRPr="00D77A9B">
              <w:rPr>
                <w:rFonts w:ascii="Times New Roman" w:hAnsi="Times New Roman"/>
                <w:color w:val="000000"/>
                <w:spacing w:val="-2"/>
              </w:rPr>
              <w:t>Stowarzyszenie Prawa Nowych Technologii</w:t>
            </w:r>
            <w:r w:rsidR="00C461AB">
              <w:rPr>
                <w:rFonts w:ascii="Times New Roman" w:hAnsi="Times New Roman"/>
                <w:color w:val="000000"/>
                <w:spacing w:val="-2"/>
              </w:rPr>
              <w:t>;</w:t>
            </w:r>
          </w:p>
          <w:p w14:paraId="3EE1D2F6" w14:textId="1F12001B" w:rsidR="00D77A9B" w:rsidRPr="00D77A9B" w:rsidRDefault="00D77A9B" w:rsidP="00D77A9B">
            <w:pPr>
              <w:pStyle w:val="Akapitzlist"/>
              <w:numPr>
                <w:ilvl w:val="0"/>
                <w:numId w:val="41"/>
              </w:numPr>
              <w:spacing w:before="120"/>
              <w:jc w:val="both"/>
              <w:rPr>
                <w:rFonts w:ascii="Times New Roman" w:hAnsi="Times New Roman"/>
                <w:color w:val="000000"/>
                <w:spacing w:val="-2"/>
              </w:rPr>
            </w:pPr>
            <w:r w:rsidRPr="00D77A9B">
              <w:rPr>
                <w:rFonts w:ascii="Times New Roman" w:hAnsi="Times New Roman"/>
                <w:color w:val="000000"/>
                <w:spacing w:val="-2"/>
              </w:rPr>
              <w:t xml:space="preserve">Stowarzyszenie </w:t>
            </w:r>
            <w:proofErr w:type="spellStart"/>
            <w:r w:rsidRPr="00D77A9B">
              <w:rPr>
                <w:rFonts w:ascii="Times New Roman" w:hAnsi="Times New Roman"/>
                <w:color w:val="000000"/>
                <w:spacing w:val="-2"/>
              </w:rPr>
              <w:t>Wikimedia</w:t>
            </w:r>
            <w:proofErr w:type="spellEnd"/>
            <w:r w:rsidRPr="00D77A9B">
              <w:rPr>
                <w:rFonts w:ascii="Times New Roman" w:hAnsi="Times New Roman"/>
                <w:color w:val="000000"/>
                <w:spacing w:val="-2"/>
              </w:rPr>
              <w:t xml:space="preserve"> Polska</w:t>
            </w:r>
            <w:r w:rsidR="00C461AB">
              <w:rPr>
                <w:rFonts w:ascii="Times New Roman" w:hAnsi="Times New Roman"/>
                <w:color w:val="000000"/>
                <w:spacing w:val="-2"/>
              </w:rPr>
              <w:t>;</w:t>
            </w:r>
          </w:p>
          <w:p w14:paraId="7866FE5B" w14:textId="752DDEE3" w:rsidR="00D77A9B" w:rsidRPr="00D77A9B" w:rsidRDefault="00D77A9B" w:rsidP="00D77A9B">
            <w:pPr>
              <w:pStyle w:val="Akapitzlist"/>
              <w:numPr>
                <w:ilvl w:val="0"/>
                <w:numId w:val="41"/>
              </w:numPr>
              <w:spacing w:before="120"/>
              <w:jc w:val="both"/>
              <w:rPr>
                <w:rFonts w:ascii="Times New Roman" w:hAnsi="Times New Roman"/>
                <w:color w:val="000000"/>
                <w:spacing w:val="-2"/>
              </w:rPr>
            </w:pPr>
            <w:r w:rsidRPr="00D77A9B">
              <w:rPr>
                <w:rFonts w:ascii="Times New Roman" w:hAnsi="Times New Roman"/>
                <w:color w:val="000000"/>
                <w:spacing w:val="-2"/>
              </w:rPr>
              <w:t>Wrocławskie Centrum Sieciowo-Superkomputerowe</w:t>
            </w:r>
            <w:r w:rsidR="00C461AB">
              <w:rPr>
                <w:rFonts w:ascii="Times New Roman" w:hAnsi="Times New Roman"/>
                <w:color w:val="000000"/>
                <w:spacing w:val="-2"/>
              </w:rPr>
              <w:t>;</w:t>
            </w:r>
          </w:p>
          <w:p w14:paraId="2238E4D8" w14:textId="7499D56C" w:rsidR="00D77A9B" w:rsidRPr="00D77A9B" w:rsidRDefault="00D77A9B" w:rsidP="00D77A9B">
            <w:pPr>
              <w:pStyle w:val="Akapitzlist"/>
              <w:numPr>
                <w:ilvl w:val="0"/>
                <w:numId w:val="41"/>
              </w:numPr>
              <w:spacing w:before="120"/>
              <w:jc w:val="both"/>
              <w:rPr>
                <w:rFonts w:ascii="Times New Roman" w:hAnsi="Times New Roman"/>
                <w:color w:val="000000"/>
                <w:spacing w:val="-2"/>
              </w:rPr>
            </w:pPr>
            <w:r w:rsidRPr="00D77A9B">
              <w:rPr>
                <w:rFonts w:ascii="Times New Roman" w:hAnsi="Times New Roman"/>
                <w:color w:val="000000"/>
                <w:spacing w:val="-2"/>
              </w:rPr>
              <w:t>Związek Importerów i Producentów Sprzętu Elektrycznego i Elektronicznego – ZIPSEE Cyfrowa Polska</w:t>
            </w:r>
            <w:r w:rsidR="00C461AB">
              <w:rPr>
                <w:rFonts w:ascii="Times New Roman" w:hAnsi="Times New Roman"/>
                <w:color w:val="000000"/>
                <w:spacing w:val="-2"/>
              </w:rPr>
              <w:t>;</w:t>
            </w:r>
          </w:p>
          <w:p w14:paraId="7BAFE8A3" w14:textId="469C7160" w:rsidR="00D77A9B" w:rsidRPr="00D77A9B" w:rsidRDefault="00D77A9B" w:rsidP="00D77A9B">
            <w:pPr>
              <w:pStyle w:val="Akapitzlist"/>
              <w:numPr>
                <w:ilvl w:val="0"/>
                <w:numId w:val="41"/>
              </w:numPr>
              <w:spacing w:before="120"/>
              <w:jc w:val="both"/>
              <w:rPr>
                <w:rFonts w:ascii="Times New Roman" w:hAnsi="Times New Roman"/>
                <w:color w:val="000000"/>
                <w:spacing w:val="-2"/>
              </w:rPr>
            </w:pPr>
            <w:r w:rsidRPr="00D77A9B">
              <w:rPr>
                <w:rFonts w:ascii="Times New Roman" w:hAnsi="Times New Roman"/>
                <w:color w:val="000000"/>
                <w:spacing w:val="-2"/>
              </w:rPr>
              <w:t>Związek Nauczycielstwa Polskiego</w:t>
            </w:r>
            <w:r w:rsidR="00C461AB">
              <w:rPr>
                <w:rFonts w:ascii="Times New Roman" w:hAnsi="Times New Roman"/>
                <w:color w:val="000000"/>
                <w:spacing w:val="-2"/>
              </w:rPr>
              <w:t>;</w:t>
            </w:r>
          </w:p>
          <w:p w14:paraId="70243C56" w14:textId="0B119E76" w:rsidR="001B3063" w:rsidRDefault="00D77A9B" w:rsidP="001B3063">
            <w:pPr>
              <w:pStyle w:val="Akapitzlist"/>
              <w:numPr>
                <w:ilvl w:val="0"/>
                <w:numId w:val="41"/>
              </w:numPr>
              <w:spacing w:before="120"/>
              <w:jc w:val="both"/>
              <w:rPr>
                <w:rFonts w:ascii="Times New Roman" w:hAnsi="Times New Roman"/>
                <w:color w:val="000000"/>
                <w:spacing w:val="-2"/>
              </w:rPr>
            </w:pPr>
            <w:r w:rsidRPr="00D77A9B">
              <w:rPr>
                <w:rFonts w:ascii="Times New Roman" w:hAnsi="Times New Roman"/>
                <w:color w:val="000000"/>
                <w:spacing w:val="-2"/>
              </w:rPr>
              <w:t xml:space="preserve">Związek Pracodawców Branży Internetowej Interactive </w:t>
            </w:r>
            <w:proofErr w:type="spellStart"/>
            <w:r w:rsidRPr="00D77A9B">
              <w:rPr>
                <w:rFonts w:ascii="Times New Roman" w:hAnsi="Times New Roman"/>
                <w:color w:val="000000"/>
                <w:spacing w:val="-2"/>
              </w:rPr>
              <w:t>Advertising</w:t>
            </w:r>
            <w:proofErr w:type="spellEnd"/>
            <w:r w:rsidRPr="00D77A9B">
              <w:rPr>
                <w:rFonts w:ascii="Times New Roman" w:hAnsi="Times New Roman"/>
                <w:color w:val="000000"/>
                <w:spacing w:val="-2"/>
              </w:rPr>
              <w:t xml:space="preserve"> </w:t>
            </w:r>
            <w:proofErr w:type="spellStart"/>
            <w:r w:rsidRPr="00D77A9B">
              <w:rPr>
                <w:rFonts w:ascii="Times New Roman" w:hAnsi="Times New Roman"/>
                <w:color w:val="000000"/>
                <w:spacing w:val="-2"/>
              </w:rPr>
              <w:t>Bureau</w:t>
            </w:r>
            <w:proofErr w:type="spellEnd"/>
            <w:r w:rsidRPr="00D77A9B">
              <w:rPr>
                <w:rFonts w:ascii="Times New Roman" w:hAnsi="Times New Roman"/>
                <w:color w:val="000000"/>
                <w:spacing w:val="-2"/>
              </w:rPr>
              <w:t xml:space="preserve"> Polska</w:t>
            </w:r>
            <w:r w:rsidR="00C461AB">
              <w:rPr>
                <w:rFonts w:ascii="Times New Roman" w:hAnsi="Times New Roman"/>
                <w:color w:val="000000"/>
                <w:spacing w:val="-2"/>
              </w:rPr>
              <w:t>.</w:t>
            </w:r>
          </w:p>
          <w:p w14:paraId="3DF8D2C2" w14:textId="77777777" w:rsidR="008F72D8" w:rsidRPr="00D77A9B" w:rsidRDefault="008F72D8" w:rsidP="008F72D8">
            <w:pPr>
              <w:pStyle w:val="Akapitzlist"/>
              <w:spacing w:before="120"/>
              <w:jc w:val="both"/>
              <w:rPr>
                <w:rFonts w:ascii="Times New Roman" w:hAnsi="Times New Roman"/>
                <w:color w:val="000000"/>
                <w:spacing w:val="-2"/>
              </w:rPr>
            </w:pPr>
          </w:p>
          <w:p w14:paraId="7DE4E54D" w14:textId="149DD825" w:rsidR="008F72D8" w:rsidRDefault="00654783">
            <w:pPr>
              <w:widowControl/>
              <w:autoSpaceDE/>
              <w:adjustRightInd/>
              <w:spacing w:line="276" w:lineRule="auto"/>
              <w:jc w:val="both"/>
              <w:rPr>
                <w:rFonts w:eastAsia="Calibri" w:cs="Times New Roman"/>
                <w:color w:val="000000"/>
                <w:spacing w:val="-2"/>
                <w:sz w:val="22"/>
                <w:szCs w:val="22"/>
                <w:lang w:eastAsia="en-US"/>
              </w:rPr>
            </w:pPr>
            <w:r>
              <w:rPr>
                <w:rFonts w:eastAsia="Calibri" w:cs="Times New Roman"/>
                <w:color w:val="000000"/>
                <w:spacing w:val="-2"/>
                <w:sz w:val="22"/>
                <w:szCs w:val="22"/>
                <w:lang w:eastAsia="en-US"/>
              </w:rPr>
              <w:t>Wyniki konsultacji publicznych zostaną omówione po ich zakończeniu.</w:t>
            </w:r>
          </w:p>
          <w:p w14:paraId="0679C768" w14:textId="77777777" w:rsidR="008F72D8" w:rsidRDefault="008F72D8">
            <w:pPr>
              <w:widowControl/>
              <w:autoSpaceDE/>
              <w:adjustRightInd/>
              <w:spacing w:line="276" w:lineRule="auto"/>
              <w:jc w:val="both"/>
              <w:rPr>
                <w:rFonts w:eastAsia="Calibri" w:cs="Times New Roman"/>
                <w:color w:val="000000"/>
                <w:spacing w:val="-2"/>
                <w:sz w:val="22"/>
                <w:szCs w:val="22"/>
                <w:lang w:eastAsia="en-US"/>
              </w:rPr>
            </w:pPr>
          </w:p>
          <w:p w14:paraId="6A754333" w14:textId="3BC7F3ED" w:rsidR="00C461AB" w:rsidRDefault="008F72D8" w:rsidP="008F72D8">
            <w:pPr>
              <w:widowControl/>
              <w:autoSpaceDE/>
              <w:adjustRightInd/>
              <w:spacing w:line="276" w:lineRule="auto"/>
              <w:jc w:val="both"/>
              <w:rPr>
                <w:rFonts w:eastAsia="Calibri" w:cs="Times New Roman"/>
                <w:color w:val="000000"/>
                <w:spacing w:val="-2"/>
                <w:sz w:val="22"/>
                <w:szCs w:val="22"/>
                <w:lang w:eastAsia="en-US"/>
              </w:rPr>
            </w:pPr>
            <w:r>
              <w:rPr>
                <w:rFonts w:eastAsia="Calibri" w:cs="Times New Roman"/>
                <w:color w:val="000000"/>
                <w:spacing w:val="-2"/>
                <w:sz w:val="22"/>
                <w:szCs w:val="22"/>
                <w:lang w:eastAsia="en-US"/>
              </w:rPr>
              <w:t>P</w:t>
            </w:r>
            <w:r w:rsidRPr="008F72D8">
              <w:rPr>
                <w:rFonts w:eastAsia="Calibri" w:cs="Times New Roman"/>
                <w:color w:val="000000"/>
                <w:spacing w:val="-2"/>
                <w:sz w:val="22"/>
                <w:szCs w:val="22"/>
                <w:lang w:eastAsia="en-US"/>
              </w:rPr>
              <w:t xml:space="preserve">rojekt został zamieszczony w Biuletynie Informacji Publicznej na stronie podmiotowej Ministra Cyfryzacji oraz na stronie internetowej </w:t>
            </w:r>
            <w:hyperlink r:id="rId22" w:history="1">
              <w:r w:rsidRPr="008F72D8">
                <w:rPr>
                  <w:rFonts w:eastAsia="Calibri" w:cs="Times New Roman"/>
                  <w:color w:val="0563C1"/>
                  <w:spacing w:val="-2"/>
                  <w:sz w:val="22"/>
                  <w:szCs w:val="22"/>
                  <w:u w:val="single"/>
                  <w:lang w:eastAsia="en-US"/>
                </w:rPr>
                <w:t>www.gov.pl/web/cyfryzacja</w:t>
              </w:r>
            </w:hyperlink>
            <w:r w:rsidRPr="008F72D8">
              <w:rPr>
                <w:rFonts w:eastAsia="Calibri" w:cs="Times New Roman"/>
                <w:color w:val="000000"/>
                <w:spacing w:val="-2"/>
                <w:sz w:val="22"/>
                <w:szCs w:val="22"/>
                <w:lang w:eastAsia="en-US"/>
              </w:rPr>
              <w:t xml:space="preserve"> , a także na stronie Rządowego Centrum Legislacji w zakładce „Rządowy Proces Legislacyjny”.</w:t>
            </w:r>
            <w:r>
              <w:rPr>
                <w:rFonts w:eastAsia="Calibri" w:cs="Times New Roman"/>
                <w:color w:val="000000"/>
                <w:spacing w:val="-2"/>
                <w:sz w:val="22"/>
                <w:szCs w:val="22"/>
                <w:lang w:eastAsia="en-US"/>
              </w:rPr>
              <w:t xml:space="preserve"> </w:t>
            </w:r>
          </w:p>
        </w:tc>
      </w:tr>
      <w:tr w:rsidR="00654783" w14:paraId="33B25461" w14:textId="77777777" w:rsidTr="00CA6AF1">
        <w:trPr>
          <w:gridAfter w:val="1"/>
          <w:wAfter w:w="10" w:type="dxa"/>
          <w:trHeight w:val="363"/>
        </w:trPr>
        <w:tc>
          <w:tcPr>
            <w:tcW w:w="10937" w:type="dxa"/>
            <w:gridSpan w:val="28"/>
            <w:tcBorders>
              <w:top w:val="single" w:sz="4" w:space="0" w:color="auto"/>
              <w:left w:val="single" w:sz="4" w:space="0" w:color="auto"/>
              <w:bottom w:val="single" w:sz="4" w:space="0" w:color="auto"/>
              <w:right w:val="single" w:sz="4" w:space="0" w:color="auto"/>
            </w:tcBorders>
            <w:shd w:val="clear" w:color="auto" w:fill="99CCFF"/>
            <w:vAlign w:val="center"/>
            <w:hideMark/>
          </w:tcPr>
          <w:p w14:paraId="24CBA62A" w14:textId="77777777" w:rsidR="00654783" w:rsidRDefault="00654783" w:rsidP="00654783">
            <w:pPr>
              <w:widowControl/>
              <w:numPr>
                <w:ilvl w:val="0"/>
                <w:numId w:val="18"/>
              </w:numPr>
              <w:autoSpaceDE/>
              <w:adjustRightInd/>
              <w:spacing w:before="60" w:after="60" w:line="240" w:lineRule="auto"/>
              <w:ind w:left="318" w:hanging="284"/>
              <w:jc w:val="both"/>
              <w:rPr>
                <w:rFonts w:eastAsia="Calibri" w:cs="Times New Roman"/>
                <w:b/>
                <w:color w:val="000000"/>
                <w:sz w:val="22"/>
                <w:szCs w:val="22"/>
                <w:lang w:eastAsia="en-US"/>
              </w:rPr>
            </w:pPr>
            <w:r>
              <w:rPr>
                <w:rFonts w:eastAsia="Calibri" w:cs="Times New Roman"/>
                <w:b/>
                <w:color w:val="000000"/>
                <w:sz w:val="22"/>
                <w:szCs w:val="22"/>
                <w:lang w:eastAsia="en-US"/>
              </w:rPr>
              <w:lastRenderedPageBreak/>
              <w:t xml:space="preserve"> Wpływ na sektor finansów publicznych</w:t>
            </w:r>
          </w:p>
        </w:tc>
      </w:tr>
      <w:tr w:rsidR="00654783" w14:paraId="03F78FF5" w14:textId="77777777" w:rsidTr="00AF10B0">
        <w:trPr>
          <w:gridAfter w:val="1"/>
          <w:wAfter w:w="10" w:type="dxa"/>
          <w:trHeight w:val="142"/>
        </w:trPr>
        <w:tc>
          <w:tcPr>
            <w:tcW w:w="3006" w:type="dxa"/>
            <w:gridSpan w:val="4"/>
            <w:vMerge w:val="restart"/>
            <w:tcBorders>
              <w:top w:val="single" w:sz="4" w:space="0" w:color="auto"/>
              <w:left w:val="single" w:sz="4" w:space="0" w:color="auto"/>
              <w:bottom w:val="single" w:sz="4" w:space="0" w:color="auto"/>
              <w:right w:val="single" w:sz="4" w:space="0" w:color="auto"/>
            </w:tcBorders>
            <w:shd w:val="clear" w:color="auto" w:fill="FFFFFF"/>
            <w:hideMark/>
          </w:tcPr>
          <w:p w14:paraId="5B5BCCC7" w14:textId="77777777" w:rsidR="00654783" w:rsidRDefault="00654783">
            <w:pPr>
              <w:widowControl/>
              <w:autoSpaceDE/>
              <w:adjustRightInd/>
              <w:spacing w:before="40" w:after="40" w:line="276" w:lineRule="auto"/>
              <w:rPr>
                <w:rFonts w:eastAsia="Calibri" w:cs="Times New Roman"/>
                <w:i/>
                <w:color w:val="000000"/>
                <w:sz w:val="21"/>
                <w:szCs w:val="21"/>
                <w:lang w:eastAsia="en-US"/>
              </w:rPr>
            </w:pPr>
            <w:r>
              <w:rPr>
                <w:rFonts w:eastAsia="Calibri" w:cs="Times New Roman"/>
                <w:color w:val="000000"/>
                <w:sz w:val="21"/>
                <w:szCs w:val="21"/>
                <w:lang w:eastAsia="en-US"/>
              </w:rPr>
              <w:t>(ceny stałe z …… r.)</w:t>
            </w:r>
          </w:p>
        </w:tc>
        <w:tc>
          <w:tcPr>
            <w:tcW w:w="7931" w:type="dxa"/>
            <w:gridSpan w:val="24"/>
            <w:tcBorders>
              <w:top w:val="single" w:sz="4" w:space="0" w:color="auto"/>
              <w:left w:val="single" w:sz="4" w:space="0" w:color="auto"/>
              <w:bottom w:val="single" w:sz="4" w:space="0" w:color="auto"/>
              <w:right w:val="single" w:sz="4" w:space="0" w:color="auto"/>
            </w:tcBorders>
            <w:shd w:val="clear" w:color="auto" w:fill="FFFFFF"/>
            <w:hideMark/>
          </w:tcPr>
          <w:p w14:paraId="6BCBC954" w14:textId="77777777" w:rsidR="00654783" w:rsidRDefault="00654783">
            <w:pPr>
              <w:widowControl/>
              <w:autoSpaceDE/>
              <w:adjustRightInd/>
              <w:spacing w:before="40" w:after="40" w:line="240" w:lineRule="auto"/>
              <w:jc w:val="center"/>
              <w:rPr>
                <w:rFonts w:eastAsia="Calibri" w:cs="Times New Roman"/>
                <w:i/>
                <w:color w:val="000000"/>
                <w:spacing w:val="-2"/>
                <w:sz w:val="21"/>
                <w:szCs w:val="21"/>
                <w:lang w:eastAsia="en-US"/>
              </w:rPr>
            </w:pPr>
            <w:r>
              <w:rPr>
                <w:rFonts w:eastAsia="Calibri" w:cs="Times New Roman"/>
                <w:color w:val="000000"/>
                <w:sz w:val="21"/>
                <w:szCs w:val="21"/>
                <w:lang w:eastAsia="en-US"/>
              </w:rPr>
              <w:t>Skutki w okresie 10 lat od wejścia w życie zmian [mln zł]</w:t>
            </w:r>
          </w:p>
        </w:tc>
      </w:tr>
      <w:tr w:rsidR="00654783" w14:paraId="54AF356D" w14:textId="77777777" w:rsidTr="00AF10B0">
        <w:trPr>
          <w:gridAfter w:val="1"/>
          <w:wAfter w:w="10" w:type="dxa"/>
          <w:trHeight w:val="142"/>
        </w:trPr>
        <w:tc>
          <w:tcPr>
            <w:tcW w:w="3006" w:type="dxa"/>
            <w:gridSpan w:val="4"/>
            <w:vMerge/>
            <w:tcBorders>
              <w:top w:val="single" w:sz="4" w:space="0" w:color="auto"/>
              <w:left w:val="single" w:sz="4" w:space="0" w:color="auto"/>
              <w:bottom w:val="single" w:sz="4" w:space="0" w:color="auto"/>
              <w:right w:val="single" w:sz="4" w:space="0" w:color="auto"/>
            </w:tcBorders>
            <w:vAlign w:val="center"/>
            <w:hideMark/>
          </w:tcPr>
          <w:p w14:paraId="4B5A67F8" w14:textId="77777777" w:rsidR="00654783" w:rsidRDefault="00654783">
            <w:pPr>
              <w:widowControl/>
              <w:autoSpaceDE/>
              <w:autoSpaceDN/>
              <w:adjustRightInd/>
              <w:rPr>
                <w:rFonts w:eastAsia="Calibri" w:cs="Times New Roman"/>
                <w:i/>
                <w:color w:val="000000"/>
                <w:sz w:val="21"/>
                <w:szCs w:val="21"/>
                <w:lang w:eastAsia="en-US"/>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6653773F" w14:textId="77777777" w:rsidR="00654783" w:rsidRDefault="00654783">
            <w:pPr>
              <w:widowControl/>
              <w:autoSpaceDE/>
              <w:adjustRightInd/>
              <w:spacing w:line="240" w:lineRule="auto"/>
              <w:jc w:val="center"/>
              <w:rPr>
                <w:rFonts w:eastAsia="Calibri" w:cs="Times New Roman"/>
                <w:color w:val="000000"/>
                <w:sz w:val="21"/>
                <w:szCs w:val="21"/>
                <w:lang w:eastAsia="en-US"/>
              </w:rPr>
            </w:pPr>
            <w:r>
              <w:rPr>
                <w:rFonts w:eastAsia="Calibri" w:cs="Times New Roman"/>
                <w:color w:val="000000"/>
                <w:sz w:val="21"/>
                <w:szCs w:val="21"/>
                <w:lang w:eastAsia="en-US"/>
              </w:rPr>
              <w:t>0</w:t>
            </w:r>
          </w:p>
        </w:tc>
        <w:tc>
          <w:tcPr>
            <w:tcW w:w="557" w:type="dxa"/>
            <w:tcBorders>
              <w:top w:val="single" w:sz="4" w:space="0" w:color="auto"/>
              <w:left w:val="single" w:sz="4" w:space="0" w:color="auto"/>
              <w:bottom w:val="single" w:sz="4" w:space="0" w:color="auto"/>
              <w:right w:val="single" w:sz="4" w:space="0" w:color="auto"/>
            </w:tcBorders>
            <w:shd w:val="clear" w:color="auto" w:fill="FFFFFF"/>
            <w:hideMark/>
          </w:tcPr>
          <w:p w14:paraId="2B12AA24" w14:textId="77777777" w:rsidR="00654783" w:rsidRDefault="00654783">
            <w:pPr>
              <w:widowControl/>
              <w:autoSpaceDE/>
              <w:adjustRightInd/>
              <w:spacing w:line="240" w:lineRule="auto"/>
              <w:jc w:val="center"/>
              <w:rPr>
                <w:rFonts w:eastAsia="Calibri" w:cs="Times New Roman"/>
                <w:color w:val="000000"/>
                <w:sz w:val="21"/>
                <w:szCs w:val="21"/>
                <w:lang w:eastAsia="en-US"/>
              </w:rPr>
            </w:pPr>
            <w:r>
              <w:rPr>
                <w:rFonts w:eastAsia="Calibri" w:cs="Times New Roman"/>
                <w:color w:val="000000"/>
                <w:sz w:val="21"/>
                <w:szCs w:val="21"/>
                <w:lang w:eastAsia="en-US"/>
              </w:rPr>
              <w:t>1</w:t>
            </w:r>
          </w:p>
        </w:tc>
        <w:tc>
          <w:tcPr>
            <w:tcW w:w="570"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06160365" w14:textId="77777777" w:rsidR="00654783" w:rsidRDefault="00654783">
            <w:pPr>
              <w:widowControl/>
              <w:autoSpaceDE/>
              <w:adjustRightInd/>
              <w:spacing w:line="240" w:lineRule="auto"/>
              <w:jc w:val="center"/>
              <w:rPr>
                <w:rFonts w:eastAsia="Calibri" w:cs="Times New Roman"/>
                <w:color w:val="000000"/>
                <w:sz w:val="21"/>
                <w:szCs w:val="21"/>
                <w:lang w:eastAsia="en-US"/>
              </w:rPr>
            </w:pPr>
            <w:r>
              <w:rPr>
                <w:rFonts w:eastAsia="Calibri" w:cs="Times New Roman"/>
                <w:color w:val="000000"/>
                <w:sz w:val="21"/>
                <w:szCs w:val="21"/>
                <w:lang w:eastAsia="en-US"/>
              </w:rPr>
              <w:t>2</w:t>
            </w:r>
          </w:p>
        </w:tc>
        <w:tc>
          <w:tcPr>
            <w:tcW w:w="569"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158CE4C7" w14:textId="77777777" w:rsidR="00654783" w:rsidRDefault="00654783">
            <w:pPr>
              <w:widowControl/>
              <w:autoSpaceDE/>
              <w:adjustRightInd/>
              <w:spacing w:line="240" w:lineRule="auto"/>
              <w:jc w:val="center"/>
              <w:rPr>
                <w:rFonts w:eastAsia="Calibri" w:cs="Times New Roman"/>
                <w:color w:val="000000"/>
                <w:sz w:val="21"/>
                <w:szCs w:val="21"/>
                <w:lang w:eastAsia="en-US"/>
              </w:rPr>
            </w:pPr>
            <w:r>
              <w:rPr>
                <w:rFonts w:eastAsia="Calibri" w:cs="Times New Roman"/>
                <w:color w:val="000000"/>
                <w:sz w:val="21"/>
                <w:szCs w:val="21"/>
                <w:lang w:eastAsia="en-US"/>
              </w:rPr>
              <w:t>3</w:t>
            </w:r>
          </w:p>
        </w:tc>
        <w:tc>
          <w:tcPr>
            <w:tcW w:w="570"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59316AC7" w14:textId="77777777" w:rsidR="00654783" w:rsidRDefault="00654783">
            <w:pPr>
              <w:widowControl/>
              <w:autoSpaceDE/>
              <w:adjustRightInd/>
              <w:spacing w:line="240" w:lineRule="auto"/>
              <w:jc w:val="center"/>
              <w:rPr>
                <w:rFonts w:eastAsia="Calibri" w:cs="Times New Roman"/>
                <w:color w:val="000000"/>
                <w:sz w:val="21"/>
                <w:szCs w:val="21"/>
                <w:lang w:eastAsia="en-US"/>
              </w:rPr>
            </w:pPr>
            <w:r>
              <w:rPr>
                <w:rFonts w:eastAsia="Calibri" w:cs="Times New Roman"/>
                <w:color w:val="000000"/>
                <w:sz w:val="21"/>
                <w:szCs w:val="21"/>
                <w:lang w:eastAsia="en-US"/>
              </w:rPr>
              <w:t>4</w:t>
            </w:r>
          </w:p>
        </w:tc>
        <w:tc>
          <w:tcPr>
            <w:tcW w:w="570" w:type="dxa"/>
            <w:tcBorders>
              <w:top w:val="single" w:sz="4" w:space="0" w:color="auto"/>
              <w:left w:val="single" w:sz="4" w:space="0" w:color="auto"/>
              <w:bottom w:val="single" w:sz="4" w:space="0" w:color="auto"/>
              <w:right w:val="single" w:sz="4" w:space="0" w:color="auto"/>
            </w:tcBorders>
            <w:shd w:val="clear" w:color="auto" w:fill="FFFFFF"/>
            <w:hideMark/>
          </w:tcPr>
          <w:p w14:paraId="57DA2EE1" w14:textId="77777777" w:rsidR="00654783" w:rsidRDefault="00654783">
            <w:pPr>
              <w:widowControl/>
              <w:autoSpaceDE/>
              <w:adjustRightInd/>
              <w:spacing w:line="240" w:lineRule="auto"/>
              <w:jc w:val="center"/>
              <w:rPr>
                <w:rFonts w:eastAsia="Calibri" w:cs="Times New Roman"/>
                <w:color w:val="000000"/>
                <w:sz w:val="21"/>
                <w:szCs w:val="21"/>
                <w:lang w:eastAsia="en-US"/>
              </w:rPr>
            </w:pPr>
            <w:r>
              <w:rPr>
                <w:rFonts w:eastAsia="Calibri" w:cs="Times New Roman"/>
                <w:color w:val="000000"/>
                <w:sz w:val="21"/>
                <w:szCs w:val="21"/>
                <w:lang w:eastAsia="en-US"/>
              </w:rPr>
              <w:t>5</w:t>
            </w:r>
          </w:p>
        </w:tc>
        <w:tc>
          <w:tcPr>
            <w:tcW w:w="570"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68455EBA" w14:textId="77777777" w:rsidR="00654783" w:rsidRDefault="00654783">
            <w:pPr>
              <w:widowControl/>
              <w:autoSpaceDE/>
              <w:adjustRightInd/>
              <w:spacing w:line="240" w:lineRule="auto"/>
              <w:jc w:val="center"/>
              <w:rPr>
                <w:rFonts w:eastAsia="Calibri" w:cs="Times New Roman"/>
                <w:color w:val="000000"/>
                <w:sz w:val="21"/>
                <w:szCs w:val="21"/>
                <w:lang w:eastAsia="en-US"/>
              </w:rPr>
            </w:pPr>
            <w:r>
              <w:rPr>
                <w:rFonts w:eastAsia="Calibri" w:cs="Times New Roman"/>
                <w:color w:val="000000"/>
                <w:sz w:val="21"/>
                <w:szCs w:val="21"/>
                <w:lang w:eastAsia="en-US"/>
              </w:rPr>
              <w:t>6</w:t>
            </w:r>
          </w:p>
        </w:tc>
        <w:tc>
          <w:tcPr>
            <w:tcW w:w="569"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4850027A" w14:textId="77777777" w:rsidR="00654783" w:rsidRDefault="00654783">
            <w:pPr>
              <w:widowControl/>
              <w:autoSpaceDE/>
              <w:adjustRightInd/>
              <w:spacing w:line="240" w:lineRule="auto"/>
              <w:jc w:val="center"/>
              <w:rPr>
                <w:rFonts w:eastAsia="Calibri" w:cs="Times New Roman"/>
                <w:color w:val="000000"/>
                <w:sz w:val="21"/>
                <w:szCs w:val="21"/>
                <w:lang w:eastAsia="en-US"/>
              </w:rPr>
            </w:pPr>
            <w:r>
              <w:rPr>
                <w:rFonts w:eastAsia="Calibri" w:cs="Times New Roman"/>
                <w:color w:val="000000"/>
                <w:sz w:val="21"/>
                <w:szCs w:val="21"/>
                <w:lang w:eastAsia="en-US"/>
              </w:rPr>
              <w:t>7</w:t>
            </w:r>
          </w:p>
        </w:tc>
        <w:tc>
          <w:tcPr>
            <w:tcW w:w="570"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407BD44B" w14:textId="77777777" w:rsidR="00654783" w:rsidRDefault="00654783">
            <w:pPr>
              <w:widowControl/>
              <w:autoSpaceDE/>
              <w:adjustRightInd/>
              <w:spacing w:line="240" w:lineRule="auto"/>
              <w:jc w:val="center"/>
              <w:rPr>
                <w:rFonts w:eastAsia="Calibri" w:cs="Times New Roman"/>
                <w:color w:val="000000"/>
                <w:sz w:val="21"/>
                <w:szCs w:val="21"/>
                <w:lang w:eastAsia="en-US"/>
              </w:rPr>
            </w:pPr>
            <w:r>
              <w:rPr>
                <w:rFonts w:eastAsia="Calibri" w:cs="Times New Roman"/>
                <w:color w:val="000000"/>
                <w:sz w:val="21"/>
                <w:szCs w:val="21"/>
                <w:lang w:eastAsia="en-US"/>
              </w:rPr>
              <w:t>8</w:t>
            </w:r>
          </w:p>
        </w:tc>
        <w:tc>
          <w:tcPr>
            <w:tcW w:w="570"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698C1025" w14:textId="77777777" w:rsidR="00654783" w:rsidRDefault="00654783">
            <w:pPr>
              <w:widowControl/>
              <w:autoSpaceDE/>
              <w:adjustRightInd/>
              <w:spacing w:line="240" w:lineRule="auto"/>
              <w:jc w:val="center"/>
              <w:rPr>
                <w:rFonts w:eastAsia="Calibri" w:cs="Times New Roman"/>
                <w:color w:val="000000"/>
                <w:sz w:val="21"/>
                <w:szCs w:val="21"/>
                <w:lang w:eastAsia="en-US"/>
              </w:rPr>
            </w:pPr>
            <w:r>
              <w:rPr>
                <w:rFonts w:eastAsia="Calibri" w:cs="Times New Roman"/>
                <w:color w:val="000000"/>
                <w:sz w:val="21"/>
                <w:szCs w:val="21"/>
                <w:lang w:eastAsia="en-US"/>
              </w:rPr>
              <w:t>9</w:t>
            </w:r>
          </w:p>
        </w:tc>
        <w:tc>
          <w:tcPr>
            <w:tcW w:w="570" w:type="dxa"/>
            <w:tcBorders>
              <w:top w:val="single" w:sz="4" w:space="0" w:color="auto"/>
              <w:left w:val="single" w:sz="4" w:space="0" w:color="auto"/>
              <w:bottom w:val="single" w:sz="4" w:space="0" w:color="auto"/>
              <w:right w:val="single" w:sz="4" w:space="0" w:color="auto"/>
            </w:tcBorders>
            <w:shd w:val="clear" w:color="auto" w:fill="FFFFFF"/>
            <w:hideMark/>
          </w:tcPr>
          <w:p w14:paraId="3D543F8C" w14:textId="77777777" w:rsidR="00654783" w:rsidRDefault="00654783">
            <w:pPr>
              <w:widowControl/>
              <w:autoSpaceDE/>
              <w:adjustRightInd/>
              <w:spacing w:line="240" w:lineRule="auto"/>
              <w:jc w:val="center"/>
              <w:rPr>
                <w:rFonts w:eastAsia="Calibri" w:cs="Times New Roman"/>
                <w:color w:val="000000"/>
                <w:sz w:val="21"/>
                <w:szCs w:val="21"/>
                <w:lang w:eastAsia="en-US"/>
              </w:rPr>
            </w:pPr>
            <w:r>
              <w:rPr>
                <w:rFonts w:eastAsia="Calibri" w:cs="Times New Roman"/>
                <w:color w:val="000000"/>
                <w:sz w:val="21"/>
                <w:szCs w:val="21"/>
                <w:lang w:eastAsia="en-US"/>
              </w:rPr>
              <w:t>10</w:t>
            </w:r>
          </w:p>
        </w:tc>
        <w:tc>
          <w:tcPr>
            <w:tcW w:w="1537"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6416AB1C" w14:textId="77777777" w:rsidR="00654783" w:rsidRDefault="00654783">
            <w:pPr>
              <w:widowControl/>
              <w:autoSpaceDE/>
              <w:adjustRightInd/>
              <w:spacing w:before="40" w:after="40" w:line="240" w:lineRule="auto"/>
              <w:jc w:val="center"/>
              <w:rPr>
                <w:rFonts w:eastAsia="Calibri" w:cs="Times New Roman"/>
                <w:i/>
                <w:color w:val="000000"/>
                <w:spacing w:val="-2"/>
                <w:sz w:val="21"/>
                <w:szCs w:val="21"/>
                <w:lang w:eastAsia="en-US"/>
              </w:rPr>
            </w:pPr>
            <w:r>
              <w:rPr>
                <w:rFonts w:eastAsia="Calibri" w:cs="Times New Roman"/>
                <w:i/>
                <w:color w:val="000000"/>
                <w:spacing w:val="-2"/>
                <w:sz w:val="21"/>
                <w:szCs w:val="21"/>
                <w:lang w:eastAsia="en-US"/>
              </w:rPr>
              <w:t>Łącznie (0-10)</w:t>
            </w:r>
          </w:p>
        </w:tc>
      </w:tr>
      <w:tr w:rsidR="00654783" w14:paraId="5FCBAE39" w14:textId="77777777" w:rsidTr="00AF10B0">
        <w:trPr>
          <w:trHeight w:val="321"/>
        </w:trPr>
        <w:tc>
          <w:tcPr>
            <w:tcW w:w="3006"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14:paraId="60A171C9" w14:textId="77777777" w:rsidR="00654783" w:rsidRDefault="00654783">
            <w:pPr>
              <w:widowControl/>
              <w:autoSpaceDE/>
              <w:adjustRightInd/>
              <w:spacing w:line="240" w:lineRule="auto"/>
              <w:rPr>
                <w:rFonts w:eastAsia="Calibri" w:cs="Times New Roman"/>
                <w:color w:val="000000"/>
                <w:sz w:val="21"/>
                <w:szCs w:val="21"/>
                <w:lang w:eastAsia="en-US"/>
              </w:rPr>
            </w:pPr>
            <w:r>
              <w:rPr>
                <w:rFonts w:eastAsia="Calibri" w:cs="Times New Roman"/>
                <w:b/>
                <w:color w:val="000000"/>
                <w:sz w:val="21"/>
                <w:szCs w:val="21"/>
                <w:lang w:eastAsia="en-US"/>
              </w:rPr>
              <w:t>Dochody ogółem</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cPr>
          <w:p w14:paraId="2C970808" w14:textId="07926868" w:rsidR="00654783" w:rsidRDefault="003F4B26" w:rsidP="003F4B26">
            <w:pPr>
              <w:widowControl/>
              <w:autoSpaceDE/>
              <w:adjustRightInd/>
              <w:spacing w:line="240" w:lineRule="auto"/>
              <w:jc w:val="center"/>
              <w:rPr>
                <w:rFonts w:eastAsia="Calibri" w:cs="Times New Roman"/>
                <w:color w:val="000000"/>
                <w:sz w:val="21"/>
                <w:szCs w:val="21"/>
                <w:lang w:eastAsia="en-US"/>
              </w:rPr>
            </w:pPr>
            <w:r>
              <w:rPr>
                <w:rFonts w:eastAsia="Calibri" w:cs="Times New Roman"/>
                <w:color w:val="000000"/>
                <w:sz w:val="21"/>
                <w:szCs w:val="21"/>
                <w:lang w:eastAsia="en-US"/>
              </w:rPr>
              <w:t>0</w:t>
            </w:r>
          </w:p>
        </w:tc>
        <w:tc>
          <w:tcPr>
            <w:tcW w:w="557" w:type="dxa"/>
            <w:tcBorders>
              <w:top w:val="single" w:sz="4" w:space="0" w:color="auto"/>
              <w:left w:val="single" w:sz="4" w:space="0" w:color="auto"/>
              <w:bottom w:val="single" w:sz="4" w:space="0" w:color="auto"/>
              <w:right w:val="single" w:sz="4" w:space="0" w:color="auto"/>
            </w:tcBorders>
            <w:shd w:val="clear" w:color="auto" w:fill="FFFFFF"/>
          </w:tcPr>
          <w:p w14:paraId="391BF6D8" w14:textId="16BC0678" w:rsidR="00654783" w:rsidRDefault="003F4B26" w:rsidP="003F4B26">
            <w:pPr>
              <w:widowControl/>
              <w:autoSpaceDE/>
              <w:adjustRightInd/>
              <w:spacing w:line="240" w:lineRule="auto"/>
              <w:jc w:val="center"/>
              <w:rPr>
                <w:rFonts w:eastAsia="Calibri" w:cs="Times New Roman"/>
                <w:color w:val="000000"/>
                <w:sz w:val="21"/>
                <w:szCs w:val="21"/>
                <w:lang w:eastAsia="en-US"/>
              </w:rPr>
            </w:pPr>
            <w:r>
              <w:rPr>
                <w:rFonts w:eastAsia="Calibri" w:cs="Times New Roman"/>
                <w:color w:val="000000"/>
                <w:sz w:val="21"/>
                <w:szCs w:val="21"/>
                <w:lang w:eastAsia="en-US"/>
              </w:rPr>
              <w:t>0</w:t>
            </w:r>
          </w:p>
        </w:tc>
        <w:tc>
          <w:tcPr>
            <w:tcW w:w="570" w:type="dxa"/>
            <w:gridSpan w:val="2"/>
            <w:tcBorders>
              <w:top w:val="single" w:sz="4" w:space="0" w:color="auto"/>
              <w:left w:val="single" w:sz="4" w:space="0" w:color="auto"/>
              <w:bottom w:val="single" w:sz="4" w:space="0" w:color="auto"/>
              <w:right w:val="single" w:sz="4" w:space="0" w:color="auto"/>
            </w:tcBorders>
            <w:shd w:val="clear" w:color="auto" w:fill="FFFFFF"/>
          </w:tcPr>
          <w:p w14:paraId="00D99171" w14:textId="4650F545" w:rsidR="00654783" w:rsidRDefault="003F4B26" w:rsidP="003F4B26">
            <w:pPr>
              <w:widowControl/>
              <w:autoSpaceDE/>
              <w:adjustRightInd/>
              <w:spacing w:line="240" w:lineRule="auto"/>
              <w:jc w:val="center"/>
              <w:rPr>
                <w:rFonts w:eastAsia="Calibri" w:cs="Times New Roman"/>
                <w:color w:val="000000"/>
                <w:sz w:val="21"/>
                <w:szCs w:val="21"/>
                <w:lang w:eastAsia="en-US"/>
              </w:rPr>
            </w:pPr>
            <w:r>
              <w:rPr>
                <w:rFonts w:eastAsia="Calibri" w:cs="Times New Roman"/>
                <w:color w:val="000000"/>
                <w:sz w:val="21"/>
                <w:szCs w:val="21"/>
                <w:lang w:eastAsia="en-US"/>
              </w:rPr>
              <w:t>0</w:t>
            </w:r>
          </w:p>
        </w:tc>
        <w:tc>
          <w:tcPr>
            <w:tcW w:w="569" w:type="dxa"/>
            <w:gridSpan w:val="3"/>
            <w:tcBorders>
              <w:top w:val="single" w:sz="4" w:space="0" w:color="auto"/>
              <w:left w:val="single" w:sz="4" w:space="0" w:color="auto"/>
              <w:bottom w:val="single" w:sz="4" w:space="0" w:color="auto"/>
              <w:right w:val="single" w:sz="4" w:space="0" w:color="auto"/>
            </w:tcBorders>
            <w:shd w:val="clear" w:color="auto" w:fill="FFFFFF"/>
          </w:tcPr>
          <w:p w14:paraId="35AD4EC7" w14:textId="2ADE4371" w:rsidR="00654783" w:rsidRDefault="003F4B26" w:rsidP="003F4B26">
            <w:pPr>
              <w:widowControl/>
              <w:autoSpaceDE/>
              <w:adjustRightInd/>
              <w:spacing w:line="240" w:lineRule="auto"/>
              <w:jc w:val="center"/>
              <w:rPr>
                <w:rFonts w:eastAsia="Calibri" w:cs="Times New Roman"/>
                <w:color w:val="000000"/>
                <w:sz w:val="21"/>
                <w:szCs w:val="21"/>
                <w:lang w:eastAsia="en-US"/>
              </w:rPr>
            </w:pPr>
            <w:r>
              <w:rPr>
                <w:rFonts w:eastAsia="Calibri" w:cs="Times New Roman"/>
                <w:color w:val="000000"/>
                <w:sz w:val="21"/>
                <w:szCs w:val="21"/>
                <w:lang w:eastAsia="en-US"/>
              </w:rPr>
              <w:t>0</w:t>
            </w:r>
          </w:p>
        </w:tc>
        <w:tc>
          <w:tcPr>
            <w:tcW w:w="570" w:type="dxa"/>
            <w:gridSpan w:val="2"/>
            <w:tcBorders>
              <w:top w:val="single" w:sz="4" w:space="0" w:color="auto"/>
              <w:left w:val="single" w:sz="4" w:space="0" w:color="auto"/>
              <w:bottom w:val="single" w:sz="4" w:space="0" w:color="auto"/>
              <w:right w:val="single" w:sz="4" w:space="0" w:color="auto"/>
            </w:tcBorders>
            <w:shd w:val="clear" w:color="auto" w:fill="FFFFFF"/>
          </w:tcPr>
          <w:p w14:paraId="54B40102" w14:textId="2BCE04B1" w:rsidR="00654783" w:rsidRDefault="003F4B26" w:rsidP="003F4B26">
            <w:pPr>
              <w:widowControl/>
              <w:autoSpaceDE/>
              <w:adjustRightInd/>
              <w:spacing w:line="240" w:lineRule="auto"/>
              <w:jc w:val="center"/>
              <w:rPr>
                <w:rFonts w:eastAsia="Calibri" w:cs="Times New Roman"/>
                <w:color w:val="000000"/>
                <w:sz w:val="21"/>
                <w:szCs w:val="21"/>
                <w:lang w:eastAsia="en-US"/>
              </w:rPr>
            </w:pPr>
            <w:r>
              <w:rPr>
                <w:rFonts w:eastAsia="Calibri" w:cs="Times New Roman"/>
                <w:color w:val="000000"/>
                <w:sz w:val="21"/>
                <w:szCs w:val="21"/>
                <w:lang w:eastAsia="en-US"/>
              </w:rPr>
              <w:t>0</w:t>
            </w:r>
          </w:p>
        </w:tc>
        <w:tc>
          <w:tcPr>
            <w:tcW w:w="570" w:type="dxa"/>
            <w:tcBorders>
              <w:top w:val="single" w:sz="4" w:space="0" w:color="auto"/>
              <w:left w:val="single" w:sz="4" w:space="0" w:color="auto"/>
              <w:bottom w:val="single" w:sz="4" w:space="0" w:color="auto"/>
              <w:right w:val="single" w:sz="4" w:space="0" w:color="auto"/>
            </w:tcBorders>
            <w:shd w:val="clear" w:color="auto" w:fill="FFFFFF"/>
          </w:tcPr>
          <w:p w14:paraId="1897916E" w14:textId="1996CE73" w:rsidR="00654783" w:rsidRDefault="003F4B26" w:rsidP="003F4B26">
            <w:pPr>
              <w:widowControl/>
              <w:autoSpaceDE/>
              <w:adjustRightInd/>
              <w:spacing w:line="240" w:lineRule="auto"/>
              <w:jc w:val="center"/>
              <w:rPr>
                <w:rFonts w:eastAsia="Calibri" w:cs="Times New Roman"/>
                <w:color w:val="000000"/>
                <w:sz w:val="21"/>
                <w:szCs w:val="21"/>
                <w:lang w:eastAsia="en-US"/>
              </w:rPr>
            </w:pPr>
            <w:r>
              <w:rPr>
                <w:rFonts w:eastAsia="Calibri" w:cs="Times New Roman"/>
                <w:color w:val="000000"/>
                <w:sz w:val="21"/>
                <w:szCs w:val="21"/>
                <w:lang w:eastAsia="en-US"/>
              </w:rPr>
              <w:t>0</w:t>
            </w:r>
          </w:p>
        </w:tc>
        <w:tc>
          <w:tcPr>
            <w:tcW w:w="570" w:type="dxa"/>
            <w:gridSpan w:val="3"/>
            <w:tcBorders>
              <w:top w:val="single" w:sz="4" w:space="0" w:color="auto"/>
              <w:left w:val="single" w:sz="4" w:space="0" w:color="auto"/>
              <w:bottom w:val="single" w:sz="4" w:space="0" w:color="auto"/>
              <w:right w:val="single" w:sz="4" w:space="0" w:color="auto"/>
            </w:tcBorders>
            <w:shd w:val="clear" w:color="auto" w:fill="FFFFFF"/>
          </w:tcPr>
          <w:p w14:paraId="09B2EB6D" w14:textId="497AC494" w:rsidR="00654783" w:rsidRDefault="003F4B26" w:rsidP="003F4B26">
            <w:pPr>
              <w:widowControl/>
              <w:autoSpaceDE/>
              <w:adjustRightInd/>
              <w:spacing w:line="240" w:lineRule="auto"/>
              <w:jc w:val="center"/>
              <w:rPr>
                <w:rFonts w:eastAsia="Calibri" w:cs="Times New Roman"/>
                <w:color w:val="000000"/>
                <w:sz w:val="21"/>
                <w:szCs w:val="21"/>
                <w:lang w:eastAsia="en-US"/>
              </w:rPr>
            </w:pPr>
            <w:r>
              <w:rPr>
                <w:rFonts w:eastAsia="Calibri" w:cs="Times New Roman"/>
                <w:color w:val="000000"/>
                <w:sz w:val="21"/>
                <w:szCs w:val="21"/>
                <w:lang w:eastAsia="en-US"/>
              </w:rPr>
              <w:t>0</w:t>
            </w:r>
          </w:p>
        </w:tc>
        <w:tc>
          <w:tcPr>
            <w:tcW w:w="569" w:type="dxa"/>
            <w:gridSpan w:val="3"/>
            <w:tcBorders>
              <w:top w:val="single" w:sz="4" w:space="0" w:color="auto"/>
              <w:left w:val="single" w:sz="4" w:space="0" w:color="auto"/>
              <w:bottom w:val="single" w:sz="4" w:space="0" w:color="auto"/>
              <w:right w:val="single" w:sz="4" w:space="0" w:color="auto"/>
            </w:tcBorders>
            <w:shd w:val="clear" w:color="auto" w:fill="FFFFFF"/>
          </w:tcPr>
          <w:p w14:paraId="2FFE6C7F" w14:textId="05D44174" w:rsidR="00654783" w:rsidRDefault="003F4B26" w:rsidP="003F4B26">
            <w:pPr>
              <w:widowControl/>
              <w:autoSpaceDE/>
              <w:adjustRightInd/>
              <w:spacing w:line="240" w:lineRule="auto"/>
              <w:jc w:val="center"/>
              <w:rPr>
                <w:rFonts w:eastAsia="Calibri" w:cs="Times New Roman"/>
                <w:color w:val="000000"/>
                <w:sz w:val="21"/>
                <w:szCs w:val="21"/>
                <w:lang w:eastAsia="en-US"/>
              </w:rPr>
            </w:pPr>
            <w:r>
              <w:rPr>
                <w:rFonts w:eastAsia="Calibri" w:cs="Times New Roman"/>
                <w:color w:val="000000"/>
                <w:sz w:val="21"/>
                <w:szCs w:val="21"/>
                <w:lang w:eastAsia="en-US"/>
              </w:rPr>
              <w:t>0</w:t>
            </w:r>
          </w:p>
        </w:tc>
        <w:tc>
          <w:tcPr>
            <w:tcW w:w="570" w:type="dxa"/>
            <w:gridSpan w:val="2"/>
            <w:tcBorders>
              <w:top w:val="single" w:sz="4" w:space="0" w:color="auto"/>
              <w:left w:val="single" w:sz="4" w:space="0" w:color="auto"/>
              <w:bottom w:val="single" w:sz="4" w:space="0" w:color="auto"/>
              <w:right w:val="single" w:sz="4" w:space="0" w:color="auto"/>
            </w:tcBorders>
            <w:shd w:val="clear" w:color="auto" w:fill="FFFFFF"/>
          </w:tcPr>
          <w:p w14:paraId="4E950AF2" w14:textId="3ADFB0E5" w:rsidR="00654783" w:rsidRDefault="003F4B26" w:rsidP="003F4B26">
            <w:pPr>
              <w:widowControl/>
              <w:autoSpaceDE/>
              <w:adjustRightInd/>
              <w:spacing w:line="240" w:lineRule="auto"/>
              <w:jc w:val="center"/>
              <w:rPr>
                <w:rFonts w:eastAsia="Calibri" w:cs="Times New Roman"/>
                <w:color w:val="000000"/>
                <w:sz w:val="21"/>
                <w:szCs w:val="21"/>
                <w:lang w:eastAsia="en-US"/>
              </w:rPr>
            </w:pPr>
            <w:r>
              <w:rPr>
                <w:rFonts w:eastAsia="Calibri" w:cs="Times New Roman"/>
                <w:color w:val="000000"/>
                <w:sz w:val="21"/>
                <w:szCs w:val="21"/>
                <w:lang w:eastAsia="en-US"/>
              </w:rPr>
              <w:t>0</w:t>
            </w:r>
          </w:p>
        </w:tc>
        <w:tc>
          <w:tcPr>
            <w:tcW w:w="570" w:type="dxa"/>
            <w:gridSpan w:val="2"/>
            <w:tcBorders>
              <w:top w:val="single" w:sz="4" w:space="0" w:color="auto"/>
              <w:left w:val="single" w:sz="4" w:space="0" w:color="auto"/>
              <w:bottom w:val="single" w:sz="4" w:space="0" w:color="auto"/>
              <w:right w:val="single" w:sz="4" w:space="0" w:color="auto"/>
            </w:tcBorders>
            <w:shd w:val="clear" w:color="auto" w:fill="FFFFFF"/>
          </w:tcPr>
          <w:p w14:paraId="46D1B257" w14:textId="32920C0C" w:rsidR="00654783" w:rsidRDefault="003F4B26" w:rsidP="003F4B26">
            <w:pPr>
              <w:widowControl/>
              <w:autoSpaceDE/>
              <w:adjustRightInd/>
              <w:spacing w:line="240" w:lineRule="auto"/>
              <w:jc w:val="center"/>
              <w:rPr>
                <w:rFonts w:eastAsia="Calibri" w:cs="Times New Roman"/>
                <w:color w:val="000000"/>
                <w:sz w:val="21"/>
                <w:szCs w:val="21"/>
                <w:lang w:eastAsia="en-US"/>
              </w:rPr>
            </w:pPr>
            <w:r>
              <w:rPr>
                <w:rFonts w:eastAsia="Calibri" w:cs="Times New Roman"/>
                <w:color w:val="000000"/>
                <w:sz w:val="21"/>
                <w:szCs w:val="21"/>
                <w:lang w:eastAsia="en-US"/>
              </w:rPr>
              <w:t>0</w:t>
            </w:r>
          </w:p>
        </w:tc>
        <w:tc>
          <w:tcPr>
            <w:tcW w:w="570" w:type="dxa"/>
            <w:tcBorders>
              <w:top w:val="single" w:sz="4" w:space="0" w:color="auto"/>
              <w:left w:val="single" w:sz="4" w:space="0" w:color="auto"/>
              <w:bottom w:val="single" w:sz="4" w:space="0" w:color="auto"/>
              <w:right w:val="single" w:sz="4" w:space="0" w:color="auto"/>
            </w:tcBorders>
            <w:shd w:val="clear" w:color="auto" w:fill="FFFFFF"/>
          </w:tcPr>
          <w:p w14:paraId="75B397EE" w14:textId="27E4ED72" w:rsidR="00654783" w:rsidRDefault="003F4B26" w:rsidP="003F4B26">
            <w:pPr>
              <w:widowControl/>
              <w:autoSpaceDE/>
              <w:adjustRightInd/>
              <w:spacing w:line="240" w:lineRule="auto"/>
              <w:jc w:val="center"/>
              <w:rPr>
                <w:rFonts w:eastAsia="Calibri" w:cs="Times New Roman"/>
                <w:color w:val="000000"/>
                <w:sz w:val="21"/>
                <w:szCs w:val="21"/>
                <w:lang w:eastAsia="en-US"/>
              </w:rPr>
            </w:pPr>
            <w:r>
              <w:rPr>
                <w:rFonts w:eastAsia="Calibri" w:cs="Times New Roman"/>
                <w:color w:val="000000"/>
                <w:sz w:val="21"/>
                <w:szCs w:val="21"/>
                <w:lang w:eastAsia="en-US"/>
              </w:rPr>
              <w:t>0</w:t>
            </w:r>
          </w:p>
        </w:tc>
        <w:tc>
          <w:tcPr>
            <w:tcW w:w="1547" w:type="dxa"/>
            <w:gridSpan w:val="3"/>
            <w:tcBorders>
              <w:top w:val="single" w:sz="4" w:space="0" w:color="auto"/>
              <w:left w:val="single" w:sz="4" w:space="0" w:color="auto"/>
              <w:bottom w:val="single" w:sz="4" w:space="0" w:color="auto"/>
              <w:right w:val="single" w:sz="4" w:space="0" w:color="auto"/>
            </w:tcBorders>
            <w:shd w:val="clear" w:color="auto" w:fill="FFFFFF"/>
          </w:tcPr>
          <w:p w14:paraId="05D88DFC" w14:textId="1475F407" w:rsidR="00654783" w:rsidRDefault="003F4B26" w:rsidP="003F4B26">
            <w:pPr>
              <w:widowControl/>
              <w:autoSpaceDE/>
              <w:adjustRightInd/>
              <w:spacing w:line="240" w:lineRule="auto"/>
              <w:jc w:val="center"/>
              <w:rPr>
                <w:rFonts w:eastAsia="Calibri" w:cs="Times New Roman"/>
                <w:color w:val="000000"/>
                <w:spacing w:val="-2"/>
                <w:sz w:val="21"/>
                <w:szCs w:val="21"/>
                <w:lang w:eastAsia="en-US"/>
              </w:rPr>
            </w:pPr>
            <w:r>
              <w:rPr>
                <w:rFonts w:eastAsia="Calibri" w:cs="Times New Roman"/>
                <w:color w:val="000000"/>
                <w:spacing w:val="-2"/>
                <w:sz w:val="21"/>
                <w:szCs w:val="21"/>
                <w:lang w:eastAsia="en-US"/>
              </w:rPr>
              <w:t>0</w:t>
            </w:r>
          </w:p>
        </w:tc>
      </w:tr>
      <w:tr w:rsidR="00654783" w14:paraId="51BDDAAC" w14:textId="77777777" w:rsidTr="00AF10B0">
        <w:trPr>
          <w:trHeight w:val="321"/>
        </w:trPr>
        <w:tc>
          <w:tcPr>
            <w:tcW w:w="3006"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14:paraId="23E7AAF5" w14:textId="77777777" w:rsidR="00654783" w:rsidRDefault="00654783">
            <w:pPr>
              <w:widowControl/>
              <w:autoSpaceDE/>
              <w:adjustRightInd/>
              <w:spacing w:line="240" w:lineRule="auto"/>
              <w:rPr>
                <w:rFonts w:eastAsia="Calibri" w:cs="Times New Roman"/>
                <w:color w:val="000000"/>
                <w:sz w:val="21"/>
                <w:szCs w:val="21"/>
                <w:lang w:eastAsia="en-US"/>
              </w:rPr>
            </w:pPr>
            <w:r>
              <w:rPr>
                <w:rFonts w:eastAsia="Calibri" w:cs="Times New Roman"/>
                <w:color w:val="000000"/>
                <w:sz w:val="21"/>
                <w:szCs w:val="21"/>
                <w:lang w:eastAsia="en-US"/>
              </w:rPr>
              <w:t>budżet państwa</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cPr>
          <w:p w14:paraId="09964236" w14:textId="0C1F5A35" w:rsidR="00654783" w:rsidRDefault="003F4B26" w:rsidP="003F4B26">
            <w:pPr>
              <w:widowControl/>
              <w:autoSpaceDE/>
              <w:adjustRightInd/>
              <w:spacing w:line="240" w:lineRule="auto"/>
              <w:jc w:val="center"/>
              <w:rPr>
                <w:rFonts w:eastAsia="Calibri" w:cs="Times New Roman"/>
                <w:color w:val="000000"/>
                <w:sz w:val="21"/>
                <w:szCs w:val="21"/>
                <w:lang w:eastAsia="en-US"/>
              </w:rPr>
            </w:pPr>
            <w:r>
              <w:rPr>
                <w:rFonts w:eastAsia="Calibri" w:cs="Times New Roman"/>
                <w:color w:val="000000"/>
                <w:sz w:val="21"/>
                <w:szCs w:val="21"/>
                <w:lang w:eastAsia="en-US"/>
              </w:rPr>
              <w:t>0</w:t>
            </w:r>
          </w:p>
        </w:tc>
        <w:tc>
          <w:tcPr>
            <w:tcW w:w="557" w:type="dxa"/>
            <w:tcBorders>
              <w:top w:val="single" w:sz="4" w:space="0" w:color="auto"/>
              <w:left w:val="single" w:sz="4" w:space="0" w:color="auto"/>
              <w:bottom w:val="single" w:sz="4" w:space="0" w:color="auto"/>
              <w:right w:val="single" w:sz="4" w:space="0" w:color="auto"/>
            </w:tcBorders>
            <w:shd w:val="clear" w:color="auto" w:fill="FFFFFF"/>
          </w:tcPr>
          <w:p w14:paraId="6476D6D9" w14:textId="29D4566E" w:rsidR="00654783" w:rsidRDefault="003F4B26" w:rsidP="003F4B26">
            <w:pPr>
              <w:widowControl/>
              <w:autoSpaceDE/>
              <w:adjustRightInd/>
              <w:spacing w:line="240" w:lineRule="auto"/>
              <w:jc w:val="center"/>
              <w:rPr>
                <w:rFonts w:eastAsia="Calibri" w:cs="Times New Roman"/>
                <w:color w:val="000000"/>
                <w:sz w:val="21"/>
                <w:szCs w:val="21"/>
                <w:lang w:eastAsia="en-US"/>
              </w:rPr>
            </w:pPr>
            <w:r>
              <w:rPr>
                <w:rFonts w:eastAsia="Calibri" w:cs="Times New Roman"/>
                <w:color w:val="000000"/>
                <w:sz w:val="21"/>
                <w:szCs w:val="21"/>
                <w:lang w:eastAsia="en-US"/>
              </w:rPr>
              <w:t>0</w:t>
            </w:r>
          </w:p>
        </w:tc>
        <w:tc>
          <w:tcPr>
            <w:tcW w:w="570" w:type="dxa"/>
            <w:gridSpan w:val="2"/>
            <w:tcBorders>
              <w:top w:val="single" w:sz="4" w:space="0" w:color="auto"/>
              <w:left w:val="single" w:sz="4" w:space="0" w:color="auto"/>
              <w:bottom w:val="single" w:sz="4" w:space="0" w:color="auto"/>
              <w:right w:val="single" w:sz="4" w:space="0" w:color="auto"/>
            </w:tcBorders>
            <w:shd w:val="clear" w:color="auto" w:fill="FFFFFF"/>
          </w:tcPr>
          <w:p w14:paraId="3E1D3CBE" w14:textId="5204961F" w:rsidR="00654783" w:rsidRDefault="003F4B26" w:rsidP="003F4B26">
            <w:pPr>
              <w:widowControl/>
              <w:autoSpaceDE/>
              <w:adjustRightInd/>
              <w:spacing w:line="240" w:lineRule="auto"/>
              <w:jc w:val="center"/>
              <w:rPr>
                <w:rFonts w:eastAsia="Calibri" w:cs="Times New Roman"/>
                <w:color w:val="000000"/>
                <w:sz w:val="21"/>
                <w:szCs w:val="21"/>
                <w:lang w:eastAsia="en-US"/>
              </w:rPr>
            </w:pPr>
            <w:r>
              <w:rPr>
                <w:rFonts w:eastAsia="Calibri" w:cs="Times New Roman"/>
                <w:color w:val="000000"/>
                <w:sz w:val="21"/>
                <w:szCs w:val="21"/>
                <w:lang w:eastAsia="en-US"/>
              </w:rPr>
              <w:t>0</w:t>
            </w:r>
          </w:p>
        </w:tc>
        <w:tc>
          <w:tcPr>
            <w:tcW w:w="569" w:type="dxa"/>
            <w:gridSpan w:val="3"/>
            <w:tcBorders>
              <w:top w:val="single" w:sz="4" w:space="0" w:color="auto"/>
              <w:left w:val="single" w:sz="4" w:space="0" w:color="auto"/>
              <w:bottom w:val="single" w:sz="4" w:space="0" w:color="auto"/>
              <w:right w:val="single" w:sz="4" w:space="0" w:color="auto"/>
            </w:tcBorders>
            <w:shd w:val="clear" w:color="auto" w:fill="FFFFFF"/>
          </w:tcPr>
          <w:p w14:paraId="02B00CCF" w14:textId="15000D23" w:rsidR="00654783" w:rsidRDefault="003F4B26" w:rsidP="003F4B26">
            <w:pPr>
              <w:widowControl/>
              <w:autoSpaceDE/>
              <w:adjustRightInd/>
              <w:spacing w:line="240" w:lineRule="auto"/>
              <w:jc w:val="center"/>
              <w:rPr>
                <w:rFonts w:eastAsia="Calibri" w:cs="Times New Roman"/>
                <w:color w:val="000000"/>
                <w:sz w:val="21"/>
                <w:szCs w:val="21"/>
                <w:lang w:eastAsia="en-US"/>
              </w:rPr>
            </w:pPr>
            <w:r>
              <w:rPr>
                <w:rFonts w:eastAsia="Calibri" w:cs="Times New Roman"/>
                <w:color w:val="000000"/>
                <w:sz w:val="21"/>
                <w:szCs w:val="21"/>
                <w:lang w:eastAsia="en-US"/>
              </w:rPr>
              <w:t>0</w:t>
            </w:r>
          </w:p>
        </w:tc>
        <w:tc>
          <w:tcPr>
            <w:tcW w:w="570" w:type="dxa"/>
            <w:gridSpan w:val="2"/>
            <w:tcBorders>
              <w:top w:val="single" w:sz="4" w:space="0" w:color="auto"/>
              <w:left w:val="single" w:sz="4" w:space="0" w:color="auto"/>
              <w:bottom w:val="single" w:sz="4" w:space="0" w:color="auto"/>
              <w:right w:val="single" w:sz="4" w:space="0" w:color="auto"/>
            </w:tcBorders>
            <w:shd w:val="clear" w:color="auto" w:fill="FFFFFF"/>
          </w:tcPr>
          <w:p w14:paraId="36E81520" w14:textId="3E04C471" w:rsidR="00654783" w:rsidRDefault="003F4B26" w:rsidP="003F4B26">
            <w:pPr>
              <w:widowControl/>
              <w:autoSpaceDE/>
              <w:adjustRightInd/>
              <w:spacing w:line="240" w:lineRule="auto"/>
              <w:jc w:val="center"/>
              <w:rPr>
                <w:rFonts w:eastAsia="Calibri" w:cs="Times New Roman"/>
                <w:color w:val="000000"/>
                <w:sz w:val="21"/>
                <w:szCs w:val="21"/>
                <w:lang w:eastAsia="en-US"/>
              </w:rPr>
            </w:pPr>
            <w:r>
              <w:rPr>
                <w:rFonts w:eastAsia="Calibri" w:cs="Times New Roman"/>
                <w:color w:val="000000"/>
                <w:sz w:val="21"/>
                <w:szCs w:val="21"/>
                <w:lang w:eastAsia="en-US"/>
              </w:rPr>
              <w:t>0</w:t>
            </w:r>
          </w:p>
        </w:tc>
        <w:tc>
          <w:tcPr>
            <w:tcW w:w="570" w:type="dxa"/>
            <w:tcBorders>
              <w:top w:val="single" w:sz="4" w:space="0" w:color="auto"/>
              <w:left w:val="single" w:sz="4" w:space="0" w:color="auto"/>
              <w:bottom w:val="single" w:sz="4" w:space="0" w:color="auto"/>
              <w:right w:val="single" w:sz="4" w:space="0" w:color="auto"/>
            </w:tcBorders>
            <w:shd w:val="clear" w:color="auto" w:fill="FFFFFF"/>
          </w:tcPr>
          <w:p w14:paraId="007F41C0" w14:textId="57F0FCE3" w:rsidR="00654783" w:rsidRDefault="003F4B26" w:rsidP="003F4B26">
            <w:pPr>
              <w:widowControl/>
              <w:autoSpaceDE/>
              <w:adjustRightInd/>
              <w:spacing w:line="240" w:lineRule="auto"/>
              <w:jc w:val="center"/>
              <w:rPr>
                <w:rFonts w:eastAsia="Calibri" w:cs="Times New Roman"/>
                <w:color w:val="000000"/>
                <w:sz w:val="21"/>
                <w:szCs w:val="21"/>
                <w:lang w:eastAsia="en-US"/>
              </w:rPr>
            </w:pPr>
            <w:r>
              <w:rPr>
                <w:rFonts w:eastAsia="Calibri" w:cs="Times New Roman"/>
                <w:color w:val="000000"/>
                <w:sz w:val="21"/>
                <w:szCs w:val="21"/>
                <w:lang w:eastAsia="en-US"/>
              </w:rPr>
              <w:t>0</w:t>
            </w:r>
          </w:p>
        </w:tc>
        <w:tc>
          <w:tcPr>
            <w:tcW w:w="570" w:type="dxa"/>
            <w:gridSpan w:val="3"/>
            <w:tcBorders>
              <w:top w:val="single" w:sz="4" w:space="0" w:color="auto"/>
              <w:left w:val="single" w:sz="4" w:space="0" w:color="auto"/>
              <w:bottom w:val="single" w:sz="4" w:space="0" w:color="auto"/>
              <w:right w:val="single" w:sz="4" w:space="0" w:color="auto"/>
            </w:tcBorders>
            <w:shd w:val="clear" w:color="auto" w:fill="FFFFFF"/>
          </w:tcPr>
          <w:p w14:paraId="2D0A140E" w14:textId="53228880" w:rsidR="00654783" w:rsidRDefault="003F4B26" w:rsidP="003F4B26">
            <w:pPr>
              <w:widowControl/>
              <w:autoSpaceDE/>
              <w:adjustRightInd/>
              <w:spacing w:line="240" w:lineRule="auto"/>
              <w:jc w:val="center"/>
              <w:rPr>
                <w:rFonts w:eastAsia="Calibri" w:cs="Times New Roman"/>
                <w:color w:val="000000"/>
                <w:sz w:val="21"/>
                <w:szCs w:val="21"/>
                <w:lang w:eastAsia="en-US"/>
              </w:rPr>
            </w:pPr>
            <w:r>
              <w:rPr>
                <w:rFonts w:eastAsia="Calibri" w:cs="Times New Roman"/>
                <w:color w:val="000000"/>
                <w:sz w:val="21"/>
                <w:szCs w:val="21"/>
                <w:lang w:eastAsia="en-US"/>
              </w:rPr>
              <w:t>0</w:t>
            </w:r>
          </w:p>
        </w:tc>
        <w:tc>
          <w:tcPr>
            <w:tcW w:w="569" w:type="dxa"/>
            <w:gridSpan w:val="3"/>
            <w:tcBorders>
              <w:top w:val="single" w:sz="4" w:space="0" w:color="auto"/>
              <w:left w:val="single" w:sz="4" w:space="0" w:color="auto"/>
              <w:bottom w:val="single" w:sz="4" w:space="0" w:color="auto"/>
              <w:right w:val="single" w:sz="4" w:space="0" w:color="auto"/>
            </w:tcBorders>
            <w:shd w:val="clear" w:color="auto" w:fill="FFFFFF"/>
          </w:tcPr>
          <w:p w14:paraId="76B0247E" w14:textId="6EDB6FE3" w:rsidR="00654783" w:rsidRDefault="003F4B26" w:rsidP="003F4B26">
            <w:pPr>
              <w:widowControl/>
              <w:autoSpaceDE/>
              <w:adjustRightInd/>
              <w:spacing w:line="240" w:lineRule="auto"/>
              <w:jc w:val="center"/>
              <w:rPr>
                <w:rFonts w:eastAsia="Calibri" w:cs="Times New Roman"/>
                <w:color w:val="000000"/>
                <w:sz w:val="21"/>
                <w:szCs w:val="21"/>
                <w:lang w:eastAsia="en-US"/>
              </w:rPr>
            </w:pPr>
            <w:r>
              <w:rPr>
                <w:rFonts w:eastAsia="Calibri" w:cs="Times New Roman"/>
                <w:color w:val="000000"/>
                <w:sz w:val="21"/>
                <w:szCs w:val="21"/>
                <w:lang w:eastAsia="en-US"/>
              </w:rPr>
              <w:t>0</w:t>
            </w:r>
          </w:p>
        </w:tc>
        <w:tc>
          <w:tcPr>
            <w:tcW w:w="570" w:type="dxa"/>
            <w:gridSpan w:val="2"/>
            <w:tcBorders>
              <w:top w:val="single" w:sz="4" w:space="0" w:color="auto"/>
              <w:left w:val="single" w:sz="4" w:space="0" w:color="auto"/>
              <w:bottom w:val="single" w:sz="4" w:space="0" w:color="auto"/>
              <w:right w:val="single" w:sz="4" w:space="0" w:color="auto"/>
            </w:tcBorders>
            <w:shd w:val="clear" w:color="auto" w:fill="FFFFFF"/>
          </w:tcPr>
          <w:p w14:paraId="5E74DF15" w14:textId="73604C0D" w:rsidR="00654783" w:rsidRDefault="003F4B26" w:rsidP="003F4B26">
            <w:pPr>
              <w:widowControl/>
              <w:autoSpaceDE/>
              <w:adjustRightInd/>
              <w:spacing w:line="240" w:lineRule="auto"/>
              <w:jc w:val="center"/>
              <w:rPr>
                <w:rFonts w:eastAsia="Calibri" w:cs="Times New Roman"/>
                <w:color w:val="000000"/>
                <w:sz w:val="21"/>
                <w:szCs w:val="21"/>
                <w:lang w:eastAsia="en-US"/>
              </w:rPr>
            </w:pPr>
            <w:r>
              <w:rPr>
                <w:rFonts w:eastAsia="Calibri" w:cs="Times New Roman"/>
                <w:color w:val="000000"/>
                <w:sz w:val="21"/>
                <w:szCs w:val="21"/>
                <w:lang w:eastAsia="en-US"/>
              </w:rPr>
              <w:t>0</w:t>
            </w:r>
          </w:p>
        </w:tc>
        <w:tc>
          <w:tcPr>
            <w:tcW w:w="570" w:type="dxa"/>
            <w:gridSpan w:val="2"/>
            <w:tcBorders>
              <w:top w:val="single" w:sz="4" w:space="0" w:color="auto"/>
              <w:left w:val="single" w:sz="4" w:space="0" w:color="auto"/>
              <w:bottom w:val="single" w:sz="4" w:space="0" w:color="auto"/>
              <w:right w:val="single" w:sz="4" w:space="0" w:color="auto"/>
            </w:tcBorders>
            <w:shd w:val="clear" w:color="auto" w:fill="FFFFFF"/>
          </w:tcPr>
          <w:p w14:paraId="449F210A" w14:textId="505280D6" w:rsidR="00654783" w:rsidRDefault="003F4B26" w:rsidP="003F4B26">
            <w:pPr>
              <w:widowControl/>
              <w:autoSpaceDE/>
              <w:adjustRightInd/>
              <w:spacing w:line="240" w:lineRule="auto"/>
              <w:jc w:val="center"/>
              <w:rPr>
                <w:rFonts w:eastAsia="Calibri" w:cs="Times New Roman"/>
                <w:color w:val="000000"/>
                <w:sz w:val="21"/>
                <w:szCs w:val="21"/>
                <w:lang w:eastAsia="en-US"/>
              </w:rPr>
            </w:pPr>
            <w:r>
              <w:rPr>
                <w:rFonts w:eastAsia="Calibri" w:cs="Times New Roman"/>
                <w:color w:val="000000"/>
                <w:sz w:val="21"/>
                <w:szCs w:val="21"/>
                <w:lang w:eastAsia="en-US"/>
              </w:rPr>
              <w:t>0</w:t>
            </w:r>
          </w:p>
        </w:tc>
        <w:tc>
          <w:tcPr>
            <w:tcW w:w="570" w:type="dxa"/>
            <w:tcBorders>
              <w:top w:val="single" w:sz="4" w:space="0" w:color="auto"/>
              <w:left w:val="single" w:sz="4" w:space="0" w:color="auto"/>
              <w:bottom w:val="single" w:sz="4" w:space="0" w:color="auto"/>
              <w:right w:val="single" w:sz="4" w:space="0" w:color="auto"/>
            </w:tcBorders>
            <w:shd w:val="clear" w:color="auto" w:fill="FFFFFF"/>
          </w:tcPr>
          <w:p w14:paraId="27C35281" w14:textId="21BBA06A" w:rsidR="00654783" w:rsidRDefault="003F4B26" w:rsidP="003F4B26">
            <w:pPr>
              <w:widowControl/>
              <w:autoSpaceDE/>
              <w:adjustRightInd/>
              <w:spacing w:line="240" w:lineRule="auto"/>
              <w:jc w:val="center"/>
              <w:rPr>
                <w:rFonts w:eastAsia="Calibri" w:cs="Times New Roman"/>
                <w:color w:val="000000"/>
                <w:sz w:val="21"/>
                <w:szCs w:val="21"/>
                <w:lang w:eastAsia="en-US"/>
              </w:rPr>
            </w:pPr>
            <w:r>
              <w:rPr>
                <w:rFonts w:eastAsia="Calibri" w:cs="Times New Roman"/>
                <w:color w:val="000000"/>
                <w:sz w:val="21"/>
                <w:szCs w:val="21"/>
                <w:lang w:eastAsia="en-US"/>
              </w:rPr>
              <w:t>0</w:t>
            </w:r>
          </w:p>
        </w:tc>
        <w:tc>
          <w:tcPr>
            <w:tcW w:w="1547" w:type="dxa"/>
            <w:gridSpan w:val="3"/>
            <w:tcBorders>
              <w:top w:val="single" w:sz="4" w:space="0" w:color="auto"/>
              <w:left w:val="single" w:sz="4" w:space="0" w:color="auto"/>
              <w:bottom w:val="single" w:sz="4" w:space="0" w:color="auto"/>
              <w:right w:val="single" w:sz="4" w:space="0" w:color="auto"/>
            </w:tcBorders>
            <w:shd w:val="clear" w:color="auto" w:fill="FFFFFF"/>
          </w:tcPr>
          <w:p w14:paraId="0B40D87D" w14:textId="08258429" w:rsidR="00654783" w:rsidRDefault="003F4B26" w:rsidP="003F4B26">
            <w:pPr>
              <w:widowControl/>
              <w:autoSpaceDE/>
              <w:adjustRightInd/>
              <w:spacing w:line="240" w:lineRule="auto"/>
              <w:jc w:val="center"/>
              <w:rPr>
                <w:rFonts w:eastAsia="Calibri" w:cs="Times New Roman"/>
                <w:color w:val="000000"/>
                <w:spacing w:val="-2"/>
                <w:sz w:val="21"/>
                <w:szCs w:val="21"/>
                <w:lang w:eastAsia="en-US"/>
              </w:rPr>
            </w:pPr>
            <w:r>
              <w:rPr>
                <w:rFonts w:eastAsia="Calibri" w:cs="Times New Roman"/>
                <w:color w:val="000000"/>
                <w:spacing w:val="-2"/>
                <w:sz w:val="21"/>
                <w:szCs w:val="21"/>
                <w:lang w:eastAsia="en-US"/>
              </w:rPr>
              <w:t>0</w:t>
            </w:r>
          </w:p>
        </w:tc>
      </w:tr>
      <w:tr w:rsidR="00654783" w14:paraId="6A884FF5" w14:textId="77777777" w:rsidTr="00AF10B0">
        <w:trPr>
          <w:trHeight w:val="344"/>
        </w:trPr>
        <w:tc>
          <w:tcPr>
            <w:tcW w:w="3006"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14:paraId="7B7AD937" w14:textId="77777777" w:rsidR="00654783" w:rsidRDefault="00654783">
            <w:pPr>
              <w:widowControl/>
              <w:autoSpaceDE/>
              <w:adjustRightInd/>
              <w:spacing w:line="240" w:lineRule="auto"/>
              <w:rPr>
                <w:rFonts w:eastAsia="Calibri" w:cs="Times New Roman"/>
                <w:color w:val="000000"/>
                <w:sz w:val="21"/>
                <w:szCs w:val="21"/>
                <w:lang w:eastAsia="en-US"/>
              </w:rPr>
            </w:pPr>
            <w:r>
              <w:rPr>
                <w:rFonts w:eastAsia="Calibri" w:cs="Times New Roman"/>
                <w:color w:val="000000"/>
                <w:sz w:val="21"/>
                <w:szCs w:val="21"/>
                <w:lang w:eastAsia="en-US"/>
              </w:rPr>
              <w:t>JST</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cPr>
          <w:p w14:paraId="32EBFFED" w14:textId="224BDA62" w:rsidR="00654783" w:rsidRDefault="003F4B26" w:rsidP="003F4B26">
            <w:pPr>
              <w:widowControl/>
              <w:autoSpaceDE/>
              <w:adjustRightInd/>
              <w:spacing w:line="240" w:lineRule="auto"/>
              <w:jc w:val="center"/>
              <w:rPr>
                <w:rFonts w:eastAsia="Calibri" w:cs="Times New Roman"/>
                <w:color w:val="000000"/>
                <w:sz w:val="21"/>
                <w:szCs w:val="21"/>
                <w:lang w:eastAsia="en-US"/>
              </w:rPr>
            </w:pPr>
            <w:r>
              <w:rPr>
                <w:rFonts w:eastAsia="Calibri" w:cs="Times New Roman"/>
                <w:color w:val="000000"/>
                <w:sz w:val="21"/>
                <w:szCs w:val="21"/>
                <w:lang w:eastAsia="en-US"/>
              </w:rPr>
              <w:t>0</w:t>
            </w:r>
          </w:p>
        </w:tc>
        <w:tc>
          <w:tcPr>
            <w:tcW w:w="557" w:type="dxa"/>
            <w:tcBorders>
              <w:top w:val="single" w:sz="4" w:space="0" w:color="auto"/>
              <w:left w:val="single" w:sz="4" w:space="0" w:color="auto"/>
              <w:bottom w:val="single" w:sz="4" w:space="0" w:color="auto"/>
              <w:right w:val="single" w:sz="4" w:space="0" w:color="auto"/>
            </w:tcBorders>
            <w:shd w:val="clear" w:color="auto" w:fill="FFFFFF"/>
          </w:tcPr>
          <w:p w14:paraId="22C60523" w14:textId="5305B200" w:rsidR="00654783" w:rsidRDefault="003F4B26" w:rsidP="003F4B26">
            <w:pPr>
              <w:widowControl/>
              <w:autoSpaceDE/>
              <w:adjustRightInd/>
              <w:spacing w:line="240" w:lineRule="auto"/>
              <w:jc w:val="center"/>
              <w:rPr>
                <w:rFonts w:eastAsia="Calibri" w:cs="Times New Roman"/>
                <w:color w:val="000000"/>
                <w:sz w:val="21"/>
                <w:szCs w:val="21"/>
                <w:lang w:eastAsia="en-US"/>
              </w:rPr>
            </w:pPr>
            <w:r>
              <w:rPr>
                <w:rFonts w:eastAsia="Calibri" w:cs="Times New Roman"/>
                <w:color w:val="000000"/>
                <w:sz w:val="21"/>
                <w:szCs w:val="21"/>
                <w:lang w:eastAsia="en-US"/>
              </w:rPr>
              <w:t>0</w:t>
            </w:r>
          </w:p>
        </w:tc>
        <w:tc>
          <w:tcPr>
            <w:tcW w:w="570" w:type="dxa"/>
            <w:gridSpan w:val="2"/>
            <w:tcBorders>
              <w:top w:val="single" w:sz="4" w:space="0" w:color="auto"/>
              <w:left w:val="single" w:sz="4" w:space="0" w:color="auto"/>
              <w:bottom w:val="single" w:sz="4" w:space="0" w:color="auto"/>
              <w:right w:val="single" w:sz="4" w:space="0" w:color="auto"/>
            </w:tcBorders>
            <w:shd w:val="clear" w:color="auto" w:fill="FFFFFF"/>
          </w:tcPr>
          <w:p w14:paraId="21BFC19F" w14:textId="1C8A8005" w:rsidR="00654783" w:rsidRDefault="003F4B26" w:rsidP="003F4B26">
            <w:pPr>
              <w:widowControl/>
              <w:autoSpaceDE/>
              <w:adjustRightInd/>
              <w:spacing w:line="240" w:lineRule="auto"/>
              <w:jc w:val="center"/>
              <w:rPr>
                <w:rFonts w:eastAsia="Calibri" w:cs="Times New Roman"/>
                <w:color w:val="000000"/>
                <w:sz w:val="21"/>
                <w:szCs w:val="21"/>
                <w:lang w:eastAsia="en-US"/>
              </w:rPr>
            </w:pPr>
            <w:r>
              <w:rPr>
                <w:rFonts w:eastAsia="Calibri" w:cs="Times New Roman"/>
                <w:color w:val="000000"/>
                <w:sz w:val="21"/>
                <w:szCs w:val="21"/>
                <w:lang w:eastAsia="en-US"/>
              </w:rPr>
              <w:t>0</w:t>
            </w:r>
          </w:p>
        </w:tc>
        <w:tc>
          <w:tcPr>
            <w:tcW w:w="569" w:type="dxa"/>
            <w:gridSpan w:val="3"/>
            <w:tcBorders>
              <w:top w:val="single" w:sz="4" w:space="0" w:color="auto"/>
              <w:left w:val="single" w:sz="4" w:space="0" w:color="auto"/>
              <w:bottom w:val="single" w:sz="4" w:space="0" w:color="auto"/>
              <w:right w:val="single" w:sz="4" w:space="0" w:color="auto"/>
            </w:tcBorders>
            <w:shd w:val="clear" w:color="auto" w:fill="FFFFFF"/>
          </w:tcPr>
          <w:p w14:paraId="5473A330" w14:textId="085E0760" w:rsidR="00654783" w:rsidRDefault="003F4B26" w:rsidP="003F4B26">
            <w:pPr>
              <w:widowControl/>
              <w:autoSpaceDE/>
              <w:adjustRightInd/>
              <w:spacing w:line="240" w:lineRule="auto"/>
              <w:jc w:val="center"/>
              <w:rPr>
                <w:rFonts w:eastAsia="Calibri" w:cs="Times New Roman"/>
                <w:color w:val="000000"/>
                <w:sz w:val="21"/>
                <w:szCs w:val="21"/>
                <w:lang w:eastAsia="en-US"/>
              </w:rPr>
            </w:pPr>
            <w:r>
              <w:rPr>
                <w:rFonts w:eastAsia="Calibri" w:cs="Times New Roman"/>
                <w:color w:val="000000"/>
                <w:sz w:val="21"/>
                <w:szCs w:val="21"/>
                <w:lang w:eastAsia="en-US"/>
              </w:rPr>
              <w:t>0</w:t>
            </w:r>
          </w:p>
        </w:tc>
        <w:tc>
          <w:tcPr>
            <w:tcW w:w="570" w:type="dxa"/>
            <w:gridSpan w:val="2"/>
            <w:tcBorders>
              <w:top w:val="single" w:sz="4" w:space="0" w:color="auto"/>
              <w:left w:val="single" w:sz="4" w:space="0" w:color="auto"/>
              <w:bottom w:val="single" w:sz="4" w:space="0" w:color="auto"/>
              <w:right w:val="single" w:sz="4" w:space="0" w:color="auto"/>
            </w:tcBorders>
            <w:shd w:val="clear" w:color="auto" w:fill="FFFFFF"/>
          </w:tcPr>
          <w:p w14:paraId="73484BA4" w14:textId="1A4DB343" w:rsidR="00654783" w:rsidRDefault="003F4B26" w:rsidP="003F4B26">
            <w:pPr>
              <w:widowControl/>
              <w:autoSpaceDE/>
              <w:adjustRightInd/>
              <w:spacing w:line="240" w:lineRule="auto"/>
              <w:jc w:val="center"/>
              <w:rPr>
                <w:rFonts w:eastAsia="Calibri" w:cs="Times New Roman"/>
                <w:color w:val="000000"/>
                <w:sz w:val="21"/>
                <w:szCs w:val="21"/>
                <w:lang w:eastAsia="en-US"/>
              </w:rPr>
            </w:pPr>
            <w:r>
              <w:rPr>
                <w:rFonts w:eastAsia="Calibri" w:cs="Times New Roman"/>
                <w:color w:val="000000"/>
                <w:sz w:val="21"/>
                <w:szCs w:val="21"/>
                <w:lang w:eastAsia="en-US"/>
              </w:rPr>
              <w:t>0</w:t>
            </w:r>
          </w:p>
        </w:tc>
        <w:tc>
          <w:tcPr>
            <w:tcW w:w="570" w:type="dxa"/>
            <w:tcBorders>
              <w:top w:val="single" w:sz="4" w:space="0" w:color="auto"/>
              <w:left w:val="single" w:sz="4" w:space="0" w:color="auto"/>
              <w:bottom w:val="single" w:sz="4" w:space="0" w:color="auto"/>
              <w:right w:val="single" w:sz="4" w:space="0" w:color="auto"/>
            </w:tcBorders>
            <w:shd w:val="clear" w:color="auto" w:fill="FFFFFF"/>
          </w:tcPr>
          <w:p w14:paraId="378ABF4D" w14:textId="31E2CC76" w:rsidR="00654783" w:rsidRDefault="003F4B26" w:rsidP="003F4B26">
            <w:pPr>
              <w:widowControl/>
              <w:autoSpaceDE/>
              <w:adjustRightInd/>
              <w:spacing w:line="240" w:lineRule="auto"/>
              <w:jc w:val="center"/>
              <w:rPr>
                <w:rFonts w:eastAsia="Calibri" w:cs="Times New Roman"/>
                <w:color w:val="000000"/>
                <w:sz w:val="21"/>
                <w:szCs w:val="21"/>
                <w:lang w:eastAsia="en-US"/>
              </w:rPr>
            </w:pPr>
            <w:r>
              <w:rPr>
                <w:rFonts w:eastAsia="Calibri" w:cs="Times New Roman"/>
                <w:color w:val="000000"/>
                <w:sz w:val="21"/>
                <w:szCs w:val="21"/>
                <w:lang w:eastAsia="en-US"/>
              </w:rPr>
              <w:t>0</w:t>
            </w:r>
          </w:p>
        </w:tc>
        <w:tc>
          <w:tcPr>
            <w:tcW w:w="570" w:type="dxa"/>
            <w:gridSpan w:val="3"/>
            <w:tcBorders>
              <w:top w:val="single" w:sz="4" w:space="0" w:color="auto"/>
              <w:left w:val="single" w:sz="4" w:space="0" w:color="auto"/>
              <w:bottom w:val="single" w:sz="4" w:space="0" w:color="auto"/>
              <w:right w:val="single" w:sz="4" w:space="0" w:color="auto"/>
            </w:tcBorders>
            <w:shd w:val="clear" w:color="auto" w:fill="FFFFFF"/>
          </w:tcPr>
          <w:p w14:paraId="60D9B607" w14:textId="64CA8A68" w:rsidR="00654783" w:rsidRDefault="003F4B26" w:rsidP="003F4B26">
            <w:pPr>
              <w:widowControl/>
              <w:autoSpaceDE/>
              <w:adjustRightInd/>
              <w:spacing w:line="240" w:lineRule="auto"/>
              <w:jc w:val="center"/>
              <w:rPr>
                <w:rFonts w:eastAsia="Calibri" w:cs="Times New Roman"/>
                <w:color w:val="000000"/>
                <w:sz w:val="21"/>
                <w:szCs w:val="21"/>
                <w:lang w:eastAsia="en-US"/>
              </w:rPr>
            </w:pPr>
            <w:r>
              <w:rPr>
                <w:rFonts w:eastAsia="Calibri" w:cs="Times New Roman"/>
                <w:color w:val="000000"/>
                <w:sz w:val="21"/>
                <w:szCs w:val="21"/>
                <w:lang w:eastAsia="en-US"/>
              </w:rPr>
              <w:t>0</w:t>
            </w:r>
          </w:p>
        </w:tc>
        <w:tc>
          <w:tcPr>
            <w:tcW w:w="569" w:type="dxa"/>
            <w:gridSpan w:val="3"/>
            <w:tcBorders>
              <w:top w:val="single" w:sz="4" w:space="0" w:color="auto"/>
              <w:left w:val="single" w:sz="4" w:space="0" w:color="auto"/>
              <w:bottom w:val="single" w:sz="4" w:space="0" w:color="auto"/>
              <w:right w:val="single" w:sz="4" w:space="0" w:color="auto"/>
            </w:tcBorders>
            <w:shd w:val="clear" w:color="auto" w:fill="FFFFFF"/>
          </w:tcPr>
          <w:p w14:paraId="1B290835" w14:textId="492C92D2" w:rsidR="00654783" w:rsidRDefault="003F4B26" w:rsidP="003F4B26">
            <w:pPr>
              <w:widowControl/>
              <w:autoSpaceDE/>
              <w:adjustRightInd/>
              <w:spacing w:line="240" w:lineRule="auto"/>
              <w:jc w:val="center"/>
              <w:rPr>
                <w:rFonts w:eastAsia="Calibri" w:cs="Times New Roman"/>
                <w:color w:val="000000"/>
                <w:sz w:val="21"/>
                <w:szCs w:val="21"/>
                <w:lang w:eastAsia="en-US"/>
              </w:rPr>
            </w:pPr>
            <w:r>
              <w:rPr>
                <w:rFonts w:eastAsia="Calibri" w:cs="Times New Roman"/>
                <w:color w:val="000000"/>
                <w:sz w:val="21"/>
                <w:szCs w:val="21"/>
                <w:lang w:eastAsia="en-US"/>
              </w:rPr>
              <w:t>0</w:t>
            </w:r>
          </w:p>
        </w:tc>
        <w:tc>
          <w:tcPr>
            <w:tcW w:w="570" w:type="dxa"/>
            <w:gridSpan w:val="2"/>
            <w:tcBorders>
              <w:top w:val="single" w:sz="4" w:space="0" w:color="auto"/>
              <w:left w:val="single" w:sz="4" w:space="0" w:color="auto"/>
              <w:bottom w:val="single" w:sz="4" w:space="0" w:color="auto"/>
              <w:right w:val="single" w:sz="4" w:space="0" w:color="auto"/>
            </w:tcBorders>
            <w:shd w:val="clear" w:color="auto" w:fill="FFFFFF"/>
          </w:tcPr>
          <w:p w14:paraId="102C8EAE" w14:textId="4E09505D" w:rsidR="00654783" w:rsidRDefault="003F4B26" w:rsidP="003F4B26">
            <w:pPr>
              <w:widowControl/>
              <w:autoSpaceDE/>
              <w:adjustRightInd/>
              <w:spacing w:line="240" w:lineRule="auto"/>
              <w:jc w:val="center"/>
              <w:rPr>
                <w:rFonts w:eastAsia="Calibri" w:cs="Times New Roman"/>
                <w:color w:val="000000"/>
                <w:sz w:val="21"/>
                <w:szCs w:val="21"/>
                <w:lang w:eastAsia="en-US"/>
              </w:rPr>
            </w:pPr>
            <w:r>
              <w:rPr>
                <w:rFonts w:eastAsia="Calibri" w:cs="Times New Roman"/>
                <w:color w:val="000000"/>
                <w:sz w:val="21"/>
                <w:szCs w:val="21"/>
                <w:lang w:eastAsia="en-US"/>
              </w:rPr>
              <w:t>0</w:t>
            </w:r>
          </w:p>
        </w:tc>
        <w:tc>
          <w:tcPr>
            <w:tcW w:w="570" w:type="dxa"/>
            <w:gridSpan w:val="2"/>
            <w:tcBorders>
              <w:top w:val="single" w:sz="4" w:space="0" w:color="auto"/>
              <w:left w:val="single" w:sz="4" w:space="0" w:color="auto"/>
              <w:bottom w:val="single" w:sz="4" w:space="0" w:color="auto"/>
              <w:right w:val="single" w:sz="4" w:space="0" w:color="auto"/>
            </w:tcBorders>
            <w:shd w:val="clear" w:color="auto" w:fill="FFFFFF"/>
          </w:tcPr>
          <w:p w14:paraId="186A703F" w14:textId="565CE3F7" w:rsidR="00654783" w:rsidRDefault="003F4B26" w:rsidP="003F4B26">
            <w:pPr>
              <w:widowControl/>
              <w:autoSpaceDE/>
              <w:adjustRightInd/>
              <w:spacing w:line="240" w:lineRule="auto"/>
              <w:jc w:val="center"/>
              <w:rPr>
                <w:rFonts w:eastAsia="Calibri" w:cs="Times New Roman"/>
                <w:color w:val="000000"/>
                <w:sz w:val="21"/>
                <w:szCs w:val="21"/>
                <w:lang w:eastAsia="en-US"/>
              </w:rPr>
            </w:pPr>
            <w:r>
              <w:rPr>
                <w:rFonts w:eastAsia="Calibri" w:cs="Times New Roman"/>
                <w:color w:val="000000"/>
                <w:sz w:val="21"/>
                <w:szCs w:val="21"/>
                <w:lang w:eastAsia="en-US"/>
              </w:rPr>
              <w:t>0</w:t>
            </w:r>
          </w:p>
        </w:tc>
        <w:tc>
          <w:tcPr>
            <w:tcW w:w="570" w:type="dxa"/>
            <w:tcBorders>
              <w:top w:val="single" w:sz="4" w:space="0" w:color="auto"/>
              <w:left w:val="single" w:sz="4" w:space="0" w:color="auto"/>
              <w:bottom w:val="single" w:sz="4" w:space="0" w:color="auto"/>
              <w:right w:val="single" w:sz="4" w:space="0" w:color="auto"/>
            </w:tcBorders>
            <w:shd w:val="clear" w:color="auto" w:fill="FFFFFF"/>
          </w:tcPr>
          <w:p w14:paraId="4660DBDB" w14:textId="44A24EF3" w:rsidR="00654783" w:rsidRDefault="003F4B26" w:rsidP="003F4B26">
            <w:pPr>
              <w:widowControl/>
              <w:autoSpaceDE/>
              <w:adjustRightInd/>
              <w:spacing w:line="240" w:lineRule="auto"/>
              <w:jc w:val="center"/>
              <w:rPr>
                <w:rFonts w:eastAsia="Calibri" w:cs="Times New Roman"/>
                <w:color w:val="000000"/>
                <w:sz w:val="21"/>
                <w:szCs w:val="21"/>
                <w:lang w:eastAsia="en-US"/>
              </w:rPr>
            </w:pPr>
            <w:r>
              <w:rPr>
                <w:rFonts w:eastAsia="Calibri" w:cs="Times New Roman"/>
                <w:color w:val="000000"/>
                <w:sz w:val="21"/>
                <w:szCs w:val="21"/>
                <w:lang w:eastAsia="en-US"/>
              </w:rPr>
              <w:t>0</w:t>
            </w:r>
          </w:p>
        </w:tc>
        <w:tc>
          <w:tcPr>
            <w:tcW w:w="1547" w:type="dxa"/>
            <w:gridSpan w:val="3"/>
            <w:tcBorders>
              <w:top w:val="single" w:sz="4" w:space="0" w:color="auto"/>
              <w:left w:val="single" w:sz="4" w:space="0" w:color="auto"/>
              <w:bottom w:val="single" w:sz="4" w:space="0" w:color="auto"/>
              <w:right w:val="single" w:sz="4" w:space="0" w:color="auto"/>
            </w:tcBorders>
            <w:shd w:val="clear" w:color="auto" w:fill="FFFFFF"/>
          </w:tcPr>
          <w:p w14:paraId="0CDF3887" w14:textId="3605B7B5" w:rsidR="00654783" w:rsidRDefault="003F4B26" w:rsidP="003F4B26">
            <w:pPr>
              <w:widowControl/>
              <w:autoSpaceDE/>
              <w:adjustRightInd/>
              <w:spacing w:line="240" w:lineRule="auto"/>
              <w:jc w:val="center"/>
              <w:rPr>
                <w:rFonts w:eastAsia="Calibri" w:cs="Times New Roman"/>
                <w:color w:val="000000"/>
                <w:sz w:val="21"/>
                <w:szCs w:val="21"/>
                <w:lang w:eastAsia="en-US"/>
              </w:rPr>
            </w:pPr>
            <w:r>
              <w:rPr>
                <w:rFonts w:eastAsia="Calibri" w:cs="Times New Roman"/>
                <w:color w:val="000000"/>
                <w:sz w:val="21"/>
                <w:szCs w:val="21"/>
                <w:lang w:eastAsia="en-US"/>
              </w:rPr>
              <w:t>0</w:t>
            </w:r>
          </w:p>
        </w:tc>
      </w:tr>
      <w:tr w:rsidR="00654783" w14:paraId="33BD6D71" w14:textId="77777777" w:rsidTr="00AF10B0">
        <w:trPr>
          <w:trHeight w:val="344"/>
        </w:trPr>
        <w:tc>
          <w:tcPr>
            <w:tcW w:w="3006"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14:paraId="0A705DB2" w14:textId="77777777" w:rsidR="00654783" w:rsidRDefault="00654783">
            <w:pPr>
              <w:widowControl/>
              <w:autoSpaceDE/>
              <w:adjustRightInd/>
              <w:spacing w:line="240" w:lineRule="auto"/>
              <w:rPr>
                <w:rFonts w:eastAsia="Calibri" w:cs="Times New Roman"/>
                <w:color w:val="000000"/>
                <w:sz w:val="21"/>
                <w:szCs w:val="21"/>
                <w:lang w:eastAsia="en-US"/>
              </w:rPr>
            </w:pPr>
            <w:r>
              <w:rPr>
                <w:rFonts w:eastAsia="Calibri" w:cs="Times New Roman"/>
                <w:color w:val="000000"/>
                <w:sz w:val="21"/>
                <w:szCs w:val="21"/>
                <w:lang w:eastAsia="en-US"/>
              </w:rPr>
              <w:t>pozostałe jednostki (oddzielnie)</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cPr>
          <w:p w14:paraId="13C73A87" w14:textId="1465733F" w:rsidR="00654783" w:rsidRDefault="003F4B26" w:rsidP="003F4B26">
            <w:pPr>
              <w:widowControl/>
              <w:autoSpaceDE/>
              <w:adjustRightInd/>
              <w:spacing w:line="240" w:lineRule="auto"/>
              <w:jc w:val="center"/>
              <w:rPr>
                <w:rFonts w:eastAsia="Calibri" w:cs="Times New Roman"/>
                <w:color w:val="000000"/>
                <w:sz w:val="21"/>
                <w:szCs w:val="21"/>
                <w:lang w:eastAsia="en-US"/>
              </w:rPr>
            </w:pPr>
            <w:r>
              <w:rPr>
                <w:rFonts w:eastAsia="Calibri" w:cs="Times New Roman"/>
                <w:color w:val="000000"/>
                <w:sz w:val="21"/>
                <w:szCs w:val="21"/>
                <w:lang w:eastAsia="en-US"/>
              </w:rPr>
              <w:t>0</w:t>
            </w:r>
          </w:p>
        </w:tc>
        <w:tc>
          <w:tcPr>
            <w:tcW w:w="557" w:type="dxa"/>
            <w:tcBorders>
              <w:top w:val="single" w:sz="4" w:space="0" w:color="auto"/>
              <w:left w:val="single" w:sz="4" w:space="0" w:color="auto"/>
              <w:bottom w:val="single" w:sz="4" w:space="0" w:color="auto"/>
              <w:right w:val="single" w:sz="4" w:space="0" w:color="auto"/>
            </w:tcBorders>
            <w:shd w:val="clear" w:color="auto" w:fill="FFFFFF"/>
          </w:tcPr>
          <w:p w14:paraId="5D1CFDBF" w14:textId="1302FF39" w:rsidR="00654783" w:rsidRDefault="003F4B26" w:rsidP="003F4B26">
            <w:pPr>
              <w:widowControl/>
              <w:autoSpaceDE/>
              <w:adjustRightInd/>
              <w:spacing w:line="240" w:lineRule="auto"/>
              <w:jc w:val="center"/>
              <w:rPr>
                <w:rFonts w:eastAsia="Calibri" w:cs="Times New Roman"/>
                <w:color w:val="000000"/>
                <w:sz w:val="21"/>
                <w:szCs w:val="21"/>
                <w:lang w:eastAsia="en-US"/>
              </w:rPr>
            </w:pPr>
            <w:r>
              <w:rPr>
                <w:rFonts w:eastAsia="Calibri" w:cs="Times New Roman"/>
                <w:color w:val="000000"/>
                <w:sz w:val="21"/>
                <w:szCs w:val="21"/>
                <w:lang w:eastAsia="en-US"/>
              </w:rPr>
              <w:t>0</w:t>
            </w:r>
          </w:p>
        </w:tc>
        <w:tc>
          <w:tcPr>
            <w:tcW w:w="570" w:type="dxa"/>
            <w:gridSpan w:val="2"/>
            <w:tcBorders>
              <w:top w:val="single" w:sz="4" w:space="0" w:color="auto"/>
              <w:left w:val="single" w:sz="4" w:space="0" w:color="auto"/>
              <w:bottom w:val="single" w:sz="4" w:space="0" w:color="auto"/>
              <w:right w:val="single" w:sz="4" w:space="0" w:color="auto"/>
            </w:tcBorders>
            <w:shd w:val="clear" w:color="auto" w:fill="FFFFFF"/>
          </w:tcPr>
          <w:p w14:paraId="3C3F64C6" w14:textId="7505DE2F" w:rsidR="00654783" w:rsidRDefault="003F4B26" w:rsidP="003F4B26">
            <w:pPr>
              <w:widowControl/>
              <w:autoSpaceDE/>
              <w:adjustRightInd/>
              <w:spacing w:line="240" w:lineRule="auto"/>
              <w:jc w:val="center"/>
              <w:rPr>
                <w:rFonts w:eastAsia="Calibri" w:cs="Times New Roman"/>
                <w:color w:val="000000"/>
                <w:sz w:val="21"/>
                <w:szCs w:val="21"/>
                <w:lang w:eastAsia="en-US"/>
              </w:rPr>
            </w:pPr>
            <w:r>
              <w:rPr>
                <w:rFonts w:eastAsia="Calibri" w:cs="Times New Roman"/>
                <w:color w:val="000000"/>
                <w:sz w:val="21"/>
                <w:szCs w:val="21"/>
                <w:lang w:eastAsia="en-US"/>
              </w:rPr>
              <w:t>0</w:t>
            </w:r>
          </w:p>
        </w:tc>
        <w:tc>
          <w:tcPr>
            <w:tcW w:w="569" w:type="dxa"/>
            <w:gridSpan w:val="3"/>
            <w:tcBorders>
              <w:top w:val="single" w:sz="4" w:space="0" w:color="auto"/>
              <w:left w:val="single" w:sz="4" w:space="0" w:color="auto"/>
              <w:bottom w:val="single" w:sz="4" w:space="0" w:color="auto"/>
              <w:right w:val="single" w:sz="4" w:space="0" w:color="auto"/>
            </w:tcBorders>
            <w:shd w:val="clear" w:color="auto" w:fill="FFFFFF"/>
          </w:tcPr>
          <w:p w14:paraId="6709D858" w14:textId="7D299EEA" w:rsidR="00654783" w:rsidRDefault="003F4B26" w:rsidP="003F4B26">
            <w:pPr>
              <w:widowControl/>
              <w:autoSpaceDE/>
              <w:adjustRightInd/>
              <w:spacing w:line="240" w:lineRule="auto"/>
              <w:jc w:val="center"/>
              <w:rPr>
                <w:rFonts w:eastAsia="Calibri" w:cs="Times New Roman"/>
                <w:color w:val="000000"/>
                <w:sz w:val="21"/>
                <w:szCs w:val="21"/>
                <w:lang w:eastAsia="en-US"/>
              </w:rPr>
            </w:pPr>
            <w:r>
              <w:rPr>
                <w:rFonts w:eastAsia="Calibri" w:cs="Times New Roman"/>
                <w:color w:val="000000"/>
                <w:sz w:val="21"/>
                <w:szCs w:val="21"/>
                <w:lang w:eastAsia="en-US"/>
              </w:rPr>
              <w:t>0</w:t>
            </w:r>
          </w:p>
        </w:tc>
        <w:tc>
          <w:tcPr>
            <w:tcW w:w="570" w:type="dxa"/>
            <w:gridSpan w:val="2"/>
            <w:tcBorders>
              <w:top w:val="single" w:sz="4" w:space="0" w:color="auto"/>
              <w:left w:val="single" w:sz="4" w:space="0" w:color="auto"/>
              <w:bottom w:val="single" w:sz="4" w:space="0" w:color="auto"/>
              <w:right w:val="single" w:sz="4" w:space="0" w:color="auto"/>
            </w:tcBorders>
            <w:shd w:val="clear" w:color="auto" w:fill="FFFFFF"/>
          </w:tcPr>
          <w:p w14:paraId="7FBD8EB1" w14:textId="40C2824D" w:rsidR="00654783" w:rsidRDefault="003F4B26" w:rsidP="003F4B26">
            <w:pPr>
              <w:widowControl/>
              <w:autoSpaceDE/>
              <w:adjustRightInd/>
              <w:spacing w:line="240" w:lineRule="auto"/>
              <w:jc w:val="center"/>
              <w:rPr>
                <w:rFonts w:eastAsia="Calibri" w:cs="Times New Roman"/>
                <w:color w:val="000000"/>
                <w:sz w:val="21"/>
                <w:szCs w:val="21"/>
                <w:lang w:eastAsia="en-US"/>
              </w:rPr>
            </w:pPr>
            <w:r>
              <w:rPr>
                <w:rFonts w:eastAsia="Calibri" w:cs="Times New Roman"/>
                <w:color w:val="000000"/>
                <w:sz w:val="21"/>
                <w:szCs w:val="21"/>
                <w:lang w:eastAsia="en-US"/>
              </w:rPr>
              <w:t>0</w:t>
            </w:r>
          </w:p>
        </w:tc>
        <w:tc>
          <w:tcPr>
            <w:tcW w:w="570" w:type="dxa"/>
            <w:tcBorders>
              <w:top w:val="single" w:sz="4" w:space="0" w:color="auto"/>
              <w:left w:val="single" w:sz="4" w:space="0" w:color="auto"/>
              <w:bottom w:val="single" w:sz="4" w:space="0" w:color="auto"/>
              <w:right w:val="single" w:sz="4" w:space="0" w:color="auto"/>
            </w:tcBorders>
            <w:shd w:val="clear" w:color="auto" w:fill="FFFFFF"/>
          </w:tcPr>
          <w:p w14:paraId="26181DA1" w14:textId="010D913A" w:rsidR="00654783" w:rsidRDefault="003F4B26" w:rsidP="003F4B26">
            <w:pPr>
              <w:widowControl/>
              <w:autoSpaceDE/>
              <w:adjustRightInd/>
              <w:spacing w:line="240" w:lineRule="auto"/>
              <w:jc w:val="center"/>
              <w:rPr>
                <w:rFonts w:eastAsia="Calibri" w:cs="Times New Roman"/>
                <w:color w:val="000000"/>
                <w:sz w:val="21"/>
                <w:szCs w:val="21"/>
                <w:lang w:eastAsia="en-US"/>
              </w:rPr>
            </w:pPr>
            <w:r>
              <w:rPr>
                <w:rFonts w:eastAsia="Calibri" w:cs="Times New Roman"/>
                <w:color w:val="000000"/>
                <w:sz w:val="21"/>
                <w:szCs w:val="21"/>
                <w:lang w:eastAsia="en-US"/>
              </w:rPr>
              <w:t>0</w:t>
            </w:r>
          </w:p>
        </w:tc>
        <w:tc>
          <w:tcPr>
            <w:tcW w:w="570" w:type="dxa"/>
            <w:gridSpan w:val="3"/>
            <w:tcBorders>
              <w:top w:val="single" w:sz="4" w:space="0" w:color="auto"/>
              <w:left w:val="single" w:sz="4" w:space="0" w:color="auto"/>
              <w:bottom w:val="single" w:sz="4" w:space="0" w:color="auto"/>
              <w:right w:val="single" w:sz="4" w:space="0" w:color="auto"/>
            </w:tcBorders>
            <w:shd w:val="clear" w:color="auto" w:fill="FFFFFF"/>
          </w:tcPr>
          <w:p w14:paraId="063570C0" w14:textId="00891BF7" w:rsidR="00654783" w:rsidRDefault="003F4B26" w:rsidP="003F4B26">
            <w:pPr>
              <w:widowControl/>
              <w:autoSpaceDE/>
              <w:adjustRightInd/>
              <w:spacing w:line="240" w:lineRule="auto"/>
              <w:jc w:val="center"/>
              <w:rPr>
                <w:rFonts w:eastAsia="Calibri" w:cs="Times New Roman"/>
                <w:color w:val="000000"/>
                <w:sz w:val="21"/>
                <w:szCs w:val="21"/>
                <w:lang w:eastAsia="en-US"/>
              </w:rPr>
            </w:pPr>
            <w:r>
              <w:rPr>
                <w:rFonts w:eastAsia="Calibri" w:cs="Times New Roman"/>
                <w:color w:val="000000"/>
                <w:sz w:val="21"/>
                <w:szCs w:val="21"/>
                <w:lang w:eastAsia="en-US"/>
              </w:rPr>
              <w:t>0</w:t>
            </w:r>
          </w:p>
        </w:tc>
        <w:tc>
          <w:tcPr>
            <w:tcW w:w="569" w:type="dxa"/>
            <w:gridSpan w:val="3"/>
            <w:tcBorders>
              <w:top w:val="single" w:sz="4" w:space="0" w:color="auto"/>
              <w:left w:val="single" w:sz="4" w:space="0" w:color="auto"/>
              <w:bottom w:val="single" w:sz="4" w:space="0" w:color="auto"/>
              <w:right w:val="single" w:sz="4" w:space="0" w:color="auto"/>
            </w:tcBorders>
            <w:shd w:val="clear" w:color="auto" w:fill="FFFFFF"/>
          </w:tcPr>
          <w:p w14:paraId="4B331F43" w14:textId="2702878F" w:rsidR="00654783" w:rsidRDefault="003F4B26" w:rsidP="003F4B26">
            <w:pPr>
              <w:widowControl/>
              <w:autoSpaceDE/>
              <w:adjustRightInd/>
              <w:spacing w:line="240" w:lineRule="auto"/>
              <w:jc w:val="center"/>
              <w:rPr>
                <w:rFonts w:eastAsia="Calibri" w:cs="Times New Roman"/>
                <w:color w:val="000000"/>
                <w:sz w:val="21"/>
                <w:szCs w:val="21"/>
                <w:lang w:eastAsia="en-US"/>
              </w:rPr>
            </w:pPr>
            <w:r>
              <w:rPr>
                <w:rFonts w:eastAsia="Calibri" w:cs="Times New Roman"/>
                <w:color w:val="000000"/>
                <w:sz w:val="21"/>
                <w:szCs w:val="21"/>
                <w:lang w:eastAsia="en-US"/>
              </w:rPr>
              <w:t>0</w:t>
            </w:r>
          </w:p>
        </w:tc>
        <w:tc>
          <w:tcPr>
            <w:tcW w:w="570" w:type="dxa"/>
            <w:gridSpan w:val="2"/>
            <w:tcBorders>
              <w:top w:val="single" w:sz="4" w:space="0" w:color="auto"/>
              <w:left w:val="single" w:sz="4" w:space="0" w:color="auto"/>
              <w:bottom w:val="single" w:sz="4" w:space="0" w:color="auto"/>
              <w:right w:val="single" w:sz="4" w:space="0" w:color="auto"/>
            </w:tcBorders>
            <w:shd w:val="clear" w:color="auto" w:fill="FFFFFF"/>
          </w:tcPr>
          <w:p w14:paraId="034318F2" w14:textId="27173A19" w:rsidR="00654783" w:rsidRDefault="003F4B26" w:rsidP="003F4B26">
            <w:pPr>
              <w:widowControl/>
              <w:autoSpaceDE/>
              <w:adjustRightInd/>
              <w:spacing w:line="240" w:lineRule="auto"/>
              <w:jc w:val="center"/>
              <w:rPr>
                <w:rFonts w:eastAsia="Calibri" w:cs="Times New Roman"/>
                <w:color w:val="000000"/>
                <w:sz w:val="21"/>
                <w:szCs w:val="21"/>
                <w:lang w:eastAsia="en-US"/>
              </w:rPr>
            </w:pPr>
            <w:r>
              <w:rPr>
                <w:rFonts w:eastAsia="Calibri" w:cs="Times New Roman"/>
                <w:color w:val="000000"/>
                <w:sz w:val="21"/>
                <w:szCs w:val="21"/>
                <w:lang w:eastAsia="en-US"/>
              </w:rPr>
              <w:t>0</w:t>
            </w:r>
          </w:p>
        </w:tc>
        <w:tc>
          <w:tcPr>
            <w:tcW w:w="570" w:type="dxa"/>
            <w:gridSpan w:val="2"/>
            <w:tcBorders>
              <w:top w:val="single" w:sz="4" w:space="0" w:color="auto"/>
              <w:left w:val="single" w:sz="4" w:space="0" w:color="auto"/>
              <w:bottom w:val="single" w:sz="4" w:space="0" w:color="auto"/>
              <w:right w:val="single" w:sz="4" w:space="0" w:color="auto"/>
            </w:tcBorders>
            <w:shd w:val="clear" w:color="auto" w:fill="FFFFFF"/>
          </w:tcPr>
          <w:p w14:paraId="4020B9F4" w14:textId="411CA4AA" w:rsidR="00654783" w:rsidRDefault="003F4B26" w:rsidP="003F4B26">
            <w:pPr>
              <w:widowControl/>
              <w:autoSpaceDE/>
              <w:adjustRightInd/>
              <w:spacing w:line="240" w:lineRule="auto"/>
              <w:jc w:val="center"/>
              <w:rPr>
                <w:rFonts w:eastAsia="Calibri" w:cs="Times New Roman"/>
                <w:color w:val="000000"/>
                <w:sz w:val="21"/>
                <w:szCs w:val="21"/>
                <w:lang w:eastAsia="en-US"/>
              </w:rPr>
            </w:pPr>
            <w:r>
              <w:rPr>
                <w:rFonts w:eastAsia="Calibri" w:cs="Times New Roman"/>
                <w:color w:val="000000"/>
                <w:sz w:val="21"/>
                <w:szCs w:val="21"/>
                <w:lang w:eastAsia="en-US"/>
              </w:rPr>
              <w:t>0</w:t>
            </w:r>
          </w:p>
        </w:tc>
        <w:tc>
          <w:tcPr>
            <w:tcW w:w="570" w:type="dxa"/>
            <w:tcBorders>
              <w:top w:val="single" w:sz="4" w:space="0" w:color="auto"/>
              <w:left w:val="single" w:sz="4" w:space="0" w:color="auto"/>
              <w:bottom w:val="single" w:sz="4" w:space="0" w:color="auto"/>
              <w:right w:val="single" w:sz="4" w:space="0" w:color="auto"/>
            </w:tcBorders>
            <w:shd w:val="clear" w:color="auto" w:fill="FFFFFF"/>
          </w:tcPr>
          <w:p w14:paraId="428AAEC4" w14:textId="02E5EC35" w:rsidR="00654783" w:rsidRDefault="003F4B26" w:rsidP="003F4B26">
            <w:pPr>
              <w:widowControl/>
              <w:autoSpaceDE/>
              <w:adjustRightInd/>
              <w:spacing w:line="240" w:lineRule="auto"/>
              <w:jc w:val="center"/>
              <w:rPr>
                <w:rFonts w:eastAsia="Calibri" w:cs="Times New Roman"/>
                <w:color w:val="000000"/>
                <w:sz w:val="21"/>
                <w:szCs w:val="21"/>
                <w:lang w:eastAsia="en-US"/>
              </w:rPr>
            </w:pPr>
            <w:r>
              <w:rPr>
                <w:rFonts w:eastAsia="Calibri" w:cs="Times New Roman"/>
                <w:color w:val="000000"/>
                <w:sz w:val="21"/>
                <w:szCs w:val="21"/>
                <w:lang w:eastAsia="en-US"/>
              </w:rPr>
              <w:t>0</w:t>
            </w:r>
          </w:p>
        </w:tc>
        <w:tc>
          <w:tcPr>
            <w:tcW w:w="1547" w:type="dxa"/>
            <w:gridSpan w:val="3"/>
            <w:tcBorders>
              <w:top w:val="single" w:sz="4" w:space="0" w:color="auto"/>
              <w:left w:val="single" w:sz="4" w:space="0" w:color="auto"/>
              <w:bottom w:val="single" w:sz="4" w:space="0" w:color="auto"/>
              <w:right w:val="single" w:sz="4" w:space="0" w:color="auto"/>
            </w:tcBorders>
            <w:shd w:val="clear" w:color="auto" w:fill="FFFFFF"/>
          </w:tcPr>
          <w:p w14:paraId="5D5F7FF9" w14:textId="49A37256" w:rsidR="00654783" w:rsidRDefault="003F4B26" w:rsidP="003F4B26">
            <w:pPr>
              <w:widowControl/>
              <w:autoSpaceDE/>
              <w:adjustRightInd/>
              <w:spacing w:line="240" w:lineRule="auto"/>
              <w:jc w:val="center"/>
              <w:rPr>
                <w:rFonts w:eastAsia="Calibri" w:cs="Times New Roman"/>
                <w:color w:val="000000"/>
                <w:sz w:val="21"/>
                <w:szCs w:val="21"/>
                <w:lang w:eastAsia="en-US"/>
              </w:rPr>
            </w:pPr>
            <w:r>
              <w:rPr>
                <w:rFonts w:eastAsia="Calibri" w:cs="Times New Roman"/>
                <w:color w:val="000000"/>
                <w:sz w:val="21"/>
                <w:szCs w:val="21"/>
                <w:lang w:eastAsia="en-US"/>
              </w:rPr>
              <w:t>0</w:t>
            </w:r>
          </w:p>
        </w:tc>
      </w:tr>
      <w:tr w:rsidR="00654783" w14:paraId="119D96F9" w14:textId="77777777" w:rsidTr="00AF10B0">
        <w:trPr>
          <w:trHeight w:val="330"/>
        </w:trPr>
        <w:tc>
          <w:tcPr>
            <w:tcW w:w="3006"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14:paraId="051C56CE" w14:textId="77777777" w:rsidR="00654783" w:rsidRDefault="00654783">
            <w:pPr>
              <w:widowControl/>
              <w:autoSpaceDE/>
              <w:adjustRightInd/>
              <w:spacing w:line="240" w:lineRule="auto"/>
              <w:rPr>
                <w:rFonts w:eastAsia="Calibri" w:cs="Times New Roman"/>
                <w:color w:val="000000"/>
                <w:sz w:val="21"/>
                <w:szCs w:val="21"/>
                <w:lang w:eastAsia="en-US"/>
              </w:rPr>
            </w:pPr>
            <w:r>
              <w:rPr>
                <w:rFonts w:eastAsia="Calibri" w:cs="Times New Roman"/>
                <w:b/>
                <w:color w:val="000000"/>
                <w:sz w:val="21"/>
                <w:szCs w:val="21"/>
                <w:lang w:eastAsia="en-US"/>
              </w:rPr>
              <w:t>Wydatki ogółem</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cPr>
          <w:p w14:paraId="2B3ACCA4" w14:textId="6864DB27" w:rsidR="00654783" w:rsidRPr="00AF10B0" w:rsidRDefault="00AF10B0" w:rsidP="00AF10B0">
            <w:pPr>
              <w:widowControl/>
              <w:autoSpaceDE/>
              <w:adjustRightInd/>
              <w:spacing w:line="240" w:lineRule="auto"/>
              <w:jc w:val="center"/>
              <w:rPr>
                <w:rFonts w:eastAsia="Calibri" w:cs="Times New Roman"/>
                <w:color w:val="000000"/>
                <w:sz w:val="18"/>
                <w:szCs w:val="18"/>
                <w:lang w:eastAsia="en-US"/>
              </w:rPr>
            </w:pPr>
            <w:r w:rsidRPr="00AF10B0">
              <w:rPr>
                <w:rFonts w:eastAsia="Calibri" w:cs="Times New Roman"/>
                <w:color w:val="000000"/>
                <w:sz w:val="18"/>
                <w:szCs w:val="18"/>
                <w:lang w:eastAsia="en-US"/>
              </w:rPr>
              <w:t>0,339</w:t>
            </w:r>
          </w:p>
        </w:tc>
        <w:tc>
          <w:tcPr>
            <w:tcW w:w="557" w:type="dxa"/>
            <w:tcBorders>
              <w:top w:val="single" w:sz="4" w:space="0" w:color="auto"/>
              <w:left w:val="single" w:sz="4" w:space="0" w:color="auto"/>
              <w:bottom w:val="single" w:sz="4" w:space="0" w:color="auto"/>
              <w:right w:val="single" w:sz="4" w:space="0" w:color="auto"/>
            </w:tcBorders>
            <w:shd w:val="clear" w:color="auto" w:fill="FFFFFF"/>
          </w:tcPr>
          <w:p w14:paraId="09C98513" w14:textId="788E1D38" w:rsidR="00654783" w:rsidRDefault="00AF10B0" w:rsidP="00AF10B0">
            <w:pPr>
              <w:widowControl/>
              <w:autoSpaceDE/>
              <w:adjustRightInd/>
              <w:spacing w:line="240" w:lineRule="auto"/>
              <w:jc w:val="center"/>
              <w:rPr>
                <w:rFonts w:eastAsia="Calibri" w:cs="Times New Roman"/>
                <w:color w:val="000000"/>
                <w:sz w:val="21"/>
                <w:szCs w:val="21"/>
                <w:lang w:eastAsia="en-US"/>
              </w:rPr>
            </w:pPr>
            <w:r>
              <w:rPr>
                <w:rFonts w:eastAsia="Calibri" w:cs="Times New Roman"/>
                <w:color w:val="000000"/>
                <w:sz w:val="21"/>
                <w:szCs w:val="21"/>
                <w:lang w:eastAsia="en-US"/>
              </w:rPr>
              <w:t>0</w:t>
            </w:r>
          </w:p>
        </w:tc>
        <w:tc>
          <w:tcPr>
            <w:tcW w:w="570" w:type="dxa"/>
            <w:gridSpan w:val="2"/>
            <w:tcBorders>
              <w:top w:val="single" w:sz="4" w:space="0" w:color="auto"/>
              <w:left w:val="single" w:sz="4" w:space="0" w:color="auto"/>
              <w:bottom w:val="single" w:sz="4" w:space="0" w:color="auto"/>
              <w:right w:val="single" w:sz="4" w:space="0" w:color="auto"/>
            </w:tcBorders>
            <w:shd w:val="clear" w:color="auto" w:fill="FFFFFF"/>
          </w:tcPr>
          <w:p w14:paraId="1302E70C" w14:textId="7F03E633" w:rsidR="00654783" w:rsidRDefault="00AF10B0" w:rsidP="00AF10B0">
            <w:pPr>
              <w:widowControl/>
              <w:autoSpaceDE/>
              <w:adjustRightInd/>
              <w:spacing w:line="240" w:lineRule="auto"/>
              <w:jc w:val="center"/>
              <w:rPr>
                <w:rFonts w:eastAsia="Calibri" w:cs="Times New Roman"/>
                <w:color w:val="000000"/>
                <w:sz w:val="21"/>
                <w:szCs w:val="21"/>
                <w:lang w:eastAsia="en-US"/>
              </w:rPr>
            </w:pPr>
            <w:r>
              <w:rPr>
                <w:rFonts w:eastAsia="Calibri" w:cs="Times New Roman"/>
                <w:color w:val="000000"/>
                <w:sz w:val="21"/>
                <w:szCs w:val="21"/>
                <w:lang w:eastAsia="en-US"/>
              </w:rPr>
              <w:t>0</w:t>
            </w:r>
          </w:p>
        </w:tc>
        <w:tc>
          <w:tcPr>
            <w:tcW w:w="569" w:type="dxa"/>
            <w:gridSpan w:val="3"/>
            <w:tcBorders>
              <w:top w:val="single" w:sz="4" w:space="0" w:color="auto"/>
              <w:left w:val="single" w:sz="4" w:space="0" w:color="auto"/>
              <w:bottom w:val="single" w:sz="4" w:space="0" w:color="auto"/>
              <w:right w:val="single" w:sz="4" w:space="0" w:color="auto"/>
            </w:tcBorders>
            <w:shd w:val="clear" w:color="auto" w:fill="FFFFFF"/>
          </w:tcPr>
          <w:p w14:paraId="71667339" w14:textId="53A33247" w:rsidR="00654783" w:rsidRDefault="00AF10B0" w:rsidP="00AF10B0">
            <w:pPr>
              <w:widowControl/>
              <w:autoSpaceDE/>
              <w:adjustRightInd/>
              <w:spacing w:line="240" w:lineRule="auto"/>
              <w:jc w:val="center"/>
              <w:rPr>
                <w:rFonts w:eastAsia="Calibri" w:cs="Times New Roman"/>
                <w:color w:val="000000"/>
                <w:sz w:val="21"/>
                <w:szCs w:val="21"/>
                <w:lang w:eastAsia="en-US"/>
              </w:rPr>
            </w:pPr>
            <w:r>
              <w:rPr>
                <w:rFonts w:eastAsia="Calibri" w:cs="Times New Roman"/>
                <w:color w:val="000000"/>
                <w:sz w:val="21"/>
                <w:szCs w:val="21"/>
                <w:lang w:eastAsia="en-US"/>
              </w:rPr>
              <w:t>0</w:t>
            </w:r>
          </w:p>
        </w:tc>
        <w:tc>
          <w:tcPr>
            <w:tcW w:w="570" w:type="dxa"/>
            <w:gridSpan w:val="2"/>
            <w:tcBorders>
              <w:top w:val="single" w:sz="4" w:space="0" w:color="auto"/>
              <w:left w:val="single" w:sz="4" w:space="0" w:color="auto"/>
              <w:bottom w:val="single" w:sz="4" w:space="0" w:color="auto"/>
              <w:right w:val="single" w:sz="4" w:space="0" w:color="auto"/>
            </w:tcBorders>
            <w:shd w:val="clear" w:color="auto" w:fill="FFFFFF"/>
          </w:tcPr>
          <w:p w14:paraId="025F56EF" w14:textId="36CCC275" w:rsidR="00654783" w:rsidRDefault="00AF10B0" w:rsidP="00AF10B0">
            <w:pPr>
              <w:widowControl/>
              <w:autoSpaceDE/>
              <w:adjustRightInd/>
              <w:spacing w:line="240" w:lineRule="auto"/>
              <w:jc w:val="center"/>
              <w:rPr>
                <w:rFonts w:eastAsia="Calibri" w:cs="Times New Roman"/>
                <w:color w:val="000000"/>
                <w:sz w:val="21"/>
                <w:szCs w:val="21"/>
                <w:lang w:eastAsia="en-US"/>
              </w:rPr>
            </w:pPr>
            <w:r>
              <w:rPr>
                <w:rFonts w:eastAsia="Calibri" w:cs="Times New Roman"/>
                <w:color w:val="000000"/>
                <w:sz w:val="21"/>
                <w:szCs w:val="21"/>
                <w:lang w:eastAsia="en-US"/>
              </w:rPr>
              <w:t>0</w:t>
            </w:r>
          </w:p>
        </w:tc>
        <w:tc>
          <w:tcPr>
            <w:tcW w:w="570" w:type="dxa"/>
            <w:tcBorders>
              <w:top w:val="single" w:sz="4" w:space="0" w:color="auto"/>
              <w:left w:val="single" w:sz="4" w:space="0" w:color="auto"/>
              <w:bottom w:val="single" w:sz="4" w:space="0" w:color="auto"/>
              <w:right w:val="single" w:sz="4" w:space="0" w:color="auto"/>
            </w:tcBorders>
            <w:shd w:val="clear" w:color="auto" w:fill="FFFFFF"/>
          </w:tcPr>
          <w:p w14:paraId="1E96C0CE" w14:textId="684CD539" w:rsidR="00654783" w:rsidRDefault="00AF10B0" w:rsidP="00AF10B0">
            <w:pPr>
              <w:widowControl/>
              <w:autoSpaceDE/>
              <w:adjustRightInd/>
              <w:spacing w:line="240" w:lineRule="auto"/>
              <w:jc w:val="center"/>
              <w:rPr>
                <w:rFonts w:eastAsia="Calibri" w:cs="Times New Roman"/>
                <w:color w:val="000000"/>
                <w:sz w:val="21"/>
                <w:szCs w:val="21"/>
                <w:lang w:eastAsia="en-US"/>
              </w:rPr>
            </w:pPr>
            <w:r>
              <w:rPr>
                <w:rFonts w:eastAsia="Calibri" w:cs="Times New Roman"/>
                <w:color w:val="000000"/>
                <w:sz w:val="21"/>
                <w:szCs w:val="21"/>
                <w:lang w:eastAsia="en-US"/>
              </w:rPr>
              <w:t>0</w:t>
            </w:r>
          </w:p>
        </w:tc>
        <w:tc>
          <w:tcPr>
            <w:tcW w:w="570" w:type="dxa"/>
            <w:gridSpan w:val="3"/>
            <w:tcBorders>
              <w:top w:val="single" w:sz="4" w:space="0" w:color="auto"/>
              <w:left w:val="single" w:sz="4" w:space="0" w:color="auto"/>
              <w:bottom w:val="single" w:sz="4" w:space="0" w:color="auto"/>
              <w:right w:val="single" w:sz="4" w:space="0" w:color="auto"/>
            </w:tcBorders>
            <w:shd w:val="clear" w:color="auto" w:fill="FFFFFF"/>
          </w:tcPr>
          <w:p w14:paraId="186F583C" w14:textId="669CD9ED" w:rsidR="00654783" w:rsidRDefault="00AF10B0" w:rsidP="00AF10B0">
            <w:pPr>
              <w:widowControl/>
              <w:autoSpaceDE/>
              <w:adjustRightInd/>
              <w:spacing w:line="240" w:lineRule="auto"/>
              <w:jc w:val="center"/>
              <w:rPr>
                <w:rFonts w:eastAsia="Calibri" w:cs="Times New Roman"/>
                <w:color w:val="000000"/>
                <w:sz w:val="21"/>
                <w:szCs w:val="21"/>
                <w:lang w:eastAsia="en-US"/>
              </w:rPr>
            </w:pPr>
            <w:r>
              <w:rPr>
                <w:rFonts w:eastAsia="Calibri" w:cs="Times New Roman"/>
                <w:color w:val="000000"/>
                <w:sz w:val="21"/>
                <w:szCs w:val="21"/>
                <w:lang w:eastAsia="en-US"/>
              </w:rPr>
              <w:t>0</w:t>
            </w:r>
          </w:p>
        </w:tc>
        <w:tc>
          <w:tcPr>
            <w:tcW w:w="569" w:type="dxa"/>
            <w:gridSpan w:val="3"/>
            <w:tcBorders>
              <w:top w:val="single" w:sz="4" w:space="0" w:color="auto"/>
              <w:left w:val="single" w:sz="4" w:space="0" w:color="auto"/>
              <w:bottom w:val="single" w:sz="4" w:space="0" w:color="auto"/>
              <w:right w:val="single" w:sz="4" w:space="0" w:color="auto"/>
            </w:tcBorders>
            <w:shd w:val="clear" w:color="auto" w:fill="FFFFFF"/>
          </w:tcPr>
          <w:p w14:paraId="0298C586" w14:textId="2A613A5B" w:rsidR="00654783" w:rsidRDefault="00AF10B0" w:rsidP="00AF10B0">
            <w:pPr>
              <w:widowControl/>
              <w:autoSpaceDE/>
              <w:adjustRightInd/>
              <w:spacing w:line="240" w:lineRule="auto"/>
              <w:jc w:val="center"/>
              <w:rPr>
                <w:rFonts w:eastAsia="Calibri" w:cs="Times New Roman"/>
                <w:color w:val="000000"/>
                <w:sz w:val="21"/>
                <w:szCs w:val="21"/>
                <w:lang w:eastAsia="en-US"/>
              </w:rPr>
            </w:pPr>
            <w:r>
              <w:rPr>
                <w:rFonts w:eastAsia="Calibri" w:cs="Times New Roman"/>
                <w:color w:val="000000"/>
                <w:sz w:val="21"/>
                <w:szCs w:val="21"/>
                <w:lang w:eastAsia="en-US"/>
              </w:rPr>
              <w:t>0</w:t>
            </w:r>
          </w:p>
        </w:tc>
        <w:tc>
          <w:tcPr>
            <w:tcW w:w="570" w:type="dxa"/>
            <w:gridSpan w:val="2"/>
            <w:tcBorders>
              <w:top w:val="single" w:sz="4" w:space="0" w:color="auto"/>
              <w:left w:val="single" w:sz="4" w:space="0" w:color="auto"/>
              <w:bottom w:val="single" w:sz="4" w:space="0" w:color="auto"/>
              <w:right w:val="single" w:sz="4" w:space="0" w:color="auto"/>
            </w:tcBorders>
            <w:shd w:val="clear" w:color="auto" w:fill="FFFFFF"/>
          </w:tcPr>
          <w:p w14:paraId="39DE6359" w14:textId="6F08860E" w:rsidR="00654783" w:rsidRDefault="00AF10B0" w:rsidP="00AF10B0">
            <w:pPr>
              <w:widowControl/>
              <w:autoSpaceDE/>
              <w:adjustRightInd/>
              <w:spacing w:line="240" w:lineRule="auto"/>
              <w:jc w:val="center"/>
              <w:rPr>
                <w:rFonts w:eastAsia="Calibri" w:cs="Times New Roman"/>
                <w:color w:val="000000"/>
                <w:sz w:val="21"/>
                <w:szCs w:val="21"/>
                <w:lang w:eastAsia="en-US"/>
              </w:rPr>
            </w:pPr>
            <w:r>
              <w:rPr>
                <w:rFonts w:eastAsia="Calibri" w:cs="Times New Roman"/>
                <w:color w:val="000000"/>
                <w:sz w:val="21"/>
                <w:szCs w:val="21"/>
                <w:lang w:eastAsia="en-US"/>
              </w:rPr>
              <w:t>0</w:t>
            </w:r>
          </w:p>
        </w:tc>
        <w:tc>
          <w:tcPr>
            <w:tcW w:w="570" w:type="dxa"/>
            <w:gridSpan w:val="2"/>
            <w:tcBorders>
              <w:top w:val="single" w:sz="4" w:space="0" w:color="auto"/>
              <w:left w:val="single" w:sz="4" w:space="0" w:color="auto"/>
              <w:bottom w:val="single" w:sz="4" w:space="0" w:color="auto"/>
              <w:right w:val="single" w:sz="4" w:space="0" w:color="auto"/>
            </w:tcBorders>
            <w:shd w:val="clear" w:color="auto" w:fill="FFFFFF"/>
          </w:tcPr>
          <w:p w14:paraId="2396139F" w14:textId="350BAE7D" w:rsidR="00654783" w:rsidRDefault="00AF10B0" w:rsidP="00AF10B0">
            <w:pPr>
              <w:widowControl/>
              <w:autoSpaceDE/>
              <w:adjustRightInd/>
              <w:spacing w:line="240" w:lineRule="auto"/>
              <w:jc w:val="center"/>
              <w:rPr>
                <w:rFonts w:eastAsia="Calibri" w:cs="Times New Roman"/>
                <w:color w:val="000000"/>
                <w:sz w:val="21"/>
                <w:szCs w:val="21"/>
                <w:lang w:eastAsia="en-US"/>
              </w:rPr>
            </w:pPr>
            <w:r>
              <w:rPr>
                <w:rFonts w:eastAsia="Calibri" w:cs="Times New Roman"/>
                <w:color w:val="000000"/>
                <w:sz w:val="21"/>
                <w:szCs w:val="21"/>
                <w:lang w:eastAsia="en-US"/>
              </w:rPr>
              <w:t>0</w:t>
            </w:r>
          </w:p>
        </w:tc>
        <w:tc>
          <w:tcPr>
            <w:tcW w:w="570" w:type="dxa"/>
            <w:tcBorders>
              <w:top w:val="single" w:sz="4" w:space="0" w:color="auto"/>
              <w:left w:val="single" w:sz="4" w:space="0" w:color="auto"/>
              <w:bottom w:val="single" w:sz="4" w:space="0" w:color="auto"/>
              <w:right w:val="single" w:sz="4" w:space="0" w:color="auto"/>
            </w:tcBorders>
            <w:shd w:val="clear" w:color="auto" w:fill="FFFFFF"/>
          </w:tcPr>
          <w:p w14:paraId="4F7B6D6A" w14:textId="1C31BE5D" w:rsidR="00654783" w:rsidRDefault="00AF10B0" w:rsidP="00AF10B0">
            <w:pPr>
              <w:widowControl/>
              <w:autoSpaceDE/>
              <w:adjustRightInd/>
              <w:spacing w:line="240" w:lineRule="auto"/>
              <w:jc w:val="center"/>
              <w:rPr>
                <w:rFonts w:eastAsia="Calibri" w:cs="Times New Roman"/>
                <w:color w:val="000000"/>
                <w:sz w:val="21"/>
                <w:szCs w:val="21"/>
                <w:lang w:eastAsia="en-US"/>
              </w:rPr>
            </w:pPr>
            <w:r>
              <w:rPr>
                <w:rFonts w:eastAsia="Calibri" w:cs="Times New Roman"/>
                <w:color w:val="000000"/>
                <w:sz w:val="21"/>
                <w:szCs w:val="21"/>
                <w:lang w:eastAsia="en-US"/>
              </w:rPr>
              <w:t>0</w:t>
            </w:r>
          </w:p>
        </w:tc>
        <w:tc>
          <w:tcPr>
            <w:tcW w:w="1547" w:type="dxa"/>
            <w:gridSpan w:val="3"/>
            <w:tcBorders>
              <w:top w:val="single" w:sz="4" w:space="0" w:color="auto"/>
              <w:left w:val="single" w:sz="4" w:space="0" w:color="auto"/>
              <w:bottom w:val="single" w:sz="4" w:space="0" w:color="auto"/>
              <w:right w:val="single" w:sz="4" w:space="0" w:color="auto"/>
            </w:tcBorders>
            <w:shd w:val="clear" w:color="auto" w:fill="FFFFFF"/>
          </w:tcPr>
          <w:p w14:paraId="4D214D41" w14:textId="003855FE" w:rsidR="00654783" w:rsidRPr="000A5943" w:rsidRDefault="00AF10B0" w:rsidP="00AF10B0">
            <w:pPr>
              <w:widowControl/>
              <w:autoSpaceDE/>
              <w:adjustRightInd/>
              <w:spacing w:line="240" w:lineRule="auto"/>
              <w:jc w:val="center"/>
              <w:rPr>
                <w:rFonts w:eastAsia="Calibri" w:cs="Times New Roman"/>
                <w:color w:val="000000"/>
                <w:sz w:val="18"/>
                <w:szCs w:val="18"/>
                <w:lang w:eastAsia="en-US"/>
              </w:rPr>
            </w:pPr>
            <w:r w:rsidRPr="000A5943">
              <w:rPr>
                <w:rFonts w:eastAsia="Calibri" w:cs="Times New Roman"/>
                <w:color w:val="000000"/>
                <w:sz w:val="18"/>
                <w:szCs w:val="18"/>
                <w:lang w:eastAsia="en-US"/>
              </w:rPr>
              <w:t>0,339</w:t>
            </w:r>
          </w:p>
        </w:tc>
      </w:tr>
      <w:tr w:rsidR="00654783" w14:paraId="42FA3EED" w14:textId="77777777" w:rsidTr="00AF10B0">
        <w:trPr>
          <w:trHeight w:val="330"/>
        </w:trPr>
        <w:tc>
          <w:tcPr>
            <w:tcW w:w="3006"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14:paraId="65B5988F" w14:textId="77777777" w:rsidR="00654783" w:rsidRDefault="00654783">
            <w:pPr>
              <w:widowControl/>
              <w:autoSpaceDE/>
              <w:adjustRightInd/>
              <w:spacing w:line="240" w:lineRule="auto"/>
              <w:rPr>
                <w:rFonts w:eastAsia="Calibri" w:cs="Times New Roman"/>
                <w:color w:val="000000"/>
                <w:sz w:val="21"/>
                <w:szCs w:val="21"/>
                <w:lang w:eastAsia="en-US"/>
              </w:rPr>
            </w:pPr>
            <w:r>
              <w:rPr>
                <w:rFonts w:eastAsia="Calibri" w:cs="Times New Roman"/>
                <w:color w:val="000000"/>
                <w:sz w:val="21"/>
                <w:szCs w:val="21"/>
                <w:lang w:eastAsia="en-US"/>
              </w:rPr>
              <w:t>budżet państwa</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cPr>
          <w:p w14:paraId="02AA9872" w14:textId="00E63513" w:rsidR="00654783" w:rsidRDefault="00AF10B0" w:rsidP="00AF10B0">
            <w:pPr>
              <w:widowControl/>
              <w:autoSpaceDE/>
              <w:adjustRightInd/>
              <w:spacing w:line="240" w:lineRule="auto"/>
              <w:jc w:val="center"/>
              <w:rPr>
                <w:rFonts w:eastAsia="Calibri" w:cs="Times New Roman"/>
                <w:color w:val="000000"/>
                <w:sz w:val="21"/>
                <w:szCs w:val="21"/>
                <w:lang w:eastAsia="en-US"/>
              </w:rPr>
            </w:pPr>
            <w:r w:rsidRPr="00AF10B0">
              <w:rPr>
                <w:rFonts w:eastAsia="Calibri" w:cs="Times New Roman"/>
                <w:color w:val="000000"/>
                <w:sz w:val="18"/>
                <w:szCs w:val="18"/>
                <w:lang w:eastAsia="en-US"/>
              </w:rPr>
              <w:t>0,339</w:t>
            </w:r>
          </w:p>
        </w:tc>
        <w:tc>
          <w:tcPr>
            <w:tcW w:w="557" w:type="dxa"/>
            <w:tcBorders>
              <w:top w:val="single" w:sz="4" w:space="0" w:color="auto"/>
              <w:left w:val="single" w:sz="4" w:space="0" w:color="auto"/>
              <w:bottom w:val="single" w:sz="4" w:space="0" w:color="auto"/>
              <w:right w:val="single" w:sz="4" w:space="0" w:color="auto"/>
            </w:tcBorders>
            <w:shd w:val="clear" w:color="auto" w:fill="FFFFFF"/>
          </w:tcPr>
          <w:p w14:paraId="65A6EF81" w14:textId="49B49B76" w:rsidR="00654783" w:rsidRDefault="00AF10B0" w:rsidP="00AF10B0">
            <w:pPr>
              <w:widowControl/>
              <w:autoSpaceDE/>
              <w:adjustRightInd/>
              <w:spacing w:line="240" w:lineRule="auto"/>
              <w:jc w:val="center"/>
              <w:rPr>
                <w:rFonts w:eastAsia="Calibri" w:cs="Times New Roman"/>
                <w:color w:val="000000"/>
                <w:sz w:val="21"/>
                <w:szCs w:val="21"/>
                <w:lang w:eastAsia="en-US"/>
              </w:rPr>
            </w:pPr>
            <w:r>
              <w:rPr>
                <w:rFonts w:eastAsia="Calibri" w:cs="Times New Roman"/>
                <w:color w:val="000000"/>
                <w:sz w:val="21"/>
                <w:szCs w:val="21"/>
                <w:lang w:eastAsia="en-US"/>
              </w:rPr>
              <w:t>0</w:t>
            </w:r>
          </w:p>
        </w:tc>
        <w:tc>
          <w:tcPr>
            <w:tcW w:w="570" w:type="dxa"/>
            <w:gridSpan w:val="2"/>
            <w:tcBorders>
              <w:top w:val="single" w:sz="4" w:space="0" w:color="auto"/>
              <w:left w:val="single" w:sz="4" w:space="0" w:color="auto"/>
              <w:bottom w:val="single" w:sz="4" w:space="0" w:color="auto"/>
              <w:right w:val="single" w:sz="4" w:space="0" w:color="auto"/>
            </w:tcBorders>
            <w:shd w:val="clear" w:color="auto" w:fill="FFFFFF"/>
          </w:tcPr>
          <w:p w14:paraId="503F1A81" w14:textId="30BCE246" w:rsidR="00654783" w:rsidRDefault="00AF10B0" w:rsidP="00AF10B0">
            <w:pPr>
              <w:widowControl/>
              <w:autoSpaceDE/>
              <w:adjustRightInd/>
              <w:spacing w:line="240" w:lineRule="auto"/>
              <w:jc w:val="center"/>
              <w:rPr>
                <w:rFonts w:eastAsia="Calibri" w:cs="Times New Roman"/>
                <w:color w:val="000000"/>
                <w:sz w:val="21"/>
                <w:szCs w:val="21"/>
                <w:lang w:eastAsia="en-US"/>
              </w:rPr>
            </w:pPr>
            <w:r>
              <w:rPr>
                <w:rFonts w:eastAsia="Calibri" w:cs="Times New Roman"/>
                <w:color w:val="000000"/>
                <w:sz w:val="21"/>
                <w:szCs w:val="21"/>
                <w:lang w:eastAsia="en-US"/>
              </w:rPr>
              <w:t>0</w:t>
            </w:r>
          </w:p>
        </w:tc>
        <w:tc>
          <w:tcPr>
            <w:tcW w:w="569" w:type="dxa"/>
            <w:gridSpan w:val="3"/>
            <w:tcBorders>
              <w:top w:val="single" w:sz="4" w:space="0" w:color="auto"/>
              <w:left w:val="single" w:sz="4" w:space="0" w:color="auto"/>
              <w:bottom w:val="single" w:sz="4" w:space="0" w:color="auto"/>
              <w:right w:val="single" w:sz="4" w:space="0" w:color="auto"/>
            </w:tcBorders>
            <w:shd w:val="clear" w:color="auto" w:fill="FFFFFF"/>
          </w:tcPr>
          <w:p w14:paraId="1FE8B443" w14:textId="59415A31" w:rsidR="00654783" w:rsidRDefault="00AF10B0" w:rsidP="00AF10B0">
            <w:pPr>
              <w:widowControl/>
              <w:autoSpaceDE/>
              <w:adjustRightInd/>
              <w:spacing w:line="240" w:lineRule="auto"/>
              <w:jc w:val="center"/>
              <w:rPr>
                <w:rFonts w:eastAsia="Calibri" w:cs="Times New Roman"/>
                <w:color w:val="000000"/>
                <w:sz w:val="21"/>
                <w:szCs w:val="21"/>
                <w:lang w:eastAsia="en-US"/>
              </w:rPr>
            </w:pPr>
            <w:r>
              <w:rPr>
                <w:rFonts w:eastAsia="Calibri" w:cs="Times New Roman"/>
                <w:color w:val="000000"/>
                <w:sz w:val="21"/>
                <w:szCs w:val="21"/>
                <w:lang w:eastAsia="en-US"/>
              </w:rPr>
              <w:t>0</w:t>
            </w:r>
          </w:p>
        </w:tc>
        <w:tc>
          <w:tcPr>
            <w:tcW w:w="570" w:type="dxa"/>
            <w:gridSpan w:val="2"/>
            <w:tcBorders>
              <w:top w:val="single" w:sz="4" w:space="0" w:color="auto"/>
              <w:left w:val="single" w:sz="4" w:space="0" w:color="auto"/>
              <w:bottom w:val="single" w:sz="4" w:space="0" w:color="auto"/>
              <w:right w:val="single" w:sz="4" w:space="0" w:color="auto"/>
            </w:tcBorders>
            <w:shd w:val="clear" w:color="auto" w:fill="FFFFFF"/>
          </w:tcPr>
          <w:p w14:paraId="3D58294F" w14:textId="3B2DDD92" w:rsidR="00654783" w:rsidRDefault="00AF10B0" w:rsidP="00AF10B0">
            <w:pPr>
              <w:widowControl/>
              <w:autoSpaceDE/>
              <w:adjustRightInd/>
              <w:spacing w:line="240" w:lineRule="auto"/>
              <w:jc w:val="center"/>
              <w:rPr>
                <w:rFonts w:eastAsia="Calibri" w:cs="Times New Roman"/>
                <w:color w:val="000000"/>
                <w:sz w:val="21"/>
                <w:szCs w:val="21"/>
                <w:lang w:eastAsia="en-US"/>
              </w:rPr>
            </w:pPr>
            <w:r>
              <w:rPr>
                <w:rFonts w:eastAsia="Calibri" w:cs="Times New Roman"/>
                <w:color w:val="000000"/>
                <w:sz w:val="21"/>
                <w:szCs w:val="21"/>
                <w:lang w:eastAsia="en-US"/>
              </w:rPr>
              <w:t>0</w:t>
            </w:r>
          </w:p>
        </w:tc>
        <w:tc>
          <w:tcPr>
            <w:tcW w:w="570" w:type="dxa"/>
            <w:tcBorders>
              <w:top w:val="single" w:sz="4" w:space="0" w:color="auto"/>
              <w:left w:val="single" w:sz="4" w:space="0" w:color="auto"/>
              <w:bottom w:val="single" w:sz="4" w:space="0" w:color="auto"/>
              <w:right w:val="single" w:sz="4" w:space="0" w:color="auto"/>
            </w:tcBorders>
            <w:shd w:val="clear" w:color="auto" w:fill="FFFFFF"/>
          </w:tcPr>
          <w:p w14:paraId="7A3593A9" w14:textId="699A06B9" w:rsidR="00654783" w:rsidRDefault="00AF10B0" w:rsidP="00AF10B0">
            <w:pPr>
              <w:widowControl/>
              <w:autoSpaceDE/>
              <w:adjustRightInd/>
              <w:spacing w:line="240" w:lineRule="auto"/>
              <w:jc w:val="center"/>
              <w:rPr>
                <w:rFonts w:eastAsia="Calibri" w:cs="Times New Roman"/>
                <w:color w:val="000000"/>
                <w:sz w:val="21"/>
                <w:szCs w:val="21"/>
                <w:lang w:eastAsia="en-US"/>
              </w:rPr>
            </w:pPr>
            <w:r>
              <w:rPr>
                <w:rFonts w:eastAsia="Calibri" w:cs="Times New Roman"/>
                <w:color w:val="000000"/>
                <w:sz w:val="21"/>
                <w:szCs w:val="21"/>
                <w:lang w:eastAsia="en-US"/>
              </w:rPr>
              <w:t>0</w:t>
            </w:r>
          </w:p>
        </w:tc>
        <w:tc>
          <w:tcPr>
            <w:tcW w:w="570" w:type="dxa"/>
            <w:gridSpan w:val="3"/>
            <w:tcBorders>
              <w:top w:val="single" w:sz="4" w:space="0" w:color="auto"/>
              <w:left w:val="single" w:sz="4" w:space="0" w:color="auto"/>
              <w:bottom w:val="single" w:sz="4" w:space="0" w:color="auto"/>
              <w:right w:val="single" w:sz="4" w:space="0" w:color="auto"/>
            </w:tcBorders>
            <w:shd w:val="clear" w:color="auto" w:fill="FFFFFF"/>
          </w:tcPr>
          <w:p w14:paraId="746EC409" w14:textId="5500DB7F" w:rsidR="00654783" w:rsidRDefault="00AF10B0" w:rsidP="00AF10B0">
            <w:pPr>
              <w:widowControl/>
              <w:autoSpaceDE/>
              <w:adjustRightInd/>
              <w:spacing w:line="240" w:lineRule="auto"/>
              <w:jc w:val="center"/>
              <w:rPr>
                <w:rFonts w:eastAsia="Calibri" w:cs="Times New Roman"/>
                <w:color w:val="000000"/>
                <w:sz w:val="21"/>
                <w:szCs w:val="21"/>
                <w:lang w:eastAsia="en-US"/>
              </w:rPr>
            </w:pPr>
            <w:r>
              <w:rPr>
                <w:rFonts w:eastAsia="Calibri" w:cs="Times New Roman"/>
                <w:color w:val="000000"/>
                <w:sz w:val="21"/>
                <w:szCs w:val="21"/>
                <w:lang w:eastAsia="en-US"/>
              </w:rPr>
              <w:t>0</w:t>
            </w:r>
          </w:p>
        </w:tc>
        <w:tc>
          <w:tcPr>
            <w:tcW w:w="569" w:type="dxa"/>
            <w:gridSpan w:val="3"/>
            <w:tcBorders>
              <w:top w:val="single" w:sz="4" w:space="0" w:color="auto"/>
              <w:left w:val="single" w:sz="4" w:space="0" w:color="auto"/>
              <w:bottom w:val="single" w:sz="4" w:space="0" w:color="auto"/>
              <w:right w:val="single" w:sz="4" w:space="0" w:color="auto"/>
            </w:tcBorders>
            <w:shd w:val="clear" w:color="auto" w:fill="FFFFFF"/>
          </w:tcPr>
          <w:p w14:paraId="58638108" w14:textId="1CF16D62" w:rsidR="00654783" w:rsidRDefault="00AF10B0" w:rsidP="00AF10B0">
            <w:pPr>
              <w:widowControl/>
              <w:autoSpaceDE/>
              <w:adjustRightInd/>
              <w:spacing w:line="240" w:lineRule="auto"/>
              <w:jc w:val="center"/>
              <w:rPr>
                <w:rFonts w:eastAsia="Calibri" w:cs="Times New Roman"/>
                <w:color w:val="000000"/>
                <w:sz w:val="21"/>
                <w:szCs w:val="21"/>
                <w:lang w:eastAsia="en-US"/>
              </w:rPr>
            </w:pPr>
            <w:r>
              <w:rPr>
                <w:rFonts w:eastAsia="Calibri" w:cs="Times New Roman"/>
                <w:color w:val="000000"/>
                <w:sz w:val="21"/>
                <w:szCs w:val="21"/>
                <w:lang w:eastAsia="en-US"/>
              </w:rPr>
              <w:t>0</w:t>
            </w:r>
          </w:p>
        </w:tc>
        <w:tc>
          <w:tcPr>
            <w:tcW w:w="570" w:type="dxa"/>
            <w:gridSpan w:val="2"/>
            <w:tcBorders>
              <w:top w:val="single" w:sz="4" w:space="0" w:color="auto"/>
              <w:left w:val="single" w:sz="4" w:space="0" w:color="auto"/>
              <w:bottom w:val="single" w:sz="4" w:space="0" w:color="auto"/>
              <w:right w:val="single" w:sz="4" w:space="0" w:color="auto"/>
            </w:tcBorders>
            <w:shd w:val="clear" w:color="auto" w:fill="FFFFFF"/>
          </w:tcPr>
          <w:p w14:paraId="7C5A022B" w14:textId="74FDFEB2" w:rsidR="00654783" w:rsidRDefault="00AF10B0" w:rsidP="00AF10B0">
            <w:pPr>
              <w:widowControl/>
              <w:autoSpaceDE/>
              <w:adjustRightInd/>
              <w:spacing w:line="240" w:lineRule="auto"/>
              <w:jc w:val="center"/>
              <w:rPr>
                <w:rFonts w:eastAsia="Calibri" w:cs="Times New Roman"/>
                <w:color w:val="000000"/>
                <w:sz w:val="21"/>
                <w:szCs w:val="21"/>
                <w:lang w:eastAsia="en-US"/>
              </w:rPr>
            </w:pPr>
            <w:r>
              <w:rPr>
                <w:rFonts w:eastAsia="Calibri" w:cs="Times New Roman"/>
                <w:color w:val="000000"/>
                <w:sz w:val="21"/>
                <w:szCs w:val="21"/>
                <w:lang w:eastAsia="en-US"/>
              </w:rPr>
              <w:t>0</w:t>
            </w:r>
          </w:p>
        </w:tc>
        <w:tc>
          <w:tcPr>
            <w:tcW w:w="570" w:type="dxa"/>
            <w:gridSpan w:val="2"/>
            <w:tcBorders>
              <w:top w:val="single" w:sz="4" w:space="0" w:color="auto"/>
              <w:left w:val="single" w:sz="4" w:space="0" w:color="auto"/>
              <w:bottom w:val="single" w:sz="4" w:space="0" w:color="auto"/>
              <w:right w:val="single" w:sz="4" w:space="0" w:color="auto"/>
            </w:tcBorders>
            <w:shd w:val="clear" w:color="auto" w:fill="FFFFFF"/>
          </w:tcPr>
          <w:p w14:paraId="24122BE6" w14:textId="4F20F869" w:rsidR="00654783" w:rsidRDefault="00AF10B0" w:rsidP="00AF10B0">
            <w:pPr>
              <w:widowControl/>
              <w:autoSpaceDE/>
              <w:adjustRightInd/>
              <w:spacing w:line="240" w:lineRule="auto"/>
              <w:jc w:val="center"/>
              <w:rPr>
                <w:rFonts w:eastAsia="Calibri" w:cs="Times New Roman"/>
                <w:color w:val="000000"/>
                <w:sz w:val="21"/>
                <w:szCs w:val="21"/>
                <w:lang w:eastAsia="en-US"/>
              </w:rPr>
            </w:pPr>
            <w:r>
              <w:rPr>
                <w:rFonts w:eastAsia="Calibri" w:cs="Times New Roman"/>
                <w:color w:val="000000"/>
                <w:sz w:val="21"/>
                <w:szCs w:val="21"/>
                <w:lang w:eastAsia="en-US"/>
              </w:rPr>
              <w:t>0</w:t>
            </w:r>
          </w:p>
        </w:tc>
        <w:tc>
          <w:tcPr>
            <w:tcW w:w="570" w:type="dxa"/>
            <w:tcBorders>
              <w:top w:val="single" w:sz="4" w:space="0" w:color="auto"/>
              <w:left w:val="single" w:sz="4" w:space="0" w:color="auto"/>
              <w:bottom w:val="single" w:sz="4" w:space="0" w:color="auto"/>
              <w:right w:val="single" w:sz="4" w:space="0" w:color="auto"/>
            </w:tcBorders>
            <w:shd w:val="clear" w:color="auto" w:fill="FFFFFF"/>
          </w:tcPr>
          <w:p w14:paraId="682AEF31" w14:textId="3EE6B6D3" w:rsidR="00654783" w:rsidRDefault="00AF10B0" w:rsidP="00AF10B0">
            <w:pPr>
              <w:widowControl/>
              <w:autoSpaceDE/>
              <w:adjustRightInd/>
              <w:spacing w:line="240" w:lineRule="auto"/>
              <w:jc w:val="center"/>
              <w:rPr>
                <w:rFonts w:eastAsia="Calibri" w:cs="Times New Roman"/>
                <w:color w:val="000000"/>
                <w:sz w:val="21"/>
                <w:szCs w:val="21"/>
                <w:lang w:eastAsia="en-US"/>
              </w:rPr>
            </w:pPr>
            <w:r>
              <w:rPr>
                <w:rFonts w:eastAsia="Calibri" w:cs="Times New Roman"/>
                <w:color w:val="000000"/>
                <w:sz w:val="21"/>
                <w:szCs w:val="21"/>
                <w:lang w:eastAsia="en-US"/>
              </w:rPr>
              <w:t>0</w:t>
            </w:r>
          </w:p>
        </w:tc>
        <w:tc>
          <w:tcPr>
            <w:tcW w:w="1547" w:type="dxa"/>
            <w:gridSpan w:val="3"/>
            <w:tcBorders>
              <w:top w:val="single" w:sz="4" w:space="0" w:color="auto"/>
              <w:left w:val="single" w:sz="4" w:space="0" w:color="auto"/>
              <w:bottom w:val="single" w:sz="4" w:space="0" w:color="auto"/>
              <w:right w:val="single" w:sz="4" w:space="0" w:color="auto"/>
            </w:tcBorders>
            <w:shd w:val="clear" w:color="auto" w:fill="FFFFFF"/>
          </w:tcPr>
          <w:p w14:paraId="5227266F" w14:textId="6969C36A" w:rsidR="00654783" w:rsidRPr="000A5943" w:rsidRDefault="00AF10B0" w:rsidP="00AF10B0">
            <w:pPr>
              <w:widowControl/>
              <w:autoSpaceDE/>
              <w:adjustRightInd/>
              <w:spacing w:line="240" w:lineRule="auto"/>
              <w:jc w:val="center"/>
              <w:rPr>
                <w:rFonts w:eastAsia="Calibri" w:cs="Times New Roman"/>
                <w:color w:val="000000"/>
                <w:sz w:val="18"/>
                <w:szCs w:val="18"/>
                <w:lang w:eastAsia="en-US"/>
              </w:rPr>
            </w:pPr>
            <w:r w:rsidRPr="000A5943">
              <w:rPr>
                <w:rFonts w:eastAsia="Calibri" w:cs="Times New Roman"/>
                <w:color w:val="000000"/>
                <w:sz w:val="18"/>
                <w:szCs w:val="18"/>
                <w:lang w:eastAsia="en-US"/>
              </w:rPr>
              <w:t>0,339</w:t>
            </w:r>
          </w:p>
        </w:tc>
      </w:tr>
      <w:tr w:rsidR="00654783" w14:paraId="2B9F5BBE" w14:textId="77777777" w:rsidTr="00AF10B0">
        <w:trPr>
          <w:trHeight w:val="351"/>
        </w:trPr>
        <w:tc>
          <w:tcPr>
            <w:tcW w:w="3006"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14:paraId="154CD255" w14:textId="77777777" w:rsidR="00654783" w:rsidRDefault="00654783">
            <w:pPr>
              <w:widowControl/>
              <w:autoSpaceDE/>
              <w:adjustRightInd/>
              <w:spacing w:line="240" w:lineRule="auto"/>
              <w:rPr>
                <w:rFonts w:eastAsia="Calibri" w:cs="Times New Roman"/>
                <w:color w:val="000000"/>
                <w:sz w:val="21"/>
                <w:szCs w:val="21"/>
                <w:lang w:eastAsia="en-US"/>
              </w:rPr>
            </w:pPr>
            <w:r>
              <w:rPr>
                <w:rFonts w:eastAsia="Calibri" w:cs="Times New Roman"/>
                <w:color w:val="000000"/>
                <w:sz w:val="21"/>
                <w:szCs w:val="21"/>
                <w:lang w:eastAsia="en-US"/>
              </w:rPr>
              <w:t>JST</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cPr>
          <w:p w14:paraId="3F2DBE40" w14:textId="1E663938" w:rsidR="00654783" w:rsidRDefault="003F4B26" w:rsidP="003F4B26">
            <w:pPr>
              <w:widowControl/>
              <w:autoSpaceDE/>
              <w:adjustRightInd/>
              <w:spacing w:line="240" w:lineRule="auto"/>
              <w:jc w:val="center"/>
              <w:rPr>
                <w:rFonts w:eastAsia="Calibri" w:cs="Times New Roman"/>
                <w:color w:val="000000"/>
                <w:sz w:val="21"/>
                <w:szCs w:val="21"/>
                <w:lang w:eastAsia="en-US"/>
              </w:rPr>
            </w:pPr>
            <w:r>
              <w:rPr>
                <w:rFonts w:eastAsia="Calibri" w:cs="Times New Roman"/>
                <w:color w:val="000000"/>
                <w:sz w:val="21"/>
                <w:szCs w:val="21"/>
                <w:lang w:eastAsia="en-US"/>
              </w:rPr>
              <w:t>0</w:t>
            </w:r>
          </w:p>
        </w:tc>
        <w:tc>
          <w:tcPr>
            <w:tcW w:w="557" w:type="dxa"/>
            <w:tcBorders>
              <w:top w:val="single" w:sz="4" w:space="0" w:color="auto"/>
              <w:left w:val="single" w:sz="4" w:space="0" w:color="auto"/>
              <w:bottom w:val="single" w:sz="4" w:space="0" w:color="auto"/>
              <w:right w:val="single" w:sz="4" w:space="0" w:color="auto"/>
            </w:tcBorders>
            <w:shd w:val="clear" w:color="auto" w:fill="FFFFFF"/>
          </w:tcPr>
          <w:p w14:paraId="58E88001" w14:textId="52ADDA02" w:rsidR="00654783" w:rsidRDefault="003F4B26" w:rsidP="003F4B26">
            <w:pPr>
              <w:widowControl/>
              <w:autoSpaceDE/>
              <w:adjustRightInd/>
              <w:spacing w:line="240" w:lineRule="auto"/>
              <w:jc w:val="center"/>
              <w:rPr>
                <w:rFonts w:eastAsia="Calibri" w:cs="Times New Roman"/>
                <w:color w:val="000000"/>
                <w:sz w:val="21"/>
                <w:szCs w:val="21"/>
                <w:lang w:eastAsia="en-US"/>
              </w:rPr>
            </w:pPr>
            <w:r>
              <w:rPr>
                <w:rFonts w:eastAsia="Calibri" w:cs="Times New Roman"/>
                <w:color w:val="000000"/>
                <w:sz w:val="21"/>
                <w:szCs w:val="21"/>
                <w:lang w:eastAsia="en-US"/>
              </w:rPr>
              <w:t>0</w:t>
            </w:r>
          </w:p>
        </w:tc>
        <w:tc>
          <w:tcPr>
            <w:tcW w:w="570" w:type="dxa"/>
            <w:gridSpan w:val="2"/>
            <w:tcBorders>
              <w:top w:val="single" w:sz="4" w:space="0" w:color="auto"/>
              <w:left w:val="single" w:sz="4" w:space="0" w:color="auto"/>
              <w:bottom w:val="single" w:sz="4" w:space="0" w:color="auto"/>
              <w:right w:val="single" w:sz="4" w:space="0" w:color="auto"/>
            </w:tcBorders>
            <w:shd w:val="clear" w:color="auto" w:fill="FFFFFF"/>
          </w:tcPr>
          <w:p w14:paraId="6A838FA3" w14:textId="72914F32" w:rsidR="00654783" w:rsidRDefault="003F4B26" w:rsidP="003F4B26">
            <w:pPr>
              <w:widowControl/>
              <w:autoSpaceDE/>
              <w:adjustRightInd/>
              <w:spacing w:line="240" w:lineRule="auto"/>
              <w:jc w:val="center"/>
              <w:rPr>
                <w:rFonts w:eastAsia="Calibri" w:cs="Times New Roman"/>
                <w:color w:val="000000"/>
                <w:sz w:val="21"/>
                <w:szCs w:val="21"/>
                <w:lang w:eastAsia="en-US"/>
              </w:rPr>
            </w:pPr>
            <w:r>
              <w:rPr>
                <w:rFonts w:eastAsia="Calibri" w:cs="Times New Roman"/>
                <w:color w:val="000000"/>
                <w:sz w:val="21"/>
                <w:szCs w:val="21"/>
                <w:lang w:eastAsia="en-US"/>
              </w:rPr>
              <w:t>0</w:t>
            </w:r>
          </w:p>
        </w:tc>
        <w:tc>
          <w:tcPr>
            <w:tcW w:w="569" w:type="dxa"/>
            <w:gridSpan w:val="3"/>
            <w:tcBorders>
              <w:top w:val="single" w:sz="4" w:space="0" w:color="auto"/>
              <w:left w:val="single" w:sz="4" w:space="0" w:color="auto"/>
              <w:bottom w:val="single" w:sz="4" w:space="0" w:color="auto"/>
              <w:right w:val="single" w:sz="4" w:space="0" w:color="auto"/>
            </w:tcBorders>
            <w:shd w:val="clear" w:color="auto" w:fill="FFFFFF"/>
          </w:tcPr>
          <w:p w14:paraId="542A41EC" w14:textId="4B983483" w:rsidR="00654783" w:rsidRDefault="003F4B26" w:rsidP="003F4B26">
            <w:pPr>
              <w:widowControl/>
              <w:autoSpaceDE/>
              <w:adjustRightInd/>
              <w:spacing w:line="240" w:lineRule="auto"/>
              <w:jc w:val="center"/>
              <w:rPr>
                <w:rFonts w:eastAsia="Calibri" w:cs="Times New Roman"/>
                <w:color w:val="000000"/>
                <w:sz w:val="21"/>
                <w:szCs w:val="21"/>
                <w:lang w:eastAsia="en-US"/>
              </w:rPr>
            </w:pPr>
            <w:r>
              <w:rPr>
                <w:rFonts w:eastAsia="Calibri" w:cs="Times New Roman"/>
                <w:color w:val="000000"/>
                <w:sz w:val="21"/>
                <w:szCs w:val="21"/>
                <w:lang w:eastAsia="en-US"/>
              </w:rPr>
              <w:t>0</w:t>
            </w:r>
          </w:p>
        </w:tc>
        <w:tc>
          <w:tcPr>
            <w:tcW w:w="570" w:type="dxa"/>
            <w:gridSpan w:val="2"/>
            <w:tcBorders>
              <w:top w:val="single" w:sz="4" w:space="0" w:color="auto"/>
              <w:left w:val="single" w:sz="4" w:space="0" w:color="auto"/>
              <w:bottom w:val="single" w:sz="4" w:space="0" w:color="auto"/>
              <w:right w:val="single" w:sz="4" w:space="0" w:color="auto"/>
            </w:tcBorders>
            <w:shd w:val="clear" w:color="auto" w:fill="FFFFFF"/>
          </w:tcPr>
          <w:p w14:paraId="742FCF2D" w14:textId="29236F77" w:rsidR="00654783" w:rsidRDefault="003F4B26" w:rsidP="003F4B26">
            <w:pPr>
              <w:widowControl/>
              <w:autoSpaceDE/>
              <w:adjustRightInd/>
              <w:spacing w:line="240" w:lineRule="auto"/>
              <w:jc w:val="center"/>
              <w:rPr>
                <w:rFonts w:eastAsia="Calibri" w:cs="Times New Roman"/>
                <w:color w:val="000000"/>
                <w:sz w:val="21"/>
                <w:szCs w:val="21"/>
                <w:lang w:eastAsia="en-US"/>
              </w:rPr>
            </w:pPr>
            <w:r>
              <w:rPr>
                <w:rFonts w:eastAsia="Calibri" w:cs="Times New Roman"/>
                <w:color w:val="000000"/>
                <w:sz w:val="21"/>
                <w:szCs w:val="21"/>
                <w:lang w:eastAsia="en-US"/>
              </w:rPr>
              <w:t>0</w:t>
            </w:r>
          </w:p>
        </w:tc>
        <w:tc>
          <w:tcPr>
            <w:tcW w:w="570" w:type="dxa"/>
            <w:tcBorders>
              <w:top w:val="single" w:sz="4" w:space="0" w:color="auto"/>
              <w:left w:val="single" w:sz="4" w:space="0" w:color="auto"/>
              <w:bottom w:val="single" w:sz="4" w:space="0" w:color="auto"/>
              <w:right w:val="single" w:sz="4" w:space="0" w:color="auto"/>
            </w:tcBorders>
            <w:shd w:val="clear" w:color="auto" w:fill="FFFFFF"/>
          </w:tcPr>
          <w:p w14:paraId="692BE662" w14:textId="4F77F4F5" w:rsidR="00654783" w:rsidRDefault="003F4B26" w:rsidP="003F4B26">
            <w:pPr>
              <w:widowControl/>
              <w:autoSpaceDE/>
              <w:adjustRightInd/>
              <w:spacing w:line="240" w:lineRule="auto"/>
              <w:jc w:val="center"/>
              <w:rPr>
                <w:rFonts w:eastAsia="Calibri" w:cs="Times New Roman"/>
                <w:color w:val="000000"/>
                <w:sz w:val="21"/>
                <w:szCs w:val="21"/>
                <w:lang w:eastAsia="en-US"/>
              </w:rPr>
            </w:pPr>
            <w:r>
              <w:rPr>
                <w:rFonts w:eastAsia="Calibri" w:cs="Times New Roman"/>
                <w:color w:val="000000"/>
                <w:sz w:val="21"/>
                <w:szCs w:val="21"/>
                <w:lang w:eastAsia="en-US"/>
              </w:rPr>
              <w:t>0</w:t>
            </w:r>
          </w:p>
        </w:tc>
        <w:tc>
          <w:tcPr>
            <w:tcW w:w="570" w:type="dxa"/>
            <w:gridSpan w:val="3"/>
            <w:tcBorders>
              <w:top w:val="single" w:sz="4" w:space="0" w:color="auto"/>
              <w:left w:val="single" w:sz="4" w:space="0" w:color="auto"/>
              <w:bottom w:val="single" w:sz="4" w:space="0" w:color="auto"/>
              <w:right w:val="single" w:sz="4" w:space="0" w:color="auto"/>
            </w:tcBorders>
            <w:shd w:val="clear" w:color="auto" w:fill="FFFFFF"/>
          </w:tcPr>
          <w:p w14:paraId="54323350" w14:textId="47FD34D8" w:rsidR="00654783" w:rsidRDefault="003F4B26" w:rsidP="003F4B26">
            <w:pPr>
              <w:widowControl/>
              <w:autoSpaceDE/>
              <w:adjustRightInd/>
              <w:spacing w:line="240" w:lineRule="auto"/>
              <w:jc w:val="center"/>
              <w:rPr>
                <w:rFonts w:eastAsia="Calibri" w:cs="Times New Roman"/>
                <w:color w:val="000000"/>
                <w:sz w:val="21"/>
                <w:szCs w:val="21"/>
                <w:lang w:eastAsia="en-US"/>
              </w:rPr>
            </w:pPr>
            <w:r>
              <w:rPr>
                <w:rFonts w:eastAsia="Calibri" w:cs="Times New Roman"/>
                <w:color w:val="000000"/>
                <w:sz w:val="21"/>
                <w:szCs w:val="21"/>
                <w:lang w:eastAsia="en-US"/>
              </w:rPr>
              <w:t>0</w:t>
            </w:r>
          </w:p>
        </w:tc>
        <w:tc>
          <w:tcPr>
            <w:tcW w:w="569" w:type="dxa"/>
            <w:gridSpan w:val="3"/>
            <w:tcBorders>
              <w:top w:val="single" w:sz="4" w:space="0" w:color="auto"/>
              <w:left w:val="single" w:sz="4" w:space="0" w:color="auto"/>
              <w:bottom w:val="single" w:sz="4" w:space="0" w:color="auto"/>
              <w:right w:val="single" w:sz="4" w:space="0" w:color="auto"/>
            </w:tcBorders>
            <w:shd w:val="clear" w:color="auto" w:fill="FFFFFF"/>
          </w:tcPr>
          <w:p w14:paraId="24E76B9E" w14:textId="57E11424" w:rsidR="00654783" w:rsidRDefault="003F4B26" w:rsidP="003F4B26">
            <w:pPr>
              <w:widowControl/>
              <w:autoSpaceDE/>
              <w:adjustRightInd/>
              <w:spacing w:line="240" w:lineRule="auto"/>
              <w:jc w:val="center"/>
              <w:rPr>
                <w:rFonts w:eastAsia="Calibri" w:cs="Times New Roman"/>
                <w:color w:val="000000"/>
                <w:sz w:val="21"/>
                <w:szCs w:val="21"/>
                <w:lang w:eastAsia="en-US"/>
              </w:rPr>
            </w:pPr>
            <w:r>
              <w:rPr>
                <w:rFonts w:eastAsia="Calibri" w:cs="Times New Roman"/>
                <w:color w:val="000000"/>
                <w:sz w:val="21"/>
                <w:szCs w:val="21"/>
                <w:lang w:eastAsia="en-US"/>
              </w:rPr>
              <w:t>0</w:t>
            </w:r>
          </w:p>
        </w:tc>
        <w:tc>
          <w:tcPr>
            <w:tcW w:w="570" w:type="dxa"/>
            <w:gridSpan w:val="2"/>
            <w:tcBorders>
              <w:top w:val="single" w:sz="4" w:space="0" w:color="auto"/>
              <w:left w:val="single" w:sz="4" w:space="0" w:color="auto"/>
              <w:bottom w:val="single" w:sz="4" w:space="0" w:color="auto"/>
              <w:right w:val="single" w:sz="4" w:space="0" w:color="auto"/>
            </w:tcBorders>
            <w:shd w:val="clear" w:color="auto" w:fill="FFFFFF"/>
          </w:tcPr>
          <w:p w14:paraId="5D1840EC" w14:textId="70CE8277" w:rsidR="00654783" w:rsidRDefault="003F4B26" w:rsidP="003F4B26">
            <w:pPr>
              <w:widowControl/>
              <w:autoSpaceDE/>
              <w:adjustRightInd/>
              <w:spacing w:line="240" w:lineRule="auto"/>
              <w:jc w:val="center"/>
              <w:rPr>
                <w:rFonts w:eastAsia="Calibri" w:cs="Times New Roman"/>
                <w:color w:val="000000"/>
                <w:sz w:val="21"/>
                <w:szCs w:val="21"/>
                <w:lang w:eastAsia="en-US"/>
              </w:rPr>
            </w:pPr>
            <w:r>
              <w:rPr>
                <w:rFonts w:eastAsia="Calibri" w:cs="Times New Roman"/>
                <w:color w:val="000000"/>
                <w:sz w:val="21"/>
                <w:szCs w:val="21"/>
                <w:lang w:eastAsia="en-US"/>
              </w:rPr>
              <w:t>0</w:t>
            </w:r>
          </w:p>
        </w:tc>
        <w:tc>
          <w:tcPr>
            <w:tcW w:w="570" w:type="dxa"/>
            <w:gridSpan w:val="2"/>
            <w:tcBorders>
              <w:top w:val="single" w:sz="4" w:space="0" w:color="auto"/>
              <w:left w:val="single" w:sz="4" w:space="0" w:color="auto"/>
              <w:bottom w:val="single" w:sz="4" w:space="0" w:color="auto"/>
              <w:right w:val="single" w:sz="4" w:space="0" w:color="auto"/>
            </w:tcBorders>
            <w:shd w:val="clear" w:color="auto" w:fill="FFFFFF"/>
          </w:tcPr>
          <w:p w14:paraId="067F843D" w14:textId="3D7003D2" w:rsidR="00654783" w:rsidRDefault="003F4B26" w:rsidP="003F4B26">
            <w:pPr>
              <w:widowControl/>
              <w:autoSpaceDE/>
              <w:adjustRightInd/>
              <w:spacing w:line="240" w:lineRule="auto"/>
              <w:jc w:val="center"/>
              <w:rPr>
                <w:rFonts w:eastAsia="Calibri" w:cs="Times New Roman"/>
                <w:color w:val="000000"/>
                <w:sz w:val="21"/>
                <w:szCs w:val="21"/>
                <w:lang w:eastAsia="en-US"/>
              </w:rPr>
            </w:pPr>
            <w:r>
              <w:rPr>
                <w:rFonts w:eastAsia="Calibri" w:cs="Times New Roman"/>
                <w:color w:val="000000"/>
                <w:sz w:val="21"/>
                <w:szCs w:val="21"/>
                <w:lang w:eastAsia="en-US"/>
              </w:rPr>
              <w:t>0</w:t>
            </w:r>
          </w:p>
        </w:tc>
        <w:tc>
          <w:tcPr>
            <w:tcW w:w="570" w:type="dxa"/>
            <w:tcBorders>
              <w:top w:val="single" w:sz="4" w:space="0" w:color="auto"/>
              <w:left w:val="single" w:sz="4" w:space="0" w:color="auto"/>
              <w:bottom w:val="single" w:sz="4" w:space="0" w:color="auto"/>
              <w:right w:val="single" w:sz="4" w:space="0" w:color="auto"/>
            </w:tcBorders>
            <w:shd w:val="clear" w:color="auto" w:fill="FFFFFF"/>
          </w:tcPr>
          <w:p w14:paraId="6500DE37" w14:textId="0D4F5B0C" w:rsidR="00654783" w:rsidRDefault="003F4B26" w:rsidP="003F4B26">
            <w:pPr>
              <w:widowControl/>
              <w:autoSpaceDE/>
              <w:adjustRightInd/>
              <w:spacing w:line="240" w:lineRule="auto"/>
              <w:jc w:val="center"/>
              <w:rPr>
                <w:rFonts w:eastAsia="Calibri" w:cs="Times New Roman"/>
                <w:color w:val="000000"/>
                <w:sz w:val="21"/>
                <w:szCs w:val="21"/>
                <w:lang w:eastAsia="en-US"/>
              </w:rPr>
            </w:pPr>
            <w:r>
              <w:rPr>
                <w:rFonts w:eastAsia="Calibri" w:cs="Times New Roman"/>
                <w:color w:val="000000"/>
                <w:sz w:val="21"/>
                <w:szCs w:val="21"/>
                <w:lang w:eastAsia="en-US"/>
              </w:rPr>
              <w:t>0</w:t>
            </w:r>
          </w:p>
        </w:tc>
        <w:tc>
          <w:tcPr>
            <w:tcW w:w="1547" w:type="dxa"/>
            <w:gridSpan w:val="3"/>
            <w:tcBorders>
              <w:top w:val="single" w:sz="4" w:space="0" w:color="auto"/>
              <w:left w:val="single" w:sz="4" w:space="0" w:color="auto"/>
              <w:bottom w:val="single" w:sz="4" w:space="0" w:color="auto"/>
              <w:right w:val="single" w:sz="4" w:space="0" w:color="auto"/>
            </w:tcBorders>
            <w:shd w:val="clear" w:color="auto" w:fill="FFFFFF"/>
          </w:tcPr>
          <w:p w14:paraId="6D59DDD0" w14:textId="386480F9" w:rsidR="00654783" w:rsidRDefault="003F4B26" w:rsidP="003F4B26">
            <w:pPr>
              <w:widowControl/>
              <w:autoSpaceDE/>
              <w:adjustRightInd/>
              <w:spacing w:line="240" w:lineRule="auto"/>
              <w:jc w:val="center"/>
              <w:rPr>
                <w:rFonts w:eastAsia="Calibri" w:cs="Times New Roman"/>
                <w:color w:val="000000"/>
                <w:sz w:val="21"/>
                <w:szCs w:val="21"/>
                <w:lang w:eastAsia="en-US"/>
              </w:rPr>
            </w:pPr>
            <w:r>
              <w:rPr>
                <w:rFonts w:eastAsia="Calibri" w:cs="Times New Roman"/>
                <w:color w:val="000000"/>
                <w:sz w:val="21"/>
                <w:szCs w:val="21"/>
                <w:lang w:eastAsia="en-US"/>
              </w:rPr>
              <w:t>0</w:t>
            </w:r>
          </w:p>
        </w:tc>
      </w:tr>
      <w:tr w:rsidR="00654783" w14:paraId="1AB02DC2" w14:textId="77777777" w:rsidTr="00AF10B0">
        <w:trPr>
          <w:trHeight w:val="351"/>
        </w:trPr>
        <w:tc>
          <w:tcPr>
            <w:tcW w:w="3006"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14:paraId="1B8F4026" w14:textId="77777777" w:rsidR="00654783" w:rsidRDefault="00654783">
            <w:pPr>
              <w:widowControl/>
              <w:autoSpaceDE/>
              <w:adjustRightInd/>
              <w:spacing w:line="240" w:lineRule="auto"/>
              <w:rPr>
                <w:rFonts w:eastAsia="Calibri" w:cs="Times New Roman"/>
                <w:color w:val="000000"/>
                <w:sz w:val="21"/>
                <w:szCs w:val="21"/>
                <w:lang w:eastAsia="en-US"/>
              </w:rPr>
            </w:pPr>
            <w:r>
              <w:rPr>
                <w:rFonts w:eastAsia="Calibri" w:cs="Times New Roman"/>
                <w:color w:val="000000"/>
                <w:sz w:val="21"/>
                <w:szCs w:val="21"/>
                <w:lang w:eastAsia="en-US"/>
              </w:rPr>
              <w:t>pozostałe jednostki (oddzielnie)</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cPr>
          <w:p w14:paraId="619CA727" w14:textId="02B4B158" w:rsidR="00654783" w:rsidRDefault="003F4B26" w:rsidP="003F4B26">
            <w:pPr>
              <w:widowControl/>
              <w:autoSpaceDE/>
              <w:adjustRightInd/>
              <w:spacing w:line="240" w:lineRule="auto"/>
              <w:jc w:val="center"/>
              <w:rPr>
                <w:rFonts w:eastAsia="Calibri" w:cs="Times New Roman"/>
                <w:color w:val="000000"/>
                <w:sz w:val="21"/>
                <w:szCs w:val="21"/>
                <w:lang w:eastAsia="en-US"/>
              </w:rPr>
            </w:pPr>
            <w:r>
              <w:rPr>
                <w:rFonts w:eastAsia="Calibri" w:cs="Times New Roman"/>
                <w:color w:val="000000"/>
                <w:sz w:val="21"/>
                <w:szCs w:val="21"/>
                <w:lang w:eastAsia="en-US"/>
              </w:rPr>
              <w:t>0</w:t>
            </w:r>
          </w:p>
        </w:tc>
        <w:tc>
          <w:tcPr>
            <w:tcW w:w="557" w:type="dxa"/>
            <w:tcBorders>
              <w:top w:val="single" w:sz="4" w:space="0" w:color="auto"/>
              <w:left w:val="single" w:sz="4" w:space="0" w:color="auto"/>
              <w:bottom w:val="single" w:sz="4" w:space="0" w:color="auto"/>
              <w:right w:val="single" w:sz="4" w:space="0" w:color="auto"/>
            </w:tcBorders>
            <w:shd w:val="clear" w:color="auto" w:fill="FFFFFF"/>
          </w:tcPr>
          <w:p w14:paraId="51C56998" w14:textId="69042B1F" w:rsidR="00654783" w:rsidRDefault="003F4B26" w:rsidP="003F4B26">
            <w:pPr>
              <w:widowControl/>
              <w:autoSpaceDE/>
              <w:adjustRightInd/>
              <w:spacing w:line="240" w:lineRule="auto"/>
              <w:jc w:val="center"/>
              <w:rPr>
                <w:rFonts w:eastAsia="Calibri" w:cs="Times New Roman"/>
                <w:color w:val="000000"/>
                <w:sz w:val="21"/>
                <w:szCs w:val="21"/>
                <w:lang w:eastAsia="en-US"/>
              </w:rPr>
            </w:pPr>
            <w:r>
              <w:rPr>
                <w:rFonts w:eastAsia="Calibri" w:cs="Times New Roman"/>
                <w:color w:val="000000"/>
                <w:sz w:val="21"/>
                <w:szCs w:val="21"/>
                <w:lang w:eastAsia="en-US"/>
              </w:rPr>
              <w:t>0</w:t>
            </w:r>
          </w:p>
        </w:tc>
        <w:tc>
          <w:tcPr>
            <w:tcW w:w="570" w:type="dxa"/>
            <w:gridSpan w:val="2"/>
            <w:tcBorders>
              <w:top w:val="single" w:sz="4" w:space="0" w:color="auto"/>
              <w:left w:val="single" w:sz="4" w:space="0" w:color="auto"/>
              <w:bottom w:val="single" w:sz="4" w:space="0" w:color="auto"/>
              <w:right w:val="single" w:sz="4" w:space="0" w:color="auto"/>
            </w:tcBorders>
            <w:shd w:val="clear" w:color="auto" w:fill="FFFFFF"/>
          </w:tcPr>
          <w:p w14:paraId="1D70D1AD" w14:textId="5FF74045" w:rsidR="00654783" w:rsidRDefault="003F4B26" w:rsidP="003F4B26">
            <w:pPr>
              <w:widowControl/>
              <w:autoSpaceDE/>
              <w:adjustRightInd/>
              <w:spacing w:line="240" w:lineRule="auto"/>
              <w:jc w:val="center"/>
              <w:rPr>
                <w:rFonts w:eastAsia="Calibri" w:cs="Times New Roman"/>
                <w:color w:val="000000"/>
                <w:sz w:val="21"/>
                <w:szCs w:val="21"/>
                <w:lang w:eastAsia="en-US"/>
              </w:rPr>
            </w:pPr>
            <w:r>
              <w:rPr>
                <w:rFonts w:eastAsia="Calibri" w:cs="Times New Roman"/>
                <w:color w:val="000000"/>
                <w:sz w:val="21"/>
                <w:szCs w:val="21"/>
                <w:lang w:eastAsia="en-US"/>
              </w:rPr>
              <w:t>0</w:t>
            </w:r>
          </w:p>
        </w:tc>
        <w:tc>
          <w:tcPr>
            <w:tcW w:w="569" w:type="dxa"/>
            <w:gridSpan w:val="3"/>
            <w:tcBorders>
              <w:top w:val="single" w:sz="4" w:space="0" w:color="auto"/>
              <w:left w:val="single" w:sz="4" w:space="0" w:color="auto"/>
              <w:bottom w:val="single" w:sz="4" w:space="0" w:color="auto"/>
              <w:right w:val="single" w:sz="4" w:space="0" w:color="auto"/>
            </w:tcBorders>
            <w:shd w:val="clear" w:color="auto" w:fill="FFFFFF"/>
          </w:tcPr>
          <w:p w14:paraId="0C288B14" w14:textId="2B697926" w:rsidR="00654783" w:rsidRDefault="003F4B26" w:rsidP="003F4B26">
            <w:pPr>
              <w:widowControl/>
              <w:autoSpaceDE/>
              <w:adjustRightInd/>
              <w:spacing w:line="240" w:lineRule="auto"/>
              <w:jc w:val="center"/>
              <w:rPr>
                <w:rFonts w:eastAsia="Calibri" w:cs="Times New Roman"/>
                <w:color w:val="000000"/>
                <w:sz w:val="21"/>
                <w:szCs w:val="21"/>
                <w:lang w:eastAsia="en-US"/>
              </w:rPr>
            </w:pPr>
            <w:r>
              <w:rPr>
                <w:rFonts w:eastAsia="Calibri" w:cs="Times New Roman"/>
                <w:color w:val="000000"/>
                <w:sz w:val="21"/>
                <w:szCs w:val="21"/>
                <w:lang w:eastAsia="en-US"/>
              </w:rPr>
              <w:t>0</w:t>
            </w:r>
          </w:p>
        </w:tc>
        <w:tc>
          <w:tcPr>
            <w:tcW w:w="570" w:type="dxa"/>
            <w:gridSpan w:val="2"/>
            <w:tcBorders>
              <w:top w:val="single" w:sz="4" w:space="0" w:color="auto"/>
              <w:left w:val="single" w:sz="4" w:space="0" w:color="auto"/>
              <w:bottom w:val="single" w:sz="4" w:space="0" w:color="auto"/>
              <w:right w:val="single" w:sz="4" w:space="0" w:color="auto"/>
            </w:tcBorders>
            <w:shd w:val="clear" w:color="auto" w:fill="FFFFFF"/>
          </w:tcPr>
          <w:p w14:paraId="0A6C3EB5" w14:textId="085977BB" w:rsidR="00654783" w:rsidRDefault="003F4B26" w:rsidP="003F4B26">
            <w:pPr>
              <w:widowControl/>
              <w:autoSpaceDE/>
              <w:adjustRightInd/>
              <w:spacing w:line="240" w:lineRule="auto"/>
              <w:jc w:val="center"/>
              <w:rPr>
                <w:rFonts w:eastAsia="Calibri" w:cs="Times New Roman"/>
                <w:color w:val="000000"/>
                <w:sz w:val="21"/>
                <w:szCs w:val="21"/>
                <w:lang w:eastAsia="en-US"/>
              </w:rPr>
            </w:pPr>
            <w:r>
              <w:rPr>
                <w:rFonts w:eastAsia="Calibri" w:cs="Times New Roman"/>
                <w:color w:val="000000"/>
                <w:sz w:val="21"/>
                <w:szCs w:val="21"/>
                <w:lang w:eastAsia="en-US"/>
              </w:rPr>
              <w:t>0</w:t>
            </w:r>
          </w:p>
        </w:tc>
        <w:tc>
          <w:tcPr>
            <w:tcW w:w="570" w:type="dxa"/>
            <w:tcBorders>
              <w:top w:val="single" w:sz="4" w:space="0" w:color="auto"/>
              <w:left w:val="single" w:sz="4" w:space="0" w:color="auto"/>
              <w:bottom w:val="single" w:sz="4" w:space="0" w:color="auto"/>
              <w:right w:val="single" w:sz="4" w:space="0" w:color="auto"/>
            </w:tcBorders>
            <w:shd w:val="clear" w:color="auto" w:fill="FFFFFF"/>
          </w:tcPr>
          <w:p w14:paraId="75AE6152" w14:textId="6B52FB00" w:rsidR="00654783" w:rsidRDefault="003F4B26" w:rsidP="003F4B26">
            <w:pPr>
              <w:widowControl/>
              <w:autoSpaceDE/>
              <w:adjustRightInd/>
              <w:spacing w:line="240" w:lineRule="auto"/>
              <w:jc w:val="center"/>
              <w:rPr>
                <w:rFonts w:eastAsia="Calibri" w:cs="Times New Roman"/>
                <w:color w:val="000000"/>
                <w:sz w:val="21"/>
                <w:szCs w:val="21"/>
                <w:lang w:eastAsia="en-US"/>
              </w:rPr>
            </w:pPr>
            <w:r>
              <w:rPr>
                <w:rFonts w:eastAsia="Calibri" w:cs="Times New Roman"/>
                <w:color w:val="000000"/>
                <w:sz w:val="21"/>
                <w:szCs w:val="21"/>
                <w:lang w:eastAsia="en-US"/>
              </w:rPr>
              <w:t>0</w:t>
            </w:r>
          </w:p>
        </w:tc>
        <w:tc>
          <w:tcPr>
            <w:tcW w:w="570" w:type="dxa"/>
            <w:gridSpan w:val="3"/>
            <w:tcBorders>
              <w:top w:val="single" w:sz="4" w:space="0" w:color="auto"/>
              <w:left w:val="single" w:sz="4" w:space="0" w:color="auto"/>
              <w:bottom w:val="single" w:sz="4" w:space="0" w:color="auto"/>
              <w:right w:val="single" w:sz="4" w:space="0" w:color="auto"/>
            </w:tcBorders>
            <w:shd w:val="clear" w:color="auto" w:fill="FFFFFF"/>
          </w:tcPr>
          <w:p w14:paraId="3DD87024" w14:textId="6974266F" w:rsidR="00654783" w:rsidRDefault="003F4B26" w:rsidP="003F4B26">
            <w:pPr>
              <w:widowControl/>
              <w:autoSpaceDE/>
              <w:adjustRightInd/>
              <w:spacing w:line="240" w:lineRule="auto"/>
              <w:jc w:val="center"/>
              <w:rPr>
                <w:rFonts w:eastAsia="Calibri" w:cs="Times New Roman"/>
                <w:color w:val="000000"/>
                <w:sz w:val="21"/>
                <w:szCs w:val="21"/>
                <w:lang w:eastAsia="en-US"/>
              </w:rPr>
            </w:pPr>
            <w:r>
              <w:rPr>
                <w:rFonts w:eastAsia="Calibri" w:cs="Times New Roman"/>
                <w:color w:val="000000"/>
                <w:sz w:val="21"/>
                <w:szCs w:val="21"/>
                <w:lang w:eastAsia="en-US"/>
              </w:rPr>
              <w:t>0</w:t>
            </w:r>
          </w:p>
        </w:tc>
        <w:tc>
          <w:tcPr>
            <w:tcW w:w="569" w:type="dxa"/>
            <w:gridSpan w:val="3"/>
            <w:tcBorders>
              <w:top w:val="single" w:sz="4" w:space="0" w:color="auto"/>
              <w:left w:val="single" w:sz="4" w:space="0" w:color="auto"/>
              <w:bottom w:val="single" w:sz="4" w:space="0" w:color="auto"/>
              <w:right w:val="single" w:sz="4" w:space="0" w:color="auto"/>
            </w:tcBorders>
            <w:shd w:val="clear" w:color="auto" w:fill="FFFFFF"/>
          </w:tcPr>
          <w:p w14:paraId="3352D78A" w14:textId="27F35ED8" w:rsidR="00654783" w:rsidRDefault="003F4B26" w:rsidP="003F4B26">
            <w:pPr>
              <w:widowControl/>
              <w:autoSpaceDE/>
              <w:adjustRightInd/>
              <w:spacing w:line="240" w:lineRule="auto"/>
              <w:jc w:val="center"/>
              <w:rPr>
                <w:rFonts w:eastAsia="Calibri" w:cs="Times New Roman"/>
                <w:color w:val="000000"/>
                <w:sz w:val="21"/>
                <w:szCs w:val="21"/>
                <w:lang w:eastAsia="en-US"/>
              </w:rPr>
            </w:pPr>
            <w:r>
              <w:rPr>
                <w:rFonts w:eastAsia="Calibri" w:cs="Times New Roman"/>
                <w:color w:val="000000"/>
                <w:sz w:val="21"/>
                <w:szCs w:val="21"/>
                <w:lang w:eastAsia="en-US"/>
              </w:rPr>
              <w:t>0</w:t>
            </w:r>
          </w:p>
        </w:tc>
        <w:tc>
          <w:tcPr>
            <w:tcW w:w="570" w:type="dxa"/>
            <w:gridSpan w:val="2"/>
            <w:tcBorders>
              <w:top w:val="single" w:sz="4" w:space="0" w:color="auto"/>
              <w:left w:val="single" w:sz="4" w:space="0" w:color="auto"/>
              <w:bottom w:val="single" w:sz="4" w:space="0" w:color="auto"/>
              <w:right w:val="single" w:sz="4" w:space="0" w:color="auto"/>
            </w:tcBorders>
            <w:shd w:val="clear" w:color="auto" w:fill="FFFFFF"/>
          </w:tcPr>
          <w:p w14:paraId="0C23A765" w14:textId="3E8A5B3C" w:rsidR="00654783" w:rsidRDefault="003F4B26" w:rsidP="003F4B26">
            <w:pPr>
              <w:widowControl/>
              <w:autoSpaceDE/>
              <w:adjustRightInd/>
              <w:spacing w:line="240" w:lineRule="auto"/>
              <w:jc w:val="center"/>
              <w:rPr>
                <w:rFonts w:eastAsia="Calibri" w:cs="Times New Roman"/>
                <w:color w:val="000000"/>
                <w:sz w:val="21"/>
                <w:szCs w:val="21"/>
                <w:lang w:eastAsia="en-US"/>
              </w:rPr>
            </w:pPr>
            <w:r>
              <w:rPr>
                <w:rFonts w:eastAsia="Calibri" w:cs="Times New Roman"/>
                <w:color w:val="000000"/>
                <w:sz w:val="21"/>
                <w:szCs w:val="21"/>
                <w:lang w:eastAsia="en-US"/>
              </w:rPr>
              <w:t>0</w:t>
            </w:r>
          </w:p>
        </w:tc>
        <w:tc>
          <w:tcPr>
            <w:tcW w:w="570" w:type="dxa"/>
            <w:gridSpan w:val="2"/>
            <w:tcBorders>
              <w:top w:val="single" w:sz="4" w:space="0" w:color="auto"/>
              <w:left w:val="single" w:sz="4" w:space="0" w:color="auto"/>
              <w:bottom w:val="single" w:sz="4" w:space="0" w:color="auto"/>
              <w:right w:val="single" w:sz="4" w:space="0" w:color="auto"/>
            </w:tcBorders>
            <w:shd w:val="clear" w:color="auto" w:fill="FFFFFF"/>
          </w:tcPr>
          <w:p w14:paraId="4ED99480" w14:textId="5CDAF3AC" w:rsidR="00654783" w:rsidRDefault="003F4B26" w:rsidP="003F4B26">
            <w:pPr>
              <w:widowControl/>
              <w:autoSpaceDE/>
              <w:adjustRightInd/>
              <w:spacing w:line="240" w:lineRule="auto"/>
              <w:jc w:val="center"/>
              <w:rPr>
                <w:rFonts w:eastAsia="Calibri" w:cs="Times New Roman"/>
                <w:color w:val="000000"/>
                <w:sz w:val="21"/>
                <w:szCs w:val="21"/>
                <w:lang w:eastAsia="en-US"/>
              </w:rPr>
            </w:pPr>
            <w:r>
              <w:rPr>
                <w:rFonts w:eastAsia="Calibri" w:cs="Times New Roman"/>
                <w:color w:val="000000"/>
                <w:sz w:val="21"/>
                <w:szCs w:val="21"/>
                <w:lang w:eastAsia="en-US"/>
              </w:rPr>
              <w:t>0</w:t>
            </w:r>
          </w:p>
        </w:tc>
        <w:tc>
          <w:tcPr>
            <w:tcW w:w="570" w:type="dxa"/>
            <w:tcBorders>
              <w:top w:val="single" w:sz="4" w:space="0" w:color="auto"/>
              <w:left w:val="single" w:sz="4" w:space="0" w:color="auto"/>
              <w:bottom w:val="single" w:sz="4" w:space="0" w:color="auto"/>
              <w:right w:val="single" w:sz="4" w:space="0" w:color="auto"/>
            </w:tcBorders>
            <w:shd w:val="clear" w:color="auto" w:fill="FFFFFF"/>
          </w:tcPr>
          <w:p w14:paraId="0C22BEEE" w14:textId="56C2F662" w:rsidR="00654783" w:rsidRDefault="003F4B26" w:rsidP="003F4B26">
            <w:pPr>
              <w:widowControl/>
              <w:autoSpaceDE/>
              <w:adjustRightInd/>
              <w:spacing w:line="240" w:lineRule="auto"/>
              <w:jc w:val="center"/>
              <w:rPr>
                <w:rFonts w:eastAsia="Calibri" w:cs="Times New Roman"/>
                <w:color w:val="000000"/>
                <w:sz w:val="21"/>
                <w:szCs w:val="21"/>
                <w:lang w:eastAsia="en-US"/>
              </w:rPr>
            </w:pPr>
            <w:r>
              <w:rPr>
                <w:rFonts w:eastAsia="Calibri" w:cs="Times New Roman"/>
                <w:color w:val="000000"/>
                <w:sz w:val="21"/>
                <w:szCs w:val="21"/>
                <w:lang w:eastAsia="en-US"/>
              </w:rPr>
              <w:t>0</w:t>
            </w:r>
          </w:p>
        </w:tc>
        <w:tc>
          <w:tcPr>
            <w:tcW w:w="1547" w:type="dxa"/>
            <w:gridSpan w:val="3"/>
            <w:tcBorders>
              <w:top w:val="single" w:sz="4" w:space="0" w:color="auto"/>
              <w:left w:val="single" w:sz="4" w:space="0" w:color="auto"/>
              <w:bottom w:val="single" w:sz="4" w:space="0" w:color="auto"/>
              <w:right w:val="single" w:sz="4" w:space="0" w:color="auto"/>
            </w:tcBorders>
            <w:shd w:val="clear" w:color="auto" w:fill="FFFFFF"/>
          </w:tcPr>
          <w:p w14:paraId="2C036E6E" w14:textId="1072F2D5" w:rsidR="00654783" w:rsidRDefault="003F4B26" w:rsidP="003F4B26">
            <w:pPr>
              <w:widowControl/>
              <w:autoSpaceDE/>
              <w:adjustRightInd/>
              <w:spacing w:line="240" w:lineRule="auto"/>
              <w:jc w:val="center"/>
              <w:rPr>
                <w:rFonts w:eastAsia="Calibri" w:cs="Times New Roman"/>
                <w:color w:val="000000"/>
                <w:sz w:val="21"/>
                <w:szCs w:val="21"/>
                <w:lang w:eastAsia="en-US"/>
              </w:rPr>
            </w:pPr>
            <w:r>
              <w:rPr>
                <w:rFonts w:eastAsia="Calibri" w:cs="Times New Roman"/>
                <w:color w:val="000000"/>
                <w:sz w:val="21"/>
                <w:szCs w:val="21"/>
                <w:lang w:eastAsia="en-US"/>
              </w:rPr>
              <w:t>0</w:t>
            </w:r>
          </w:p>
        </w:tc>
      </w:tr>
      <w:tr w:rsidR="00654783" w14:paraId="4477C6B3" w14:textId="77777777" w:rsidTr="00AF10B0">
        <w:trPr>
          <w:trHeight w:val="360"/>
        </w:trPr>
        <w:tc>
          <w:tcPr>
            <w:tcW w:w="3006"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14:paraId="73D81D00" w14:textId="77777777" w:rsidR="00654783" w:rsidRDefault="00654783">
            <w:pPr>
              <w:widowControl/>
              <w:autoSpaceDE/>
              <w:adjustRightInd/>
              <w:spacing w:line="240" w:lineRule="auto"/>
              <w:rPr>
                <w:rFonts w:eastAsia="Calibri" w:cs="Times New Roman"/>
                <w:color w:val="000000"/>
                <w:sz w:val="21"/>
                <w:szCs w:val="21"/>
                <w:lang w:eastAsia="en-US"/>
              </w:rPr>
            </w:pPr>
            <w:r>
              <w:rPr>
                <w:rFonts w:eastAsia="Calibri" w:cs="Times New Roman"/>
                <w:b/>
                <w:color w:val="000000"/>
                <w:sz w:val="21"/>
                <w:szCs w:val="21"/>
                <w:lang w:eastAsia="en-US"/>
              </w:rPr>
              <w:t>Saldo ogółem</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cPr>
          <w:p w14:paraId="44DD8BAD" w14:textId="2D335815" w:rsidR="00654783" w:rsidRDefault="00AF10B0" w:rsidP="00AF10B0">
            <w:pPr>
              <w:widowControl/>
              <w:autoSpaceDE/>
              <w:adjustRightInd/>
              <w:spacing w:line="240" w:lineRule="auto"/>
              <w:jc w:val="center"/>
              <w:rPr>
                <w:rFonts w:eastAsia="Calibri" w:cs="Times New Roman"/>
                <w:color w:val="000000"/>
                <w:sz w:val="21"/>
                <w:szCs w:val="21"/>
                <w:lang w:eastAsia="en-US"/>
              </w:rPr>
            </w:pPr>
            <w:r w:rsidRPr="00AF10B0">
              <w:rPr>
                <w:rFonts w:eastAsia="Calibri" w:cs="Times New Roman"/>
                <w:color w:val="000000"/>
                <w:sz w:val="18"/>
                <w:szCs w:val="18"/>
                <w:lang w:eastAsia="en-US"/>
              </w:rPr>
              <w:t>-0,339</w:t>
            </w:r>
          </w:p>
        </w:tc>
        <w:tc>
          <w:tcPr>
            <w:tcW w:w="557" w:type="dxa"/>
            <w:tcBorders>
              <w:top w:val="single" w:sz="4" w:space="0" w:color="auto"/>
              <w:left w:val="single" w:sz="4" w:space="0" w:color="auto"/>
              <w:bottom w:val="single" w:sz="4" w:space="0" w:color="auto"/>
              <w:right w:val="single" w:sz="4" w:space="0" w:color="auto"/>
            </w:tcBorders>
            <w:shd w:val="clear" w:color="auto" w:fill="FFFFFF"/>
          </w:tcPr>
          <w:p w14:paraId="02443D4C" w14:textId="25C6EC01" w:rsidR="00654783" w:rsidRDefault="00AF10B0" w:rsidP="00AF10B0">
            <w:pPr>
              <w:widowControl/>
              <w:autoSpaceDE/>
              <w:adjustRightInd/>
              <w:spacing w:line="240" w:lineRule="auto"/>
              <w:jc w:val="center"/>
              <w:rPr>
                <w:rFonts w:eastAsia="Calibri" w:cs="Times New Roman"/>
                <w:color w:val="000000"/>
                <w:sz w:val="21"/>
                <w:szCs w:val="21"/>
                <w:lang w:eastAsia="en-US"/>
              </w:rPr>
            </w:pPr>
            <w:r>
              <w:rPr>
                <w:rFonts w:eastAsia="Calibri" w:cs="Times New Roman"/>
                <w:color w:val="000000"/>
                <w:sz w:val="21"/>
                <w:szCs w:val="21"/>
                <w:lang w:eastAsia="en-US"/>
              </w:rPr>
              <w:t>0</w:t>
            </w:r>
          </w:p>
        </w:tc>
        <w:tc>
          <w:tcPr>
            <w:tcW w:w="570" w:type="dxa"/>
            <w:gridSpan w:val="2"/>
            <w:tcBorders>
              <w:top w:val="single" w:sz="4" w:space="0" w:color="auto"/>
              <w:left w:val="single" w:sz="4" w:space="0" w:color="auto"/>
              <w:bottom w:val="single" w:sz="4" w:space="0" w:color="auto"/>
              <w:right w:val="single" w:sz="4" w:space="0" w:color="auto"/>
            </w:tcBorders>
            <w:shd w:val="clear" w:color="auto" w:fill="FFFFFF"/>
          </w:tcPr>
          <w:p w14:paraId="0EF05119" w14:textId="5B58BC0D" w:rsidR="00654783" w:rsidRDefault="00AF10B0" w:rsidP="00AF10B0">
            <w:pPr>
              <w:widowControl/>
              <w:autoSpaceDE/>
              <w:adjustRightInd/>
              <w:spacing w:line="240" w:lineRule="auto"/>
              <w:jc w:val="center"/>
              <w:rPr>
                <w:rFonts w:eastAsia="Calibri" w:cs="Times New Roman"/>
                <w:color w:val="000000"/>
                <w:sz w:val="21"/>
                <w:szCs w:val="21"/>
                <w:lang w:eastAsia="en-US"/>
              </w:rPr>
            </w:pPr>
            <w:r>
              <w:rPr>
                <w:rFonts w:eastAsia="Calibri" w:cs="Times New Roman"/>
                <w:color w:val="000000"/>
                <w:sz w:val="21"/>
                <w:szCs w:val="21"/>
                <w:lang w:eastAsia="en-US"/>
              </w:rPr>
              <w:t>0</w:t>
            </w:r>
          </w:p>
        </w:tc>
        <w:tc>
          <w:tcPr>
            <w:tcW w:w="569" w:type="dxa"/>
            <w:gridSpan w:val="3"/>
            <w:tcBorders>
              <w:top w:val="single" w:sz="4" w:space="0" w:color="auto"/>
              <w:left w:val="single" w:sz="4" w:space="0" w:color="auto"/>
              <w:bottom w:val="single" w:sz="4" w:space="0" w:color="auto"/>
              <w:right w:val="single" w:sz="4" w:space="0" w:color="auto"/>
            </w:tcBorders>
            <w:shd w:val="clear" w:color="auto" w:fill="FFFFFF"/>
          </w:tcPr>
          <w:p w14:paraId="3463E04F" w14:textId="763328D1" w:rsidR="00654783" w:rsidRDefault="00AF10B0" w:rsidP="00AF10B0">
            <w:pPr>
              <w:widowControl/>
              <w:autoSpaceDE/>
              <w:adjustRightInd/>
              <w:spacing w:line="240" w:lineRule="auto"/>
              <w:jc w:val="center"/>
              <w:rPr>
                <w:rFonts w:eastAsia="Calibri" w:cs="Times New Roman"/>
                <w:color w:val="000000"/>
                <w:sz w:val="21"/>
                <w:szCs w:val="21"/>
                <w:lang w:eastAsia="en-US"/>
              </w:rPr>
            </w:pPr>
            <w:r>
              <w:rPr>
                <w:rFonts w:eastAsia="Calibri" w:cs="Times New Roman"/>
                <w:color w:val="000000"/>
                <w:sz w:val="21"/>
                <w:szCs w:val="21"/>
                <w:lang w:eastAsia="en-US"/>
              </w:rPr>
              <w:t>0</w:t>
            </w:r>
          </w:p>
        </w:tc>
        <w:tc>
          <w:tcPr>
            <w:tcW w:w="570" w:type="dxa"/>
            <w:gridSpan w:val="2"/>
            <w:tcBorders>
              <w:top w:val="single" w:sz="4" w:space="0" w:color="auto"/>
              <w:left w:val="single" w:sz="4" w:space="0" w:color="auto"/>
              <w:bottom w:val="single" w:sz="4" w:space="0" w:color="auto"/>
              <w:right w:val="single" w:sz="4" w:space="0" w:color="auto"/>
            </w:tcBorders>
            <w:shd w:val="clear" w:color="auto" w:fill="FFFFFF"/>
          </w:tcPr>
          <w:p w14:paraId="76A11854" w14:textId="23B1E1EC" w:rsidR="00654783" w:rsidRDefault="00AF10B0" w:rsidP="00AF10B0">
            <w:pPr>
              <w:widowControl/>
              <w:autoSpaceDE/>
              <w:adjustRightInd/>
              <w:spacing w:line="240" w:lineRule="auto"/>
              <w:jc w:val="center"/>
              <w:rPr>
                <w:rFonts w:eastAsia="Calibri" w:cs="Times New Roman"/>
                <w:color w:val="000000"/>
                <w:sz w:val="21"/>
                <w:szCs w:val="21"/>
                <w:lang w:eastAsia="en-US"/>
              </w:rPr>
            </w:pPr>
            <w:r>
              <w:rPr>
                <w:rFonts w:eastAsia="Calibri" w:cs="Times New Roman"/>
                <w:color w:val="000000"/>
                <w:sz w:val="21"/>
                <w:szCs w:val="21"/>
                <w:lang w:eastAsia="en-US"/>
              </w:rPr>
              <w:t>0</w:t>
            </w:r>
          </w:p>
        </w:tc>
        <w:tc>
          <w:tcPr>
            <w:tcW w:w="570" w:type="dxa"/>
            <w:tcBorders>
              <w:top w:val="single" w:sz="4" w:space="0" w:color="auto"/>
              <w:left w:val="single" w:sz="4" w:space="0" w:color="auto"/>
              <w:bottom w:val="single" w:sz="4" w:space="0" w:color="auto"/>
              <w:right w:val="single" w:sz="4" w:space="0" w:color="auto"/>
            </w:tcBorders>
            <w:shd w:val="clear" w:color="auto" w:fill="FFFFFF"/>
          </w:tcPr>
          <w:p w14:paraId="1D2F425B" w14:textId="7A34E848" w:rsidR="00654783" w:rsidRDefault="00AF10B0" w:rsidP="00AF10B0">
            <w:pPr>
              <w:widowControl/>
              <w:autoSpaceDE/>
              <w:adjustRightInd/>
              <w:spacing w:line="240" w:lineRule="auto"/>
              <w:jc w:val="center"/>
              <w:rPr>
                <w:rFonts w:eastAsia="Calibri" w:cs="Times New Roman"/>
                <w:color w:val="000000"/>
                <w:sz w:val="21"/>
                <w:szCs w:val="21"/>
                <w:lang w:eastAsia="en-US"/>
              </w:rPr>
            </w:pPr>
            <w:r>
              <w:rPr>
                <w:rFonts w:eastAsia="Calibri" w:cs="Times New Roman"/>
                <w:color w:val="000000"/>
                <w:sz w:val="21"/>
                <w:szCs w:val="21"/>
                <w:lang w:eastAsia="en-US"/>
              </w:rPr>
              <w:t>0</w:t>
            </w:r>
          </w:p>
        </w:tc>
        <w:tc>
          <w:tcPr>
            <w:tcW w:w="570" w:type="dxa"/>
            <w:gridSpan w:val="3"/>
            <w:tcBorders>
              <w:top w:val="single" w:sz="4" w:space="0" w:color="auto"/>
              <w:left w:val="single" w:sz="4" w:space="0" w:color="auto"/>
              <w:bottom w:val="single" w:sz="4" w:space="0" w:color="auto"/>
              <w:right w:val="single" w:sz="4" w:space="0" w:color="auto"/>
            </w:tcBorders>
            <w:shd w:val="clear" w:color="auto" w:fill="FFFFFF"/>
          </w:tcPr>
          <w:p w14:paraId="39117001" w14:textId="5AC01248" w:rsidR="00654783" w:rsidRDefault="00AF10B0" w:rsidP="00AF10B0">
            <w:pPr>
              <w:widowControl/>
              <w:autoSpaceDE/>
              <w:adjustRightInd/>
              <w:spacing w:line="240" w:lineRule="auto"/>
              <w:jc w:val="center"/>
              <w:rPr>
                <w:rFonts w:eastAsia="Calibri" w:cs="Times New Roman"/>
                <w:color w:val="000000"/>
                <w:sz w:val="21"/>
                <w:szCs w:val="21"/>
                <w:lang w:eastAsia="en-US"/>
              </w:rPr>
            </w:pPr>
            <w:r>
              <w:rPr>
                <w:rFonts w:eastAsia="Calibri" w:cs="Times New Roman"/>
                <w:color w:val="000000"/>
                <w:sz w:val="21"/>
                <w:szCs w:val="21"/>
                <w:lang w:eastAsia="en-US"/>
              </w:rPr>
              <w:t>0</w:t>
            </w:r>
          </w:p>
        </w:tc>
        <w:tc>
          <w:tcPr>
            <w:tcW w:w="569" w:type="dxa"/>
            <w:gridSpan w:val="3"/>
            <w:tcBorders>
              <w:top w:val="single" w:sz="4" w:space="0" w:color="auto"/>
              <w:left w:val="single" w:sz="4" w:space="0" w:color="auto"/>
              <w:bottom w:val="single" w:sz="4" w:space="0" w:color="auto"/>
              <w:right w:val="single" w:sz="4" w:space="0" w:color="auto"/>
            </w:tcBorders>
            <w:shd w:val="clear" w:color="auto" w:fill="FFFFFF"/>
          </w:tcPr>
          <w:p w14:paraId="6D02B31F" w14:textId="158A4560" w:rsidR="00654783" w:rsidRDefault="00AF10B0" w:rsidP="00AF10B0">
            <w:pPr>
              <w:widowControl/>
              <w:autoSpaceDE/>
              <w:adjustRightInd/>
              <w:spacing w:line="240" w:lineRule="auto"/>
              <w:jc w:val="center"/>
              <w:rPr>
                <w:rFonts w:eastAsia="Calibri" w:cs="Times New Roman"/>
                <w:color w:val="000000"/>
                <w:sz w:val="21"/>
                <w:szCs w:val="21"/>
                <w:lang w:eastAsia="en-US"/>
              </w:rPr>
            </w:pPr>
            <w:r>
              <w:rPr>
                <w:rFonts w:eastAsia="Calibri" w:cs="Times New Roman"/>
                <w:color w:val="000000"/>
                <w:sz w:val="21"/>
                <w:szCs w:val="21"/>
                <w:lang w:eastAsia="en-US"/>
              </w:rPr>
              <w:t>0</w:t>
            </w:r>
          </w:p>
        </w:tc>
        <w:tc>
          <w:tcPr>
            <w:tcW w:w="570" w:type="dxa"/>
            <w:gridSpan w:val="2"/>
            <w:tcBorders>
              <w:top w:val="single" w:sz="4" w:space="0" w:color="auto"/>
              <w:left w:val="single" w:sz="4" w:space="0" w:color="auto"/>
              <w:bottom w:val="single" w:sz="4" w:space="0" w:color="auto"/>
              <w:right w:val="single" w:sz="4" w:space="0" w:color="auto"/>
            </w:tcBorders>
            <w:shd w:val="clear" w:color="auto" w:fill="FFFFFF"/>
          </w:tcPr>
          <w:p w14:paraId="1B9EA785" w14:textId="749438F5" w:rsidR="00654783" w:rsidRDefault="00AF10B0" w:rsidP="00AF10B0">
            <w:pPr>
              <w:widowControl/>
              <w:autoSpaceDE/>
              <w:adjustRightInd/>
              <w:spacing w:line="240" w:lineRule="auto"/>
              <w:jc w:val="center"/>
              <w:rPr>
                <w:rFonts w:eastAsia="Calibri" w:cs="Times New Roman"/>
                <w:color w:val="000000"/>
                <w:sz w:val="21"/>
                <w:szCs w:val="21"/>
                <w:lang w:eastAsia="en-US"/>
              </w:rPr>
            </w:pPr>
            <w:r>
              <w:rPr>
                <w:rFonts w:eastAsia="Calibri" w:cs="Times New Roman"/>
                <w:color w:val="000000"/>
                <w:sz w:val="21"/>
                <w:szCs w:val="21"/>
                <w:lang w:eastAsia="en-US"/>
              </w:rPr>
              <w:t>0</w:t>
            </w:r>
          </w:p>
        </w:tc>
        <w:tc>
          <w:tcPr>
            <w:tcW w:w="570" w:type="dxa"/>
            <w:gridSpan w:val="2"/>
            <w:tcBorders>
              <w:top w:val="single" w:sz="4" w:space="0" w:color="auto"/>
              <w:left w:val="single" w:sz="4" w:space="0" w:color="auto"/>
              <w:bottom w:val="single" w:sz="4" w:space="0" w:color="auto"/>
              <w:right w:val="single" w:sz="4" w:space="0" w:color="auto"/>
            </w:tcBorders>
            <w:shd w:val="clear" w:color="auto" w:fill="FFFFFF"/>
          </w:tcPr>
          <w:p w14:paraId="308D6B84" w14:textId="7559FAF9" w:rsidR="00654783" w:rsidRDefault="00AF10B0" w:rsidP="00AF10B0">
            <w:pPr>
              <w:widowControl/>
              <w:autoSpaceDE/>
              <w:adjustRightInd/>
              <w:spacing w:line="240" w:lineRule="auto"/>
              <w:jc w:val="center"/>
              <w:rPr>
                <w:rFonts w:eastAsia="Calibri" w:cs="Times New Roman"/>
                <w:color w:val="000000"/>
                <w:sz w:val="21"/>
                <w:szCs w:val="21"/>
                <w:lang w:eastAsia="en-US"/>
              </w:rPr>
            </w:pPr>
            <w:r>
              <w:rPr>
                <w:rFonts w:eastAsia="Calibri" w:cs="Times New Roman"/>
                <w:color w:val="000000"/>
                <w:sz w:val="21"/>
                <w:szCs w:val="21"/>
                <w:lang w:eastAsia="en-US"/>
              </w:rPr>
              <w:t>0</w:t>
            </w:r>
          </w:p>
        </w:tc>
        <w:tc>
          <w:tcPr>
            <w:tcW w:w="570" w:type="dxa"/>
            <w:tcBorders>
              <w:top w:val="single" w:sz="4" w:space="0" w:color="auto"/>
              <w:left w:val="single" w:sz="4" w:space="0" w:color="auto"/>
              <w:bottom w:val="single" w:sz="4" w:space="0" w:color="auto"/>
              <w:right w:val="single" w:sz="4" w:space="0" w:color="auto"/>
            </w:tcBorders>
            <w:shd w:val="clear" w:color="auto" w:fill="FFFFFF"/>
          </w:tcPr>
          <w:p w14:paraId="3C626465" w14:textId="17FE18EC" w:rsidR="00654783" w:rsidRDefault="00AF10B0" w:rsidP="00AF10B0">
            <w:pPr>
              <w:widowControl/>
              <w:autoSpaceDE/>
              <w:adjustRightInd/>
              <w:spacing w:line="240" w:lineRule="auto"/>
              <w:jc w:val="center"/>
              <w:rPr>
                <w:rFonts w:eastAsia="Calibri" w:cs="Times New Roman"/>
                <w:color w:val="000000"/>
                <w:sz w:val="21"/>
                <w:szCs w:val="21"/>
                <w:lang w:eastAsia="en-US"/>
              </w:rPr>
            </w:pPr>
            <w:r>
              <w:rPr>
                <w:rFonts w:eastAsia="Calibri" w:cs="Times New Roman"/>
                <w:color w:val="000000"/>
                <w:sz w:val="21"/>
                <w:szCs w:val="21"/>
                <w:lang w:eastAsia="en-US"/>
              </w:rPr>
              <w:t>0</w:t>
            </w:r>
          </w:p>
        </w:tc>
        <w:tc>
          <w:tcPr>
            <w:tcW w:w="1547" w:type="dxa"/>
            <w:gridSpan w:val="3"/>
            <w:tcBorders>
              <w:top w:val="single" w:sz="4" w:space="0" w:color="auto"/>
              <w:left w:val="single" w:sz="4" w:space="0" w:color="auto"/>
              <w:bottom w:val="single" w:sz="4" w:space="0" w:color="auto"/>
              <w:right w:val="single" w:sz="4" w:space="0" w:color="auto"/>
            </w:tcBorders>
            <w:shd w:val="clear" w:color="auto" w:fill="FFFFFF"/>
          </w:tcPr>
          <w:p w14:paraId="25B24E6F" w14:textId="146BBF8D" w:rsidR="00654783" w:rsidRDefault="000A5943" w:rsidP="00AF10B0">
            <w:pPr>
              <w:widowControl/>
              <w:autoSpaceDE/>
              <w:adjustRightInd/>
              <w:spacing w:line="240" w:lineRule="auto"/>
              <w:jc w:val="center"/>
              <w:rPr>
                <w:rFonts w:eastAsia="Calibri" w:cs="Times New Roman"/>
                <w:color w:val="000000"/>
                <w:sz w:val="21"/>
                <w:szCs w:val="21"/>
                <w:lang w:eastAsia="en-US"/>
              </w:rPr>
            </w:pPr>
            <w:r w:rsidRPr="00AF10B0">
              <w:rPr>
                <w:rFonts w:eastAsia="Calibri" w:cs="Times New Roman"/>
                <w:color w:val="000000"/>
                <w:sz w:val="18"/>
                <w:szCs w:val="18"/>
                <w:lang w:eastAsia="en-US"/>
              </w:rPr>
              <w:t>-0,339</w:t>
            </w:r>
          </w:p>
        </w:tc>
      </w:tr>
      <w:tr w:rsidR="00654783" w14:paraId="56882F2D" w14:textId="77777777" w:rsidTr="00AF10B0">
        <w:trPr>
          <w:trHeight w:val="360"/>
        </w:trPr>
        <w:tc>
          <w:tcPr>
            <w:tcW w:w="3006"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14:paraId="420E9AB7" w14:textId="77777777" w:rsidR="00654783" w:rsidRDefault="00654783">
            <w:pPr>
              <w:widowControl/>
              <w:autoSpaceDE/>
              <w:adjustRightInd/>
              <w:spacing w:line="240" w:lineRule="auto"/>
              <w:rPr>
                <w:rFonts w:eastAsia="Calibri" w:cs="Times New Roman"/>
                <w:color w:val="000000"/>
                <w:sz w:val="21"/>
                <w:szCs w:val="21"/>
                <w:lang w:eastAsia="en-US"/>
              </w:rPr>
            </w:pPr>
            <w:r>
              <w:rPr>
                <w:rFonts w:eastAsia="Calibri" w:cs="Times New Roman"/>
                <w:color w:val="000000"/>
                <w:sz w:val="21"/>
                <w:szCs w:val="21"/>
                <w:lang w:eastAsia="en-US"/>
              </w:rPr>
              <w:t>budżet państwa</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cPr>
          <w:p w14:paraId="45524894" w14:textId="60F9B5CE" w:rsidR="00654783" w:rsidRDefault="000A5943" w:rsidP="000A5943">
            <w:pPr>
              <w:widowControl/>
              <w:autoSpaceDE/>
              <w:adjustRightInd/>
              <w:spacing w:line="240" w:lineRule="auto"/>
              <w:jc w:val="center"/>
              <w:rPr>
                <w:rFonts w:eastAsia="Calibri" w:cs="Times New Roman"/>
                <w:color w:val="000000"/>
                <w:sz w:val="21"/>
                <w:szCs w:val="21"/>
                <w:lang w:eastAsia="en-US"/>
              </w:rPr>
            </w:pPr>
            <w:r w:rsidRPr="00AF10B0">
              <w:rPr>
                <w:rFonts w:eastAsia="Calibri" w:cs="Times New Roman"/>
                <w:color w:val="000000"/>
                <w:sz w:val="18"/>
                <w:szCs w:val="18"/>
                <w:lang w:eastAsia="en-US"/>
              </w:rPr>
              <w:t>-0,339</w:t>
            </w:r>
          </w:p>
        </w:tc>
        <w:tc>
          <w:tcPr>
            <w:tcW w:w="557" w:type="dxa"/>
            <w:tcBorders>
              <w:top w:val="single" w:sz="4" w:space="0" w:color="auto"/>
              <w:left w:val="single" w:sz="4" w:space="0" w:color="auto"/>
              <w:bottom w:val="single" w:sz="4" w:space="0" w:color="auto"/>
              <w:right w:val="single" w:sz="4" w:space="0" w:color="auto"/>
            </w:tcBorders>
            <w:shd w:val="clear" w:color="auto" w:fill="FFFFFF"/>
          </w:tcPr>
          <w:p w14:paraId="00B73767" w14:textId="66320EC6" w:rsidR="00654783" w:rsidRDefault="000A5943" w:rsidP="000A5943">
            <w:pPr>
              <w:widowControl/>
              <w:autoSpaceDE/>
              <w:adjustRightInd/>
              <w:spacing w:line="240" w:lineRule="auto"/>
              <w:jc w:val="center"/>
              <w:rPr>
                <w:rFonts w:eastAsia="Calibri" w:cs="Times New Roman"/>
                <w:color w:val="000000"/>
                <w:sz w:val="21"/>
                <w:szCs w:val="21"/>
                <w:lang w:eastAsia="en-US"/>
              </w:rPr>
            </w:pPr>
            <w:r>
              <w:rPr>
                <w:rFonts w:eastAsia="Calibri" w:cs="Times New Roman"/>
                <w:color w:val="000000"/>
                <w:sz w:val="21"/>
                <w:szCs w:val="21"/>
                <w:lang w:eastAsia="en-US"/>
              </w:rPr>
              <w:t>0</w:t>
            </w:r>
          </w:p>
        </w:tc>
        <w:tc>
          <w:tcPr>
            <w:tcW w:w="570" w:type="dxa"/>
            <w:gridSpan w:val="2"/>
            <w:tcBorders>
              <w:top w:val="single" w:sz="4" w:space="0" w:color="auto"/>
              <w:left w:val="single" w:sz="4" w:space="0" w:color="auto"/>
              <w:bottom w:val="single" w:sz="4" w:space="0" w:color="auto"/>
              <w:right w:val="single" w:sz="4" w:space="0" w:color="auto"/>
            </w:tcBorders>
            <w:shd w:val="clear" w:color="auto" w:fill="FFFFFF"/>
          </w:tcPr>
          <w:p w14:paraId="0FD51189" w14:textId="4B466233" w:rsidR="00654783" w:rsidRDefault="000A5943" w:rsidP="000A5943">
            <w:pPr>
              <w:widowControl/>
              <w:autoSpaceDE/>
              <w:adjustRightInd/>
              <w:spacing w:line="240" w:lineRule="auto"/>
              <w:jc w:val="center"/>
              <w:rPr>
                <w:rFonts w:eastAsia="Calibri" w:cs="Times New Roman"/>
                <w:color w:val="000000"/>
                <w:sz w:val="21"/>
                <w:szCs w:val="21"/>
                <w:lang w:eastAsia="en-US"/>
              </w:rPr>
            </w:pPr>
            <w:r>
              <w:rPr>
                <w:rFonts w:eastAsia="Calibri" w:cs="Times New Roman"/>
                <w:color w:val="000000"/>
                <w:sz w:val="21"/>
                <w:szCs w:val="21"/>
                <w:lang w:eastAsia="en-US"/>
              </w:rPr>
              <w:t>0</w:t>
            </w:r>
          </w:p>
        </w:tc>
        <w:tc>
          <w:tcPr>
            <w:tcW w:w="569" w:type="dxa"/>
            <w:gridSpan w:val="3"/>
            <w:tcBorders>
              <w:top w:val="single" w:sz="4" w:space="0" w:color="auto"/>
              <w:left w:val="single" w:sz="4" w:space="0" w:color="auto"/>
              <w:bottom w:val="single" w:sz="4" w:space="0" w:color="auto"/>
              <w:right w:val="single" w:sz="4" w:space="0" w:color="auto"/>
            </w:tcBorders>
            <w:shd w:val="clear" w:color="auto" w:fill="FFFFFF"/>
          </w:tcPr>
          <w:p w14:paraId="7C0E6133" w14:textId="62860A4F" w:rsidR="00654783" w:rsidRDefault="000A5943" w:rsidP="000A5943">
            <w:pPr>
              <w:widowControl/>
              <w:autoSpaceDE/>
              <w:adjustRightInd/>
              <w:spacing w:line="240" w:lineRule="auto"/>
              <w:jc w:val="center"/>
              <w:rPr>
                <w:rFonts w:eastAsia="Calibri" w:cs="Times New Roman"/>
                <w:color w:val="000000"/>
                <w:sz w:val="21"/>
                <w:szCs w:val="21"/>
                <w:lang w:eastAsia="en-US"/>
              </w:rPr>
            </w:pPr>
            <w:r>
              <w:rPr>
                <w:rFonts w:eastAsia="Calibri" w:cs="Times New Roman"/>
                <w:color w:val="000000"/>
                <w:sz w:val="21"/>
                <w:szCs w:val="21"/>
                <w:lang w:eastAsia="en-US"/>
              </w:rPr>
              <w:t>0</w:t>
            </w:r>
          </w:p>
        </w:tc>
        <w:tc>
          <w:tcPr>
            <w:tcW w:w="570" w:type="dxa"/>
            <w:gridSpan w:val="2"/>
            <w:tcBorders>
              <w:top w:val="single" w:sz="4" w:space="0" w:color="auto"/>
              <w:left w:val="single" w:sz="4" w:space="0" w:color="auto"/>
              <w:bottom w:val="single" w:sz="4" w:space="0" w:color="auto"/>
              <w:right w:val="single" w:sz="4" w:space="0" w:color="auto"/>
            </w:tcBorders>
            <w:shd w:val="clear" w:color="auto" w:fill="FFFFFF"/>
          </w:tcPr>
          <w:p w14:paraId="4EB3E237" w14:textId="356443B3" w:rsidR="00654783" w:rsidRDefault="000A5943" w:rsidP="000A5943">
            <w:pPr>
              <w:widowControl/>
              <w:autoSpaceDE/>
              <w:adjustRightInd/>
              <w:spacing w:line="240" w:lineRule="auto"/>
              <w:jc w:val="center"/>
              <w:rPr>
                <w:rFonts w:eastAsia="Calibri" w:cs="Times New Roman"/>
                <w:color w:val="000000"/>
                <w:sz w:val="21"/>
                <w:szCs w:val="21"/>
                <w:lang w:eastAsia="en-US"/>
              </w:rPr>
            </w:pPr>
            <w:r>
              <w:rPr>
                <w:rFonts w:eastAsia="Calibri" w:cs="Times New Roman"/>
                <w:color w:val="000000"/>
                <w:sz w:val="21"/>
                <w:szCs w:val="21"/>
                <w:lang w:eastAsia="en-US"/>
              </w:rPr>
              <w:t>0</w:t>
            </w:r>
          </w:p>
        </w:tc>
        <w:tc>
          <w:tcPr>
            <w:tcW w:w="570" w:type="dxa"/>
            <w:tcBorders>
              <w:top w:val="single" w:sz="4" w:space="0" w:color="auto"/>
              <w:left w:val="single" w:sz="4" w:space="0" w:color="auto"/>
              <w:bottom w:val="single" w:sz="4" w:space="0" w:color="auto"/>
              <w:right w:val="single" w:sz="4" w:space="0" w:color="auto"/>
            </w:tcBorders>
            <w:shd w:val="clear" w:color="auto" w:fill="FFFFFF"/>
          </w:tcPr>
          <w:p w14:paraId="65FA43CD" w14:textId="5359C195" w:rsidR="00654783" w:rsidRDefault="000A5943" w:rsidP="000A5943">
            <w:pPr>
              <w:widowControl/>
              <w:autoSpaceDE/>
              <w:adjustRightInd/>
              <w:spacing w:line="240" w:lineRule="auto"/>
              <w:jc w:val="center"/>
              <w:rPr>
                <w:rFonts w:eastAsia="Calibri" w:cs="Times New Roman"/>
                <w:color w:val="000000"/>
                <w:sz w:val="21"/>
                <w:szCs w:val="21"/>
                <w:lang w:eastAsia="en-US"/>
              </w:rPr>
            </w:pPr>
            <w:r>
              <w:rPr>
                <w:rFonts w:eastAsia="Calibri" w:cs="Times New Roman"/>
                <w:color w:val="000000"/>
                <w:sz w:val="21"/>
                <w:szCs w:val="21"/>
                <w:lang w:eastAsia="en-US"/>
              </w:rPr>
              <w:t>0</w:t>
            </w:r>
          </w:p>
        </w:tc>
        <w:tc>
          <w:tcPr>
            <w:tcW w:w="570" w:type="dxa"/>
            <w:gridSpan w:val="3"/>
            <w:tcBorders>
              <w:top w:val="single" w:sz="4" w:space="0" w:color="auto"/>
              <w:left w:val="single" w:sz="4" w:space="0" w:color="auto"/>
              <w:bottom w:val="single" w:sz="4" w:space="0" w:color="auto"/>
              <w:right w:val="single" w:sz="4" w:space="0" w:color="auto"/>
            </w:tcBorders>
            <w:shd w:val="clear" w:color="auto" w:fill="FFFFFF"/>
          </w:tcPr>
          <w:p w14:paraId="4D07F7EC" w14:textId="339E1A0A" w:rsidR="00654783" w:rsidRDefault="000A5943" w:rsidP="000A5943">
            <w:pPr>
              <w:widowControl/>
              <w:autoSpaceDE/>
              <w:adjustRightInd/>
              <w:spacing w:line="240" w:lineRule="auto"/>
              <w:jc w:val="center"/>
              <w:rPr>
                <w:rFonts w:eastAsia="Calibri" w:cs="Times New Roman"/>
                <w:color w:val="000000"/>
                <w:sz w:val="21"/>
                <w:szCs w:val="21"/>
                <w:lang w:eastAsia="en-US"/>
              </w:rPr>
            </w:pPr>
            <w:r>
              <w:rPr>
                <w:rFonts w:eastAsia="Calibri" w:cs="Times New Roman"/>
                <w:color w:val="000000"/>
                <w:sz w:val="21"/>
                <w:szCs w:val="21"/>
                <w:lang w:eastAsia="en-US"/>
              </w:rPr>
              <w:t>0</w:t>
            </w:r>
          </w:p>
        </w:tc>
        <w:tc>
          <w:tcPr>
            <w:tcW w:w="569" w:type="dxa"/>
            <w:gridSpan w:val="3"/>
            <w:tcBorders>
              <w:top w:val="single" w:sz="4" w:space="0" w:color="auto"/>
              <w:left w:val="single" w:sz="4" w:space="0" w:color="auto"/>
              <w:bottom w:val="single" w:sz="4" w:space="0" w:color="auto"/>
              <w:right w:val="single" w:sz="4" w:space="0" w:color="auto"/>
            </w:tcBorders>
            <w:shd w:val="clear" w:color="auto" w:fill="FFFFFF"/>
          </w:tcPr>
          <w:p w14:paraId="45BEFA84" w14:textId="127362F8" w:rsidR="00654783" w:rsidRDefault="000A5943" w:rsidP="000A5943">
            <w:pPr>
              <w:widowControl/>
              <w:autoSpaceDE/>
              <w:adjustRightInd/>
              <w:spacing w:line="240" w:lineRule="auto"/>
              <w:jc w:val="center"/>
              <w:rPr>
                <w:rFonts w:eastAsia="Calibri" w:cs="Times New Roman"/>
                <w:color w:val="000000"/>
                <w:sz w:val="21"/>
                <w:szCs w:val="21"/>
                <w:lang w:eastAsia="en-US"/>
              </w:rPr>
            </w:pPr>
            <w:r>
              <w:rPr>
                <w:rFonts w:eastAsia="Calibri" w:cs="Times New Roman"/>
                <w:color w:val="000000"/>
                <w:sz w:val="21"/>
                <w:szCs w:val="21"/>
                <w:lang w:eastAsia="en-US"/>
              </w:rPr>
              <w:t>0</w:t>
            </w:r>
          </w:p>
        </w:tc>
        <w:tc>
          <w:tcPr>
            <w:tcW w:w="570" w:type="dxa"/>
            <w:gridSpan w:val="2"/>
            <w:tcBorders>
              <w:top w:val="single" w:sz="4" w:space="0" w:color="auto"/>
              <w:left w:val="single" w:sz="4" w:space="0" w:color="auto"/>
              <w:bottom w:val="single" w:sz="4" w:space="0" w:color="auto"/>
              <w:right w:val="single" w:sz="4" w:space="0" w:color="auto"/>
            </w:tcBorders>
            <w:shd w:val="clear" w:color="auto" w:fill="FFFFFF"/>
          </w:tcPr>
          <w:p w14:paraId="4A9D755E" w14:textId="296DB060" w:rsidR="00654783" w:rsidRDefault="000A5943" w:rsidP="000A5943">
            <w:pPr>
              <w:widowControl/>
              <w:autoSpaceDE/>
              <w:adjustRightInd/>
              <w:spacing w:line="240" w:lineRule="auto"/>
              <w:jc w:val="center"/>
              <w:rPr>
                <w:rFonts w:eastAsia="Calibri" w:cs="Times New Roman"/>
                <w:color w:val="000000"/>
                <w:sz w:val="21"/>
                <w:szCs w:val="21"/>
                <w:lang w:eastAsia="en-US"/>
              </w:rPr>
            </w:pPr>
            <w:r>
              <w:rPr>
                <w:rFonts w:eastAsia="Calibri" w:cs="Times New Roman"/>
                <w:color w:val="000000"/>
                <w:sz w:val="21"/>
                <w:szCs w:val="21"/>
                <w:lang w:eastAsia="en-US"/>
              </w:rPr>
              <w:t>0</w:t>
            </w:r>
          </w:p>
        </w:tc>
        <w:tc>
          <w:tcPr>
            <w:tcW w:w="570" w:type="dxa"/>
            <w:gridSpan w:val="2"/>
            <w:tcBorders>
              <w:top w:val="single" w:sz="4" w:space="0" w:color="auto"/>
              <w:left w:val="single" w:sz="4" w:space="0" w:color="auto"/>
              <w:bottom w:val="single" w:sz="4" w:space="0" w:color="auto"/>
              <w:right w:val="single" w:sz="4" w:space="0" w:color="auto"/>
            </w:tcBorders>
            <w:shd w:val="clear" w:color="auto" w:fill="FFFFFF"/>
          </w:tcPr>
          <w:p w14:paraId="15AC61B4" w14:textId="701422AC" w:rsidR="00654783" w:rsidRDefault="000A5943" w:rsidP="000A5943">
            <w:pPr>
              <w:widowControl/>
              <w:autoSpaceDE/>
              <w:adjustRightInd/>
              <w:spacing w:line="240" w:lineRule="auto"/>
              <w:jc w:val="center"/>
              <w:rPr>
                <w:rFonts w:eastAsia="Calibri" w:cs="Times New Roman"/>
                <w:color w:val="000000"/>
                <w:sz w:val="21"/>
                <w:szCs w:val="21"/>
                <w:lang w:eastAsia="en-US"/>
              </w:rPr>
            </w:pPr>
            <w:r>
              <w:rPr>
                <w:rFonts w:eastAsia="Calibri" w:cs="Times New Roman"/>
                <w:color w:val="000000"/>
                <w:sz w:val="21"/>
                <w:szCs w:val="21"/>
                <w:lang w:eastAsia="en-US"/>
              </w:rPr>
              <w:t>0</w:t>
            </w:r>
          </w:p>
        </w:tc>
        <w:tc>
          <w:tcPr>
            <w:tcW w:w="570" w:type="dxa"/>
            <w:tcBorders>
              <w:top w:val="single" w:sz="4" w:space="0" w:color="auto"/>
              <w:left w:val="single" w:sz="4" w:space="0" w:color="auto"/>
              <w:bottom w:val="single" w:sz="4" w:space="0" w:color="auto"/>
              <w:right w:val="single" w:sz="4" w:space="0" w:color="auto"/>
            </w:tcBorders>
            <w:shd w:val="clear" w:color="auto" w:fill="FFFFFF"/>
          </w:tcPr>
          <w:p w14:paraId="112D05F8" w14:textId="4F830B7B" w:rsidR="00654783" w:rsidRDefault="000A5943" w:rsidP="000A5943">
            <w:pPr>
              <w:widowControl/>
              <w:autoSpaceDE/>
              <w:adjustRightInd/>
              <w:spacing w:line="240" w:lineRule="auto"/>
              <w:jc w:val="center"/>
              <w:rPr>
                <w:rFonts w:eastAsia="Calibri" w:cs="Times New Roman"/>
                <w:color w:val="000000"/>
                <w:sz w:val="21"/>
                <w:szCs w:val="21"/>
                <w:lang w:eastAsia="en-US"/>
              </w:rPr>
            </w:pPr>
            <w:r>
              <w:rPr>
                <w:rFonts w:eastAsia="Calibri" w:cs="Times New Roman"/>
                <w:color w:val="000000"/>
                <w:sz w:val="21"/>
                <w:szCs w:val="21"/>
                <w:lang w:eastAsia="en-US"/>
              </w:rPr>
              <w:t>0</w:t>
            </w:r>
          </w:p>
        </w:tc>
        <w:tc>
          <w:tcPr>
            <w:tcW w:w="1547" w:type="dxa"/>
            <w:gridSpan w:val="3"/>
            <w:tcBorders>
              <w:top w:val="single" w:sz="4" w:space="0" w:color="auto"/>
              <w:left w:val="single" w:sz="4" w:space="0" w:color="auto"/>
              <w:bottom w:val="single" w:sz="4" w:space="0" w:color="auto"/>
              <w:right w:val="single" w:sz="4" w:space="0" w:color="auto"/>
            </w:tcBorders>
            <w:shd w:val="clear" w:color="auto" w:fill="FFFFFF"/>
          </w:tcPr>
          <w:p w14:paraId="074AAAD4" w14:textId="66C078C6" w:rsidR="00654783" w:rsidRDefault="000A5943" w:rsidP="000A5943">
            <w:pPr>
              <w:widowControl/>
              <w:autoSpaceDE/>
              <w:adjustRightInd/>
              <w:spacing w:line="240" w:lineRule="auto"/>
              <w:jc w:val="center"/>
              <w:rPr>
                <w:rFonts w:eastAsia="Calibri" w:cs="Times New Roman"/>
                <w:color w:val="000000"/>
                <w:sz w:val="21"/>
                <w:szCs w:val="21"/>
                <w:lang w:eastAsia="en-US"/>
              </w:rPr>
            </w:pPr>
            <w:r w:rsidRPr="00AF10B0">
              <w:rPr>
                <w:rFonts w:eastAsia="Calibri" w:cs="Times New Roman"/>
                <w:color w:val="000000"/>
                <w:sz w:val="18"/>
                <w:szCs w:val="18"/>
                <w:lang w:eastAsia="en-US"/>
              </w:rPr>
              <w:t>-0,339</w:t>
            </w:r>
          </w:p>
        </w:tc>
      </w:tr>
      <w:tr w:rsidR="00654783" w14:paraId="616F0AFD" w14:textId="77777777" w:rsidTr="00AF10B0">
        <w:trPr>
          <w:trHeight w:val="357"/>
        </w:trPr>
        <w:tc>
          <w:tcPr>
            <w:tcW w:w="3006"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14:paraId="4186B8F9" w14:textId="77777777" w:rsidR="00654783" w:rsidRDefault="00654783">
            <w:pPr>
              <w:widowControl/>
              <w:autoSpaceDE/>
              <w:adjustRightInd/>
              <w:spacing w:line="240" w:lineRule="auto"/>
              <w:rPr>
                <w:rFonts w:eastAsia="Calibri" w:cs="Times New Roman"/>
                <w:color w:val="000000"/>
                <w:sz w:val="21"/>
                <w:szCs w:val="21"/>
                <w:lang w:eastAsia="en-US"/>
              </w:rPr>
            </w:pPr>
            <w:r>
              <w:rPr>
                <w:rFonts w:eastAsia="Calibri" w:cs="Times New Roman"/>
                <w:color w:val="000000"/>
                <w:sz w:val="21"/>
                <w:szCs w:val="21"/>
                <w:lang w:eastAsia="en-US"/>
              </w:rPr>
              <w:t>JST</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cPr>
          <w:p w14:paraId="68730A50" w14:textId="79E0FED2" w:rsidR="00654783" w:rsidRDefault="003F4B26" w:rsidP="003F4B26">
            <w:pPr>
              <w:widowControl/>
              <w:autoSpaceDE/>
              <w:adjustRightInd/>
              <w:spacing w:line="240" w:lineRule="auto"/>
              <w:jc w:val="center"/>
              <w:rPr>
                <w:rFonts w:eastAsia="Calibri" w:cs="Times New Roman"/>
                <w:color w:val="000000"/>
                <w:sz w:val="21"/>
                <w:szCs w:val="21"/>
                <w:lang w:eastAsia="en-US"/>
              </w:rPr>
            </w:pPr>
            <w:r>
              <w:rPr>
                <w:rFonts w:eastAsia="Calibri" w:cs="Times New Roman"/>
                <w:color w:val="000000"/>
                <w:sz w:val="21"/>
                <w:szCs w:val="21"/>
                <w:lang w:eastAsia="en-US"/>
              </w:rPr>
              <w:t>0</w:t>
            </w:r>
          </w:p>
        </w:tc>
        <w:tc>
          <w:tcPr>
            <w:tcW w:w="557" w:type="dxa"/>
            <w:tcBorders>
              <w:top w:val="single" w:sz="4" w:space="0" w:color="auto"/>
              <w:left w:val="single" w:sz="4" w:space="0" w:color="auto"/>
              <w:bottom w:val="single" w:sz="4" w:space="0" w:color="auto"/>
              <w:right w:val="single" w:sz="4" w:space="0" w:color="auto"/>
            </w:tcBorders>
            <w:shd w:val="clear" w:color="auto" w:fill="FFFFFF"/>
          </w:tcPr>
          <w:p w14:paraId="205F8172" w14:textId="479CB5BA" w:rsidR="00654783" w:rsidRDefault="003F4B26" w:rsidP="003F4B26">
            <w:pPr>
              <w:widowControl/>
              <w:autoSpaceDE/>
              <w:adjustRightInd/>
              <w:spacing w:line="240" w:lineRule="auto"/>
              <w:jc w:val="center"/>
              <w:rPr>
                <w:rFonts w:eastAsia="Calibri" w:cs="Times New Roman"/>
                <w:color w:val="000000"/>
                <w:sz w:val="21"/>
                <w:szCs w:val="21"/>
                <w:lang w:eastAsia="en-US"/>
              </w:rPr>
            </w:pPr>
            <w:r>
              <w:rPr>
                <w:rFonts w:eastAsia="Calibri" w:cs="Times New Roman"/>
                <w:color w:val="000000"/>
                <w:sz w:val="21"/>
                <w:szCs w:val="21"/>
                <w:lang w:eastAsia="en-US"/>
              </w:rPr>
              <w:t>0</w:t>
            </w:r>
          </w:p>
        </w:tc>
        <w:tc>
          <w:tcPr>
            <w:tcW w:w="570" w:type="dxa"/>
            <w:gridSpan w:val="2"/>
            <w:tcBorders>
              <w:top w:val="single" w:sz="4" w:space="0" w:color="auto"/>
              <w:left w:val="single" w:sz="4" w:space="0" w:color="auto"/>
              <w:bottom w:val="single" w:sz="4" w:space="0" w:color="auto"/>
              <w:right w:val="single" w:sz="4" w:space="0" w:color="auto"/>
            </w:tcBorders>
            <w:shd w:val="clear" w:color="auto" w:fill="FFFFFF"/>
          </w:tcPr>
          <w:p w14:paraId="0AF5B8DA" w14:textId="61F4741D" w:rsidR="00654783" w:rsidRDefault="003F4B26" w:rsidP="003F4B26">
            <w:pPr>
              <w:widowControl/>
              <w:autoSpaceDE/>
              <w:adjustRightInd/>
              <w:spacing w:line="240" w:lineRule="auto"/>
              <w:jc w:val="center"/>
              <w:rPr>
                <w:rFonts w:eastAsia="Calibri" w:cs="Times New Roman"/>
                <w:color w:val="000000"/>
                <w:sz w:val="21"/>
                <w:szCs w:val="21"/>
                <w:lang w:eastAsia="en-US"/>
              </w:rPr>
            </w:pPr>
            <w:r>
              <w:rPr>
                <w:rFonts w:eastAsia="Calibri" w:cs="Times New Roman"/>
                <w:color w:val="000000"/>
                <w:sz w:val="21"/>
                <w:szCs w:val="21"/>
                <w:lang w:eastAsia="en-US"/>
              </w:rPr>
              <w:t>0</w:t>
            </w:r>
          </w:p>
        </w:tc>
        <w:tc>
          <w:tcPr>
            <w:tcW w:w="569" w:type="dxa"/>
            <w:gridSpan w:val="3"/>
            <w:tcBorders>
              <w:top w:val="single" w:sz="4" w:space="0" w:color="auto"/>
              <w:left w:val="single" w:sz="4" w:space="0" w:color="auto"/>
              <w:bottom w:val="single" w:sz="4" w:space="0" w:color="auto"/>
              <w:right w:val="single" w:sz="4" w:space="0" w:color="auto"/>
            </w:tcBorders>
            <w:shd w:val="clear" w:color="auto" w:fill="FFFFFF"/>
          </w:tcPr>
          <w:p w14:paraId="0FC12CC9" w14:textId="7A176AAD" w:rsidR="00654783" w:rsidRDefault="003F4B26" w:rsidP="003F4B26">
            <w:pPr>
              <w:widowControl/>
              <w:autoSpaceDE/>
              <w:adjustRightInd/>
              <w:spacing w:line="240" w:lineRule="auto"/>
              <w:jc w:val="center"/>
              <w:rPr>
                <w:rFonts w:eastAsia="Calibri" w:cs="Times New Roman"/>
                <w:color w:val="000000"/>
                <w:sz w:val="21"/>
                <w:szCs w:val="21"/>
                <w:lang w:eastAsia="en-US"/>
              </w:rPr>
            </w:pPr>
            <w:r>
              <w:rPr>
                <w:rFonts w:eastAsia="Calibri" w:cs="Times New Roman"/>
                <w:color w:val="000000"/>
                <w:sz w:val="21"/>
                <w:szCs w:val="21"/>
                <w:lang w:eastAsia="en-US"/>
              </w:rPr>
              <w:t>0</w:t>
            </w:r>
          </w:p>
        </w:tc>
        <w:tc>
          <w:tcPr>
            <w:tcW w:w="570" w:type="dxa"/>
            <w:gridSpan w:val="2"/>
            <w:tcBorders>
              <w:top w:val="single" w:sz="4" w:space="0" w:color="auto"/>
              <w:left w:val="single" w:sz="4" w:space="0" w:color="auto"/>
              <w:bottom w:val="single" w:sz="4" w:space="0" w:color="auto"/>
              <w:right w:val="single" w:sz="4" w:space="0" w:color="auto"/>
            </w:tcBorders>
            <w:shd w:val="clear" w:color="auto" w:fill="FFFFFF"/>
          </w:tcPr>
          <w:p w14:paraId="00DFC73B" w14:textId="6F646F7F" w:rsidR="00654783" w:rsidRDefault="003F4B26" w:rsidP="003F4B26">
            <w:pPr>
              <w:widowControl/>
              <w:autoSpaceDE/>
              <w:adjustRightInd/>
              <w:spacing w:line="240" w:lineRule="auto"/>
              <w:jc w:val="center"/>
              <w:rPr>
                <w:rFonts w:eastAsia="Calibri" w:cs="Times New Roman"/>
                <w:color w:val="000000"/>
                <w:sz w:val="21"/>
                <w:szCs w:val="21"/>
                <w:lang w:eastAsia="en-US"/>
              </w:rPr>
            </w:pPr>
            <w:r>
              <w:rPr>
                <w:rFonts w:eastAsia="Calibri" w:cs="Times New Roman"/>
                <w:color w:val="000000"/>
                <w:sz w:val="21"/>
                <w:szCs w:val="21"/>
                <w:lang w:eastAsia="en-US"/>
              </w:rPr>
              <w:t>0</w:t>
            </w:r>
          </w:p>
        </w:tc>
        <w:tc>
          <w:tcPr>
            <w:tcW w:w="570" w:type="dxa"/>
            <w:tcBorders>
              <w:top w:val="single" w:sz="4" w:space="0" w:color="auto"/>
              <w:left w:val="single" w:sz="4" w:space="0" w:color="auto"/>
              <w:bottom w:val="single" w:sz="4" w:space="0" w:color="auto"/>
              <w:right w:val="single" w:sz="4" w:space="0" w:color="auto"/>
            </w:tcBorders>
            <w:shd w:val="clear" w:color="auto" w:fill="FFFFFF"/>
          </w:tcPr>
          <w:p w14:paraId="23EADC5B" w14:textId="7B1656B1" w:rsidR="00654783" w:rsidRDefault="003F4B26" w:rsidP="003F4B26">
            <w:pPr>
              <w:widowControl/>
              <w:autoSpaceDE/>
              <w:adjustRightInd/>
              <w:spacing w:line="240" w:lineRule="auto"/>
              <w:jc w:val="center"/>
              <w:rPr>
                <w:rFonts w:eastAsia="Calibri" w:cs="Times New Roman"/>
                <w:color w:val="000000"/>
                <w:sz w:val="21"/>
                <w:szCs w:val="21"/>
                <w:lang w:eastAsia="en-US"/>
              </w:rPr>
            </w:pPr>
            <w:r>
              <w:rPr>
                <w:rFonts w:eastAsia="Calibri" w:cs="Times New Roman"/>
                <w:color w:val="000000"/>
                <w:sz w:val="21"/>
                <w:szCs w:val="21"/>
                <w:lang w:eastAsia="en-US"/>
              </w:rPr>
              <w:t>0</w:t>
            </w:r>
          </w:p>
        </w:tc>
        <w:tc>
          <w:tcPr>
            <w:tcW w:w="570" w:type="dxa"/>
            <w:gridSpan w:val="3"/>
            <w:tcBorders>
              <w:top w:val="single" w:sz="4" w:space="0" w:color="auto"/>
              <w:left w:val="single" w:sz="4" w:space="0" w:color="auto"/>
              <w:bottom w:val="single" w:sz="4" w:space="0" w:color="auto"/>
              <w:right w:val="single" w:sz="4" w:space="0" w:color="auto"/>
            </w:tcBorders>
            <w:shd w:val="clear" w:color="auto" w:fill="FFFFFF"/>
          </w:tcPr>
          <w:p w14:paraId="04145233" w14:textId="2308B25F" w:rsidR="00654783" w:rsidRDefault="003F4B26" w:rsidP="003F4B26">
            <w:pPr>
              <w:widowControl/>
              <w:autoSpaceDE/>
              <w:adjustRightInd/>
              <w:spacing w:line="240" w:lineRule="auto"/>
              <w:jc w:val="center"/>
              <w:rPr>
                <w:rFonts w:eastAsia="Calibri" w:cs="Times New Roman"/>
                <w:color w:val="000000"/>
                <w:sz w:val="21"/>
                <w:szCs w:val="21"/>
                <w:lang w:eastAsia="en-US"/>
              </w:rPr>
            </w:pPr>
            <w:r>
              <w:rPr>
                <w:rFonts w:eastAsia="Calibri" w:cs="Times New Roman"/>
                <w:color w:val="000000"/>
                <w:sz w:val="21"/>
                <w:szCs w:val="21"/>
                <w:lang w:eastAsia="en-US"/>
              </w:rPr>
              <w:t>0</w:t>
            </w:r>
          </w:p>
        </w:tc>
        <w:tc>
          <w:tcPr>
            <w:tcW w:w="569" w:type="dxa"/>
            <w:gridSpan w:val="3"/>
            <w:tcBorders>
              <w:top w:val="single" w:sz="4" w:space="0" w:color="auto"/>
              <w:left w:val="single" w:sz="4" w:space="0" w:color="auto"/>
              <w:bottom w:val="single" w:sz="4" w:space="0" w:color="auto"/>
              <w:right w:val="single" w:sz="4" w:space="0" w:color="auto"/>
            </w:tcBorders>
            <w:shd w:val="clear" w:color="auto" w:fill="FFFFFF"/>
          </w:tcPr>
          <w:p w14:paraId="1AA223EB" w14:textId="1FAFB9E9" w:rsidR="00654783" w:rsidRDefault="003F4B26" w:rsidP="003F4B26">
            <w:pPr>
              <w:widowControl/>
              <w:autoSpaceDE/>
              <w:adjustRightInd/>
              <w:spacing w:line="240" w:lineRule="auto"/>
              <w:jc w:val="center"/>
              <w:rPr>
                <w:rFonts w:eastAsia="Calibri" w:cs="Times New Roman"/>
                <w:color w:val="000000"/>
                <w:sz w:val="21"/>
                <w:szCs w:val="21"/>
                <w:lang w:eastAsia="en-US"/>
              </w:rPr>
            </w:pPr>
            <w:r>
              <w:rPr>
                <w:rFonts w:eastAsia="Calibri" w:cs="Times New Roman"/>
                <w:color w:val="000000"/>
                <w:sz w:val="21"/>
                <w:szCs w:val="21"/>
                <w:lang w:eastAsia="en-US"/>
              </w:rPr>
              <w:t>0</w:t>
            </w:r>
          </w:p>
        </w:tc>
        <w:tc>
          <w:tcPr>
            <w:tcW w:w="570" w:type="dxa"/>
            <w:gridSpan w:val="2"/>
            <w:tcBorders>
              <w:top w:val="single" w:sz="4" w:space="0" w:color="auto"/>
              <w:left w:val="single" w:sz="4" w:space="0" w:color="auto"/>
              <w:bottom w:val="single" w:sz="4" w:space="0" w:color="auto"/>
              <w:right w:val="single" w:sz="4" w:space="0" w:color="auto"/>
            </w:tcBorders>
            <w:shd w:val="clear" w:color="auto" w:fill="FFFFFF"/>
          </w:tcPr>
          <w:p w14:paraId="59489EBC" w14:textId="337BD97E" w:rsidR="00654783" w:rsidRDefault="003F4B26" w:rsidP="003F4B26">
            <w:pPr>
              <w:widowControl/>
              <w:autoSpaceDE/>
              <w:adjustRightInd/>
              <w:spacing w:line="240" w:lineRule="auto"/>
              <w:jc w:val="center"/>
              <w:rPr>
                <w:rFonts w:eastAsia="Calibri" w:cs="Times New Roman"/>
                <w:color w:val="000000"/>
                <w:sz w:val="21"/>
                <w:szCs w:val="21"/>
                <w:lang w:eastAsia="en-US"/>
              </w:rPr>
            </w:pPr>
            <w:r>
              <w:rPr>
                <w:rFonts w:eastAsia="Calibri" w:cs="Times New Roman"/>
                <w:color w:val="000000"/>
                <w:sz w:val="21"/>
                <w:szCs w:val="21"/>
                <w:lang w:eastAsia="en-US"/>
              </w:rPr>
              <w:t>0</w:t>
            </w:r>
          </w:p>
        </w:tc>
        <w:tc>
          <w:tcPr>
            <w:tcW w:w="570" w:type="dxa"/>
            <w:gridSpan w:val="2"/>
            <w:tcBorders>
              <w:top w:val="single" w:sz="4" w:space="0" w:color="auto"/>
              <w:left w:val="single" w:sz="4" w:space="0" w:color="auto"/>
              <w:bottom w:val="single" w:sz="4" w:space="0" w:color="auto"/>
              <w:right w:val="single" w:sz="4" w:space="0" w:color="auto"/>
            </w:tcBorders>
            <w:shd w:val="clear" w:color="auto" w:fill="FFFFFF"/>
          </w:tcPr>
          <w:p w14:paraId="51FE88DF" w14:textId="315372F1" w:rsidR="00654783" w:rsidRDefault="003F4B26" w:rsidP="003F4B26">
            <w:pPr>
              <w:widowControl/>
              <w:autoSpaceDE/>
              <w:adjustRightInd/>
              <w:spacing w:line="240" w:lineRule="auto"/>
              <w:jc w:val="center"/>
              <w:rPr>
                <w:rFonts w:eastAsia="Calibri" w:cs="Times New Roman"/>
                <w:color w:val="000000"/>
                <w:sz w:val="21"/>
                <w:szCs w:val="21"/>
                <w:lang w:eastAsia="en-US"/>
              </w:rPr>
            </w:pPr>
            <w:r>
              <w:rPr>
                <w:rFonts w:eastAsia="Calibri" w:cs="Times New Roman"/>
                <w:color w:val="000000"/>
                <w:sz w:val="21"/>
                <w:szCs w:val="21"/>
                <w:lang w:eastAsia="en-US"/>
              </w:rPr>
              <w:t>0</w:t>
            </w:r>
          </w:p>
        </w:tc>
        <w:tc>
          <w:tcPr>
            <w:tcW w:w="570" w:type="dxa"/>
            <w:tcBorders>
              <w:top w:val="single" w:sz="4" w:space="0" w:color="auto"/>
              <w:left w:val="single" w:sz="4" w:space="0" w:color="auto"/>
              <w:bottom w:val="single" w:sz="4" w:space="0" w:color="auto"/>
              <w:right w:val="single" w:sz="4" w:space="0" w:color="auto"/>
            </w:tcBorders>
            <w:shd w:val="clear" w:color="auto" w:fill="FFFFFF"/>
          </w:tcPr>
          <w:p w14:paraId="2CD5AAD4" w14:textId="696D5BEB" w:rsidR="00654783" w:rsidRDefault="003F4B26" w:rsidP="003F4B26">
            <w:pPr>
              <w:widowControl/>
              <w:autoSpaceDE/>
              <w:adjustRightInd/>
              <w:spacing w:line="240" w:lineRule="auto"/>
              <w:jc w:val="center"/>
              <w:rPr>
                <w:rFonts w:eastAsia="Calibri" w:cs="Times New Roman"/>
                <w:color w:val="000000"/>
                <w:sz w:val="21"/>
                <w:szCs w:val="21"/>
                <w:lang w:eastAsia="en-US"/>
              </w:rPr>
            </w:pPr>
            <w:r>
              <w:rPr>
                <w:rFonts w:eastAsia="Calibri" w:cs="Times New Roman"/>
                <w:color w:val="000000"/>
                <w:sz w:val="21"/>
                <w:szCs w:val="21"/>
                <w:lang w:eastAsia="en-US"/>
              </w:rPr>
              <w:t>0</w:t>
            </w:r>
          </w:p>
        </w:tc>
        <w:tc>
          <w:tcPr>
            <w:tcW w:w="1547" w:type="dxa"/>
            <w:gridSpan w:val="3"/>
            <w:tcBorders>
              <w:top w:val="single" w:sz="4" w:space="0" w:color="auto"/>
              <w:left w:val="single" w:sz="4" w:space="0" w:color="auto"/>
              <w:bottom w:val="single" w:sz="4" w:space="0" w:color="auto"/>
              <w:right w:val="single" w:sz="4" w:space="0" w:color="auto"/>
            </w:tcBorders>
            <w:shd w:val="clear" w:color="auto" w:fill="FFFFFF"/>
          </w:tcPr>
          <w:p w14:paraId="1C075C5D" w14:textId="236C3471" w:rsidR="00654783" w:rsidRDefault="003F4B26" w:rsidP="003F4B26">
            <w:pPr>
              <w:widowControl/>
              <w:autoSpaceDE/>
              <w:adjustRightInd/>
              <w:spacing w:line="240" w:lineRule="auto"/>
              <w:jc w:val="center"/>
              <w:rPr>
                <w:rFonts w:eastAsia="Calibri" w:cs="Times New Roman"/>
                <w:color w:val="000000"/>
                <w:sz w:val="21"/>
                <w:szCs w:val="21"/>
                <w:lang w:eastAsia="en-US"/>
              </w:rPr>
            </w:pPr>
            <w:r>
              <w:rPr>
                <w:rFonts w:eastAsia="Calibri" w:cs="Times New Roman"/>
                <w:color w:val="000000"/>
                <w:sz w:val="21"/>
                <w:szCs w:val="21"/>
                <w:lang w:eastAsia="en-US"/>
              </w:rPr>
              <w:t>0</w:t>
            </w:r>
          </w:p>
        </w:tc>
      </w:tr>
      <w:tr w:rsidR="00654783" w14:paraId="77526774" w14:textId="77777777" w:rsidTr="00AF10B0">
        <w:trPr>
          <w:trHeight w:val="357"/>
        </w:trPr>
        <w:tc>
          <w:tcPr>
            <w:tcW w:w="3006"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14:paraId="7C057661" w14:textId="77777777" w:rsidR="00654783" w:rsidRDefault="00654783">
            <w:pPr>
              <w:widowControl/>
              <w:autoSpaceDE/>
              <w:adjustRightInd/>
              <w:spacing w:line="240" w:lineRule="auto"/>
              <w:rPr>
                <w:rFonts w:eastAsia="Calibri" w:cs="Times New Roman"/>
                <w:color w:val="000000"/>
                <w:sz w:val="21"/>
                <w:szCs w:val="21"/>
                <w:lang w:eastAsia="en-US"/>
              </w:rPr>
            </w:pPr>
            <w:r>
              <w:rPr>
                <w:rFonts w:eastAsia="Calibri" w:cs="Times New Roman"/>
                <w:color w:val="000000"/>
                <w:sz w:val="21"/>
                <w:szCs w:val="21"/>
                <w:lang w:eastAsia="en-US"/>
              </w:rPr>
              <w:t>pozostałe jednostki (oddzielnie)</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cPr>
          <w:p w14:paraId="789B6BB5" w14:textId="06ABFFBD" w:rsidR="00654783" w:rsidRDefault="00723BF3" w:rsidP="00723BF3">
            <w:pPr>
              <w:widowControl/>
              <w:autoSpaceDE/>
              <w:adjustRightInd/>
              <w:spacing w:line="240" w:lineRule="auto"/>
              <w:jc w:val="center"/>
              <w:rPr>
                <w:rFonts w:eastAsia="Calibri" w:cs="Times New Roman"/>
                <w:color w:val="000000"/>
                <w:sz w:val="21"/>
                <w:szCs w:val="21"/>
                <w:lang w:eastAsia="en-US"/>
              </w:rPr>
            </w:pPr>
            <w:r>
              <w:rPr>
                <w:rFonts w:eastAsia="Calibri" w:cs="Times New Roman"/>
                <w:color w:val="000000"/>
                <w:sz w:val="21"/>
                <w:szCs w:val="21"/>
                <w:lang w:eastAsia="en-US"/>
              </w:rPr>
              <w:t>0</w:t>
            </w:r>
          </w:p>
        </w:tc>
        <w:tc>
          <w:tcPr>
            <w:tcW w:w="557" w:type="dxa"/>
            <w:tcBorders>
              <w:top w:val="single" w:sz="4" w:space="0" w:color="auto"/>
              <w:left w:val="single" w:sz="4" w:space="0" w:color="auto"/>
              <w:bottom w:val="single" w:sz="4" w:space="0" w:color="auto"/>
              <w:right w:val="single" w:sz="4" w:space="0" w:color="auto"/>
            </w:tcBorders>
            <w:shd w:val="clear" w:color="auto" w:fill="FFFFFF"/>
          </w:tcPr>
          <w:p w14:paraId="7D800459" w14:textId="0F7EB73A" w:rsidR="00654783" w:rsidRDefault="00723BF3" w:rsidP="00723BF3">
            <w:pPr>
              <w:widowControl/>
              <w:autoSpaceDE/>
              <w:adjustRightInd/>
              <w:spacing w:line="240" w:lineRule="auto"/>
              <w:jc w:val="center"/>
              <w:rPr>
                <w:rFonts w:eastAsia="Calibri" w:cs="Times New Roman"/>
                <w:color w:val="000000"/>
                <w:sz w:val="21"/>
                <w:szCs w:val="21"/>
                <w:lang w:eastAsia="en-US"/>
              </w:rPr>
            </w:pPr>
            <w:r>
              <w:rPr>
                <w:rFonts w:eastAsia="Calibri" w:cs="Times New Roman"/>
                <w:color w:val="000000"/>
                <w:sz w:val="21"/>
                <w:szCs w:val="21"/>
                <w:lang w:eastAsia="en-US"/>
              </w:rPr>
              <w:t>0</w:t>
            </w:r>
          </w:p>
        </w:tc>
        <w:tc>
          <w:tcPr>
            <w:tcW w:w="570" w:type="dxa"/>
            <w:gridSpan w:val="2"/>
            <w:tcBorders>
              <w:top w:val="single" w:sz="4" w:space="0" w:color="auto"/>
              <w:left w:val="single" w:sz="4" w:space="0" w:color="auto"/>
              <w:bottom w:val="single" w:sz="4" w:space="0" w:color="auto"/>
              <w:right w:val="single" w:sz="4" w:space="0" w:color="auto"/>
            </w:tcBorders>
            <w:shd w:val="clear" w:color="auto" w:fill="FFFFFF"/>
          </w:tcPr>
          <w:p w14:paraId="3333C571" w14:textId="0B47DD14" w:rsidR="00654783" w:rsidRDefault="00723BF3" w:rsidP="00723BF3">
            <w:pPr>
              <w:widowControl/>
              <w:autoSpaceDE/>
              <w:adjustRightInd/>
              <w:spacing w:line="240" w:lineRule="auto"/>
              <w:jc w:val="center"/>
              <w:rPr>
                <w:rFonts w:eastAsia="Calibri" w:cs="Times New Roman"/>
                <w:color w:val="000000"/>
                <w:sz w:val="21"/>
                <w:szCs w:val="21"/>
                <w:lang w:eastAsia="en-US"/>
              </w:rPr>
            </w:pPr>
            <w:r>
              <w:rPr>
                <w:rFonts w:eastAsia="Calibri" w:cs="Times New Roman"/>
                <w:color w:val="000000"/>
                <w:sz w:val="21"/>
                <w:szCs w:val="21"/>
                <w:lang w:eastAsia="en-US"/>
              </w:rPr>
              <w:t>0</w:t>
            </w:r>
          </w:p>
        </w:tc>
        <w:tc>
          <w:tcPr>
            <w:tcW w:w="569" w:type="dxa"/>
            <w:gridSpan w:val="3"/>
            <w:tcBorders>
              <w:top w:val="single" w:sz="4" w:space="0" w:color="auto"/>
              <w:left w:val="single" w:sz="4" w:space="0" w:color="auto"/>
              <w:bottom w:val="single" w:sz="4" w:space="0" w:color="auto"/>
              <w:right w:val="single" w:sz="4" w:space="0" w:color="auto"/>
            </w:tcBorders>
            <w:shd w:val="clear" w:color="auto" w:fill="FFFFFF"/>
          </w:tcPr>
          <w:p w14:paraId="642A444F" w14:textId="5EF8F3CC" w:rsidR="00654783" w:rsidRDefault="00723BF3" w:rsidP="00723BF3">
            <w:pPr>
              <w:widowControl/>
              <w:autoSpaceDE/>
              <w:adjustRightInd/>
              <w:spacing w:line="240" w:lineRule="auto"/>
              <w:jc w:val="center"/>
              <w:rPr>
                <w:rFonts w:eastAsia="Calibri" w:cs="Times New Roman"/>
                <w:color w:val="000000"/>
                <w:sz w:val="21"/>
                <w:szCs w:val="21"/>
                <w:lang w:eastAsia="en-US"/>
              </w:rPr>
            </w:pPr>
            <w:r>
              <w:rPr>
                <w:rFonts w:eastAsia="Calibri" w:cs="Times New Roman"/>
                <w:color w:val="000000"/>
                <w:sz w:val="21"/>
                <w:szCs w:val="21"/>
                <w:lang w:eastAsia="en-US"/>
              </w:rPr>
              <w:t>0</w:t>
            </w:r>
          </w:p>
        </w:tc>
        <w:tc>
          <w:tcPr>
            <w:tcW w:w="570" w:type="dxa"/>
            <w:gridSpan w:val="2"/>
            <w:tcBorders>
              <w:top w:val="single" w:sz="4" w:space="0" w:color="auto"/>
              <w:left w:val="single" w:sz="4" w:space="0" w:color="auto"/>
              <w:bottom w:val="single" w:sz="4" w:space="0" w:color="auto"/>
              <w:right w:val="single" w:sz="4" w:space="0" w:color="auto"/>
            </w:tcBorders>
            <w:shd w:val="clear" w:color="auto" w:fill="FFFFFF"/>
          </w:tcPr>
          <w:p w14:paraId="448B76BF" w14:textId="0FADC768" w:rsidR="00654783" w:rsidRDefault="00723BF3" w:rsidP="00723BF3">
            <w:pPr>
              <w:widowControl/>
              <w:autoSpaceDE/>
              <w:adjustRightInd/>
              <w:spacing w:line="240" w:lineRule="auto"/>
              <w:jc w:val="center"/>
              <w:rPr>
                <w:rFonts w:eastAsia="Calibri" w:cs="Times New Roman"/>
                <w:color w:val="000000"/>
                <w:sz w:val="21"/>
                <w:szCs w:val="21"/>
                <w:lang w:eastAsia="en-US"/>
              </w:rPr>
            </w:pPr>
            <w:r>
              <w:rPr>
                <w:rFonts w:eastAsia="Calibri" w:cs="Times New Roman"/>
                <w:color w:val="000000"/>
                <w:sz w:val="21"/>
                <w:szCs w:val="21"/>
                <w:lang w:eastAsia="en-US"/>
              </w:rPr>
              <w:t>0</w:t>
            </w:r>
          </w:p>
        </w:tc>
        <w:tc>
          <w:tcPr>
            <w:tcW w:w="570" w:type="dxa"/>
            <w:tcBorders>
              <w:top w:val="single" w:sz="4" w:space="0" w:color="auto"/>
              <w:left w:val="single" w:sz="4" w:space="0" w:color="auto"/>
              <w:bottom w:val="single" w:sz="4" w:space="0" w:color="auto"/>
              <w:right w:val="single" w:sz="4" w:space="0" w:color="auto"/>
            </w:tcBorders>
            <w:shd w:val="clear" w:color="auto" w:fill="FFFFFF"/>
          </w:tcPr>
          <w:p w14:paraId="35575461" w14:textId="18C7A2A5" w:rsidR="00654783" w:rsidRDefault="00723BF3" w:rsidP="00723BF3">
            <w:pPr>
              <w:widowControl/>
              <w:autoSpaceDE/>
              <w:adjustRightInd/>
              <w:spacing w:line="240" w:lineRule="auto"/>
              <w:jc w:val="center"/>
              <w:rPr>
                <w:rFonts w:eastAsia="Calibri" w:cs="Times New Roman"/>
                <w:color w:val="000000"/>
                <w:sz w:val="21"/>
                <w:szCs w:val="21"/>
                <w:lang w:eastAsia="en-US"/>
              </w:rPr>
            </w:pPr>
            <w:r>
              <w:rPr>
                <w:rFonts w:eastAsia="Calibri" w:cs="Times New Roman"/>
                <w:color w:val="000000"/>
                <w:sz w:val="21"/>
                <w:szCs w:val="21"/>
                <w:lang w:eastAsia="en-US"/>
              </w:rPr>
              <w:t>0</w:t>
            </w:r>
          </w:p>
        </w:tc>
        <w:tc>
          <w:tcPr>
            <w:tcW w:w="570" w:type="dxa"/>
            <w:gridSpan w:val="3"/>
            <w:tcBorders>
              <w:top w:val="single" w:sz="4" w:space="0" w:color="auto"/>
              <w:left w:val="single" w:sz="4" w:space="0" w:color="auto"/>
              <w:bottom w:val="single" w:sz="4" w:space="0" w:color="auto"/>
              <w:right w:val="single" w:sz="4" w:space="0" w:color="auto"/>
            </w:tcBorders>
            <w:shd w:val="clear" w:color="auto" w:fill="FFFFFF"/>
          </w:tcPr>
          <w:p w14:paraId="724CE2A7" w14:textId="3DB760D1" w:rsidR="00654783" w:rsidRDefault="00723BF3" w:rsidP="00723BF3">
            <w:pPr>
              <w:widowControl/>
              <w:autoSpaceDE/>
              <w:adjustRightInd/>
              <w:spacing w:line="240" w:lineRule="auto"/>
              <w:jc w:val="center"/>
              <w:rPr>
                <w:rFonts w:eastAsia="Calibri" w:cs="Times New Roman"/>
                <w:color w:val="000000"/>
                <w:sz w:val="21"/>
                <w:szCs w:val="21"/>
                <w:lang w:eastAsia="en-US"/>
              </w:rPr>
            </w:pPr>
            <w:r>
              <w:rPr>
                <w:rFonts w:eastAsia="Calibri" w:cs="Times New Roman"/>
                <w:color w:val="000000"/>
                <w:sz w:val="21"/>
                <w:szCs w:val="21"/>
                <w:lang w:eastAsia="en-US"/>
              </w:rPr>
              <w:t>0</w:t>
            </w:r>
          </w:p>
        </w:tc>
        <w:tc>
          <w:tcPr>
            <w:tcW w:w="569" w:type="dxa"/>
            <w:gridSpan w:val="3"/>
            <w:tcBorders>
              <w:top w:val="single" w:sz="4" w:space="0" w:color="auto"/>
              <w:left w:val="single" w:sz="4" w:space="0" w:color="auto"/>
              <w:bottom w:val="single" w:sz="4" w:space="0" w:color="auto"/>
              <w:right w:val="single" w:sz="4" w:space="0" w:color="auto"/>
            </w:tcBorders>
            <w:shd w:val="clear" w:color="auto" w:fill="FFFFFF"/>
          </w:tcPr>
          <w:p w14:paraId="0AA02392" w14:textId="3F0A19B4" w:rsidR="00654783" w:rsidRDefault="00723BF3" w:rsidP="00723BF3">
            <w:pPr>
              <w:widowControl/>
              <w:autoSpaceDE/>
              <w:adjustRightInd/>
              <w:spacing w:line="240" w:lineRule="auto"/>
              <w:jc w:val="center"/>
              <w:rPr>
                <w:rFonts w:eastAsia="Calibri" w:cs="Times New Roman"/>
                <w:color w:val="000000"/>
                <w:sz w:val="21"/>
                <w:szCs w:val="21"/>
                <w:lang w:eastAsia="en-US"/>
              </w:rPr>
            </w:pPr>
            <w:r>
              <w:rPr>
                <w:rFonts w:eastAsia="Calibri" w:cs="Times New Roman"/>
                <w:color w:val="000000"/>
                <w:sz w:val="21"/>
                <w:szCs w:val="21"/>
                <w:lang w:eastAsia="en-US"/>
              </w:rPr>
              <w:t>0</w:t>
            </w:r>
          </w:p>
        </w:tc>
        <w:tc>
          <w:tcPr>
            <w:tcW w:w="570" w:type="dxa"/>
            <w:gridSpan w:val="2"/>
            <w:tcBorders>
              <w:top w:val="single" w:sz="4" w:space="0" w:color="auto"/>
              <w:left w:val="single" w:sz="4" w:space="0" w:color="auto"/>
              <w:bottom w:val="single" w:sz="4" w:space="0" w:color="auto"/>
              <w:right w:val="single" w:sz="4" w:space="0" w:color="auto"/>
            </w:tcBorders>
            <w:shd w:val="clear" w:color="auto" w:fill="FFFFFF"/>
          </w:tcPr>
          <w:p w14:paraId="3C81581A" w14:textId="0188D7D3" w:rsidR="00654783" w:rsidRDefault="00723BF3" w:rsidP="00723BF3">
            <w:pPr>
              <w:widowControl/>
              <w:autoSpaceDE/>
              <w:adjustRightInd/>
              <w:spacing w:line="240" w:lineRule="auto"/>
              <w:jc w:val="center"/>
              <w:rPr>
                <w:rFonts w:eastAsia="Calibri" w:cs="Times New Roman"/>
                <w:color w:val="000000"/>
                <w:sz w:val="21"/>
                <w:szCs w:val="21"/>
                <w:lang w:eastAsia="en-US"/>
              </w:rPr>
            </w:pPr>
            <w:r>
              <w:rPr>
                <w:rFonts w:eastAsia="Calibri" w:cs="Times New Roman"/>
                <w:color w:val="000000"/>
                <w:sz w:val="21"/>
                <w:szCs w:val="21"/>
                <w:lang w:eastAsia="en-US"/>
              </w:rPr>
              <w:t>0</w:t>
            </w:r>
          </w:p>
        </w:tc>
        <w:tc>
          <w:tcPr>
            <w:tcW w:w="570" w:type="dxa"/>
            <w:gridSpan w:val="2"/>
            <w:tcBorders>
              <w:top w:val="single" w:sz="4" w:space="0" w:color="auto"/>
              <w:left w:val="single" w:sz="4" w:space="0" w:color="auto"/>
              <w:bottom w:val="single" w:sz="4" w:space="0" w:color="auto"/>
              <w:right w:val="single" w:sz="4" w:space="0" w:color="auto"/>
            </w:tcBorders>
            <w:shd w:val="clear" w:color="auto" w:fill="FFFFFF"/>
          </w:tcPr>
          <w:p w14:paraId="491DC2E6" w14:textId="79CC6D6D" w:rsidR="00654783" w:rsidRDefault="00723BF3" w:rsidP="00723BF3">
            <w:pPr>
              <w:widowControl/>
              <w:autoSpaceDE/>
              <w:adjustRightInd/>
              <w:spacing w:line="240" w:lineRule="auto"/>
              <w:jc w:val="center"/>
              <w:rPr>
                <w:rFonts w:eastAsia="Calibri" w:cs="Times New Roman"/>
                <w:color w:val="000000"/>
                <w:sz w:val="21"/>
                <w:szCs w:val="21"/>
                <w:lang w:eastAsia="en-US"/>
              </w:rPr>
            </w:pPr>
            <w:r>
              <w:rPr>
                <w:rFonts w:eastAsia="Calibri" w:cs="Times New Roman"/>
                <w:color w:val="000000"/>
                <w:sz w:val="21"/>
                <w:szCs w:val="21"/>
                <w:lang w:eastAsia="en-US"/>
              </w:rPr>
              <w:t>0</w:t>
            </w:r>
          </w:p>
        </w:tc>
        <w:tc>
          <w:tcPr>
            <w:tcW w:w="570" w:type="dxa"/>
            <w:tcBorders>
              <w:top w:val="single" w:sz="4" w:space="0" w:color="auto"/>
              <w:left w:val="single" w:sz="4" w:space="0" w:color="auto"/>
              <w:bottom w:val="single" w:sz="4" w:space="0" w:color="auto"/>
              <w:right w:val="single" w:sz="4" w:space="0" w:color="auto"/>
            </w:tcBorders>
            <w:shd w:val="clear" w:color="auto" w:fill="FFFFFF"/>
          </w:tcPr>
          <w:p w14:paraId="15CAC926" w14:textId="328EDC25" w:rsidR="00654783" w:rsidRDefault="00723BF3" w:rsidP="00723BF3">
            <w:pPr>
              <w:widowControl/>
              <w:autoSpaceDE/>
              <w:adjustRightInd/>
              <w:spacing w:line="240" w:lineRule="auto"/>
              <w:jc w:val="center"/>
              <w:rPr>
                <w:rFonts w:eastAsia="Calibri" w:cs="Times New Roman"/>
                <w:color w:val="000000"/>
                <w:sz w:val="21"/>
                <w:szCs w:val="21"/>
                <w:lang w:eastAsia="en-US"/>
              </w:rPr>
            </w:pPr>
            <w:r>
              <w:rPr>
                <w:rFonts w:eastAsia="Calibri" w:cs="Times New Roman"/>
                <w:color w:val="000000"/>
                <w:sz w:val="21"/>
                <w:szCs w:val="21"/>
                <w:lang w:eastAsia="en-US"/>
              </w:rPr>
              <w:t>0</w:t>
            </w:r>
          </w:p>
        </w:tc>
        <w:tc>
          <w:tcPr>
            <w:tcW w:w="1547" w:type="dxa"/>
            <w:gridSpan w:val="3"/>
            <w:tcBorders>
              <w:top w:val="single" w:sz="4" w:space="0" w:color="auto"/>
              <w:left w:val="single" w:sz="4" w:space="0" w:color="auto"/>
              <w:bottom w:val="single" w:sz="4" w:space="0" w:color="auto"/>
              <w:right w:val="single" w:sz="4" w:space="0" w:color="auto"/>
            </w:tcBorders>
            <w:shd w:val="clear" w:color="auto" w:fill="FFFFFF"/>
          </w:tcPr>
          <w:p w14:paraId="1F93773F" w14:textId="2DA04BE3" w:rsidR="00654783" w:rsidRDefault="00723BF3" w:rsidP="00723BF3">
            <w:pPr>
              <w:widowControl/>
              <w:autoSpaceDE/>
              <w:adjustRightInd/>
              <w:spacing w:line="240" w:lineRule="auto"/>
              <w:jc w:val="center"/>
              <w:rPr>
                <w:rFonts w:eastAsia="Calibri" w:cs="Times New Roman"/>
                <w:color w:val="000000"/>
                <w:sz w:val="21"/>
                <w:szCs w:val="21"/>
                <w:lang w:eastAsia="en-US"/>
              </w:rPr>
            </w:pPr>
            <w:r>
              <w:rPr>
                <w:rFonts w:eastAsia="Calibri" w:cs="Times New Roman"/>
                <w:color w:val="000000"/>
                <w:sz w:val="21"/>
                <w:szCs w:val="21"/>
                <w:lang w:eastAsia="en-US"/>
              </w:rPr>
              <w:t>0</w:t>
            </w:r>
          </w:p>
        </w:tc>
      </w:tr>
      <w:tr w:rsidR="00654783" w14:paraId="010C9D0F" w14:textId="77777777" w:rsidTr="00CA6AF1">
        <w:trPr>
          <w:gridAfter w:val="1"/>
          <w:wAfter w:w="10" w:type="dxa"/>
          <w:trHeight w:val="348"/>
        </w:trPr>
        <w:tc>
          <w:tcPr>
            <w:tcW w:w="224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F57B67E" w14:textId="77777777" w:rsidR="00654783" w:rsidRDefault="00654783">
            <w:pPr>
              <w:widowControl/>
              <w:autoSpaceDE/>
              <w:adjustRightInd/>
              <w:spacing w:line="240" w:lineRule="auto"/>
              <w:rPr>
                <w:rFonts w:eastAsia="Calibri" w:cs="Times New Roman"/>
                <w:color w:val="000000"/>
                <w:sz w:val="21"/>
                <w:szCs w:val="21"/>
                <w:lang w:eastAsia="en-US"/>
              </w:rPr>
            </w:pPr>
            <w:r>
              <w:rPr>
                <w:rFonts w:eastAsia="Calibri" w:cs="Times New Roman"/>
                <w:color w:val="000000"/>
                <w:sz w:val="21"/>
                <w:szCs w:val="21"/>
                <w:lang w:eastAsia="en-US"/>
              </w:rPr>
              <w:t>Źródła finansowania</w:t>
            </w:r>
          </w:p>
        </w:tc>
        <w:tc>
          <w:tcPr>
            <w:tcW w:w="8694" w:type="dxa"/>
            <w:gridSpan w:val="26"/>
            <w:tcBorders>
              <w:top w:val="single" w:sz="4" w:space="0" w:color="auto"/>
              <w:left w:val="single" w:sz="4" w:space="0" w:color="auto"/>
              <w:bottom w:val="single" w:sz="4" w:space="0" w:color="auto"/>
              <w:right w:val="single" w:sz="4" w:space="0" w:color="auto"/>
            </w:tcBorders>
            <w:shd w:val="clear" w:color="auto" w:fill="FFFFFF"/>
            <w:vAlign w:val="center"/>
          </w:tcPr>
          <w:p w14:paraId="5300C23C" w14:textId="12E55245" w:rsidR="00654783" w:rsidRDefault="00654783" w:rsidP="00C461AB">
            <w:pPr>
              <w:widowControl/>
              <w:numPr>
                <w:ilvl w:val="0"/>
                <w:numId w:val="27"/>
              </w:numPr>
              <w:autoSpaceDE/>
              <w:adjustRightInd/>
              <w:spacing w:line="240" w:lineRule="auto"/>
              <w:ind w:left="378" w:hanging="142"/>
              <w:jc w:val="both"/>
              <w:rPr>
                <w:rFonts w:eastAsia="Calibri" w:cs="Times New Roman"/>
                <w:b/>
                <w:sz w:val="21"/>
                <w:szCs w:val="21"/>
                <w:lang w:eastAsia="en-US"/>
              </w:rPr>
            </w:pPr>
            <w:r>
              <w:rPr>
                <w:rFonts w:eastAsia="Calibri" w:cs="Times New Roman"/>
                <w:b/>
                <w:sz w:val="21"/>
                <w:szCs w:val="21"/>
                <w:lang w:eastAsia="en-US"/>
              </w:rPr>
              <w:t>Wydatki związane z wyznaczeniem i funkcjonowaniem właściwych podmiotów (NASK i GU</w:t>
            </w:r>
            <w:r w:rsidR="008B3E38">
              <w:rPr>
                <w:rFonts w:eastAsia="Calibri" w:cs="Times New Roman"/>
                <w:b/>
                <w:sz w:val="21"/>
                <w:szCs w:val="21"/>
                <w:lang w:eastAsia="en-US"/>
              </w:rPr>
              <w:t>S)</w:t>
            </w:r>
          </w:p>
          <w:p w14:paraId="5F28560E" w14:textId="3536B046" w:rsidR="00654783" w:rsidRDefault="00654783">
            <w:pPr>
              <w:spacing w:line="240" w:lineRule="auto"/>
              <w:jc w:val="both"/>
              <w:rPr>
                <w:rFonts w:eastAsia="Calibri" w:cs="Times New Roman"/>
                <w:sz w:val="21"/>
                <w:szCs w:val="21"/>
                <w:lang w:eastAsia="en-US"/>
              </w:rPr>
            </w:pPr>
            <w:r>
              <w:rPr>
                <w:rFonts w:eastAsia="Calibri" w:cs="Times New Roman"/>
                <w:sz w:val="21"/>
                <w:szCs w:val="21"/>
                <w:lang w:eastAsia="en-US"/>
              </w:rPr>
              <w:t xml:space="preserve">W projektowanej ustawie planowane jest wyznaczenie dwóch właściwych podmiotów (GUS </w:t>
            </w:r>
            <w:r>
              <w:rPr>
                <w:rFonts w:eastAsia="Calibri" w:cs="Times New Roman"/>
                <w:sz w:val="21"/>
                <w:szCs w:val="21"/>
                <w:lang w:eastAsia="en-US"/>
              </w:rPr>
              <w:lastRenderedPageBreak/>
              <w:t xml:space="preserve">i NASK). Część wydatków związanych z realizacją zadań powierzonych właściwym podmiotom będzie pokrywana z opłat, których możliwość pobierania </w:t>
            </w:r>
            <w:r w:rsidR="00982B9C">
              <w:rPr>
                <w:rFonts w:eastAsia="Calibri" w:cs="Times New Roman"/>
                <w:sz w:val="21"/>
                <w:szCs w:val="21"/>
                <w:lang w:eastAsia="en-US"/>
              </w:rPr>
              <w:t xml:space="preserve">(w ramach udzielanej pomocy) </w:t>
            </w:r>
            <w:r>
              <w:rPr>
                <w:rFonts w:eastAsia="Calibri" w:cs="Times New Roman"/>
                <w:sz w:val="21"/>
                <w:szCs w:val="21"/>
                <w:lang w:eastAsia="en-US"/>
              </w:rPr>
              <w:t>przewidują przepisy DGA. W pozostałym zakresie wydatki będą pokrywane w ramach śro</w:t>
            </w:r>
            <w:r w:rsidR="00A77782">
              <w:rPr>
                <w:rFonts w:eastAsia="Calibri" w:cs="Times New Roman"/>
                <w:sz w:val="21"/>
                <w:szCs w:val="21"/>
                <w:lang w:eastAsia="en-US"/>
              </w:rPr>
              <w:t>dków ujętych w </w:t>
            </w:r>
            <w:r>
              <w:rPr>
                <w:rFonts w:eastAsia="Calibri" w:cs="Times New Roman"/>
                <w:sz w:val="21"/>
                <w:szCs w:val="21"/>
                <w:lang w:eastAsia="en-US"/>
              </w:rPr>
              <w:t>planach finansowych właściwych podmiotów, tj. w ramach środków dostępnych we właściwych częściach budżetowych budżetu państwa (NASK: część budżetowa 27 – Informatyzacja; GUS: część budżetowa 58 – Główny Urząd Statystyczny). W przypadku natomiast przewidywanych przychodów należy podkreślić, że ich źródłem mogą być opłaty, których możliwość pobierania przez właściwe podmioty dopuszczają przepisy DGA. Należy jednak wskazać, że ich poziom będzie bardzo zróżnicowany i zależeć będzie od wielu czynników. Przykładowo sposób wyliczania wysokości opłat możliwych do pobrania w procedurze rozpatrywania wniosków o ponowne wykorzystywanie chronionych danych będzie zróżnicowany w ramach poszczególnych postępowań i uzależniony od charakteru i zakresu pomocy udzielanej dysponentom danych przez właściwe podmioty. Opłaty takie muszą</w:t>
            </w:r>
            <w:r w:rsidR="00B32AAF">
              <w:rPr>
                <w:rFonts w:eastAsia="Calibri" w:cs="Times New Roman"/>
                <w:sz w:val="21"/>
                <w:szCs w:val="21"/>
                <w:lang w:eastAsia="en-US"/>
              </w:rPr>
              <w:t xml:space="preserve"> wynikać z kosztów związanych z </w:t>
            </w:r>
            <w:r>
              <w:rPr>
                <w:rFonts w:eastAsia="Calibri" w:cs="Times New Roman"/>
                <w:sz w:val="21"/>
                <w:szCs w:val="21"/>
                <w:lang w:eastAsia="en-US"/>
              </w:rPr>
              <w:t xml:space="preserve">prowadzeniem procedur dotyczących wniosków o ponowne wykorzystywanie chronionych danych </w:t>
            </w:r>
            <w:r w:rsidR="00897E08">
              <w:rPr>
                <w:rFonts w:eastAsia="Calibri" w:cs="Times New Roman"/>
                <w:sz w:val="21"/>
                <w:szCs w:val="21"/>
                <w:lang w:eastAsia="en-US"/>
              </w:rPr>
              <w:t xml:space="preserve">(w ramach udzielanej pomocy) </w:t>
            </w:r>
            <w:r>
              <w:rPr>
                <w:rFonts w:eastAsia="Calibri" w:cs="Times New Roman"/>
                <w:sz w:val="21"/>
                <w:szCs w:val="21"/>
                <w:lang w:eastAsia="en-US"/>
              </w:rPr>
              <w:t xml:space="preserve">i ograniczać się do niezbędnych kosztów związanych z czynnikami, które </w:t>
            </w:r>
            <w:r w:rsidR="00B32AAF">
              <w:rPr>
                <w:rFonts w:eastAsia="Calibri" w:cs="Times New Roman"/>
                <w:sz w:val="21"/>
                <w:szCs w:val="21"/>
                <w:lang w:eastAsia="en-US"/>
              </w:rPr>
              <w:t xml:space="preserve">właściwy podmiot </w:t>
            </w:r>
            <w:r>
              <w:rPr>
                <w:rFonts w:eastAsia="Calibri" w:cs="Times New Roman"/>
                <w:sz w:val="21"/>
                <w:szCs w:val="21"/>
                <w:lang w:eastAsia="en-US"/>
              </w:rPr>
              <w:t>będzie musiał oceniać każdorazowo w odniesieniu do okoliczności występujących w danej sprawie (np. ko</w:t>
            </w:r>
            <w:r w:rsidR="00B32AAF">
              <w:rPr>
                <w:rFonts w:eastAsia="Calibri" w:cs="Times New Roman"/>
                <w:sz w:val="21"/>
                <w:szCs w:val="21"/>
                <w:lang w:eastAsia="en-US"/>
              </w:rPr>
              <w:t>szty powielania, dostarczania i</w:t>
            </w:r>
            <w:r w:rsidR="00897E08">
              <w:rPr>
                <w:rFonts w:eastAsia="Calibri" w:cs="Times New Roman"/>
                <w:sz w:val="21"/>
                <w:szCs w:val="21"/>
                <w:lang w:eastAsia="en-US"/>
              </w:rPr>
              <w:t xml:space="preserve"> </w:t>
            </w:r>
            <w:r>
              <w:rPr>
                <w:rFonts w:eastAsia="Calibri" w:cs="Times New Roman"/>
                <w:sz w:val="21"/>
                <w:szCs w:val="21"/>
                <w:lang w:eastAsia="en-US"/>
              </w:rPr>
              <w:t xml:space="preserve">rozpowszechniania danych; koszty </w:t>
            </w:r>
            <w:proofErr w:type="spellStart"/>
            <w:r>
              <w:rPr>
                <w:rFonts w:eastAsia="Calibri" w:cs="Times New Roman"/>
                <w:sz w:val="21"/>
                <w:szCs w:val="21"/>
                <w:lang w:eastAsia="en-US"/>
              </w:rPr>
              <w:t>anonimizacji</w:t>
            </w:r>
            <w:proofErr w:type="spellEnd"/>
            <w:r>
              <w:rPr>
                <w:rFonts w:eastAsia="Calibri" w:cs="Times New Roman"/>
                <w:sz w:val="21"/>
                <w:szCs w:val="21"/>
                <w:lang w:eastAsia="en-US"/>
              </w:rPr>
              <w:t xml:space="preserve"> lub innych form przygotowania danych, koszty związane z wykorzystywaniem bezpiecznego środowiska przetwarzania danych). Wysokości takich opłat nie sposób oszacować.</w:t>
            </w:r>
            <w:r w:rsidR="00B32AAF">
              <w:rPr>
                <w:rFonts w:eastAsia="Calibri" w:cs="Times New Roman"/>
                <w:sz w:val="21"/>
                <w:szCs w:val="21"/>
                <w:lang w:eastAsia="en-US"/>
              </w:rPr>
              <w:t xml:space="preserve"> </w:t>
            </w:r>
            <w:r w:rsidR="00897E08">
              <w:rPr>
                <w:rFonts w:eastAsia="Calibri" w:cs="Times New Roman"/>
                <w:sz w:val="21"/>
                <w:szCs w:val="21"/>
                <w:lang w:eastAsia="en-US"/>
              </w:rPr>
              <w:t xml:space="preserve">Każdorazowo właściwy </w:t>
            </w:r>
            <w:r w:rsidR="00B32AAF">
              <w:rPr>
                <w:rFonts w:eastAsia="Calibri" w:cs="Times New Roman"/>
                <w:sz w:val="21"/>
                <w:szCs w:val="21"/>
                <w:lang w:eastAsia="en-US"/>
              </w:rPr>
              <w:t>podmiot (GUS lub NASK)</w:t>
            </w:r>
            <w:r w:rsidR="00897E08">
              <w:rPr>
                <w:rFonts w:eastAsia="Calibri" w:cs="Times New Roman"/>
                <w:sz w:val="21"/>
                <w:szCs w:val="21"/>
                <w:lang w:eastAsia="en-US"/>
              </w:rPr>
              <w:t xml:space="preserve">, udzielając pomocy podmiotowi sektora publicznego, </w:t>
            </w:r>
            <w:r w:rsidR="00B32AAF">
              <w:rPr>
                <w:rFonts w:eastAsia="Calibri" w:cs="Times New Roman"/>
                <w:sz w:val="21"/>
                <w:szCs w:val="21"/>
                <w:lang w:eastAsia="en-US"/>
              </w:rPr>
              <w:t xml:space="preserve">będzie mógł </w:t>
            </w:r>
            <w:r w:rsidR="00BE2DA4">
              <w:rPr>
                <w:rFonts w:eastAsia="Calibri" w:cs="Times New Roman"/>
                <w:sz w:val="21"/>
                <w:szCs w:val="21"/>
                <w:lang w:eastAsia="en-US"/>
              </w:rPr>
              <w:t>wyliczyć</w:t>
            </w:r>
            <w:r w:rsidR="00B32AAF">
              <w:rPr>
                <w:rFonts w:eastAsia="Calibri" w:cs="Times New Roman"/>
                <w:sz w:val="21"/>
                <w:szCs w:val="21"/>
                <w:lang w:eastAsia="en-US"/>
              </w:rPr>
              <w:t xml:space="preserve"> koszty </w:t>
            </w:r>
            <w:r w:rsidR="00897E08">
              <w:rPr>
                <w:rFonts w:eastAsia="Calibri" w:cs="Times New Roman"/>
                <w:sz w:val="21"/>
                <w:szCs w:val="21"/>
                <w:lang w:eastAsia="en-US"/>
              </w:rPr>
              <w:t xml:space="preserve">jej </w:t>
            </w:r>
            <w:r w:rsidR="00B32AAF">
              <w:rPr>
                <w:rFonts w:eastAsia="Calibri" w:cs="Times New Roman"/>
                <w:sz w:val="21"/>
                <w:szCs w:val="21"/>
                <w:lang w:eastAsia="en-US"/>
              </w:rPr>
              <w:t>udzielenia i</w:t>
            </w:r>
            <w:r w:rsidR="00897E08">
              <w:rPr>
                <w:rFonts w:eastAsia="Calibri" w:cs="Times New Roman"/>
                <w:sz w:val="21"/>
                <w:szCs w:val="21"/>
                <w:lang w:eastAsia="en-US"/>
              </w:rPr>
              <w:t> </w:t>
            </w:r>
            <w:r w:rsidR="00B32AAF">
              <w:rPr>
                <w:rFonts w:eastAsia="Calibri" w:cs="Times New Roman"/>
                <w:sz w:val="21"/>
                <w:szCs w:val="21"/>
                <w:lang w:eastAsia="en-US"/>
              </w:rPr>
              <w:t>pobrać z tego tytułu opłatę od wnioskodawcy.</w:t>
            </w:r>
          </w:p>
          <w:p w14:paraId="07A31E93" w14:textId="77777777" w:rsidR="00654783" w:rsidRDefault="00654783">
            <w:pPr>
              <w:spacing w:line="240" w:lineRule="auto"/>
              <w:jc w:val="both"/>
              <w:rPr>
                <w:rFonts w:eastAsia="Calibri" w:cs="Times New Roman"/>
                <w:sz w:val="21"/>
                <w:szCs w:val="21"/>
                <w:lang w:eastAsia="en-US"/>
              </w:rPr>
            </w:pPr>
          </w:p>
          <w:p w14:paraId="17D89006" w14:textId="7B0E46ED" w:rsidR="00654783" w:rsidRDefault="00654783" w:rsidP="00654783">
            <w:pPr>
              <w:widowControl/>
              <w:numPr>
                <w:ilvl w:val="0"/>
                <w:numId w:val="27"/>
              </w:numPr>
              <w:autoSpaceDE/>
              <w:adjustRightInd/>
              <w:spacing w:line="240" w:lineRule="auto"/>
              <w:jc w:val="both"/>
              <w:rPr>
                <w:rFonts w:eastAsia="Calibri" w:cs="Times New Roman"/>
                <w:b/>
                <w:sz w:val="21"/>
                <w:szCs w:val="21"/>
                <w:lang w:eastAsia="en-US"/>
              </w:rPr>
            </w:pPr>
            <w:r>
              <w:rPr>
                <w:rFonts w:eastAsia="Calibri" w:cs="Times New Roman"/>
                <w:b/>
                <w:sz w:val="21"/>
                <w:szCs w:val="21"/>
                <w:lang w:eastAsia="en-US"/>
              </w:rPr>
              <w:t>Wydatki związane z wyznaczeniem i funkcjonow</w:t>
            </w:r>
            <w:r w:rsidR="008B3E38">
              <w:rPr>
                <w:rFonts w:eastAsia="Calibri" w:cs="Times New Roman"/>
                <w:b/>
                <w:sz w:val="21"/>
                <w:szCs w:val="21"/>
                <w:lang w:eastAsia="en-US"/>
              </w:rPr>
              <w:t>aniem organu właściwego (UOKiK)</w:t>
            </w:r>
          </w:p>
          <w:p w14:paraId="6A19E682" w14:textId="77777777" w:rsidR="00654783" w:rsidRDefault="00654783">
            <w:pPr>
              <w:widowControl/>
              <w:autoSpaceDE/>
              <w:adjustRightInd/>
              <w:spacing w:line="240" w:lineRule="auto"/>
              <w:jc w:val="both"/>
              <w:rPr>
                <w:rFonts w:eastAsia="Calibri" w:cs="Times New Roman"/>
                <w:sz w:val="21"/>
                <w:szCs w:val="21"/>
                <w:lang w:eastAsia="en-US"/>
              </w:rPr>
            </w:pPr>
            <w:r>
              <w:rPr>
                <w:rFonts w:eastAsia="Calibri" w:cs="Times New Roman"/>
                <w:sz w:val="21"/>
                <w:szCs w:val="21"/>
                <w:lang w:eastAsia="en-US"/>
              </w:rPr>
              <w:t xml:space="preserve">W projektowanej ustawie planowane jest wyznaczenie jednego organu właściwego (UOKiK), który będzie pełnić rolę organu właściwego do spraw usług pośrednictwa danych oraz organu właściwego do spraw rejestracji organizacji altruizmu danych (dalej jako organ właściwy). Wydatki organu właściwego będą pokrywane w ramach środków ujętych w planie finansowym, tj. w ramach środków dostępnych we właściwej części budżetowej budżetu państwa (część budżetowa 53 – Urząd Ochrony Konkurencji i Konsumentów). Nie przewiduje się przychodów. </w:t>
            </w:r>
          </w:p>
          <w:p w14:paraId="5748C182" w14:textId="77777777" w:rsidR="00654783" w:rsidRDefault="00654783">
            <w:pPr>
              <w:widowControl/>
              <w:autoSpaceDE/>
              <w:adjustRightInd/>
              <w:spacing w:line="240" w:lineRule="auto"/>
              <w:jc w:val="both"/>
              <w:rPr>
                <w:rFonts w:eastAsia="Calibri" w:cs="Times New Roman"/>
                <w:sz w:val="21"/>
                <w:szCs w:val="21"/>
                <w:lang w:eastAsia="en-US"/>
              </w:rPr>
            </w:pPr>
          </w:p>
          <w:p w14:paraId="1D346A5A" w14:textId="77777777" w:rsidR="00654783" w:rsidRDefault="00654783" w:rsidP="00654783">
            <w:pPr>
              <w:widowControl/>
              <w:numPr>
                <w:ilvl w:val="0"/>
                <w:numId w:val="27"/>
              </w:numPr>
              <w:autoSpaceDE/>
              <w:adjustRightInd/>
              <w:spacing w:before="120" w:line="240" w:lineRule="auto"/>
              <w:jc w:val="both"/>
              <w:rPr>
                <w:rFonts w:eastAsia="Calibri" w:cs="Times New Roman"/>
                <w:b/>
                <w:sz w:val="21"/>
                <w:szCs w:val="21"/>
                <w:lang w:eastAsia="en-US"/>
              </w:rPr>
            </w:pPr>
            <w:r>
              <w:rPr>
                <w:rFonts w:eastAsia="Calibri" w:cs="Times New Roman"/>
                <w:b/>
                <w:sz w:val="21"/>
                <w:szCs w:val="21"/>
                <w:lang w:eastAsia="en-US"/>
              </w:rPr>
              <w:t>Wydatki związane z wyznaczeniem i funkcjonowaniem pojedynczego punktu informacyjnego - portal danych dane.gov.pl (MC)</w:t>
            </w:r>
          </w:p>
          <w:p w14:paraId="7EE0B52A" w14:textId="3ADC08D8" w:rsidR="00654783" w:rsidRDefault="00654783">
            <w:pPr>
              <w:spacing w:line="240" w:lineRule="auto"/>
              <w:jc w:val="both"/>
              <w:rPr>
                <w:rFonts w:eastAsia="Times New Roman"/>
                <w:sz w:val="21"/>
                <w:szCs w:val="21"/>
              </w:rPr>
            </w:pPr>
            <w:r>
              <w:rPr>
                <w:rFonts w:eastAsia="Times New Roman"/>
                <w:sz w:val="21"/>
                <w:szCs w:val="21"/>
              </w:rPr>
              <w:t>Wydatki związane z uruchomieniem nowej funkcjonalności portalu danych dane.gov.pl oraz jej utrzymaniem pokryte zostaną ze środków budżetu państwa w ramach środków ujętych w planie finansowym ministra właściwego do spraw informatyzacji, który prowadzi portal dane.gov.pl.</w:t>
            </w:r>
            <w:r>
              <w:t xml:space="preserve"> </w:t>
            </w:r>
            <w:r>
              <w:rPr>
                <w:rFonts w:eastAsia="Times New Roman"/>
                <w:sz w:val="21"/>
                <w:szCs w:val="21"/>
              </w:rPr>
              <w:t xml:space="preserve">Będą to koszty dostosowania istniejącego już </w:t>
            </w:r>
            <w:r w:rsidR="00A763E8">
              <w:rPr>
                <w:rFonts w:eastAsia="Times New Roman"/>
                <w:sz w:val="21"/>
                <w:szCs w:val="21"/>
              </w:rPr>
              <w:t xml:space="preserve">portalu </w:t>
            </w:r>
            <w:r>
              <w:rPr>
                <w:rFonts w:eastAsia="Times New Roman"/>
                <w:sz w:val="21"/>
                <w:szCs w:val="21"/>
              </w:rPr>
              <w:t>dane.gov.pl do pełnienia nowej roli oraz koszty związane z bieżącym utrzymaniem i ewentualnym dalszym rozwojem nowej funkcjonalności. Trzeba jednak podkreślić, ż</w:t>
            </w:r>
            <w:r w:rsidR="00BE2DA4">
              <w:rPr>
                <w:rFonts w:eastAsia="Times New Roman"/>
                <w:sz w:val="21"/>
                <w:szCs w:val="21"/>
              </w:rPr>
              <w:t xml:space="preserve">e wiązać się one będą jedynie z </w:t>
            </w:r>
            <w:r>
              <w:rPr>
                <w:rFonts w:eastAsia="Times New Roman"/>
                <w:sz w:val="21"/>
                <w:szCs w:val="21"/>
              </w:rPr>
              <w:t>rozbudową istniejącego</w:t>
            </w:r>
            <w:r w:rsidR="00BE2DA4">
              <w:rPr>
                <w:rFonts w:eastAsia="Times New Roman"/>
                <w:sz w:val="21"/>
                <w:szCs w:val="21"/>
              </w:rPr>
              <w:t xml:space="preserve"> już</w:t>
            </w:r>
            <w:r>
              <w:rPr>
                <w:rFonts w:eastAsia="Times New Roman"/>
                <w:sz w:val="21"/>
                <w:szCs w:val="21"/>
              </w:rPr>
              <w:t xml:space="preserve"> systemu teleinformatycznego. Szacunki kosztów tych prac to ok. 339 tyś zł w 2023</w:t>
            </w:r>
            <w:r w:rsidR="00A763E8">
              <w:rPr>
                <w:rFonts w:eastAsia="Times New Roman"/>
                <w:sz w:val="21"/>
                <w:szCs w:val="21"/>
              </w:rPr>
              <w:t xml:space="preserve"> r</w:t>
            </w:r>
            <w:r>
              <w:rPr>
                <w:rFonts w:eastAsia="Times New Roman"/>
                <w:sz w:val="21"/>
                <w:szCs w:val="21"/>
              </w:rPr>
              <w:t>. Obecnie procedowana jest umowa z Centralnym Ośrodkiem Informatyki na rozwój f</w:t>
            </w:r>
            <w:r w:rsidR="00B940CD">
              <w:rPr>
                <w:rFonts w:eastAsia="Times New Roman"/>
                <w:sz w:val="21"/>
                <w:szCs w:val="21"/>
              </w:rPr>
              <w:t>unkcjonalności portalu danych</w:t>
            </w:r>
            <w:r w:rsidR="00BE2DA4">
              <w:rPr>
                <w:rFonts w:eastAsia="Times New Roman"/>
                <w:sz w:val="21"/>
                <w:szCs w:val="21"/>
              </w:rPr>
              <w:t>,</w:t>
            </w:r>
            <w:r w:rsidR="00B940CD">
              <w:rPr>
                <w:rFonts w:eastAsia="Times New Roman"/>
                <w:sz w:val="21"/>
                <w:szCs w:val="21"/>
              </w:rPr>
              <w:t xml:space="preserve"> w </w:t>
            </w:r>
            <w:r>
              <w:rPr>
                <w:rFonts w:eastAsia="Times New Roman"/>
                <w:sz w:val="21"/>
                <w:szCs w:val="21"/>
              </w:rPr>
              <w:t>ramach której zostały również zaplanowane zadania związane punktem informacyjnym. Bieżące koszty utrzymania punktu informacyjnego i ewentualne koszty jego dalszego rozwoju będą stanowiły element kosztów utrzymania i rozwoju całego portalu dane.gov.pl (punkt informacyjny jako integralna część portalu, jedna z funkcjonalności portalu). Jest to rozwiązanie najbardziej optymalne pod względem efektywności i oszczędności. Dlatego w latach 202</w:t>
            </w:r>
            <w:r w:rsidR="00B940CD">
              <w:rPr>
                <w:rFonts w:eastAsia="Times New Roman"/>
                <w:sz w:val="21"/>
                <w:szCs w:val="21"/>
              </w:rPr>
              <w:t>4</w:t>
            </w:r>
            <w:r>
              <w:rPr>
                <w:rFonts w:eastAsia="Times New Roman"/>
                <w:sz w:val="21"/>
                <w:szCs w:val="21"/>
              </w:rPr>
              <w:t>-2033 wydatki związane z utrzymaniem i rozwojem punktu informacyjnego nie są wyszczególnione. Podkreślić przy tym należy, że Ministerstwo Cyfryzacji (wzorem lat ubiegłych, zob. projekt „Otwarte dane plus”) przewiduje finansowanie w przyszłości całokształtu działań związanych z rozwojem i rozbudową portalu dane.gov.pl (wszystkie funkcjonalności</w:t>
            </w:r>
            <w:r w:rsidR="00A763E8">
              <w:rPr>
                <w:rFonts w:eastAsia="Times New Roman"/>
                <w:sz w:val="21"/>
                <w:szCs w:val="21"/>
              </w:rPr>
              <w:t xml:space="preserve"> – w tym punkt informacyjny</w:t>
            </w:r>
            <w:r>
              <w:rPr>
                <w:rFonts w:eastAsia="Times New Roman"/>
                <w:sz w:val="21"/>
                <w:szCs w:val="21"/>
              </w:rPr>
              <w:t>) ze środków pochodzących z nowej perspektywy budżetowej UE w ramach projektów dotyczących cyfrowej dostępności i użyteczności informacji sektora publicznego oraz projektów służących zwiększeniu dostępności i wykorzystywania danych w gospodarce i administracji dofinanso</w:t>
            </w:r>
            <w:r w:rsidR="00A763E8">
              <w:rPr>
                <w:rFonts w:eastAsia="Times New Roman"/>
                <w:sz w:val="21"/>
                <w:szCs w:val="21"/>
              </w:rPr>
              <w:t>wanych ze środków z </w:t>
            </w:r>
            <w:r>
              <w:rPr>
                <w:rFonts w:eastAsia="Times New Roman"/>
                <w:sz w:val="21"/>
                <w:szCs w:val="21"/>
              </w:rPr>
              <w:t>funduszy europejskich (wieloletnie ramy finansowe na lata 2021–2027). Dotyczyć to może również funkcjonalności pojedynczego punktu informacyjnego. Obecnie w przygotowaniu jest nowy projekt „</w:t>
            </w:r>
            <w:r>
              <w:rPr>
                <w:sz w:val="21"/>
                <w:szCs w:val="21"/>
              </w:rPr>
              <w:t>Dane 3.0 Wymiana Wartość”.</w:t>
            </w:r>
            <w:r>
              <w:rPr>
                <w:rFonts w:eastAsia="Times New Roman"/>
                <w:sz w:val="21"/>
                <w:szCs w:val="21"/>
              </w:rPr>
              <w:t xml:space="preserve"> Uruchomienie nowego projektu pozwoli na zmniejszenie udziału środków pochodzących z budżetu państwa w ogólnej sumie wyda</w:t>
            </w:r>
            <w:r w:rsidR="00A763E8">
              <w:rPr>
                <w:rFonts w:eastAsia="Times New Roman"/>
                <w:sz w:val="21"/>
                <w:szCs w:val="21"/>
              </w:rPr>
              <w:t>tków związanych z utrzymaniem i </w:t>
            </w:r>
            <w:r>
              <w:rPr>
                <w:rFonts w:eastAsia="Times New Roman"/>
                <w:sz w:val="21"/>
                <w:szCs w:val="21"/>
              </w:rPr>
              <w:t>ewentualnym rozwojem funkcjonalności pojedynczego punktu informacyjnego w portalu danych dane.gov.pl.</w:t>
            </w:r>
          </w:p>
          <w:p w14:paraId="0D930E7D" w14:textId="77777777" w:rsidR="00654783" w:rsidRDefault="00654783">
            <w:pPr>
              <w:spacing w:line="240" w:lineRule="auto"/>
              <w:jc w:val="both"/>
              <w:rPr>
                <w:rFonts w:eastAsia="Times New Roman"/>
                <w:sz w:val="21"/>
                <w:szCs w:val="21"/>
              </w:rPr>
            </w:pPr>
          </w:p>
          <w:p w14:paraId="5D9F7932" w14:textId="77777777" w:rsidR="00654783" w:rsidRDefault="00654783">
            <w:pPr>
              <w:spacing w:line="240" w:lineRule="auto"/>
              <w:ind w:left="655"/>
              <w:jc w:val="both"/>
              <w:rPr>
                <w:rFonts w:eastAsia="Times New Roman"/>
                <w:b/>
                <w:sz w:val="21"/>
                <w:szCs w:val="21"/>
              </w:rPr>
            </w:pPr>
            <w:r>
              <w:rPr>
                <w:rFonts w:eastAsia="Times New Roman"/>
                <w:b/>
                <w:sz w:val="21"/>
                <w:szCs w:val="21"/>
              </w:rPr>
              <w:t>TABELA NR 4</w:t>
            </w:r>
          </w:p>
          <w:tbl>
            <w:tblPr>
              <w:tblStyle w:val="Tabela-Siatka"/>
              <w:tblW w:w="7164" w:type="dxa"/>
              <w:jc w:val="center"/>
              <w:tblLayout w:type="fixed"/>
              <w:tblLook w:val="04A0" w:firstRow="1" w:lastRow="0" w:firstColumn="1" w:lastColumn="0" w:noHBand="0" w:noVBand="1"/>
            </w:tblPr>
            <w:tblGrid>
              <w:gridCol w:w="497"/>
              <w:gridCol w:w="850"/>
              <w:gridCol w:w="1706"/>
              <w:gridCol w:w="4111"/>
            </w:tblGrid>
            <w:tr w:rsidR="00654783" w14:paraId="7EA3F328" w14:textId="77777777" w:rsidTr="006C2D25">
              <w:trPr>
                <w:jc w:val="center"/>
              </w:trPr>
              <w:tc>
                <w:tcPr>
                  <w:tcW w:w="7164" w:type="dxa"/>
                  <w:gridSpan w:val="4"/>
                  <w:tcBorders>
                    <w:top w:val="single" w:sz="4" w:space="0" w:color="auto"/>
                    <w:left w:val="single" w:sz="4" w:space="0" w:color="auto"/>
                    <w:bottom w:val="single" w:sz="4" w:space="0" w:color="auto"/>
                    <w:right w:val="single" w:sz="4" w:space="0" w:color="auto"/>
                  </w:tcBorders>
                  <w:hideMark/>
                </w:tcPr>
                <w:p w14:paraId="49F95E50" w14:textId="77777777" w:rsidR="00654783" w:rsidRDefault="00654783">
                  <w:pPr>
                    <w:ind w:hanging="37"/>
                    <w:jc w:val="both"/>
                    <w:rPr>
                      <w:sz w:val="21"/>
                      <w:szCs w:val="21"/>
                    </w:rPr>
                  </w:pPr>
                  <w:r>
                    <w:rPr>
                      <w:sz w:val="21"/>
                      <w:szCs w:val="21"/>
                    </w:rPr>
                    <w:t xml:space="preserve">Źródła finansowania oraz prognozowane kwoty wydatków związanych </w:t>
                  </w:r>
                  <w:r>
                    <w:rPr>
                      <w:sz w:val="21"/>
                      <w:szCs w:val="21"/>
                    </w:rPr>
                    <w:lastRenderedPageBreak/>
                    <w:t>z wyznaczeniem i funkcjonowaniem pojedynczego punktu informacyjnego – portal danych dane.gov.pl (MC) w okresie 10 lat od wejścia w życie ustawy</w:t>
                  </w:r>
                </w:p>
              </w:tc>
            </w:tr>
            <w:tr w:rsidR="00654783" w14:paraId="59AC3A30" w14:textId="77777777" w:rsidTr="006C2D25">
              <w:trPr>
                <w:jc w:val="center"/>
              </w:trPr>
              <w:tc>
                <w:tcPr>
                  <w:tcW w:w="1347" w:type="dxa"/>
                  <w:gridSpan w:val="2"/>
                  <w:tcBorders>
                    <w:top w:val="single" w:sz="4" w:space="0" w:color="auto"/>
                    <w:left w:val="single" w:sz="4" w:space="0" w:color="auto"/>
                    <w:bottom w:val="single" w:sz="4" w:space="0" w:color="auto"/>
                    <w:right w:val="single" w:sz="4" w:space="0" w:color="auto"/>
                  </w:tcBorders>
                  <w:hideMark/>
                </w:tcPr>
                <w:p w14:paraId="72B44C66" w14:textId="77777777" w:rsidR="00654783" w:rsidRDefault="00654783">
                  <w:pPr>
                    <w:jc w:val="center"/>
                    <w:rPr>
                      <w:sz w:val="21"/>
                      <w:szCs w:val="21"/>
                    </w:rPr>
                  </w:pPr>
                  <w:r>
                    <w:rPr>
                      <w:sz w:val="21"/>
                      <w:szCs w:val="21"/>
                    </w:rPr>
                    <w:lastRenderedPageBreak/>
                    <w:t>Lata</w:t>
                  </w:r>
                </w:p>
              </w:tc>
              <w:tc>
                <w:tcPr>
                  <w:tcW w:w="1706" w:type="dxa"/>
                  <w:tcBorders>
                    <w:top w:val="single" w:sz="4" w:space="0" w:color="auto"/>
                    <w:left w:val="single" w:sz="4" w:space="0" w:color="auto"/>
                    <w:bottom w:val="single" w:sz="4" w:space="0" w:color="auto"/>
                    <w:right w:val="single" w:sz="4" w:space="0" w:color="auto"/>
                  </w:tcBorders>
                  <w:hideMark/>
                </w:tcPr>
                <w:p w14:paraId="09E3E376" w14:textId="77777777" w:rsidR="00654783" w:rsidRDefault="00654783">
                  <w:pPr>
                    <w:jc w:val="center"/>
                    <w:rPr>
                      <w:sz w:val="21"/>
                      <w:szCs w:val="21"/>
                    </w:rPr>
                  </w:pPr>
                  <w:r>
                    <w:rPr>
                      <w:sz w:val="21"/>
                      <w:szCs w:val="21"/>
                    </w:rPr>
                    <w:t>Wydatki [mln zł]</w:t>
                  </w:r>
                </w:p>
              </w:tc>
              <w:tc>
                <w:tcPr>
                  <w:tcW w:w="4111" w:type="dxa"/>
                  <w:tcBorders>
                    <w:top w:val="single" w:sz="4" w:space="0" w:color="auto"/>
                    <w:left w:val="single" w:sz="4" w:space="0" w:color="auto"/>
                    <w:bottom w:val="single" w:sz="4" w:space="0" w:color="auto"/>
                    <w:right w:val="single" w:sz="4" w:space="0" w:color="auto"/>
                  </w:tcBorders>
                  <w:hideMark/>
                </w:tcPr>
                <w:p w14:paraId="0699E9D5" w14:textId="77777777" w:rsidR="00654783" w:rsidRDefault="00654783">
                  <w:pPr>
                    <w:jc w:val="center"/>
                    <w:rPr>
                      <w:sz w:val="21"/>
                      <w:szCs w:val="21"/>
                    </w:rPr>
                  </w:pPr>
                  <w:r>
                    <w:rPr>
                      <w:sz w:val="21"/>
                      <w:szCs w:val="21"/>
                    </w:rPr>
                    <w:t>Źródła finansowania</w:t>
                  </w:r>
                </w:p>
              </w:tc>
            </w:tr>
            <w:tr w:rsidR="00654783" w14:paraId="01F56D3D" w14:textId="77777777" w:rsidTr="006C2D25">
              <w:trPr>
                <w:trHeight w:val="1021"/>
                <w:jc w:val="center"/>
              </w:trPr>
              <w:tc>
                <w:tcPr>
                  <w:tcW w:w="497" w:type="dxa"/>
                  <w:tcBorders>
                    <w:top w:val="single" w:sz="4" w:space="0" w:color="auto"/>
                    <w:left w:val="single" w:sz="4" w:space="0" w:color="auto"/>
                    <w:bottom w:val="single" w:sz="4" w:space="0" w:color="auto"/>
                    <w:right w:val="single" w:sz="4" w:space="0" w:color="auto"/>
                  </w:tcBorders>
                  <w:vAlign w:val="center"/>
                  <w:hideMark/>
                </w:tcPr>
                <w:p w14:paraId="3F412AEA" w14:textId="77777777" w:rsidR="00654783" w:rsidRDefault="00654783">
                  <w:pPr>
                    <w:ind w:hanging="37"/>
                    <w:jc w:val="both"/>
                    <w:rPr>
                      <w:sz w:val="21"/>
                      <w:szCs w:val="21"/>
                    </w:rPr>
                  </w:pPr>
                  <w:r>
                    <w:rPr>
                      <w:sz w:val="21"/>
                      <w:szCs w:val="21"/>
                    </w:rPr>
                    <w:t xml:space="preserve"> 0 </w:t>
                  </w:r>
                </w:p>
              </w:tc>
              <w:tc>
                <w:tcPr>
                  <w:tcW w:w="850" w:type="dxa"/>
                  <w:tcBorders>
                    <w:top w:val="single" w:sz="4" w:space="0" w:color="auto"/>
                    <w:left w:val="single" w:sz="4" w:space="0" w:color="auto"/>
                    <w:bottom w:val="single" w:sz="4" w:space="0" w:color="auto"/>
                    <w:right w:val="single" w:sz="4" w:space="0" w:color="auto"/>
                  </w:tcBorders>
                  <w:vAlign w:val="center"/>
                  <w:hideMark/>
                </w:tcPr>
                <w:p w14:paraId="421826ED" w14:textId="77777777" w:rsidR="00654783" w:rsidRDefault="00654783">
                  <w:pPr>
                    <w:jc w:val="both"/>
                    <w:rPr>
                      <w:sz w:val="21"/>
                      <w:szCs w:val="21"/>
                    </w:rPr>
                  </w:pPr>
                  <w:r>
                    <w:rPr>
                      <w:sz w:val="21"/>
                      <w:szCs w:val="21"/>
                    </w:rPr>
                    <w:t>2023 r.</w:t>
                  </w:r>
                </w:p>
              </w:tc>
              <w:tc>
                <w:tcPr>
                  <w:tcW w:w="1706" w:type="dxa"/>
                  <w:tcBorders>
                    <w:top w:val="single" w:sz="4" w:space="0" w:color="auto"/>
                    <w:left w:val="single" w:sz="4" w:space="0" w:color="auto"/>
                    <w:bottom w:val="single" w:sz="4" w:space="0" w:color="auto"/>
                    <w:right w:val="single" w:sz="4" w:space="0" w:color="auto"/>
                  </w:tcBorders>
                  <w:vAlign w:val="center"/>
                  <w:hideMark/>
                </w:tcPr>
                <w:p w14:paraId="339A3CB9" w14:textId="77777777" w:rsidR="00654783" w:rsidRDefault="00654783">
                  <w:pPr>
                    <w:ind w:left="-103"/>
                    <w:jc w:val="center"/>
                    <w:rPr>
                      <w:sz w:val="21"/>
                      <w:szCs w:val="21"/>
                    </w:rPr>
                  </w:pPr>
                  <w:r>
                    <w:rPr>
                      <w:sz w:val="21"/>
                      <w:szCs w:val="21"/>
                    </w:rPr>
                    <w:t>0,339</w:t>
                  </w:r>
                </w:p>
              </w:tc>
              <w:tc>
                <w:tcPr>
                  <w:tcW w:w="4111" w:type="dxa"/>
                  <w:vMerge w:val="restart"/>
                  <w:tcBorders>
                    <w:top w:val="single" w:sz="4" w:space="0" w:color="auto"/>
                    <w:left w:val="single" w:sz="4" w:space="0" w:color="auto"/>
                    <w:bottom w:val="single" w:sz="4" w:space="0" w:color="auto"/>
                    <w:right w:val="single" w:sz="4" w:space="0" w:color="auto"/>
                  </w:tcBorders>
                  <w:vAlign w:val="center"/>
                </w:tcPr>
                <w:p w14:paraId="3F184AE4" w14:textId="77777777" w:rsidR="00654783" w:rsidRDefault="00654783" w:rsidP="00654783">
                  <w:pPr>
                    <w:pStyle w:val="Akapitzlist"/>
                    <w:numPr>
                      <w:ilvl w:val="0"/>
                      <w:numId w:val="31"/>
                    </w:numPr>
                    <w:spacing w:line="240" w:lineRule="auto"/>
                    <w:ind w:left="324"/>
                    <w:rPr>
                      <w:rFonts w:ascii="Times New Roman" w:hAnsi="Times New Roman"/>
                      <w:sz w:val="21"/>
                      <w:szCs w:val="21"/>
                    </w:rPr>
                  </w:pPr>
                  <w:r>
                    <w:rPr>
                      <w:rFonts w:ascii="Times New Roman" w:hAnsi="Times New Roman"/>
                      <w:sz w:val="21"/>
                      <w:szCs w:val="21"/>
                    </w:rPr>
                    <w:t xml:space="preserve">Budżet państwa (część budżetowa 27 – Informatyzacja) </w:t>
                  </w:r>
                </w:p>
                <w:p w14:paraId="21FDE3D2" w14:textId="77777777" w:rsidR="00654783" w:rsidRDefault="00654783" w:rsidP="00654783">
                  <w:pPr>
                    <w:pStyle w:val="Akapitzlist"/>
                    <w:numPr>
                      <w:ilvl w:val="0"/>
                      <w:numId w:val="31"/>
                    </w:numPr>
                    <w:spacing w:line="240" w:lineRule="auto"/>
                    <w:ind w:left="324"/>
                    <w:rPr>
                      <w:rFonts w:ascii="Times New Roman" w:hAnsi="Times New Roman"/>
                      <w:sz w:val="21"/>
                      <w:szCs w:val="21"/>
                    </w:rPr>
                  </w:pPr>
                  <w:r>
                    <w:rPr>
                      <w:rFonts w:ascii="Times New Roman" w:hAnsi="Times New Roman"/>
                      <w:sz w:val="21"/>
                      <w:szCs w:val="21"/>
                    </w:rPr>
                    <w:t>Nowy projekt „Dane 3.0 Wymiana Wartość” realizowany ze środków Unii Europejskiej (aktualnie w przygotowaniu)</w:t>
                  </w:r>
                </w:p>
                <w:p w14:paraId="2419C4B6" w14:textId="77777777" w:rsidR="00654783" w:rsidRDefault="00654783">
                  <w:pPr>
                    <w:rPr>
                      <w:sz w:val="21"/>
                      <w:szCs w:val="21"/>
                    </w:rPr>
                  </w:pPr>
                </w:p>
                <w:p w14:paraId="0B9C304B" w14:textId="77777777" w:rsidR="00654783" w:rsidRDefault="00654783">
                  <w:pPr>
                    <w:rPr>
                      <w:sz w:val="21"/>
                      <w:szCs w:val="21"/>
                    </w:rPr>
                  </w:pPr>
                </w:p>
              </w:tc>
            </w:tr>
            <w:tr w:rsidR="006C2D25" w14:paraId="1072FE16" w14:textId="77777777" w:rsidTr="006C2D25">
              <w:trPr>
                <w:jc w:val="center"/>
              </w:trPr>
              <w:tc>
                <w:tcPr>
                  <w:tcW w:w="497" w:type="dxa"/>
                  <w:tcBorders>
                    <w:top w:val="single" w:sz="4" w:space="0" w:color="auto"/>
                    <w:left w:val="single" w:sz="4" w:space="0" w:color="auto"/>
                    <w:bottom w:val="single" w:sz="4" w:space="0" w:color="auto"/>
                    <w:right w:val="single" w:sz="4" w:space="0" w:color="auto"/>
                  </w:tcBorders>
                  <w:hideMark/>
                </w:tcPr>
                <w:p w14:paraId="3F6C7548" w14:textId="77777777" w:rsidR="006C2D25" w:rsidRDefault="006C2D25">
                  <w:pPr>
                    <w:jc w:val="both"/>
                    <w:rPr>
                      <w:sz w:val="21"/>
                      <w:szCs w:val="21"/>
                    </w:rPr>
                  </w:pPr>
                  <w:r>
                    <w:rPr>
                      <w:sz w:val="21"/>
                      <w:szCs w:val="21"/>
                    </w:rPr>
                    <w:t xml:space="preserve">1 </w:t>
                  </w:r>
                </w:p>
              </w:tc>
              <w:tc>
                <w:tcPr>
                  <w:tcW w:w="850" w:type="dxa"/>
                  <w:tcBorders>
                    <w:top w:val="single" w:sz="4" w:space="0" w:color="auto"/>
                    <w:left w:val="single" w:sz="4" w:space="0" w:color="auto"/>
                    <w:bottom w:val="single" w:sz="4" w:space="0" w:color="auto"/>
                    <w:right w:val="single" w:sz="4" w:space="0" w:color="auto"/>
                  </w:tcBorders>
                  <w:hideMark/>
                </w:tcPr>
                <w:p w14:paraId="3EDC26DF" w14:textId="77777777" w:rsidR="006C2D25" w:rsidRDefault="006C2D25">
                  <w:pPr>
                    <w:jc w:val="both"/>
                    <w:rPr>
                      <w:sz w:val="21"/>
                      <w:szCs w:val="21"/>
                    </w:rPr>
                  </w:pPr>
                  <w:r>
                    <w:rPr>
                      <w:sz w:val="21"/>
                      <w:szCs w:val="21"/>
                    </w:rPr>
                    <w:t>2024 r.</w:t>
                  </w:r>
                </w:p>
              </w:tc>
              <w:tc>
                <w:tcPr>
                  <w:tcW w:w="1706" w:type="dxa"/>
                  <w:vMerge w:val="restart"/>
                  <w:tcBorders>
                    <w:top w:val="single" w:sz="4" w:space="0" w:color="auto"/>
                    <w:left w:val="single" w:sz="4" w:space="0" w:color="auto"/>
                    <w:right w:val="single" w:sz="4" w:space="0" w:color="auto"/>
                  </w:tcBorders>
                  <w:vAlign w:val="center"/>
                  <w:hideMark/>
                </w:tcPr>
                <w:p w14:paraId="77F67922" w14:textId="07E531A0" w:rsidR="006C2D25" w:rsidRDefault="006C2D25" w:rsidP="00B940CD">
                  <w:pPr>
                    <w:widowControl/>
                    <w:autoSpaceDE/>
                    <w:autoSpaceDN/>
                    <w:adjustRightInd/>
                    <w:jc w:val="center"/>
                    <w:rPr>
                      <w:sz w:val="21"/>
                      <w:szCs w:val="21"/>
                    </w:rPr>
                  </w:pPr>
                  <w:r>
                    <w:rPr>
                      <w:sz w:val="21"/>
                      <w:szCs w:val="21"/>
                    </w:rPr>
                    <w:t xml:space="preserve">W ramach wydatków na </w:t>
                  </w:r>
                  <w:r w:rsidRPr="006C2D25">
                    <w:rPr>
                      <w:sz w:val="21"/>
                      <w:szCs w:val="21"/>
                    </w:rPr>
                    <w:t xml:space="preserve">utrzymania </w:t>
                  </w:r>
                  <w:r>
                    <w:rPr>
                      <w:sz w:val="21"/>
                      <w:szCs w:val="21"/>
                    </w:rPr>
                    <w:t xml:space="preserve">i </w:t>
                  </w:r>
                  <w:r w:rsidRPr="006C2D25">
                    <w:rPr>
                      <w:sz w:val="21"/>
                      <w:szCs w:val="21"/>
                    </w:rPr>
                    <w:t>rozw</w:t>
                  </w:r>
                  <w:r>
                    <w:rPr>
                      <w:sz w:val="21"/>
                      <w:szCs w:val="21"/>
                    </w:rPr>
                    <w:t>ój portalu dane.gov.pl</w:t>
                  </w:r>
                </w:p>
                <w:p w14:paraId="1ECC1015" w14:textId="111BA4F1" w:rsidR="006C2D25" w:rsidRDefault="006C2D25" w:rsidP="00D32029">
                  <w:pPr>
                    <w:jc w:val="center"/>
                    <w:rPr>
                      <w:sz w:val="21"/>
                      <w:szCs w:val="21"/>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14:paraId="1591ABA8" w14:textId="77777777" w:rsidR="006C2D25" w:rsidRDefault="006C2D25">
                  <w:pPr>
                    <w:widowControl/>
                    <w:autoSpaceDE/>
                    <w:autoSpaceDN/>
                    <w:adjustRightInd/>
                    <w:rPr>
                      <w:sz w:val="21"/>
                      <w:szCs w:val="21"/>
                    </w:rPr>
                  </w:pPr>
                </w:p>
              </w:tc>
            </w:tr>
            <w:tr w:rsidR="006C2D25" w14:paraId="583B0122" w14:textId="77777777" w:rsidTr="006C2D25">
              <w:trPr>
                <w:jc w:val="center"/>
              </w:trPr>
              <w:tc>
                <w:tcPr>
                  <w:tcW w:w="497" w:type="dxa"/>
                  <w:tcBorders>
                    <w:top w:val="single" w:sz="4" w:space="0" w:color="auto"/>
                    <w:left w:val="single" w:sz="4" w:space="0" w:color="auto"/>
                    <w:bottom w:val="single" w:sz="4" w:space="0" w:color="auto"/>
                    <w:right w:val="single" w:sz="4" w:space="0" w:color="auto"/>
                  </w:tcBorders>
                  <w:hideMark/>
                </w:tcPr>
                <w:p w14:paraId="268A525C" w14:textId="77777777" w:rsidR="006C2D25" w:rsidRDefault="006C2D25">
                  <w:pPr>
                    <w:jc w:val="both"/>
                    <w:rPr>
                      <w:sz w:val="21"/>
                      <w:szCs w:val="21"/>
                    </w:rPr>
                  </w:pPr>
                  <w:r>
                    <w:rPr>
                      <w:sz w:val="21"/>
                      <w:szCs w:val="21"/>
                    </w:rPr>
                    <w:t xml:space="preserve">2 </w:t>
                  </w:r>
                </w:p>
              </w:tc>
              <w:tc>
                <w:tcPr>
                  <w:tcW w:w="850" w:type="dxa"/>
                  <w:tcBorders>
                    <w:top w:val="single" w:sz="4" w:space="0" w:color="auto"/>
                    <w:left w:val="single" w:sz="4" w:space="0" w:color="auto"/>
                    <w:bottom w:val="single" w:sz="4" w:space="0" w:color="auto"/>
                    <w:right w:val="single" w:sz="4" w:space="0" w:color="auto"/>
                  </w:tcBorders>
                  <w:hideMark/>
                </w:tcPr>
                <w:p w14:paraId="23864806" w14:textId="77777777" w:rsidR="006C2D25" w:rsidRDefault="006C2D25">
                  <w:pPr>
                    <w:jc w:val="both"/>
                    <w:rPr>
                      <w:sz w:val="21"/>
                      <w:szCs w:val="21"/>
                    </w:rPr>
                  </w:pPr>
                  <w:r>
                    <w:rPr>
                      <w:sz w:val="21"/>
                      <w:szCs w:val="21"/>
                    </w:rPr>
                    <w:t>2025 r.</w:t>
                  </w:r>
                </w:p>
              </w:tc>
              <w:tc>
                <w:tcPr>
                  <w:tcW w:w="1706" w:type="dxa"/>
                  <w:vMerge/>
                  <w:tcBorders>
                    <w:left w:val="single" w:sz="4" w:space="0" w:color="auto"/>
                    <w:right w:val="single" w:sz="4" w:space="0" w:color="auto"/>
                  </w:tcBorders>
                  <w:vAlign w:val="center"/>
                  <w:hideMark/>
                </w:tcPr>
                <w:p w14:paraId="7185D549" w14:textId="0FFD0005" w:rsidR="006C2D25" w:rsidRDefault="006C2D25" w:rsidP="00D32029">
                  <w:pPr>
                    <w:jc w:val="center"/>
                    <w:rPr>
                      <w:sz w:val="21"/>
                      <w:szCs w:val="21"/>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14:paraId="365439D2" w14:textId="77777777" w:rsidR="006C2D25" w:rsidRDefault="006C2D25">
                  <w:pPr>
                    <w:widowControl/>
                    <w:autoSpaceDE/>
                    <w:autoSpaceDN/>
                    <w:adjustRightInd/>
                    <w:rPr>
                      <w:sz w:val="21"/>
                      <w:szCs w:val="21"/>
                    </w:rPr>
                  </w:pPr>
                </w:p>
              </w:tc>
            </w:tr>
            <w:tr w:rsidR="006C2D25" w14:paraId="7EB6E209" w14:textId="77777777" w:rsidTr="006C2D25">
              <w:trPr>
                <w:jc w:val="center"/>
              </w:trPr>
              <w:tc>
                <w:tcPr>
                  <w:tcW w:w="497" w:type="dxa"/>
                  <w:tcBorders>
                    <w:top w:val="single" w:sz="4" w:space="0" w:color="auto"/>
                    <w:left w:val="single" w:sz="4" w:space="0" w:color="auto"/>
                    <w:bottom w:val="single" w:sz="4" w:space="0" w:color="auto"/>
                    <w:right w:val="single" w:sz="4" w:space="0" w:color="auto"/>
                  </w:tcBorders>
                  <w:hideMark/>
                </w:tcPr>
                <w:p w14:paraId="6AA75901" w14:textId="77777777" w:rsidR="006C2D25" w:rsidRDefault="006C2D25">
                  <w:pPr>
                    <w:jc w:val="both"/>
                    <w:rPr>
                      <w:sz w:val="21"/>
                      <w:szCs w:val="21"/>
                    </w:rPr>
                  </w:pPr>
                  <w:r>
                    <w:rPr>
                      <w:sz w:val="21"/>
                      <w:szCs w:val="21"/>
                    </w:rPr>
                    <w:t>3</w:t>
                  </w:r>
                </w:p>
              </w:tc>
              <w:tc>
                <w:tcPr>
                  <w:tcW w:w="850" w:type="dxa"/>
                  <w:tcBorders>
                    <w:top w:val="single" w:sz="4" w:space="0" w:color="auto"/>
                    <w:left w:val="single" w:sz="4" w:space="0" w:color="auto"/>
                    <w:bottom w:val="single" w:sz="4" w:space="0" w:color="auto"/>
                    <w:right w:val="single" w:sz="4" w:space="0" w:color="auto"/>
                  </w:tcBorders>
                  <w:hideMark/>
                </w:tcPr>
                <w:p w14:paraId="310E6B88" w14:textId="77777777" w:rsidR="006C2D25" w:rsidRDefault="006C2D25">
                  <w:pPr>
                    <w:jc w:val="both"/>
                    <w:rPr>
                      <w:sz w:val="21"/>
                      <w:szCs w:val="21"/>
                    </w:rPr>
                  </w:pPr>
                  <w:r>
                    <w:rPr>
                      <w:sz w:val="21"/>
                      <w:szCs w:val="21"/>
                    </w:rPr>
                    <w:t>2026 r.</w:t>
                  </w:r>
                </w:p>
              </w:tc>
              <w:tc>
                <w:tcPr>
                  <w:tcW w:w="1706" w:type="dxa"/>
                  <w:vMerge/>
                  <w:tcBorders>
                    <w:left w:val="single" w:sz="4" w:space="0" w:color="auto"/>
                    <w:right w:val="single" w:sz="4" w:space="0" w:color="auto"/>
                  </w:tcBorders>
                  <w:hideMark/>
                </w:tcPr>
                <w:p w14:paraId="11401707" w14:textId="74E57DBA" w:rsidR="006C2D25" w:rsidRDefault="006C2D25" w:rsidP="00D32029">
                  <w:pPr>
                    <w:jc w:val="center"/>
                    <w:rPr>
                      <w:sz w:val="21"/>
                      <w:szCs w:val="21"/>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14:paraId="62C01A1E" w14:textId="77777777" w:rsidR="006C2D25" w:rsidRDefault="006C2D25">
                  <w:pPr>
                    <w:widowControl/>
                    <w:autoSpaceDE/>
                    <w:autoSpaceDN/>
                    <w:adjustRightInd/>
                    <w:rPr>
                      <w:sz w:val="21"/>
                      <w:szCs w:val="21"/>
                    </w:rPr>
                  </w:pPr>
                </w:p>
              </w:tc>
            </w:tr>
            <w:tr w:rsidR="006C2D25" w14:paraId="2A760A16" w14:textId="77777777" w:rsidTr="006C2D25">
              <w:trPr>
                <w:jc w:val="center"/>
              </w:trPr>
              <w:tc>
                <w:tcPr>
                  <w:tcW w:w="497" w:type="dxa"/>
                  <w:tcBorders>
                    <w:top w:val="single" w:sz="4" w:space="0" w:color="auto"/>
                    <w:left w:val="single" w:sz="4" w:space="0" w:color="auto"/>
                    <w:bottom w:val="single" w:sz="4" w:space="0" w:color="auto"/>
                    <w:right w:val="single" w:sz="4" w:space="0" w:color="auto"/>
                  </w:tcBorders>
                  <w:hideMark/>
                </w:tcPr>
                <w:p w14:paraId="490A7E1D" w14:textId="77777777" w:rsidR="006C2D25" w:rsidRDefault="006C2D25">
                  <w:pPr>
                    <w:jc w:val="both"/>
                    <w:rPr>
                      <w:sz w:val="21"/>
                      <w:szCs w:val="21"/>
                    </w:rPr>
                  </w:pPr>
                  <w:r>
                    <w:rPr>
                      <w:sz w:val="21"/>
                      <w:szCs w:val="21"/>
                    </w:rPr>
                    <w:t>4</w:t>
                  </w:r>
                </w:p>
              </w:tc>
              <w:tc>
                <w:tcPr>
                  <w:tcW w:w="850" w:type="dxa"/>
                  <w:tcBorders>
                    <w:top w:val="single" w:sz="4" w:space="0" w:color="auto"/>
                    <w:left w:val="single" w:sz="4" w:space="0" w:color="auto"/>
                    <w:bottom w:val="single" w:sz="4" w:space="0" w:color="auto"/>
                    <w:right w:val="single" w:sz="4" w:space="0" w:color="auto"/>
                  </w:tcBorders>
                  <w:hideMark/>
                </w:tcPr>
                <w:p w14:paraId="3294E857" w14:textId="77777777" w:rsidR="006C2D25" w:rsidRDefault="006C2D25">
                  <w:pPr>
                    <w:jc w:val="both"/>
                    <w:rPr>
                      <w:sz w:val="21"/>
                      <w:szCs w:val="21"/>
                    </w:rPr>
                  </w:pPr>
                  <w:r>
                    <w:rPr>
                      <w:sz w:val="21"/>
                      <w:szCs w:val="21"/>
                    </w:rPr>
                    <w:t>2027 r.</w:t>
                  </w:r>
                </w:p>
              </w:tc>
              <w:tc>
                <w:tcPr>
                  <w:tcW w:w="1706" w:type="dxa"/>
                  <w:vMerge/>
                  <w:tcBorders>
                    <w:left w:val="single" w:sz="4" w:space="0" w:color="auto"/>
                    <w:right w:val="single" w:sz="4" w:space="0" w:color="auto"/>
                  </w:tcBorders>
                  <w:hideMark/>
                </w:tcPr>
                <w:p w14:paraId="15A2283A" w14:textId="2C79C5DA" w:rsidR="006C2D25" w:rsidRDefault="006C2D25" w:rsidP="00D32029">
                  <w:pPr>
                    <w:jc w:val="center"/>
                    <w:rPr>
                      <w:sz w:val="21"/>
                      <w:szCs w:val="21"/>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14:paraId="08EDEBA7" w14:textId="77777777" w:rsidR="006C2D25" w:rsidRDefault="006C2D25">
                  <w:pPr>
                    <w:widowControl/>
                    <w:autoSpaceDE/>
                    <w:autoSpaceDN/>
                    <w:adjustRightInd/>
                    <w:rPr>
                      <w:sz w:val="21"/>
                      <w:szCs w:val="21"/>
                    </w:rPr>
                  </w:pPr>
                </w:p>
              </w:tc>
            </w:tr>
            <w:tr w:rsidR="006C2D25" w14:paraId="0B03E011" w14:textId="77777777" w:rsidTr="006C2D25">
              <w:trPr>
                <w:jc w:val="center"/>
              </w:trPr>
              <w:tc>
                <w:tcPr>
                  <w:tcW w:w="497" w:type="dxa"/>
                  <w:tcBorders>
                    <w:top w:val="single" w:sz="4" w:space="0" w:color="auto"/>
                    <w:left w:val="single" w:sz="4" w:space="0" w:color="auto"/>
                    <w:bottom w:val="single" w:sz="4" w:space="0" w:color="auto"/>
                    <w:right w:val="single" w:sz="4" w:space="0" w:color="auto"/>
                  </w:tcBorders>
                  <w:hideMark/>
                </w:tcPr>
                <w:p w14:paraId="0D6DAC1C" w14:textId="77777777" w:rsidR="006C2D25" w:rsidRDefault="006C2D25">
                  <w:pPr>
                    <w:jc w:val="both"/>
                    <w:rPr>
                      <w:sz w:val="21"/>
                      <w:szCs w:val="21"/>
                    </w:rPr>
                  </w:pPr>
                  <w:r>
                    <w:rPr>
                      <w:sz w:val="21"/>
                      <w:szCs w:val="21"/>
                    </w:rPr>
                    <w:t>5</w:t>
                  </w:r>
                </w:p>
              </w:tc>
              <w:tc>
                <w:tcPr>
                  <w:tcW w:w="850" w:type="dxa"/>
                  <w:tcBorders>
                    <w:top w:val="single" w:sz="4" w:space="0" w:color="auto"/>
                    <w:left w:val="single" w:sz="4" w:space="0" w:color="auto"/>
                    <w:bottom w:val="single" w:sz="4" w:space="0" w:color="auto"/>
                    <w:right w:val="single" w:sz="4" w:space="0" w:color="auto"/>
                  </w:tcBorders>
                  <w:hideMark/>
                </w:tcPr>
                <w:p w14:paraId="437077E7" w14:textId="77777777" w:rsidR="006C2D25" w:rsidRDefault="006C2D25">
                  <w:pPr>
                    <w:jc w:val="both"/>
                    <w:rPr>
                      <w:sz w:val="21"/>
                      <w:szCs w:val="21"/>
                    </w:rPr>
                  </w:pPr>
                  <w:r>
                    <w:rPr>
                      <w:sz w:val="21"/>
                      <w:szCs w:val="21"/>
                    </w:rPr>
                    <w:t>2028 r.</w:t>
                  </w:r>
                </w:p>
              </w:tc>
              <w:tc>
                <w:tcPr>
                  <w:tcW w:w="1706" w:type="dxa"/>
                  <w:vMerge/>
                  <w:tcBorders>
                    <w:left w:val="single" w:sz="4" w:space="0" w:color="auto"/>
                    <w:right w:val="single" w:sz="4" w:space="0" w:color="auto"/>
                  </w:tcBorders>
                  <w:hideMark/>
                </w:tcPr>
                <w:p w14:paraId="4CB4A891" w14:textId="7D180A80" w:rsidR="006C2D25" w:rsidRDefault="006C2D25" w:rsidP="00D32029">
                  <w:pPr>
                    <w:jc w:val="center"/>
                    <w:rPr>
                      <w:sz w:val="21"/>
                      <w:szCs w:val="21"/>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14:paraId="49B39FBD" w14:textId="77777777" w:rsidR="006C2D25" w:rsidRDefault="006C2D25">
                  <w:pPr>
                    <w:widowControl/>
                    <w:autoSpaceDE/>
                    <w:autoSpaceDN/>
                    <w:adjustRightInd/>
                    <w:rPr>
                      <w:sz w:val="21"/>
                      <w:szCs w:val="21"/>
                    </w:rPr>
                  </w:pPr>
                </w:p>
              </w:tc>
            </w:tr>
            <w:tr w:rsidR="006C2D25" w14:paraId="7A98D7C6" w14:textId="77777777" w:rsidTr="006C2D25">
              <w:trPr>
                <w:jc w:val="center"/>
              </w:trPr>
              <w:tc>
                <w:tcPr>
                  <w:tcW w:w="497" w:type="dxa"/>
                  <w:tcBorders>
                    <w:top w:val="single" w:sz="4" w:space="0" w:color="auto"/>
                    <w:left w:val="single" w:sz="4" w:space="0" w:color="auto"/>
                    <w:bottom w:val="single" w:sz="4" w:space="0" w:color="auto"/>
                    <w:right w:val="single" w:sz="4" w:space="0" w:color="auto"/>
                  </w:tcBorders>
                  <w:hideMark/>
                </w:tcPr>
                <w:p w14:paraId="2EB7ADD0" w14:textId="77777777" w:rsidR="006C2D25" w:rsidRDefault="006C2D25">
                  <w:pPr>
                    <w:jc w:val="both"/>
                    <w:rPr>
                      <w:sz w:val="21"/>
                      <w:szCs w:val="21"/>
                    </w:rPr>
                  </w:pPr>
                  <w:r>
                    <w:rPr>
                      <w:sz w:val="21"/>
                      <w:szCs w:val="21"/>
                    </w:rPr>
                    <w:t>6</w:t>
                  </w:r>
                </w:p>
              </w:tc>
              <w:tc>
                <w:tcPr>
                  <w:tcW w:w="850" w:type="dxa"/>
                  <w:tcBorders>
                    <w:top w:val="single" w:sz="4" w:space="0" w:color="auto"/>
                    <w:left w:val="single" w:sz="4" w:space="0" w:color="auto"/>
                    <w:bottom w:val="single" w:sz="4" w:space="0" w:color="auto"/>
                    <w:right w:val="single" w:sz="4" w:space="0" w:color="auto"/>
                  </w:tcBorders>
                  <w:hideMark/>
                </w:tcPr>
                <w:p w14:paraId="5793E2E5" w14:textId="77777777" w:rsidR="006C2D25" w:rsidRDefault="006C2D25">
                  <w:pPr>
                    <w:jc w:val="both"/>
                    <w:rPr>
                      <w:sz w:val="21"/>
                      <w:szCs w:val="21"/>
                    </w:rPr>
                  </w:pPr>
                  <w:r>
                    <w:rPr>
                      <w:sz w:val="21"/>
                      <w:szCs w:val="21"/>
                    </w:rPr>
                    <w:t>2029 r.</w:t>
                  </w:r>
                </w:p>
              </w:tc>
              <w:tc>
                <w:tcPr>
                  <w:tcW w:w="1706" w:type="dxa"/>
                  <w:vMerge/>
                  <w:tcBorders>
                    <w:left w:val="single" w:sz="4" w:space="0" w:color="auto"/>
                    <w:right w:val="single" w:sz="4" w:space="0" w:color="auto"/>
                  </w:tcBorders>
                  <w:hideMark/>
                </w:tcPr>
                <w:p w14:paraId="5F745F54" w14:textId="5AF8A95C" w:rsidR="006C2D25" w:rsidRDefault="006C2D25" w:rsidP="00D32029">
                  <w:pPr>
                    <w:jc w:val="center"/>
                    <w:rPr>
                      <w:sz w:val="21"/>
                      <w:szCs w:val="21"/>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14:paraId="0E7A0830" w14:textId="77777777" w:rsidR="006C2D25" w:rsidRDefault="006C2D25">
                  <w:pPr>
                    <w:widowControl/>
                    <w:autoSpaceDE/>
                    <w:autoSpaceDN/>
                    <w:adjustRightInd/>
                    <w:rPr>
                      <w:sz w:val="21"/>
                      <w:szCs w:val="21"/>
                    </w:rPr>
                  </w:pPr>
                </w:p>
              </w:tc>
            </w:tr>
            <w:tr w:rsidR="006C2D25" w14:paraId="4991B746" w14:textId="77777777" w:rsidTr="006C2D25">
              <w:trPr>
                <w:jc w:val="center"/>
              </w:trPr>
              <w:tc>
                <w:tcPr>
                  <w:tcW w:w="497" w:type="dxa"/>
                  <w:tcBorders>
                    <w:top w:val="single" w:sz="4" w:space="0" w:color="auto"/>
                    <w:left w:val="single" w:sz="4" w:space="0" w:color="auto"/>
                    <w:bottom w:val="single" w:sz="4" w:space="0" w:color="auto"/>
                    <w:right w:val="single" w:sz="4" w:space="0" w:color="auto"/>
                  </w:tcBorders>
                  <w:hideMark/>
                </w:tcPr>
                <w:p w14:paraId="549ACBED" w14:textId="77777777" w:rsidR="006C2D25" w:rsidRDefault="006C2D25">
                  <w:pPr>
                    <w:jc w:val="both"/>
                    <w:rPr>
                      <w:sz w:val="21"/>
                      <w:szCs w:val="21"/>
                    </w:rPr>
                  </w:pPr>
                  <w:r>
                    <w:rPr>
                      <w:sz w:val="21"/>
                      <w:szCs w:val="21"/>
                    </w:rPr>
                    <w:t>7</w:t>
                  </w:r>
                </w:p>
              </w:tc>
              <w:tc>
                <w:tcPr>
                  <w:tcW w:w="850" w:type="dxa"/>
                  <w:tcBorders>
                    <w:top w:val="single" w:sz="4" w:space="0" w:color="auto"/>
                    <w:left w:val="single" w:sz="4" w:space="0" w:color="auto"/>
                    <w:bottom w:val="single" w:sz="4" w:space="0" w:color="auto"/>
                    <w:right w:val="single" w:sz="4" w:space="0" w:color="auto"/>
                  </w:tcBorders>
                  <w:hideMark/>
                </w:tcPr>
                <w:p w14:paraId="518E2CD2" w14:textId="77777777" w:rsidR="006C2D25" w:rsidRDefault="006C2D25">
                  <w:pPr>
                    <w:jc w:val="both"/>
                    <w:rPr>
                      <w:sz w:val="21"/>
                      <w:szCs w:val="21"/>
                    </w:rPr>
                  </w:pPr>
                  <w:r>
                    <w:rPr>
                      <w:sz w:val="21"/>
                      <w:szCs w:val="21"/>
                    </w:rPr>
                    <w:t>2030 r.</w:t>
                  </w:r>
                </w:p>
              </w:tc>
              <w:tc>
                <w:tcPr>
                  <w:tcW w:w="1706" w:type="dxa"/>
                  <w:vMerge/>
                  <w:tcBorders>
                    <w:left w:val="single" w:sz="4" w:space="0" w:color="auto"/>
                    <w:right w:val="single" w:sz="4" w:space="0" w:color="auto"/>
                  </w:tcBorders>
                  <w:hideMark/>
                </w:tcPr>
                <w:p w14:paraId="565A5971" w14:textId="23F30BC2" w:rsidR="006C2D25" w:rsidRDefault="006C2D25" w:rsidP="00D32029">
                  <w:pPr>
                    <w:jc w:val="center"/>
                    <w:rPr>
                      <w:sz w:val="21"/>
                      <w:szCs w:val="21"/>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14:paraId="63262621" w14:textId="77777777" w:rsidR="006C2D25" w:rsidRDefault="006C2D25">
                  <w:pPr>
                    <w:widowControl/>
                    <w:autoSpaceDE/>
                    <w:autoSpaceDN/>
                    <w:adjustRightInd/>
                    <w:rPr>
                      <w:sz w:val="21"/>
                      <w:szCs w:val="21"/>
                    </w:rPr>
                  </w:pPr>
                </w:p>
              </w:tc>
            </w:tr>
            <w:tr w:rsidR="006C2D25" w14:paraId="49C09848" w14:textId="77777777" w:rsidTr="006C2D25">
              <w:trPr>
                <w:jc w:val="center"/>
              </w:trPr>
              <w:tc>
                <w:tcPr>
                  <w:tcW w:w="497" w:type="dxa"/>
                  <w:tcBorders>
                    <w:top w:val="single" w:sz="4" w:space="0" w:color="auto"/>
                    <w:left w:val="single" w:sz="4" w:space="0" w:color="auto"/>
                    <w:bottom w:val="single" w:sz="4" w:space="0" w:color="auto"/>
                    <w:right w:val="single" w:sz="4" w:space="0" w:color="auto"/>
                  </w:tcBorders>
                  <w:hideMark/>
                </w:tcPr>
                <w:p w14:paraId="7630D8DC" w14:textId="77777777" w:rsidR="006C2D25" w:rsidRDefault="006C2D25">
                  <w:pPr>
                    <w:jc w:val="both"/>
                    <w:rPr>
                      <w:sz w:val="21"/>
                      <w:szCs w:val="21"/>
                    </w:rPr>
                  </w:pPr>
                  <w:r>
                    <w:rPr>
                      <w:sz w:val="21"/>
                      <w:szCs w:val="21"/>
                    </w:rPr>
                    <w:t>8</w:t>
                  </w:r>
                </w:p>
              </w:tc>
              <w:tc>
                <w:tcPr>
                  <w:tcW w:w="850" w:type="dxa"/>
                  <w:tcBorders>
                    <w:top w:val="single" w:sz="4" w:space="0" w:color="auto"/>
                    <w:left w:val="single" w:sz="4" w:space="0" w:color="auto"/>
                    <w:bottom w:val="single" w:sz="4" w:space="0" w:color="auto"/>
                    <w:right w:val="single" w:sz="4" w:space="0" w:color="auto"/>
                  </w:tcBorders>
                  <w:hideMark/>
                </w:tcPr>
                <w:p w14:paraId="4AFC675B" w14:textId="77777777" w:rsidR="006C2D25" w:rsidRDefault="006C2D25">
                  <w:pPr>
                    <w:jc w:val="both"/>
                    <w:rPr>
                      <w:sz w:val="21"/>
                      <w:szCs w:val="21"/>
                    </w:rPr>
                  </w:pPr>
                  <w:r>
                    <w:rPr>
                      <w:sz w:val="21"/>
                      <w:szCs w:val="21"/>
                    </w:rPr>
                    <w:t xml:space="preserve">2031 r. </w:t>
                  </w:r>
                </w:p>
              </w:tc>
              <w:tc>
                <w:tcPr>
                  <w:tcW w:w="1706" w:type="dxa"/>
                  <w:vMerge/>
                  <w:tcBorders>
                    <w:left w:val="single" w:sz="4" w:space="0" w:color="auto"/>
                    <w:right w:val="single" w:sz="4" w:space="0" w:color="auto"/>
                  </w:tcBorders>
                  <w:hideMark/>
                </w:tcPr>
                <w:p w14:paraId="5015FC94" w14:textId="13727290" w:rsidR="006C2D25" w:rsidRDefault="006C2D25" w:rsidP="00D32029">
                  <w:pPr>
                    <w:jc w:val="center"/>
                    <w:rPr>
                      <w:sz w:val="21"/>
                      <w:szCs w:val="21"/>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14:paraId="76879088" w14:textId="77777777" w:rsidR="006C2D25" w:rsidRDefault="006C2D25">
                  <w:pPr>
                    <w:widowControl/>
                    <w:autoSpaceDE/>
                    <w:autoSpaceDN/>
                    <w:adjustRightInd/>
                    <w:rPr>
                      <w:sz w:val="21"/>
                      <w:szCs w:val="21"/>
                    </w:rPr>
                  </w:pPr>
                </w:p>
              </w:tc>
            </w:tr>
            <w:tr w:rsidR="006C2D25" w14:paraId="6AD65349" w14:textId="77777777" w:rsidTr="006C2D25">
              <w:trPr>
                <w:jc w:val="center"/>
              </w:trPr>
              <w:tc>
                <w:tcPr>
                  <w:tcW w:w="497" w:type="dxa"/>
                  <w:tcBorders>
                    <w:top w:val="single" w:sz="4" w:space="0" w:color="auto"/>
                    <w:left w:val="single" w:sz="4" w:space="0" w:color="auto"/>
                    <w:bottom w:val="single" w:sz="4" w:space="0" w:color="auto"/>
                    <w:right w:val="single" w:sz="4" w:space="0" w:color="auto"/>
                  </w:tcBorders>
                  <w:hideMark/>
                </w:tcPr>
                <w:p w14:paraId="7C9EEB21" w14:textId="77777777" w:rsidR="006C2D25" w:rsidRDefault="006C2D25">
                  <w:pPr>
                    <w:jc w:val="both"/>
                    <w:rPr>
                      <w:sz w:val="21"/>
                      <w:szCs w:val="21"/>
                    </w:rPr>
                  </w:pPr>
                  <w:r>
                    <w:rPr>
                      <w:sz w:val="21"/>
                      <w:szCs w:val="21"/>
                    </w:rPr>
                    <w:t>9</w:t>
                  </w:r>
                </w:p>
              </w:tc>
              <w:tc>
                <w:tcPr>
                  <w:tcW w:w="850" w:type="dxa"/>
                  <w:tcBorders>
                    <w:top w:val="single" w:sz="4" w:space="0" w:color="auto"/>
                    <w:left w:val="single" w:sz="4" w:space="0" w:color="auto"/>
                    <w:bottom w:val="single" w:sz="4" w:space="0" w:color="auto"/>
                    <w:right w:val="single" w:sz="4" w:space="0" w:color="auto"/>
                  </w:tcBorders>
                  <w:hideMark/>
                </w:tcPr>
                <w:p w14:paraId="77AF3D2F" w14:textId="77777777" w:rsidR="006C2D25" w:rsidRDefault="006C2D25">
                  <w:pPr>
                    <w:jc w:val="both"/>
                    <w:rPr>
                      <w:sz w:val="21"/>
                      <w:szCs w:val="21"/>
                    </w:rPr>
                  </w:pPr>
                  <w:r>
                    <w:rPr>
                      <w:sz w:val="21"/>
                      <w:szCs w:val="21"/>
                    </w:rPr>
                    <w:t>2032 r.</w:t>
                  </w:r>
                </w:p>
              </w:tc>
              <w:tc>
                <w:tcPr>
                  <w:tcW w:w="1706" w:type="dxa"/>
                  <w:vMerge/>
                  <w:tcBorders>
                    <w:left w:val="single" w:sz="4" w:space="0" w:color="auto"/>
                    <w:right w:val="single" w:sz="4" w:space="0" w:color="auto"/>
                  </w:tcBorders>
                  <w:hideMark/>
                </w:tcPr>
                <w:p w14:paraId="18CB1901" w14:textId="1BCB7EEB" w:rsidR="006C2D25" w:rsidRDefault="006C2D25" w:rsidP="00D32029">
                  <w:pPr>
                    <w:jc w:val="center"/>
                    <w:rPr>
                      <w:sz w:val="21"/>
                      <w:szCs w:val="21"/>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14:paraId="428B089D" w14:textId="77777777" w:rsidR="006C2D25" w:rsidRDefault="006C2D25">
                  <w:pPr>
                    <w:widowControl/>
                    <w:autoSpaceDE/>
                    <w:autoSpaceDN/>
                    <w:adjustRightInd/>
                    <w:rPr>
                      <w:sz w:val="21"/>
                      <w:szCs w:val="21"/>
                    </w:rPr>
                  </w:pPr>
                </w:p>
              </w:tc>
            </w:tr>
            <w:tr w:rsidR="006C2D25" w14:paraId="5E549093" w14:textId="77777777" w:rsidTr="006C2D25">
              <w:trPr>
                <w:jc w:val="center"/>
              </w:trPr>
              <w:tc>
                <w:tcPr>
                  <w:tcW w:w="497" w:type="dxa"/>
                  <w:tcBorders>
                    <w:top w:val="single" w:sz="4" w:space="0" w:color="auto"/>
                    <w:left w:val="single" w:sz="4" w:space="0" w:color="auto"/>
                    <w:bottom w:val="single" w:sz="4" w:space="0" w:color="auto"/>
                    <w:right w:val="single" w:sz="4" w:space="0" w:color="auto"/>
                  </w:tcBorders>
                  <w:hideMark/>
                </w:tcPr>
                <w:p w14:paraId="3B461912" w14:textId="77777777" w:rsidR="006C2D25" w:rsidRDefault="006C2D25">
                  <w:pPr>
                    <w:jc w:val="both"/>
                    <w:rPr>
                      <w:sz w:val="21"/>
                      <w:szCs w:val="21"/>
                    </w:rPr>
                  </w:pPr>
                  <w:r>
                    <w:rPr>
                      <w:sz w:val="21"/>
                      <w:szCs w:val="21"/>
                    </w:rPr>
                    <w:t>10</w:t>
                  </w:r>
                </w:p>
              </w:tc>
              <w:tc>
                <w:tcPr>
                  <w:tcW w:w="850" w:type="dxa"/>
                  <w:tcBorders>
                    <w:top w:val="single" w:sz="4" w:space="0" w:color="auto"/>
                    <w:left w:val="single" w:sz="4" w:space="0" w:color="auto"/>
                    <w:bottom w:val="single" w:sz="4" w:space="0" w:color="auto"/>
                    <w:right w:val="single" w:sz="4" w:space="0" w:color="auto"/>
                  </w:tcBorders>
                  <w:hideMark/>
                </w:tcPr>
                <w:p w14:paraId="0B3CA3A1" w14:textId="77777777" w:rsidR="006C2D25" w:rsidRDefault="006C2D25">
                  <w:pPr>
                    <w:jc w:val="both"/>
                    <w:rPr>
                      <w:sz w:val="21"/>
                      <w:szCs w:val="21"/>
                    </w:rPr>
                  </w:pPr>
                  <w:r>
                    <w:rPr>
                      <w:sz w:val="21"/>
                      <w:szCs w:val="21"/>
                    </w:rPr>
                    <w:t>2033 r.</w:t>
                  </w:r>
                </w:p>
              </w:tc>
              <w:tc>
                <w:tcPr>
                  <w:tcW w:w="1706" w:type="dxa"/>
                  <w:vMerge/>
                  <w:tcBorders>
                    <w:left w:val="single" w:sz="4" w:space="0" w:color="auto"/>
                    <w:bottom w:val="single" w:sz="4" w:space="0" w:color="auto"/>
                    <w:right w:val="single" w:sz="4" w:space="0" w:color="auto"/>
                  </w:tcBorders>
                  <w:hideMark/>
                </w:tcPr>
                <w:p w14:paraId="305E1408" w14:textId="74D2B5D9" w:rsidR="006C2D25" w:rsidRDefault="006C2D25">
                  <w:pPr>
                    <w:jc w:val="center"/>
                    <w:rPr>
                      <w:sz w:val="21"/>
                      <w:szCs w:val="21"/>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14:paraId="243347C2" w14:textId="77777777" w:rsidR="006C2D25" w:rsidRDefault="006C2D25">
                  <w:pPr>
                    <w:widowControl/>
                    <w:autoSpaceDE/>
                    <w:autoSpaceDN/>
                    <w:adjustRightInd/>
                    <w:rPr>
                      <w:sz w:val="21"/>
                      <w:szCs w:val="21"/>
                    </w:rPr>
                  </w:pPr>
                </w:p>
              </w:tc>
            </w:tr>
          </w:tbl>
          <w:p w14:paraId="6D3B52F5" w14:textId="77777777" w:rsidR="00654783" w:rsidRDefault="00654783">
            <w:pPr>
              <w:spacing w:line="240" w:lineRule="auto"/>
              <w:jc w:val="both"/>
              <w:rPr>
                <w:rFonts w:eastAsia="Times New Roman"/>
                <w:sz w:val="21"/>
                <w:szCs w:val="21"/>
              </w:rPr>
            </w:pPr>
          </w:p>
          <w:p w14:paraId="17EA6F00" w14:textId="77777777" w:rsidR="00654783" w:rsidRDefault="00654783" w:rsidP="00654783">
            <w:pPr>
              <w:widowControl/>
              <w:numPr>
                <w:ilvl w:val="0"/>
                <w:numId w:val="27"/>
              </w:numPr>
              <w:autoSpaceDE/>
              <w:adjustRightInd/>
              <w:spacing w:before="120" w:line="240" w:lineRule="auto"/>
              <w:jc w:val="both"/>
              <w:rPr>
                <w:rFonts w:eastAsia="Calibri" w:cs="Times New Roman"/>
                <w:b/>
                <w:sz w:val="21"/>
                <w:szCs w:val="21"/>
                <w:lang w:eastAsia="en-US"/>
              </w:rPr>
            </w:pPr>
            <w:r>
              <w:rPr>
                <w:rFonts w:eastAsia="Calibri" w:cs="Times New Roman"/>
                <w:b/>
                <w:sz w:val="21"/>
                <w:szCs w:val="21"/>
                <w:lang w:eastAsia="en-US"/>
              </w:rPr>
              <w:t xml:space="preserve">Wydatki związane z obsługą wniosków o ponowne wykorzystywanie chronionych danych - danych objętych zakresem DGA (podmioty sektora publicznego). </w:t>
            </w:r>
          </w:p>
          <w:p w14:paraId="17B11F5B" w14:textId="238CEFC6" w:rsidR="00654783" w:rsidRDefault="00654783">
            <w:pPr>
              <w:spacing w:line="240" w:lineRule="auto"/>
              <w:jc w:val="both"/>
              <w:rPr>
                <w:rFonts w:eastAsia="Times New Roman"/>
                <w:sz w:val="21"/>
                <w:szCs w:val="21"/>
              </w:rPr>
            </w:pPr>
            <w:r>
              <w:rPr>
                <w:rFonts w:eastAsia="Times New Roman"/>
                <w:sz w:val="21"/>
                <w:szCs w:val="21"/>
              </w:rPr>
              <w:t xml:space="preserve">Część wydatków związanych z obsługą wniosków o ponowne wykorzystywanie </w:t>
            </w:r>
            <w:r w:rsidR="00B940CD">
              <w:rPr>
                <w:rFonts w:eastAsia="Times New Roman"/>
                <w:sz w:val="21"/>
                <w:szCs w:val="21"/>
              </w:rPr>
              <w:t xml:space="preserve">chronionych danych </w:t>
            </w:r>
            <w:r>
              <w:rPr>
                <w:rFonts w:eastAsia="Times New Roman"/>
                <w:sz w:val="21"/>
                <w:szCs w:val="21"/>
              </w:rPr>
              <w:t>będzie mogła być pokrywana z opłat za zezwolenie na ponowne wykorzystywanie, których pobieranie przewidują przepisy DGA. Należy jednak wskazać, że ich pozi</w:t>
            </w:r>
            <w:r w:rsidR="00B940CD">
              <w:rPr>
                <w:rFonts w:eastAsia="Times New Roman"/>
                <w:sz w:val="21"/>
                <w:szCs w:val="21"/>
              </w:rPr>
              <w:t>om będzie bardzo zróżnicowany i </w:t>
            </w:r>
            <w:r>
              <w:rPr>
                <w:rFonts w:eastAsia="Times New Roman"/>
                <w:sz w:val="21"/>
                <w:szCs w:val="21"/>
              </w:rPr>
              <w:t xml:space="preserve">zależeć będzie od wielu czynników. Przykładowo sposób wyliczania wysokości opłat możliwych do pobrania w procedurze rozpatrywania wniosków o ponowne wykorzystywanie chronionych danych będzie zróżnicowany w ramach poszczególnych postępowań. Opłaty takie muszą wynikać z kosztów związanych z prowadzeniem procedur dotyczących wniosków o ponowne wykorzystywanie chronionych danych i ograniczać się do niezbędnych kosztów związanych z czynnikami, które dysponent danych będzie musiał oceniać każdorazowo w odniesieniu do okoliczności występujących w danej sprawie (np. koszty powielania, dostarczania i rozpowszechniania danych; koszty </w:t>
            </w:r>
            <w:proofErr w:type="spellStart"/>
            <w:r>
              <w:rPr>
                <w:rFonts w:eastAsia="Times New Roman"/>
                <w:sz w:val="21"/>
                <w:szCs w:val="21"/>
              </w:rPr>
              <w:t>anonimizacji</w:t>
            </w:r>
            <w:proofErr w:type="spellEnd"/>
            <w:r>
              <w:rPr>
                <w:rFonts w:eastAsia="Times New Roman"/>
                <w:sz w:val="21"/>
                <w:szCs w:val="21"/>
              </w:rPr>
              <w:t xml:space="preserve"> lub innych formy przygotowania danych, koszty związane z wykorzystywaniem bezpiecznego środowiska przetwarzania danych). Wysokości takich opłat nie sposób oszacować. W pozostałym zakresie wydatki będą pokrywane w ramach środków ujętych w planach finansowych jednostek objętych regulacją (podmiotów sektora publicznego), </w:t>
            </w:r>
            <w:r w:rsidR="00B940CD">
              <w:rPr>
                <w:rFonts w:eastAsia="Times New Roman"/>
                <w:sz w:val="21"/>
                <w:szCs w:val="21"/>
              </w:rPr>
              <w:t xml:space="preserve">w tym </w:t>
            </w:r>
            <w:r>
              <w:rPr>
                <w:rFonts w:eastAsia="Times New Roman"/>
                <w:sz w:val="21"/>
                <w:szCs w:val="21"/>
              </w:rPr>
              <w:t>w przypadku wydatków budżetu państwa, w ramach środków dostępnych we właści</w:t>
            </w:r>
            <w:r w:rsidR="00B940CD">
              <w:rPr>
                <w:rFonts w:eastAsia="Times New Roman"/>
                <w:sz w:val="21"/>
                <w:szCs w:val="21"/>
              </w:rPr>
              <w:t>wych częściach budżetowych, a w </w:t>
            </w:r>
            <w:r>
              <w:rPr>
                <w:rFonts w:eastAsia="Times New Roman"/>
                <w:sz w:val="21"/>
                <w:szCs w:val="21"/>
              </w:rPr>
              <w:t>przypadku wydatków jednostek samorządu terytorialnego, w ramach ich budżetów.</w:t>
            </w:r>
          </w:p>
        </w:tc>
      </w:tr>
      <w:tr w:rsidR="00654783" w14:paraId="14E82D99" w14:textId="77777777" w:rsidTr="00CA6AF1">
        <w:trPr>
          <w:gridAfter w:val="1"/>
          <w:wAfter w:w="10" w:type="dxa"/>
          <w:trHeight w:val="1926"/>
        </w:trPr>
        <w:tc>
          <w:tcPr>
            <w:tcW w:w="224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5BF2085D" w14:textId="77777777" w:rsidR="00654783" w:rsidRDefault="00654783">
            <w:pPr>
              <w:widowControl/>
              <w:autoSpaceDE/>
              <w:adjustRightInd/>
              <w:spacing w:line="240" w:lineRule="auto"/>
              <w:rPr>
                <w:rFonts w:eastAsia="Calibri" w:cs="Times New Roman"/>
                <w:color w:val="000000"/>
                <w:sz w:val="21"/>
                <w:szCs w:val="21"/>
                <w:lang w:eastAsia="en-US"/>
              </w:rPr>
            </w:pPr>
            <w:r>
              <w:rPr>
                <w:rFonts w:eastAsia="Calibri" w:cs="Times New Roman"/>
                <w:color w:val="000000"/>
                <w:sz w:val="21"/>
                <w:szCs w:val="21"/>
                <w:lang w:eastAsia="en-US"/>
              </w:rPr>
              <w:lastRenderedPageBreak/>
              <w:t>Dodatkowe informacje, w tym wskazanie źródeł danych i przyjętych do obliczeń założeń</w:t>
            </w:r>
          </w:p>
        </w:tc>
        <w:tc>
          <w:tcPr>
            <w:tcW w:w="8694" w:type="dxa"/>
            <w:gridSpan w:val="26"/>
            <w:tcBorders>
              <w:top w:val="single" w:sz="4" w:space="0" w:color="auto"/>
              <w:left w:val="single" w:sz="4" w:space="0" w:color="auto"/>
              <w:bottom w:val="single" w:sz="4" w:space="0" w:color="auto"/>
              <w:right w:val="single" w:sz="4" w:space="0" w:color="auto"/>
            </w:tcBorders>
            <w:shd w:val="clear" w:color="auto" w:fill="FFFFFF"/>
          </w:tcPr>
          <w:p w14:paraId="6F37AF4D" w14:textId="77777777" w:rsidR="00654783" w:rsidRDefault="00654783" w:rsidP="00654783">
            <w:pPr>
              <w:widowControl/>
              <w:numPr>
                <w:ilvl w:val="0"/>
                <w:numId w:val="32"/>
              </w:numPr>
              <w:autoSpaceDE/>
              <w:adjustRightInd/>
              <w:spacing w:line="240" w:lineRule="auto"/>
              <w:jc w:val="both"/>
              <w:rPr>
                <w:rFonts w:eastAsia="Calibri" w:cs="Times New Roman"/>
                <w:sz w:val="21"/>
                <w:szCs w:val="21"/>
                <w:lang w:eastAsia="en-US"/>
              </w:rPr>
            </w:pPr>
            <w:r>
              <w:rPr>
                <w:rFonts w:eastAsia="Calibri" w:cs="Times New Roman"/>
                <w:b/>
                <w:sz w:val="21"/>
                <w:szCs w:val="21"/>
                <w:lang w:eastAsia="en-US"/>
              </w:rPr>
              <w:t>Wydatki związane z wyznaczeniem i funkcjonowaniem właściwych podmiotów (NASK, GUS)</w:t>
            </w:r>
          </w:p>
          <w:p w14:paraId="464D0845" w14:textId="020594F8" w:rsidR="00654783" w:rsidRDefault="00654783" w:rsidP="00C461AB">
            <w:pPr>
              <w:widowControl/>
              <w:autoSpaceDE/>
              <w:adjustRightInd/>
              <w:spacing w:line="240" w:lineRule="auto"/>
              <w:contextualSpacing/>
              <w:jc w:val="both"/>
              <w:rPr>
                <w:rFonts w:eastAsia="Calibri" w:cs="Times New Roman"/>
                <w:sz w:val="21"/>
                <w:szCs w:val="21"/>
                <w:lang w:eastAsia="en-US"/>
              </w:rPr>
            </w:pPr>
            <w:r>
              <w:rPr>
                <w:rFonts w:eastAsia="Calibri" w:cs="Times New Roman"/>
                <w:sz w:val="21"/>
                <w:szCs w:val="21"/>
                <w:lang w:eastAsia="en-US"/>
              </w:rPr>
              <w:t>Określone w przepisach DGA zadania, których realizację powierzono właściwym podmiotom będą wiązać się z określonymi kosztami. Podkreślić przy tym należy, że koszty te w zasadniczej części będą powiązane z liczbą składanych wniosków o ponowne wykorzystywanie chronionych danych i</w:t>
            </w:r>
            <w:r w:rsidR="0000698B">
              <w:rPr>
                <w:rFonts w:eastAsia="Calibri" w:cs="Times New Roman"/>
                <w:sz w:val="21"/>
                <w:szCs w:val="21"/>
                <w:lang w:eastAsia="en-US"/>
              </w:rPr>
              <w:t> </w:t>
            </w:r>
            <w:r>
              <w:rPr>
                <w:rFonts w:eastAsia="Calibri" w:cs="Times New Roman"/>
                <w:sz w:val="21"/>
                <w:szCs w:val="21"/>
                <w:lang w:eastAsia="en-US"/>
              </w:rPr>
              <w:t xml:space="preserve">wynikającym z tego zapotrzebowaniem na udzielanie wsparcia podmiotom sektora publicznego. Kwestia przewidywanej skali składanych wniosków o ponowne wykorzystywanie została </w:t>
            </w:r>
            <w:r>
              <w:rPr>
                <w:rFonts w:eastAsia="Calibri" w:cs="Times New Roman"/>
                <w:sz w:val="21"/>
                <w:szCs w:val="21"/>
                <w:u w:val="single"/>
                <w:lang w:eastAsia="en-US"/>
              </w:rPr>
              <w:t>szerzej omówiona w pkt IV</w:t>
            </w:r>
            <w:r>
              <w:rPr>
                <w:rFonts w:eastAsia="Calibri" w:cs="Times New Roman"/>
                <w:sz w:val="21"/>
                <w:szCs w:val="21"/>
                <w:lang w:eastAsia="en-US"/>
              </w:rPr>
              <w:t xml:space="preserve">. W tym miejscu należy jedynie podkreślić, że wpływ </w:t>
            </w:r>
            <w:r w:rsidR="00B940CD">
              <w:rPr>
                <w:rFonts w:eastAsia="Calibri" w:cs="Times New Roman"/>
                <w:sz w:val="21"/>
                <w:szCs w:val="21"/>
                <w:lang w:eastAsia="en-US"/>
              </w:rPr>
              <w:t>na liczbę składanych wniosków o </w:t>
            </w:r>
            <w:r>
              <w:rPr>
                <w:rFonts w:eastAsia="Calibri" w:cs="Times New Roman"/>
                <w:sz w:val="21"/>
                <w:szCs w:val="21"/>
                <w:lang w:eastAsia="en-US"/>
              </w:rPr>
              <w:t xml:space="preserve">ponowne wykorzystywanie chronionych danych może mieć ogólne zainteresowanie dzieleniem się danymi (zarówno osobowymi jak i nieosobowymi). </w:t>
            </w:r>
            <w:r w:rsidR="00D32029" w:rsidRPr="00D639A7">
              <w:rPr>
                <w:rFonts w:eastAsia="Calibri" w:cs="Times New Roman"/>
                <w:sz w:val="21"/>
                <w:szCs w:val="21"/>
                <w:lang w:eastAsia="en-US"/>
              </w:rPr>
              <w:t>W Polsce skłonność</w:t>
            </w:r>
            <w:r w:rsidRPr="00D639A7">
              <w:rPr>
                <w:rFonts w:eastAsia="Calibri" w:cs="Times New Roman"/>
                <w:sz w:val="21"/>
                <w:szCs w:val="21"/>
                <w:lang w:eastAsia="en-US"/>
              </w:rPr>
              <w:t xml:space="preserve"> ta </w:t>
            </w:r>
            <w:r w:rsidR="00256C94" w:rsidRPr="00D639A7">
              <w:rPr>
                <w:rFonts w:eastAsia="Calibri" w:cs="Times New Roman"/>
                <w:sz w:val="21"/>
                <w:szCs w:val="21"/>
                <w:lang w:eastAsia="en-US"/>
              </w:rPr>
              <w:t xml:space="preserve">nie </w:t>
            </w:r>
            <w:r w:rsidRPr="00D639A7">
              <w:rPr>
                <w:rFonts w:eastAsia="Calibri" w:cs="Times New Roman"/>
                <w:sz w:val="21"/>
                <w:szCs w:val="21"/>
                <w:lang w:eastAsia="en-US"/>
              </w:rPr>
              <w:t xml:space="preserve">jest  </w:t>
            </w:r>
            <w:r w:rsidR="00256C94" w:rsidRPr="00D639A7">
              <w:rPr>
                <w:rFonts w:eastAsia="Calibri" w:cs="Times New Roman"/>
                <w:sz w:val="21"/>
                <w:szCs w:val="21"/>
                <w:lang w:eastAsia="en-US"/>
              </w:rPr>
              <w:t>bardzo wysoka</w:t>
            </w:r>
            <w:r w:rsidRPr="00D639A7">
              <w:rPr>
                <w:rFonts w:eastAsia="Calibri" w:cs="Times New Roman"/>
                <w:sz w:val="21"/>
                <w:szCs w:val="21"/>
                <w:lang w:eastAsia="en-US"/>
              </w:rPr>
              <w:t>. Tytułem przykładu, w grudniu 2020 r. opublikowany został raport Polskiego Instytutu Ekonomicznego „Czy chcemy dzielić się prywatnymi danymi?” przygotowany we współpracy z</w:t>
            </w:r>
            <w:r w:rsidR="0000698B">
              <w:rPr>
                <w:rFonts w:eastAsia="Calibri" w:cs="Times New Roman"/>
                <w:sz w:val="21"/>
                <w:szCs w:val="21"/>
                <w:lang w:eastAsia="en-US"/>
              </w:rPr>
              <w:t> </w:t>
            </w:r>
            <w:r w:rsidRPr="00D639A7">
              <w:rPr>
                <w:rFonts w:eastAsia="Calibri" w:cs="Times New Roman"/>
                <w:sz w:val="21"/>
                <w:szCs w:val="21"/>
                <w:lang w:eastAsia="en-US"/>
              </w:rPr>
              <w:t xml:space="preserve">Fundacją </w:t>
            </w:r>
            <w:proofErr w:type="spellStart"/>
            <w:r w:rsidRPr="00D639A7">
              <w:rPr>
                <w:rFonts w:eastAsia="Calibri" w:cs="Times New Roman"/>
                <w:sz w:val="21"/>
                <w:szCs w:val="21"/>
                <w:lang w:eastAsia="en-US"/>
              </w:rPr>
              <w:t>Instrat</w:t>
            </w:r>
            <w:proofErr w:type="spellEnd"/>
            <w:r w:rsidRPr="00D639A7">
              <w:rPr>
                <w:rFonts w:eastAsia="Calibri" w:cs="Times New Roman"/>
                <w:sz w:val="21"/>
                <w:szCs w:val="21"/>
                <w:lang w:eastAsia="en-US"/>
              </w:rPr>
              <w:t xml:space="preserve"> oraz Centrum Cyfrowym. Celem badania była odpowiedź na pytanie o gotowość Polaków do udostępniania swoich danych na potrzeby programów publicznych. Przedstawione w</w:t>
            </w:r>
            <w:r w:rsidR="0000698B">
              <w:rPr>
                <w:rFonts w:eastAsia="Calibri" w:cs="Times New Roman"/>
                <w:sz w:val="21"/>
                <w:szCs w:val="21"/>
                <w:lang w:eastAsia="en-US"/>
              </w:rPr>
              <w:t> </w:t>
            </w:r>
            <w:r w:rsidRPr="00D639A7">
              <w:rPr>
                <w:rFonts w:eastAsia="Calibri" w:cs="Times New Roman"/>
                <w:sz w:val="21"/>
                <w:szCs w:val="21"/>
                <w:lang w:eastAsia="en-US"/>
              </w:rPr>
              <w:t>raporcie wyniki wskaz</w:t>
            </w:r>
            <w:r w:rsidR="000E2D6B" w:rsidRPr="00D639A7">
              <w:rPr>
                <w:rFonts w:eastAsia="Calibri" w:cs="Times New Roman"/>
                <w:sz w:val="21"/>
                <w:szCs w:val="21"/>
                <w:lang w:eastAsia="en-US"/>
              </w:rPr>
              <w:t>ały</w:t>
            </w:r>
            <w:r w:rsidRPr="00D639A7">
              <w:rPr>
                <w:rFonts w:eastAsia="Calibri" w:cs="Times New Roman"/>
                <w:sz w:val="21"/>
                <w:szCs w:val="21"/>
                <w:lang w:eastAsia="en-US"/>
              </w:rPr>
              <w:t>, że mniej niż połowa respondentów deklaruje taką gotowość. Autorzy badania przytoczyli również wyniki europejskiego badania Eurobarometru (2019 r.), które wskazują, że tylko 30% Polaków podzieliłoby się swoimi danymi w celu poprawy usług w obszarze ochrony zdrowia. Podkreślono, przy tym, że jest to jeden z najniższych wyników w UE.</w:t>
            </w:r>
            <w:r w:rsidR="00074635" w:rsidRPr="00D639A7">
              <w:rPr>
                <w:rFonts w:eastAsia="Calibri" w:cs="Times New Roman"/>
                <w:sz w:val="21"/>
                <w:szCs w:val="21"/>
                <w:lang w:eastAsia="en-US"/>
              </w:rPr>
              <w:t xml:space="preserve"> </w:t>
            </w:r>
            <w:r w:rsidR="00256C94" w:rsidRPr="00D639A7">
              <w:rPr>
                <w:rFonts w:eastAsia="Calibri" w:cs="Times New Roman"/>
                <w:sz w:val="21"/>
                <w:szCs w:val="21"/>
                <w:lang w:eastAsia="en-US"/>
              </w:rPr>
              <w:t xml:space="preserve">W lipcu 2023 r. Polski Instytut Ekonomiczny opublikował kolejne badanie „Czy Polacy chętnie dzielą się </w:t>
            </w:r>
            <w:r w:rsidR="00D32029" w:rsidRPr="00D639A7">
              <w:rPr>
                <w:rFonts w:eastAsia="Calibri" w:cs="Times New Roman"/>
                <w:sz w:val="21"/>
                <w:szCs w:val="21"/>
                <w:lang w:eastAsia="en-US"/>
              </w:rPr>
              <w:t>prywatnymi danymi?”, w którym wy</w:t>
            </w:r>
            <w:r w:rsidR="00256C94" w:rsidRPr="00D639A7">
              <w:rPr>
                <w:rFonts w:eastAsia="Calibri" w:cs="Times New Roman"/>
                <w:sz w:val="21"/>
                <w:szCs w:val="21"/>
                <w:lang w:eastAsia="en-US"/>
              </w:rPr>
              <w:t xml:space="preserve">kazano, że skłonność Polaków do dzielenie się swoimi danymi rośnie. Jak podkreślono w raporcie prawie 70 proc. respondentów deklarowało chęć dzielenia się swoimi danymi w przypadku otrzymania korzyści społecznej. W ciągu kilku lat nastąpił zatem widoczny wzrost gotowości do dzielenia się danymi. Trudno jednak oszacować jak dalece przełoży się to </w:t>
            </w:r>
            <w:r w:rsidR="00A66C49" w:rsidRPr="00D639A7">
              <w:rPr>
                <w:rFonts w:eastAsia="Calibri" w:cs="Times New Roman"/>
                <w:sz w:val="21"/>
                <w:szCs w:val="21"/>
                <w:lang w:eastAsia="en-US"/>
              </w:rPr>
              <w:t>np. na</w:t>
            </w:r>
            <w:r w:rsidR="00256C94" w:rsidRPr="00D639A7">
              <w:rPr>
                <w:rFonts w:eastAsia="Calibri" w:cs="Times New Roman"/>
                <w:sz w:val="21"/>
                <w:szCs w:val="21"/>
                <w:lang w:eastAsia="en-US"/>
              </w:rPr>
              <w:t xml:space="preserve"> </w:t>
            </w:r>
            <w:r w:rsidR="00256C94" w:rsidRPr="00D639A7">
              <w:rPr>
                <w:rFonts w:eastAsia="Calibri" w:cs="Times New Roman"/>
                <w:sz w:val="21"/>
                <w:szCs w:val="21"/>
                <w:lang w:eastAsia="en-US"/>
              </w:rPr>
              <w:lastRenderedPageBreak/>
              <w:t>faktyczne udzielanie zgód na przetwarzanie danych osobowych w ramach procedury rozpatrywania wniosków o ponowne wykorzystywanie chronionych danych na podstawie DGA.</w:t>
            </w:r>
            <w:r w:rsidR="00256C94">
              <w:rPr>
                <w:rFonts w:eastAsia="Calibri" w:cs="Times New Roman"/>
                <w:sz w:val="21"/>
                <w:szCs w:val="21"/>
                <w:lang w:eastAsia="en-US"/>
              </w:rPr>
              <w:t xml:space="preserve"> </w:t>
            </w:r>
          </w:p>
          <w:p w14:paraId="14431D1B" w14:textId="77777777" w:rsidR="00654783" w:rsidRDefault="00654783">
            <w:pPr>
              <w:widowControl/>
              <w:autoSpaceDE/>
              <w:adjustRightInd/>
              <w:spacing w:line="240" w:lineRule="auto"/>
              <w:ind w:left="720"/>
              <w:contextualSpacing/>
              <w:jc w:val="both"/>
              <w:rPr>
                <w:rFonts w:eastAsia="Calibri" w:cs="Times New Roman"/>
                <w:sz w:val="21"/>
                <w:szCs w:val="21"/>
                <w:lang w:eastAsia="en-US"/>
              </w:rPr>
            </w:pPr>
          </w:p>
          <w:p w14:paraId="6DC046B5" w14:textId="77777777" w:rsidR="00654783" w:rsidRDefault="00654783" w:rsidP="00654783">
            <w:pPr>
              <w:widowControl/>
              <w:numPr>
                <w:ilvl w:val="0"/>
                <w:numId w:val="32"/>
              </w:numPr>
              <w:autoSpaceDE/>
              <w:adjustRightInd/>
              <w:spacing w:line="240" w:lineRule="auto"/>
              <w:jc w:val="both"/>
              <w:rPr>
                <w:rFonts w:eastAsia="Calibri" w:cs="Times New Roman"/>
                <w:b/>
                <w:sz w:val="21"/>
                <w:szCs w:val="21"/>
                <w:lang w:eastAsia="en-US"/>
              </w:rPr>
            </w:pPr>
            <w:r>
              <w:rPr>
                <w:rFonts w:eastAsia="Calibri" w:cs="Times New Roman"/>
                <w:b/>
                <w:sz w:val="21"/>
                <w:szCs w:val="21"/>
                <w:lang w:eastAsia="en-US"/>
              </w:rPr>
              <w:t>Wydatki związane z wyznaczeniem i funkcjonowaniem organu właściwego (UOKiK).</w:t>
            </w:r>
          </w:p>
          <w:p w14:paraId="04658CE9" w14:textId="7E750C41" w:rsidR="00654783" w:rsidRDefault="00654783">
            <w:pPr>
              <w:spacing w:line="240" w:lineRule="auto"/>
              <w:jc w:val="both"/>
              <w:rPr>
                <w:rFonts w:eastAsia="Calibri" w:cs="Times New Roman"/>
                <w:sz w:val="21"/>
                <w:szCs w:val="21"/>
                <w:lang w:eastAsia="en-US"/>
              </w:rPr>
            </w:pPr>
            <w:r w:rsidRPr="000E2D6B">
              <w:rPr>
                <w:rFonts w:eastAsia="Calibri" w:cs="Times New Roman"/>
                <w:sz w:val="21"/>
                <w:szCs w:val="21"/>
                <w:lang w:eastAsia="en-US"/>
              </w:rPr>
              <w:t>Poziom gotowości do dzielenia się danymi może w sposób istotny przekładać się nie tylko na liczbę składanych wniosków o ponowne wykorzystywanie chronionych danych (zob. pkt I), ale także na ogólny wolumen danych osobowych i nieosobowych, które mogą zasilić instrumenty powstałe w ramach usług pośrednictwa danych i altruizmu danych. Przełożyć może się to na małą liczbę rejestrujących się dostawców usług pośrednictwa danych oraz organizacji altruizmu danych. Jednocześnie wydatki jakie będzie ponosił organ właściwy do spraw usług pośrednictwa danych oraz do spraw rejestracji organizacji altruizmu danych w istotnej mierze będą uzależnione od aktywności na rynku i liczby podmiotów zainteresowanych tego typu działalnością, którą projektodawca szacuje jako</w:t>
            </w:r>
            <w:r w:rsidR="00074635">
              <w:rPr>
                <w:rFonts w:eastAsia="Calibri" w:cs="Times New Roman"/>
                <w:sz w:val="21"/>
                <w:szCs w:val="21"/>
                <w:lang w:eastAsia="en-US"/>
              </w:rPr>
              <w:t xml:space="preserve"> </w:t>
            </w:r>
            <w:r w:rsidRPr="000E2D6B">
              <w:rPr>
                <w:rFonts w:eastAsia="Calibri" w:cs="Times New Roman"/>
                <w:sz w:val="21"/>
                <w:szCs w:val="21"/>
                <w:lang w:eastAsia="en-US"/>
              </w:rPr>
              <w:t>niską.</w:t>
            </w:r>
          </w:p>
          <w:p w14:paraId="46DB8390" w14:textId="77777777" w:rsidR="00654783" w:rsidRDefault="00654783" w:rsidP="00654783">
            <w:pPr>
              <w:widowControl/>
              <w:numPr>
                <w:ilvl w:val="0"/>
                <w:numId w:val="32"/>
              </w:numPr>
              <w:autoSpaceDE/>
              <w:adjustRightInd/>
              <w:spacing w:before="120" w:line="240" w:lineRule="auto"/>
              <w:jc w:val="both"/>
              <w:rPr>
                <w:rFonts w:eastAsia="Calibri" w:cs="Times New Roman"/>
                <w:b/>
                <w:sz w:val="21"/>
                <w:szCs w:val="21"/>
                <w:lang w:eastAsia="en-US"/>
              </w:rPr>
            </w:pPr>
            <w:r>
              <w:rPr>
                <w:rFonts w:eastAsia="Calibri" w:cs="Times New Roman"/>
                <w:b/>
                <w:sz w:val="21"/>
                <w:szCs w:val="21"/>
                <w:lang w:eastAsia="en-US"/>
              </w:rPr>
              <w:t>Wydatki związane z wyznaczeniem i funkcjonowaniem pojedynczego punktu informacyjnego - portal danych dane.gov.pl (MC)</w:t>
            </w:r>
          </w:p>
          <w:p w14:paraId="6E52F8A3" w14:textId="7F589271" w:rsidR="00654783" w:rsidRDefault="00654783">
            <w:pPr>
              <w:spacing w:line="240" w:lineRule="auto"/>
              <w:jc w:val="both"/>
              <w:rPr>
                <w:rFonts w:eastAsia="Calibri" w:cs="Times New Roman"/>
                <w:sz w:val="21"/>
                <w:szCs w:val="21"/>
                <w:lang w:eastAsia="en-US"/>
              </w:rPr>
            </w:pPr>
            <w:r>
              <w:rPr>
                <w:rFonts w:eastAsia="Calibri" w:cs="Times New Roman"/>
                <w:sz w:val="21"/>
                <w:szCs w:val="21"/>
                <w:lang w:eastAsia="en-US"/>
              </w:rPr>
              <w:t>Wydatki związane z wyznaczeniem i funkcjonowaniem pojedynczego punktu informacyjnego obejmować będą koszty dostosowania istniejącego już portalu danych dane.gov.pl do pełnienia nowej roli oraz koszty związane z bieżącym utrzymaniem i ewentualnym dalszym rozwojem nowej funkcjonalności. Koszt</w:t>
            </w:r>
            <w:r w:rsidR="000E2D6B">
              <w:rPr>
                <w:rFonts w:eastAsia="Calibri" w:cs="Times New Roman"/>
                <w:sz w:val="21"/>
                <w:szCs w:val="21"/>
                <w:lang w:eastAsia="en-US"/>
              </w:rPr>
              <w:t>y</w:t>
            </w:r>
            <w:r>
              <w:rPr>
                <w:rFonts w:eastAsia="Calibri" w:cs="Times New Roman"/>
                <w:sz w:val="21"/>
                <w:szCs w:val="21"/>
                <w:lang w:eastAsia="en-US"/>
              </w:rPr>
              <w:t xml:space="preserve"> te wiązać się będą jedynie z rozbudową istniejącego </w:t>
            </w:r>
            <w:r w:rsidR="00074635">
              <w:rPr>
                <w:rFonts w:eastAsia="Calibri" w:cs="Times New Roman"/>
                <w:sz w:val="21"/>
                <w:szCs w:val="21"/>
                <w:lang w:eastAsia="en-US"/>
              </w:rPr>
              <w:t xml:space="preserve">już </w:t>
            </w:r>
            <w:r>
              <w:rPr>
                <w:rFonts w:eastAsia="Calibri" w:cs="Times New Roman"/>
                <w:sz w:val="21"/>
                <w:szCs w:val="21"/>
                <w:lang w:eastAsia="en-US"/>
              </w:rPr>
              <w:t xml:space="preserve">systemu teleinformatycznego </w:t>
            </w:r>
            <w:r w:rsidR="00074635">
              <w:rPr>
                <w:rFonts w:eastAsia="Calibri" w:cs="Times New Roman"/>
                <w:sz w:val="21"/>
                <w:szCs w:val="21"/>
                <w:lang w:eastAsia="en-US"/>
              </w:rPr>
              <w:t xml:space="preserve">– portalu dane.gov.pl </w:t>
            </w:r>
            <w:r>
              <w:rPr>
                <w:rFonts w:eastAsia="Calibri" w:cs="Times New Roman"/>
                <w:sz w:val="21"/>
                <w:szCs w:val="21"/>
                <w:lang w:eastAsia="en-US"/>
              </w:rPr>
              <w:t>(przede wszystkim dobudowa zakładki i formularza kontaktowego). Koszty te wynikają z umowy procedowanej z Centralnym Ośrodkiem Informatyki na rozwój funkcjonalności portalu danych, w ramach której zostały również zaplanowane zadania związane punktem informacyjnym.</w:t>
            </w:r>
          </w:p>
          <w:p w14:paraId="00197071" w14:textId="568C62A3" w:rsidR="00654783" w:rsidRDefault="00654783" w:rsidP="00654783">
            <w:pPr>
              <w:widowControl/>
              <w:numPr>
                <w:ilvl w:val="0"/>
                <w:numId w:val="32"/>
              </w:numPr>
              <w:autoSpaceDE/>
              <w:adjustRightInd/>
              <w:spacing w:before="120" w:line="240" w:lineRule="auto"/>
              <w:jc w:val="both"/>
              <w:rPr>
                <w:rFonts w:eastAsia="Calibri" w:cs="Times New Roman"/>
                <w:b/>
                <w:sz w:val="21"/>
                <w:szCs w:val="21"/>
                <w:lang w:eastAsia="en-US"/>
              </w:rPr>
            </w:pPr>
            <w:r>
              <w:rPr>
                <w:rFonts w:eastAsia="Calibri" w:cs="Times New Roman"/>
                <w:b/>
                <w:sz w:val="21"/>
                <w:szCs w:val="21"/>
                <w:lang w:eastAsia="en-US"/>
              </w:rPr>
              <w:t>Wydatki związane z obsługą wniosków o ponowne wykorzystywanie chronionych danych - danych objętych zakresem DGA</w:t>
            </w:r>
            <w:r w:rsidR="004C5AF8">
              <w:rPr>
                <w:rFonts w:eastAsia="Calibri" w:cs="Times New Roman"/>
                <w:b/>
                <w:sz w:val="21"/>
                <w:szCs w:val="21"/>
                <w:lang w:eastAsia="en-US"/>
              </w:rPr>
              <w:t xml:space="preserve"> (podmioty sektora publicznego)</w:t>
            </w:r>
          </w:p>
          <w:p w14:paraId="0D7276BB" w14:textId="13B9002B" w:rsidR="007E4DCB" w:rsidRDefault="00654783">
            <w:pPr>
              <w:spacing w:line="240" w:lineRule="auto"/>
              <w:jc w:val="both"/>
              <w:rPr>
                <w:rFonts w:eastAsia="Calibri" w:cs="Times New Roman"/>
                <w:sz w:val="21"/>
                <w:szCs w:val="21"/>
                <w:lang w:eastAsia="en-US"/>
              </w:rPr>
            </w:pPr>
            <w:r>
              <w:rPr>
                <w:rFonts w:eastAsia="Calibri" w:cs="Times New Roman"/>
                <w:sz w:val="21"/>
                <w:szCs w:val="21"/>
                <w:lang w:eastAsia="en-US"/>
              </w:rPr>
              <w:t>Wydatki związane z obsługą wniosków o ponowne wykorzystywanie chronionych da</w:t>
            </w:r>
            <w:r w:rsidR="000E2D6B">
              <w:rPr>
                <w:rFonts w:eastAsia="Calibri" w:cs="Times New Roman"/>
                <w:sz w:val="21"/>
                <w:szCs w:val="21"/>
                <w:lang w:eastAsia="en-US"/>
              </w:rPr>
              <w:t>nych (tzw. „re-</w:t>
            </w:r>
            <w:proofErr w:type="spellStart"/>
            <w:r w:rsidR="000E2D6B">
              <w:rPr>
                <w:rFonts w:eastAsia="Calibri" w:cs="Times New Roman"/>
                <w:sz w:val="21"/>
                <w:szCs w:val="21"/>
                <w:lang w:eastAsia="en-US"/>
              </w:rPr>
              <w:t>use</w:t>
            </w:r>
            <w:proofErr w:type="spellEnd"/>
            <w:r w:rsidR="000E2D6B">
              <w:rPr>
                <w:rFonts w:eastAsia="Calibri" w:cs="Times New Roman"/>
                <w:sz w:val="21"/>
                <w:szCs w:val="21"/>
                <w:lang w:eastAsia="en-US"/>
              </w:rPr>
              <w:t xml:space="preserve"> specjalny”) </w:t>
            </w:r>
            <w:r>
              <w:rPr>
                <w:rFonts w:eastAsia="Calibri" w:cs="Times New Roman"/>
                <w:sz w:val="21"/>
                <w:szCs w:val="21"/>
                <w:lang w:eastAsia="en-US"/>
              </w:rPr>
              <w:t>obejmować będą koszty administracyjne zwią</w:t>
            </w:r>
            <w:r w:rsidR="000E2D6B">
              <w:rPr>
                <w:rFonts w:eastAsia="Calibri" w:cs="Times New Roman"/>
                <w:sz w:val="21"/>
                <w:szCs w:val="21"/>
                <w:lang w:eastAsia="en-US"/>
              </w:rPr>
              <w:t>zane z procedowaniem wniosków w </w:t>
            </w:r>
            <w:r>
              <w:rPr>
                <w:rFonts w:eastAsia="Calibri" w:cs="Times New Roman"/>
                <w:sz w:val="21"/>
                <w:szCs w:val="21"/>
                <w:lang w:eastAsia="en-US"/>
              </w:rPr>
              <w:t xml:space="preserve">nowym układzie instytucjonalnym i regulacyjnym. Projektowana ustawa co do zasady nie spowoduje automatycznego zwiększenia wydatków po stronie podmiotów sektora publicznego rozpatrujących wnioski. Wydatki te będą bezpośrednio związane z liczbą wniosków kierowanych do poszczególnych podmiotów sektora publicznego oraz podejmowanymi przez te podmioty decyzjami o udzieleniu lub odmowie udzielenia dostępu do celów ponownego wykorzystywania. Z uwagi na fakt, że przepisy tego rodzaju jak te przewidziane w DGA nie funkcjonują obecnie w polskim prawie oszacowanie skali wniosków jest utrudnione. Dotychczasowe statystyki Ministra Cyfryzacji, który pełni rolę organu odwoławczego od decyzji wydawanych przez podmioty zobowiązane na podstawie </w:t>
            </w:r>
            <w:r w:rsidRPr="00074635">
              <w:rPr>
                <w:rFonts w:eastAsia="Calibri" w:cs="Times New Roman"/>
                <w:sz w:val="21"/>
                <w:szCs w:val="21"/>
                <w:lang w:eastAsia="en-US"/>
              </w:rPr>
              <w:t>przepisów ustawy o otwartych danych (podobny zakres przedmiotowy, tzw. „re-</w:t>
            </w:r>
            <w:proofErr w:type="spellStart"/>
            <w:r w:rsidRPr="00074635">
              <w:rPr>
                <w:rFonts w:eastAsia="Calibri" w:cs="Times New Roman"/>
                <w:sz w:val="21"/>
                <w:szCs w:val="21"/>
                <w:lang w:eastAsia="en-US"/>
              </w:rPr>
              <w:t>use</w:t>
            </w:r>
            <w:proofErr w:type="spellEnd"/>
            <w:r w:rsidRPr="00074635">
              <w:rPr>
                <w:rFonts w:eastAsia="Calibri" w:cs="Times New Roman"/>
                <w:sz w:val="21"/>
                <w:szCs w:val="21"/>
                <w:lang w:eastAsia="en-US"/>
              </w:rPr>
              <w:t xml:space="preserve"> klasyczny”), pozwalają oceniać, że liczba</w:t>
            </w:r>
            <w:r>
              <w:rPr>
                <w:rFonts w:eastAsia="Calibri" w:cs="Times New Roman"/>
                <w:sz w:val="21"/>
                <w:szCs w:val="21"/>
                <w:lang w:eastAsia="en-US"/>
              </w:rPr>
              <w:t xml:space="preserve"> wniosków składanych na podstawie przepisów DGA nie będzie duża. Potwierdzają to dane dużego badania ilościowego (jeden z elementów procesu ewaluacji ustawy</w:t>
            </w:r>
            <w:r w:rsidR="000E2D6B">
              <w:rPr>
                <w:rFonts w:eastAsia="Calibri" w:cs="Times New Roman"/>
                <w:sz w:val="21"/>
                <w:szCs w:val="21"/>
                <w:lang w:eastAsia="en-US"/>
              </w:rPr>
              <w:t xml:space="preserve"> o otwartych danych</w:t>
            </w:r>
            <w:r>
              <w:rPr>
                <w:rFonts w:eastAsia="Calibri" w:cs="Times New Roman"/>
                <w:sz w:val="21"/>
                <w:szCs w:val="21"/>
                <w:lang w:eastAsia="en-US"/>
              </w:rPr>
              <w:t>) przeprowadzonego</w:t>
            </w:r>
            <w:r w:rsidR="000E2D6B">
              <w:rPr>
                <w:rFonts w:eastAsia="Calibri" w:cs="Times New Roman"/>
                <w:sz w:val="21"/>
                <w:szCs w:val="21"/>
                <w:lang w:eastAsia="en-US"/>
              </w:rPr>
              <w:t xml:space="preserve"> od 13 lutego do 8 marca 2023 r.</w:t>
            </w:r>
            <w:r>
              <w:rPr>
                <w:rFonts w:eastAsia="Calibri" w:cs="Times New Roman"/>
                <w:sz w:val="21"/>
                <w:szCs w:val="21"/>
                <w:lang w:eastAsia="en-US"/>
              </w:rPr>
              <w:t xml:space="preserve"> przez zespół </w:t>
            </w:r>
            <w:r w:rsidR="00074635">
              <w:rPr>
                <w:rFonts w:eastAsia="Calibri" w:cs="Times New Roman"/>
                <w:sz w:val="21"/>
                <w:szCs w:val="21"/>
                <w:lang w:eastAsia="en-US"/>
              </w:rPr>
              <w:t xml:space="preserve">Departamentu Zarządzania Danymi w </w:t>
            </w:r>
            <w:r>
              <w:rPr>
                <w:rFonts w:eastAsia="Calibri" w:cs="Times New Roman"/>
                <w:sz w:val="21"/>
                <w:szCs w:val="21"/>
                <w:lang w:eastAsia="en-US"/>
              </w:rPr>
              <w:t xml:space="preserve">KPRM (obecnie MC). Wyniki  badania „Ustawa o otwartych danych w opinii sektora </w:t>
            </w:r>
            <w:r w:rsidR="000E2D6B">
              <w:rPr>
                <w:rFonts w:eastAsia="Calibri" w:cs="Times New Roman"/>
                <w:sz w:val="21"/>
                <w:szCs w:val="21"/>
                <w:lang w:eastAsia="en-US"/>
              </w:rPr>
              <w:t>publicznego” pokazują jak podmioty publiczne</w:t>
            </w:r>
            <w:r>
              <w:rPr>
                <w:rFonts w:eastAsia="Calibri" w:cs="Times New Roman"/>
                <w:sz w:val="21"/>
                <w:szCs w:val="21"/>
                <w:lang w:eastAsia="en-US"/>
              </w:rPr>
              <w:t xml:space="preserve"> realizują politykę otwartości danych i jak faktycznie wygląda udostępnianie przez ni</w:t>
            </w:r>
            <w:r w:rsidR="000E2D6B">
              <w:rPr>
                <w:rFonts w:eastAsia="Calibri" w:cs="Times New Roman"/>
                <w:sz w:val="21"/>
                <w:szCs w:val="21"/>
                <w:lang w:eastAsia="en-US"/>
              </w:rPr>
              <w:t>ch</w:t>
            </w:r>
            <w:r>
              <w:rPr>
                <w:rFonts w:eastAsia="Calibri" w:cs="Times New Roman"/>
                <w:sz w:val="21"/>
                <w:szCs w:val="21"/>
                <w:lang w:eastAsia="en-US"/>
              </w:rPr>
              <w:t xml:space="preserve"> danych. Badanie realizowane było w różnego rodzaju jednostkach sektora publicznego: jednostki administracji rządowej (zarówno centralnej</w:t>
            </w:r>
            <w:r w:rsidR="00074635">
              <w:rPr>
                <w:rFonts w:eastAsia="Calibri" w:cs="Times New Roman"/>
                <w:sz w:val="21"/>
                <w:szCs w:val="21"/>
                <w:lang w:eastAsia="en-US"/>
              </w:rPr>
              <w:t>, jak i </w:t>
            </w:r>
            <w:r>
              <w:rPr>
                <w:rFonts w:eastAsia="Calibri" w:cs="Times New Roman"/>
                <w:sz w:val="21"/>
                <w:szCs w:val="21"/>
                <w:lang w:eastAsia="en-US"/>
              </w:rPr>
              <w:t>terenowej); instytucje centralne (Kancelaria Sejmu, Kancelaria Senatu, Kancelaria Prezydenta RP); jednostki samorządu terytorialnego wszystkich szczebli; sądy powszechne wszystkich szczebli, sądy administracyjne. W sumie do udziału w badaniu zaproszono 2593 podmioty. Odpowiedzi na ankietę udzielił</w:t>
            </w:r>
            <w:r w:rsidR="000E2D6B">
              <w:rPr>
                <w:rFonts w:eastAsia="Calibri" w:cs="Times New Roman"/>
                <w:sz w:val="21"/>
                <w:szCs w:val="21"/>
                <w:lang w:eastAsia="en-US"/>
              </w:rPr>
              <w:t xml:space="preserve">o 1317 jednostek. W </w:t>
            </w:r>
            <w:r w:rsidR="00074635">
              <w:rPr>
                <w:rFonts w:eastAsia="Calibri" w:cs="Times New Roman"/>
                <w:sz w:val="21"/>
                <w:szCs w:val="21"/>
                <w:lang w:eastAsia="en-US"/>
              </w:rPr>
              <w:t>od</w:t>
            </w:r>
            <w:r w:rsidR="000E2D6B">
              <w:rPr>
                <w:rFonts w:eastAsia="Calibri" w:cs="Times New Roman"/>
                <w:sz w:val="21"/>
                <w:szCs w:val="21"/>
                <w:lang w:eastAsia="en-US"/>
              </w:rPr>
              <w:t xml:space="preserve">niesieniu do </w:t>
            </w:r>
            <w:r w:rsidR="00C767BB">
              <w:rPr>
                <w:rFonts w:eastAsia="Calibri" w:cs="Times New Roman"/>
                <w:sz w:val="21"/>
                <w:szCs w:val="21"/>
                <w:lang w:eastAsia="en-US"/>
              </w:rPr>
              <w:t xml:space="preserve">omawianego zagadnienia </w:t>
            </w:r>
            <w:r w:rsidR="000E2D6B">
              <w:rPr>
                <w:rFonts w:eastAsia="Calibri" w:cs="Times New Roman"/>
                <w:sz w:val="21"/>
                <w:szCs w:val="21"/>
                <w:lang w:eastAsia="en-US"/>
              </w:rPr>
              <w:t>istotne jest, że p</w:t>
            </w:r>
            <w:r>
              <w:rPr>
                <w:rFonts w:eastAsia="Calibri" w:cs="Times New Roman"/>
                <w:sz w:val="21"/>
                <w:szCs w:val="21"/>
                <w:lang w:eastAsia="en-US"/>
              </w:rPr>
              <w:t>ytania</w:t>
            </w:r>
            <w:r w:rsidR="000E2D6B">
              <w:rPr>
                <w:rFonts w:eastAsia="Calibri" w:cs="Times New Roman"/>
                <w:sz w:val="21"/>
                <w:szCs w:val="21"/>
                <w:lang w:eastAsia="en-US"/>
              </w:rPr>
              <w:t xml:space="preserve"> w ankiecie</w:t>
            </w:r>
            <w:r>
              <w:rPr>
                <w:rFonts w:eastAsia="Calibri" w:cs="Times New Roman"/>
                <w:sz w:val="21"/>
                <w:szCs w:val="21"/>
                <w:lang w:eastAsia="en-US"/>
              </w:rPr>
              <w:t xml:space="preserve"> dotyczyły </w:t>
            </w:r>
            <w:r w:rsidR="00C767BB">
              <w:rPr>
                <w:rFonts w:eastAsia="Calibri" w:cs="Times New Roman"/>
                <w:sz w:val="21"/>
                <w:szCs w:val="21"/>
                <w:lang w:eastAsia="en-US"/>
              </w:rPr>
              <w:t>również</w:t>
            </w:r>
            <w:r>
              <w:rPr>
                <w:rFonts w:eastAsia="Calibri" w:cs="Times New Roman"/>
                <w:sz w:val="21"/>
                <w:szCs w:val="21"/>
                <w:lang w:eastAsia="en-US"/>
              </w:rPr>
              <w:t xml:space="preserve"> rozpatrywania wniosków o ponowne wykorzystywanie, wydawania decyzji, liczby wydanych decyzji oraz opłat za ponowne wykorzystywanie. Wynik</w:t>
            </w:r>
            <w:r w:rsidR="000E2D6B">
              <w:rPr>
                <w:rFonts w:eastAsia="Calibri" w:cs="Times New Roman"/>
                <w:sz w:val="21"/>
                <w:szCs w:val="21"/>
                <w:lang w:eastAsia="en-US"/>
              </w:rPr>
              <w:t>i</w:t>
            </w:r>
            <w:r>
              <w:rPr>
                <w:rFonts w:eastAsia="Calibri" w:cs="Times New Roman"/>
                <w:sz w:val="21"/>
                <w:szCs w:val="21"/>
                <w:lang w:eastAsia="en-US"/>
              </w:rPr>
              <w:t xml:space="preserve"> badania wykazały, że ogólna liczba wniosków w tzw. „re-</w:t>
            </w:r>
            <w:proofErr w:type="spellStart"/>
            <w:r>
              <w:rPr>
                <w:rFonts w:eastAsia="Calibri" w:cs="Times New Roman"/>
                <w:sz w:val="21"/>
                <w:szCs w:val="21"/>
                <w:lang w:eastAsia="en-US"/>
              </w:rPr>
              <w:t>use</w:t>
            </w:r>
            <w:proofErr w:type="spellEnd"/>
            <w:r>
              <w:rPr>
                <w:rFonts w:eastAsia="Calibri" w:cs="Times New Roman"/>
                <w:sz w:val="21"/>
                <w:szCs w:val="21"/>
                <w:lang w:eastAsia="en-US"/>
              </w:rPr>
              <w:t xml:space="preserve"> klasycznym” jest bardzo niska. Tylko 5,5% podmiotów wskazał</w:t>
            </w:r>
            <w:r w:rsidR="000E2D6B">
              <w:rPr>
                <w:rFonts w:eastAsia="Calibri" w:cs="Times New Roman"/>
                <w:sz w:val="21"/>
                <w:szCs w:val="21"/>
                <w:lang w:eastAsia="en-US"/>
              </w:rPr>
              <w:t>a</w:t>
            </w:r>
            <w:r>
              <w:rPr>
                <w:rFonts w:eastAsia="Calibri" w:cs="Times New Roman"/>
                <w:sz w:val="21"/>
                <w:szCs w:val="21"/>
                <w:lang w:eastAsia="en-US"/>
              </w:rPr>
              <w:t xml:space="preserve">, że od wejścia w życie ustawy o otwartych danych (czyli od 8 grudnia 2021 r.) rozpatrywała wnioski o ponowne wykorzystywanie informacji sektora publicznego. Jest </w:t>
            </w:r>
            <w:r w:rsidR="000E2D6B">
              <w:rPr>
                <w:rFonts w:eastAsia="Calibri" w:cs="Times New Roman"/>
                <w:sz w:val="21"/>
                <w:szCs w:val="21"/>
                <w:lang w:eastAsia="en-US"/>
              </w:rPr>
              <w:t xml:space="preserve">to </w:t>
            </w:r>
            <w:r>
              <w:rPr>
                <w:rFonts w:eastAsia="Calibri" w:cs="Times New Roman"/>
                <w:sz w:val="21"/>
                <w:szCs w:val="21"/>
                <w:lang w:eastAsia="en-US"/>
              </w:rPr>
              <w:t xml:space="preserve">zatem bardzo mała skala. </w:t>
            </w:r>
            <w:r w:rsidR="007E4DCB">
              <w:rPr>
                <w:rFonts w:eastAsia="Calibri" w:cs="Times New Roman"/>
                <w:sz w:val="21"/>
                <w:szCs w:val="21"/>
                <w:lang w:eastAsia="en-US"/>
              </w:rPr>
              <w:t>Wyniki badania po</w:t>
            </w:r>
            <w:r w:rsidR="00C767BB">
              <w:rPr>
                <w:rFonts w:eastAsia="Calibri" w:cs="Times New Roman"/>
                <w:sz w:val="21"/>
                <w:szCs w:val="21"/>
                <w:lang w:eastAsia="en-US"/>
              </w:rPr>
              <w:t>krywają się</w:t>
            </w:r>
            <w:r w:rsidR="007E4DCB">
              <w:rPr>
                <w:rFonts w:eastAsia="Calibri" w:cs="Times New Roman"/>
                <w:sz w:val="21"/>
                <w:szCs w:val="21"/>
                <w:lang w:eastAsia="en-US"/>
              </w:rPr>
              <w:t xml:space="preserve"> </w:t>
            </w:r>
            <w:r w:rsidR="00C767BB">
              <w:rPr>
                <w:rFonts w:eastAsia="Calibri" w:cs="Times New Roman"/>
                <w:sz w:val="21"/>
                <w:szCs w:val="21"/>
                <w:lang w:eastAsia="en-US"/>
              </w:rPr>
              <w:t>z danymi</w:t>
            </w:r>
            <w:r w:rsidR="007E4DCB">
              <w:rPr>
                <w:rFonts w:eastAsia="Calibri" w:cs="Times New Roman"/>
                <w:sz w:val="21"/>
                <w:szCs w:val="21"/>
                <w:lang w:eastAsia="en-US"/>
              </w:rPr>
              <w:t xml:space="preserve"> dotycząc</w:t>
            </w:r>
            <w:r w:rsidR="00C767BB">
              <w:rPr>
                <w:rFonts w:eastAsia="Calibri" w:cs="Times New Roman"/>
                <w:sz w:val="21"/>
                <w:szCs w:val="21"/>
                <w:lang w:eastAsia="en-US"/>
              </w:rPr>
              <w:t>ymi</w:t>
            </w:r>
            <w:r w:rsidR="007E4DCB">
              <w:rPr>
                <w:rFonts w:eastAsia="Calibri" w:cs="Times New Roman"/>
                <w:sz w:val="21"/>
                <w:szCs w:val="21"/>
                <w:lang w:eastAsia="en-US"/>
              </w:rPr>
              <w:t xml:space="preserve"> </w:t>
            </w:r>
            <w:r w:rsidR="007E4DCB" w:rsidRPr="007E4DCB">
              <w:rPr>
                <w:rFonts w:eastAsia="Calibri" w:cs="Times New Roman"/>
                <w:sz w:val="21"/>
                <w:szCs w:val="21"/>
                <w:lang w:eastAsia="en-US"/>
              </w:rPr>
              <w:t>liczby spraw z zakresu ponownego wykorzystywania informacji sektora publicznego (</w:t>
            </w:r>
            <w:r w:rsidR="00C767BB">
              <w:rPr>
                <w:rFonts w:eastAsia="Calibri" w:cs="Times New Roman"/>
                <w:sz w:val="21"/>
                <w:szCs w:val="21"/>
                <w:lang w:eastAsia="en-US"/>
              </w:rPr>
              <w:t>„re-</w:t>
            </w:r>
            <w:proofErr w:type="spellStart"/>
            <w:r w:rsidR="00C767BB">
              <w:rPr>
                <w:rFonts w:eastAsia="Calibri" w:cs="Times New Roman"/>
                <w:sz w:val="21"/>
                <w:szCs w:val="21"/>
                <w:lang w:eastAsia="en-US"/>
              </w:rPr>
              <w:t>use</w:t>
            </w:r>
            <w:proofErr w:type="spellEnd"/>
            <w:r w:rsidR="00C767BB">
              <w:rPr>
                <w:rFonts w:eastAsia="Calibri" w:cs="Times New Roman"/>
                <w:sz w:val="21"/>
                <w:szCs w:val="21"/>
                <w:lang w:eastAsia="en-US"/>
              </w:rPr>
              <w:t xml:space="preserve"> klasyczny”) </w:t>
            </w:r>
            <w:r w:rsidR="007E4DCB" w:rsidRPr="007E4DCB">
              <w:rPr>
                <w:rFonts w:eastAsia="Calibri" w:cs="Times New Roman"/>
                <w:sz w:val="21"/>
                <w:szCs w:val="21"/>
                <w:lang w:eastAsia="en-US"/>
              </w:rPr>
              <w:t>rozpatrywanych przez Naczelny Sąd Administracyjny w ostatnich latach (zob. pkt 4 i 8 OSR).</w:t>
            </w:r>
          </w:p>
          <w:p w14:paraId="6AFB4FD4" w14:textId="11F1CA49" w:rsidR="00654783" w:rsidRDefault="00654783">
            <w:pPr>
              <w:spacing w:line="240" w:lineRule="auto"/>
              <w:jc w:val="both"/>
              <w:rPr>
                <w:rFonts w:eastAsia="Calibri" w:cs="Times New Roman"/>
                <w:sz w:val="21"/>
                <w:szCs w:val="21"/>
                <w:lang w:eastAsia="en-US"/>
              </w:rPr>
            </w:pPr>
            <w:r>
              <w:rPr>
                <w:rFonts w:eastAsia="Calibri" w:cs="Times New Roman"/>
                <w:sz w:val="21"/>
                <w:szCs w:val="21"/>
                <w:lang w:eastAsia="en-US"/>
              </w:rPr>
              <w:t>W związku z powyższym w kontekście procedury dot. tzw. „re-</w:t>
            </w:r>
            <w:proofErr w:type="spellStart"/>
            <w:r>
              <w:rPr>
                <w:rFonts w:eastAsia="Calibri" w:cs="Times New Roman"/>
                <w:sz w:val="21"/>
                <w:szCs w:val="21"/>
                <w:lang w:eastAsia="en-US"/>
              </w:rPr>
              <w:t>use</w:t>
            </w:r>
            <w:proofErr w:type="spellEnd"/>
            <w:r>
              <w:rPr>
                <w:rFonts w:eastAsia="Calibri" w:cs="Times New Roman"/>
                <w:sz w:val="21"/>
                <w:szCs w:val="21"/>
                <w:lang w:eastAsia="en-US"/>
              </w:rPr>
              <w:t xml:space="preserve"> specjalnego</w:t>
            </w:r>
            <w:r w:rsidR="000E2D6B">
              <w:rPr>
                <w:rFonts w:eastAsia="Calibri" w:cs="Times New Roman"/>
                <w:sz w:val="21"/>
                <w:szCs w:val="21"/>
                <w:lang w:eastAsia="en-US"/>
              </w:rPr>
              <w:t>” uregulowanego</w:t>
            </w:r>
            <w:r>
              <w:rPr>
                <w:rFonts w:eastAsia="Calibri" w:cs="Times New Roman"/>
                <w:sz w:val="21"/>
                <w:szCs w:val="21"/>
                <w:lang w:eastAsia="en-US"/>
              </w:rPr>
              <w:t xml:space="preserve"> </w:t>
            </w:r>
            <w:r w:rsidR="00C767BB">
              <w:rPr>
                <w:rFonts w:eastAsia="Calibri" w:cs="Times New Roman"/>
                <w:sz w:val="21"/>
                <w:szCs w:val="21"/>
                <w:lang w:eastAsia="en-US"/>
              </w:rPr>
              <w:t>w </w:t>
            </w:r>
            <w:r>
              <w:rPr>
                <w:rFonts w:eastAsia="Calibri" w:cs="Times New Roman"/>
                <w:sz w:val="21"/>
                <w:szCs w:val="21"/>
                <w:lang w:eastAsia="en-US"/>
              </w:rPr>
              <w:t xml:space="preserve">DGA </w:t>
            </w:r>
            <w:r w:rsidR="000E2D6B">
              <w:rPr>
                <w:rFonts w:eastAsia="Calibri" w:cs="Times New Roman"/>
                <w:sz w:val="21"/>
                <w:szCs w:val="21"/>
                <w:lang w:eastAsia="en-US"/>
              </w:rPr>
              <w:t xml:space="preserve">należy przyjąć, że liczba wniosków składanych w nowym trybie będzie </w:t>
            </w:r>
            <w:r w:rsidR="00890429">
              <w:rPr>
                <w:rFonts w:eastAsia="Calibri" w:cs="Times New Roman"/>
                <w:sz w:val="21"/>
                <w:szCs w:val="21"/>
                <w:lang w:eastAsia="en-US"/>
              </w:rPr>
              <w:t>albo podobna jak w „re-</w:t>
            </w:r>
            <w:proofErr w:type="spellStart"/>
            <w:r w:rsidR="00890429">
              <w:rPr>
                <w:rFonts w:eastAsia="Calibri" w:cs="Times New Roman"/>
                <w:sz w:val="21"/>
                <w:szCs w:val="21"/>
                <w:lang w:eastAsia="en-US"/>
              </w:rPr>
              <w:t>use</w:t>
            </w:r>
            <w:proofErr w:type="spellEnd"/>
            <w:r w:rsidR="00890429">
              <w:rPr>
                <w:rFonts w:eastAsia="Calibri" w:cs="Times New Roman"/>
                <w:sz w:val="21"/>
                <w:szCs w:val="21"/>
                <w:lang w:eastAsia="en-US"/>
              </w:rPr>
              <w:t xml:space="preserve"> klasycznym” albo jeszcze mniejsza. Mniejsza liczba wniosków w „re-</w:t>
            </w:r>
            <w:proofErr w:type="spellStart"/>
            <w:r w:rsidR="00890429">
              <w:rPr>
                <w:rFonts w:eastAsia="Calibri" w:cs="Times New Roman"/>
                <w:sz w:val="21"/>
                <w:szCs w:val="21"/>
                <w:lang w:eastAsia="en-US"/>
              </w:rPr>
              <w:t>use</w:t>
            </w:r>
            <w:proofErr w:type="spellEnd"/>
            <w:r w:rsidR="00890429">
              <w:rPr>
                <w:rFonts w:eastAsia="Calibri" w:cs="Times New Roman"/>
                <w:sz w:val="21"/>
                <w:szCs w:val="21"/>
                <w:lang w:eastAsia="en-US"/>
              </w:rPr>
              <w:t xml:space="preserve"> specjalnym” może wynikać z faktu, że </w:t>
            </w:r>
            <w:r w:rsidR="00D8374D">
              <w:rPr>
                <w:rFonts w:eastAsia="Calibri" w:cs="Times New Roman"/>
                <w:sz w:val="21"/>
                <w:szCs w:val="21"/>
                <w:lang w:eastAsia="en-US"/>
              </w:rPr>
              <w:t>procedura przewidzian</w:t>
            </w:r>
            <w:r w:rsidR="00C767BB">
              <w:rPr>
                <w:rFonts w:eastAsia="Calibri" w:cs="Times New Roman"/>
                <w:sz w:val="21"/>
                <w:szCs w:val="21"/>
                <w:lang w:eastAsia="en-US"/>
              </w:rPr>
              <w:t>a</w:t>
            </w:r>
            <w:r w:rsidR="00D8374D">
              <w:rPr>
                <w:rFonts w:eastAsia="Calibri" w:cs="Times New Roman"/>
                <w:sz w:val="21"/>
                <w:szCs w:val="21"/>
                <w:lang w:eastAsia="en-US"/>
              </w:rPr>
              <w:t xml:space="preserve"> w DGA stawia większe wymagania wnioskodawcom </w:t>
            </w:r>
            <w:r w:rsidR="00890429">
              <w:rPr>
                <w:rFonts w:eastAsia="Calibri" w:cs="Times New Roman"/>
                <w:sz w:val="21"/>
                <w:szCs w:val="21"/>
                <w:lang w:eastAsia="en-US"/>
              </w:rPr>
              <w:t>z </w:t>
            </w:r>
            <w:r w:rsidR="000E2D6B">
              <w:rPr>
                <w:rFonts w:eastAsia="Calibri" w:cs="Times New Roman"/>
                <w:sz w:val="21"/>
                <w:szCs w:val="21"/>
                <w:lang w:eastAsia="en-US"/>
              </w:rPr>
              <w:t xml:space="preserve">uwagi na </w:t>
            </w:r>
            <w:r w:rsidR="00C767BB">
              <w:rPr>
                <w:rFonts w:eastAsia="Calibri" w:cs="Times New Roman"/>
                <w:sz w:val="21"/>
                <w:szCs w:val="21"/>
                <w:lang w:eastAsia="en-US"/>
              </w:rPr>
              <w:t xml:space="preserve">charakter, </w:t>
            </w:r>
            <w:r w:rsidR="00274359">
              <w:rPr>
                <w:rFonts w:eastAsia="Calibri" w:cs="Times New Roman"/>
                <w:sz w:val="21"/>
                <w:szCs w:val="21"/>
                <w:lang w:eastAsia="en-US"/>
              </w:rPr>
              <w:t>sposób</w:t>
            </w:r>
            <w:r w:rsidR="00C767BB">
              <w:rPr>
                <w:rFonts w:eastAsia="Calibri" w:cs="Times New Roman"/>
                <w:sz w:val="21"/>
                <w:szCs w:val="21"/>
                <w:lang w:eastAsia="en-US"/>
              </w:rPr>
              <w:t xml:space="preserve">, </w:t>
            </w:r>
            <w:r w:rsidR="00D8374D">
              <w:rPr>
                <w:rFonts w:eastAsia="Calibri" w:cs="Times New Roman"/>
                <w:sz w:val="21"/>
                <w:szCs w:val="21"/>
                <w:lang w:eastAsia="en-US"/>
              </w:rPr>
              <w:t>tryb</w:t>
            </w:r>
            <w:r w:rsidR="000E2D6B">
              <w:rPr>
                <w:rFonts w:eastAsia="Calibri" w:cs="Times New Roman"/>
                <w:sz w:val="21"/>
                <w:szCs w:val="21"/>
                <w:lang w:eastAsia="en-US"/>
              </w:rPr>
              <w:t xml:space="preserve">, </w:t>
            </w:r>
            <w:r w:rsidR="00274359">
              <w:rPr>
                <w:rFonts w:eastAsia="Calibri" w:cs="Times New Roman"/>
                <w:sz w:val="21"/>
                <w:szCs w:val="21"/>
                <w:lang w:eastAsia="en-US"/>
              </w:rPr>
              <w:t xml:space="preserve">warunki oraz </w:t>
            </w:r>
            <w:r w:rsidR="000E2D6B">
              <w:rPr>
                <w:rFonts w:eastAsia="Calibri" w:cs="Times New Roman"/>
                <w:sz w:val="21"/>
                <w:szCs w:val="21"/>
                <w:lang w:eastAsia="en-US"/>
              </w:rPr>
              <w:t>koszty dostępu do danych.</w:t>
            </w:r>
            <w:r w:rsidR="00D8374D">
              <w:rPr>
                <w:rFonts w:eastAsia="Calibri" w:cs="Times New Roman"/>
                <w:sz w:val="21"/>
                <w:szCs w:val="21"/>
                <w:lang w:eastAsia="en-US"/>
              </w:rPr>
              <w:t xml:space="preserve"> Z procedury tej w dużej mierze korzystać będą podmio</w:t>
            </w:r>
            <w:r w:rsidR="00890429">
              <w:rPr>
                <w:rFonts w:eastAsia="Calibri" w:cs="Times New Roman"/>
                <w:sz w:val="21"/>
                <w:szCs w:val="21"/>
                <w:lang w:eastAsia="en-US"/>
              </w:rPr>
              <w:t xml:space="preserve">ty profesjonalne. </w:t>
            </w:r>
            <w:r w:rsidR="00D8374D">
              <w:rPr>
                <w:rFonts w:eastAsia="Calibri" w:cs="Times New Roman"/>
                <w:sz w:val="21"/>
                <w:szCs w:val="21"/>
                <w:lang w:eastAsia="en-US"/>
              </w:rPr>
              <w:t xml:space="preserve">Czynniki te będą zmniejszać liczbę potencjalnych </w:t>
            </w:r>
            <w:r w:rsidR="00D8374D">
              <w:rPr>
                <w:rFonts w:eastAsia="Calibri" w:cs="Times New Roman"/>
                <w:sz w:val="21"/>
                <w:szCs w:val="21"/>
                <w:lang w:eastAsia="en-US"/>
              </w:rPr>
              <w:lastRenderedPageBreak/>
              <w:t xml:space="preserve">wniosków. </w:t>
            </w:r>
            <w:r w:rsidR="000E2D6B">
              <w:rPr>
                <w:rFonts w:eastAsia="Calibri" w:cs="Times New Roman"/>
                <w:sz w:val="21"/>
                <w:szCs w:val="21"/>
                <w:lang w:eastAsia="en-US"/>
              </w:rPr>
              <w:t xml:space="preserve">Tym samym </w:t>
            </w:r>
            <w:r>
              <w:rPr>
                <w:rFonts w:eastAsia="Calibri" w:cs="Times New Roman"/>
                <w:sz w:val="21"/>
                <w:szCs w:val="21"/>
                <w:lang w:eastAsia="en-US"/>
              </w:rPr>
              <w:t>nie zachodzi koniecz</w:t>
            </w:r>
            <w:r w:rsidR="00D8374D">
              <w:rPr>
                <w:rFonts w:eastAsia="Calibri" w:cs="Times New Roman"/>
                <w:sz w:val="21"/>
                <w:szCs w:val="21"/>
                <w:lang w:eastAsia="en-US"/>
              </w:rPr>
              <w:t xml:space="preserve">ność zwiększania zatrudnienia w podmiotach sektora publicznego. </w:t>
            </w:r>
            <w:r>
              <w:rPr>
                <w:rFonts w:eastAsia="Calibri" w:cs="Times New Roman"/>
                <w:sz w:val="21"/>
                <w:szCs w:val="21"/>
                <w:lang w:eastAsia="en-US"/>
              </w:rPr>
              <w:t>Rozpatrywaniem wniosków o ponowne wykorzystywanie chronionych danych</w:t>
            </w:r>
            <w:r w:rsidR="00274359">
              <w:rPr>
                <w:rFonts w:eastAsia="Calibri" w:cs="Times New Roman"/>
                <w:sz w:val="21"/>
                <w:szCs w:val="21"/>
                <w:lang w:eastAsia="en-US"/>
              </w:rPr>
              <w:t xml:space="preserve"> w trybie DGA</w:t>
            </w:r>
            <w:r>
              <w:rPr>
                <w:rFonts w:eastAsia="Calibri" w:cs="Times New Roman"/>
                <w:sz w:val="21"/>
                <w:szCs w:val="21"/>
                <w:lang w:eastAsia="en-US"/>
              </w:rPr>
              <w:t>, z uwagi na tożsamą tematykę</w:t>
            </w:r>
            <w:r w:rsidR="00890429">
              <w:rPr>
                <w:rFonts w:eastAsia="Calibri" w:cs="Times New Roman"/>
                <w:sz w:val="21"/>
                <w:szCs w:val="21"/>
                <w:lang w:eastAsia="en-US"/>
              </w:rPr>
              <w:t xml:space="preserve"> i małą liczbę spraw</w:t>
            </w:r>
            <w:r>
              <w:rPr>
                <w:rFonts w:eastAsia="Calibri" w:cs="Times New Roman"/>
                <w:sz w:val="21"/>
                <w:szCs w:val="21"/>
                <w:lang w:eastAsia="en-US"/>
              </w:rPr>
              <w:t>, zajmować mogą się te same komórki organizacyjne podmiotów sektora publicznego, które już obecnie rozpatrują wnioski o ponowne wykorzystywanie składane na podstawie ustawy o otwartych danych. Rozwiązania takie jest zalecane.</w:t>
            </w:r>
          </w:p>
          <w:p w14:paraId="0AC82BE8" w14:textId="65C5854C" w:rsidR="00D8374D" w:rsidRDefault="00654783">
            <w:pPr>
              <w:spacing w:line="240" w:lineRule="auto"/>
              <w:jc w:val="both"/>
              <w:rPr>
                <w:rFonts w:eastAsia="Calibri" w:cs="Times New Roman"/>
                <w:sz w:val="21"/>
                <w:szCs w:val="21"/>
                <w:lang w:eastAsia="en-US"/>
              </w:rPr>
            </w:pPr>
            <w:r w:rsidRPr="00D8374D">
              <w:rPr>
                <w:rFonts w:eastAsia="Calibri" w:cs="Times New Roman"/>
                <w:sz w:val="21"/>
                <w:szCs w:val="21"/>
                <w:lang w:eastAsia="en-US"/>
              </w:rPr>
              <w:t>Przedstawione porównanie i wyciągnięte na jego podstawie wnioski można uzupełnić dodatkową- analizą dotyczącą poziomu potencjalnego zainteresowania użytkowników (zwłaszcza z sektora IT) przewidzianą w DGA procedurą pozyskiwania danych. W tym przypadku czynnikiem, który z pewnością będzie miał wpływ na zainteresowanie użytkowników samą procedurą wnioskową, może być postrzeganie takiego kanału dostępu do danych przez pryzmat jego stosunkowo niskiej efektywności (zwłaszcza w przypadku niektórych kategorii danych). Przy czym przez efektywność należy tutaj rozumieć relację nakładów wnioskodawców (nakładów organizacyjnych, finansowych) związanych z wnioskiem oraz oczekiwanych przez nich rezultatów zainicjowanej procedury (uzyskanie dostępu do pożądanych zasobów danych</w:t>
            </w:r>
            <w:r w:rsidR="00890429">
              <w:rPr>
                <w:rFonts w:eastAsia="Calibri" w:cs="Times New Roman"/>
                <w:sz w:val="21"/>
                <w:szCs w:val="21"/>
                <w:lang w:eastAsia="en-US"/>
              </w:rPr>
              <w:t xml:space="preserve">). </w:t>
            </w:r>
            <w:r w:rsidRPr="00D8374D">
              <w:rPr>
                <w:rFonts w:eastAsia="Calibri" w:cs="Times New Roman"/>
                <w:sz w:val="21"/>
                <w:szCs w:val="21"/>
                <w:lang w:eastAsia="en-US"/>
              </w:rPr>
              <w:t xml:space="preserve">Potencjalne rezultaty wniosku w postaci pozyskanych danych mogą nie być dla wnioskodawcy zadowalające. </w:t>
            </w:r>
            <w:r w:rsidRPr="00D639A7">
              <w:rPr>
                <w:rFonts w:eastAsia="Calibri" w:cs="Times New Roman"/>
                <w:sz w:val="21"/>
                <w:szCs w:val="21"/>
                <w:lang w:eastAsia="en-US"/>
              </w:rPr>
              <w:t>Mając na uwadze, że jedną z</w:t>
            </w:r>
            <w:r w:rsidR="0000698B">
              <w:rPr>
                <w:rFonts w:eastAsia="Calibri" w:cs="Times New Roman"/>
                <w:sz w:val="21"/>
                <w:szCs w:val="21"/>
                <w:lang w:eastAsia="en-US"/>
              </w:rPr>
              <w:t> </w:t>
            </w:r>
            <w:r w:rsidRPr="00D639A7">
              <w:rPr>
                <w:rFonts w:eastAsia="Calibri" w:cs="Times New Roman"/>
                <w:sz w:val="21"/>
                <w:szCs w:val="21"/>
                <w:lang w:eastAsia="en-US"/>
              </w:rPr>
              <w:t>przesłanek warunkujących możliwość ponownego wykorzystywania danych w trybie przewidzianym w DGA jest uzyskanie od osób, których dane dotyczą lub posiadaczy danych odpowiednio zgody lub pozwolenia na ponowne wykorzystywanie, poziom gotowości do dzielenia się danymi może w sposób istotny przekładać się na ogólny wolumen danych osobowych i</w:t>
            </w:r>
            <w:r w:rsidR="0000698B">
              <w:rPr>
                <w:rFonts w:eastAsia="Calibri" w:cs="Times New Roman"/>
                <w:sz w:val="21"/>
                <w:szCs w:val="21"/>
                <w:lang w:eastAsia="en-US"/>
              </w:rPr>
              <w:t> </w:t>
            </w:r>
            <w:r w:rsidRPr="00D639A7">
              <w:rPr>
                <w:rFonts w:eastAsia="Calibri" w:cs="Times New Roman"/>
                <w:sz w:val="21"/>
                <w:szCs w:val="21"/>
                <w:lang w:eastAsia="en-US"/>
              </w:rPr>
              <w:t>nieosobowych dostępnych do ponownego wykorzystywania. Wynikające z tego ograniczenia będą z pewnością przekładać się na ocenę samej procedury pozyskiwania danych przez pryzmat jej niskiej efektywności i tym samym pośrednio na mniejsze zainteresowanie użytkowników ubieganiem się w</w:t>
            </w:r>
            <w:r w:rsidR="0000698B">
              <w:rPr>
                <w:rFonts w:eastAsia="Calibri" w:cs="Times New Roman"/>
                <w:sz w:val="21"/>
                <w:szCs w:val="21"/>
                <w:lang w:eastAsia="en-US"/>
              </w:rPr>
              <w:t> </w:t>
            </w:r>
            <w:r w:rsidRPr="00D639A7">
              <w:rPr>
                <w:rFonts w:eastAsia="Calibri" w:cs="Times New Roman"/>
                <w:sz w:val="21"/>
                <w:szCs w:val="21"/>
                <w:lang w:eastAsia="en-US"/>
              </w:rPr>
              <w:t>trybie wnioskowym o dostęp do danych. Przewidywania dotyczące niskiej liczby wniosków o</w:t>
            </w:r>
            <w:r w:rsidR="0000698B">
              <w:rPr>
                <w:rFonts w:eastAsia="Calibri" w:cs="Times New Roman"/>
                <w:sz w:val="21"/>
                <w:szCs w:val="21"/>
                <w:lang w:eastAsia="en-US"/>
              </w:rPr>
              <w:t> </w:t>
            </w:r>
            <w:r w:rsidRPr="00D639A7">
              <w:rPr>
                <w:rFonts w:eastAsia="Calibri" w:cs="Times New Roman"/>
                <w:sz w:val="21"/>
                <w:szCs w:val="21"/>
                <w:lang w:eastAsia="en-US"/>
              </w:rPr>
              <w:t>ponowne wykorzystywanie składanych na podstawie przepisów DGA (w wymiarze ogólnym) należy uzupełnić o spostrzeżenie, że ogólna liczba wniosków o ponowne wykorzystywanie rozłożona będzie na poszczególnych dysponentów danych. Podobnie bowiem, jak w przypadku regulacji przewidzianej w ustawie o otwartych danych, mechanizm pozyskiwania danych do celów ponownego wykorzystywania będzie rozproszony. Wnioski rozpatrywać będą poszczególni dysponenci danych.</w:t>
            </w:r>
            <w:r>
              <w:rPr>
                <w:rFonts w:eastAsia="Calibri" w:cs="Times New Roman"/>
                <w:sz w:val="21"/>
                <w:szCs w:val="21"/>
                <w:lang w:eastAsia="en-US"/>
              </w:rPr>
              <w:t xml:space="preserve"> </w:t>
            </w:r>
          </w:p>
          <w:p w14:paraId="46325B5F" w14:textId="0816C179" w:rsidR="00654783" w:rsidRDefault="00654783" w:rsidP="00890429">
            <w:pPr>
              <w:spacing w:line="240" w:lineRule="auto"/>
              <w:jc w:val="both"/>
              <w:rPr>
                <w:rFonts w:eastAsia="Calibri" w:cs="Times New Roman"/>
                <w:sz w:val="21"/>
                <w:szCs w:val="21"/>
                <w:lang w:eastAsia="en-US"/>
              </w:rPr>
            </w:pPr>
            <w:r>
              <w:rPr>
                <w:rFonts w:eastAsia="Calibri" w:cs="Times New Roman"/>
                <w:sz w:val="21"/>
                <w:szCs w:val="21"/>
                <w:lang w:eastAsia="en-US"/>
              </w:rPr>
              <w:t xml:space="preserve">Podsumowując, należy uznać, że szacunkowa liczba wniosków o ponowne wykorzystywanie chronionych danych składanych na podstawie przepisów DGA nie będzie </w:t>
            </w:r>
            <w:r w:rsidR="00890429">
              <w:rPr>
                <w:rFonts w:eastAsia="Calibri" w:cs="Times New Roman"/>
                <w:sz w:val="21"/>
                <w:szCs w:val="21"/>
                <w:lang w:eastAsia="en-US"/>
              </w:rPr>
              <w:t>bardzo niska</w:t>
            </w:r>
            <w:r>
              <w:rPr>
                <w:rFonts w:eastAsia="Calibri" w:cs="Times New Roman"/>
                <w:sz w:val="21"/>
                <w:szCs w:val="21"/>
                <w:lang w:eastAsia="en-US"/>
              </w:rPr>
              <w:t xml:space="preserve"> w przypadku poszczególnych dysponentów danych. Tym samym dodatkowe obciążenie administracyjne związane z obsługą tego rodzaju spraw będzie znikome.</w:t>
            </w:r>
          </w:p>
        </w:tc>
      </w:tr>
      <w:tr w:rsidR="00654783" w14:paraId="2614D283" w14:textId="77777777" w:rsidTr="00CA6AF1">
        <w:trPr>
          <w:gridAfter w:val="1"/>
          <w:wAfter w:w="10" w:type="dxa"/>
          <w:trHeight w:val="345"/>
        </w:trPr>
        <w:tc>
          <w:tcPr>
            <w:tcW w:w="10937" w:type="dxa"/>
            <w:gridSpan w:val="28"/>
            <w:tcBorders>
              <w:top w:val="single" w:sz="4" w:space="0" w:color="auto"/>
              <w:left w:val="single" w:sz="4" w:space="0" w:color="auto"/>
              <w:bottom w:val="single" w:sz="4" w:space="0" w:color="auto"/>
              <w:right w:val="single" w:sz="4" w:space="0" w:color="auto"/>
            </w:tcBorders>
            <w:shd w:val="clear" w:color="auto" w:fill="99CCFF"/>
            <w:hideMark/>
          </w:tcPr>
          <w:p w14:paraId="2A29F125" w14:textId="19921497" w:rsidR="00654783" w:rsidRDefault="00654783" w:rsidP="00654783">
            <w:pPr>
              <w:widowControl/>
              <w:numPr>
                <w:ilvl w:val="0"/>
                <w:numId w:val="18"/>
              </w:numPr>
              <w:autoSpaceDE/>
              <w:adjustRightInd/>
              <w:spacing w:before="120" w:after="120" w:line="240" w:lineRule="auto"/>
              <w:jc w:val="both"/>
              <w:rPr>
                <w:rFonts w:eastAsia="Calibri" w:cs="Times New Roman"/>
                <w:b/>
                <w:color w:val="000000"/>
                <w:spacing w:val="-2"/>
                <w:sz w:val="22"/>
                <w:szCs w:val="22"/>
                <w:lang w:eastAsia="en-US"/>
              </w:rPr>
            </w:pPr>
            <w:r>
              <w:rPr>
                <w:rFonts w:eastAsia="Calibri" w:cs="Times New Roman"/>
                <w:b/>
                <w:color w:val="000000"/>
                <w:spacing w:val="-2"/>
                <w:sz w:val="22"/>
                <w:szCs w:val="22"/>
                <w:lang w:eastAsia="en-US"/>
              </w:rPr>
              <w:lastRenderedPageBreak/>
              <w:t xml:space="preserve">Wpływ na </w:t>
            </w:r>
            <w:r>
              <w:rPr>
                <w:rFonts w:eastAsia="Calibri" w:cs="Times New Roman"/>
                <w:b/>
                <w:color w:val="000000"/>
                <w:sz w:val="22"/>
                <w:szCs w:val="22"/>
                <w:lang w:eastAsia="en-US"/>
              </w:rPr>
              <w:t>konkurencyjność gospodarki i przedsiębiorczość, w tym funkcjonowanie przedsiębiorców oraz na rodzinę, obywateli i gospodarstwa domowe</w:t>
            </w:r>
          </w:p>
        </w:tc>
      </w:tr>
      <w:tr w:rsidR="00654783" w14:paraId="3A3E8DC4" w14:textId="77777777" w:rsidTr="00CA6AF1">
        <w:trPr>
          <w:gridAfter w:val="1"/>
          <w:wAfter w:w="10" w:type="dxa"/>
          <w:trHeight w:val="142"/>
        </w:trPr>
        <w:tc>
          <w:tcPr>
            <w:tcW w:w="10937" w:type="dxa"/>
            <w:gridSpan w:val="28"/>
            <w:tcBorders>
              <w:top w:val="single" w:sz="4" w:space="0" w:color="auto"/>
              <w:left w:val="single" w:sz="4" w:space="0" w:color="auto"/>
              <w:bottom w:val="single" w:sz="4" w:space="0" w:color="auto"/>
              <w:right w:val="single" w:sz="4" w:space="0" w:color="auto"/>
            </w:tcBorders>
            <w:shd w:val="clear" w:color="auto" w:fill="FFFFFF"/>
            <w:hideMark/>
          </w:tcPr>
          <w:p w14:paraId="07DCBCAA" w14:textId="77777777" w:rsidR="00654783" w:rsidRDefault="00654783">
            <w:pPr>
              <w:widowControl/>
              <w:autoSpaceDE/>
              <w:adjustRightInd/>
              <w:spacing w:line="240" w:lineRule="auto"/>
              <w:jc w:val="center"/>
              <w:rPr>
                <w:rFonts w:eastAsia="Calibri" w:cs="Times New Roman"/>
                <w:color w:val="000000"/>
                <w:spacing w:val="-2"/>
                <w:sz w:val="21"/>
                <w:szCs w:val="21"/>
                <w:lang w:eastAsia="en-US"/>
              </w:rPr>
            </w:pPr>
            <w:r>
              <w:rPr>
                <w:rFonts w:eastAsia="Calibri" w:cs="Times New Roman"/>
                <w:color w:val="000000"/>
                <w:spacing w:val="-2"/>
                <w:sz w:val="21"/>
                <w:szCs w:val="21"/>
                <w:lang w:eastAsia="en-US"/>
              </w:rPr>
              <w:t>Skutki</w:t>
            </w:r>
          </w:p>
        </w:tc>
      </w:tr>
      <w:tr w:rsidR="00654783" w14:paraId="16700150" w14:textId="77777777" w:rsidTr="00AF10B0">
        <w:trPr>
          <w:gridAfter w:val="1"/>
          <w:wAfter w:w="10" w:type="dxa"/>
          <w:trHeight w:val="142"/>
        </w:trPr>
        <w:tc>
          <w:tcPr>
            <w:tcW w:w="3715" w:type="dxa"/>
            <w:gridSpan w:val="6"/>
            <w:tcBorders>
              <w:top w:val="single" w:sz="4" w:space="0" w:color="auto"/>
              <w:left w:val="single" w:sz="4" w:space="0" w:color="auto"/>
              <w:bottom w:val="single" w:sz="4" w:space="0" w:color="auto"/>
              <w:right w:val="single" w:sz="4" w:space="0" w:color="auto"/>
            </w:tcBorders>
            <w:shd w:val="clear" w:color="auto" w:fill="FFFFFF"/>
            <w:hideMark/>
          </w:tcPr>
          <w:p w14:paraId="0CD16109" w14:textId="77777777" w:rsidR="00654783" w:rsidRDefault="00654783">
            <w:pPr>
              <w:widowControl/>
              <w:autoSpaceDE/>
              <w:adjustRightInd/>
              <w:spacing w:line="240" w:lineRule="auto"/>
              <w:rPr>
                <w:rFonts w:eastAsia="Calibri" w:cs="Times New Roman"/>
                <w:color w:val="000000"/>
                <w:sz w:val="21"/>
                <w:szCs w:val="21"/>
                <w:lang w:eastAsia="en-US"/>
              </w:rPr>
            </w:pPr>
            <w:r>
              <w:rPr>
                <w:rFonts w:eastAsia="Calibri" w:cs="Times New Roman"/>
                <w:color w:val="000000"/>
                <w:sz w:val="21"/>
                <w:szCs w:val="21"/>
                <w:lang w:eastAsia="en-US"/>
              </w:rPr>
              <w:t>Czas w latach od wejścia w życie zmian</w:t>
            </w:r>
          </w:p>
        </w:tc>
        <w:tc>
          <w:tcPr>
            <w:tcW w:w="1111"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57845F06" w14:textId="77777777" w:rsidR="00654783" w:rsidRDefault="00654783">
            <w:pPr>
              <w:widowControl/>
              <w:autoSpaceDE/>
              <w:adjustRightInd/>
              <w:spacing w:line="240" w:lineRule="auto"/>
              <w:jc w:val="center"/>
              <w:rPr>
                <w:rFonts w:eastAsia="Calibri" w:cs="Times New Roman"/>
                <w:color w:val="000000"/>
                <w:sz w:val="21"/>
                <w:szCs w:val="21"/>
                <w:lang w:eastAsia="en-US"/>
              </w:rPr>
            </w:pPr>
            <w:r>
              <w:rPr>
                <w:rFonts w:eastAsia="Calibri" w:cs="Times New Roman"/>
                <w:color w:val="000000"/>
                <w:sz w:val="21"/>
                <w:szCs w:val="21"/>
                <w:lang w:eastAsia="en-US"/>
              </w:rPr>
              <w:t>0</w:t>
            </w:r>
          </w:p>
        </w:tc>
        <w:tc>
          <w:tcPr>
            <w:tcW w:w="938"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0C3E5155" w14:textId="77777777" w:rsidR="00654783" w:rsidRDefault="00654783">
            <w:pPr>
              <w:widowControl/>
              <w:autoSpaceDE/>
              <w:adjustRightInd/>
              <w:spacing w:line="240" w:lineRule="auto"/>
              <w:jc w:val="center"/>
              <w:rPr>
                <w:rFonts w:eastAsia="Calibri" w:cs="Times New Roman"/>
                <w:color w:val="000000"/>
                <w:sz w:val="21"/>
                <w:szCs w:val="21"/>
                <w:lang w:eastAsia="en-US"/>
              </w:rPr>
            </w:pPr>
            <w:r>
              <w:rPr>
                <w:rFonts w:eastAsia="Calibri" w:cs="Times New Roman"/>
                <w:color w:val="000000"/>
                <w:sz w:val="21"/>
                <w:szCs w:val="21"/>
                <w:lang w:eastAsia="en-US"/>
              </w:rPr>
              <w:t>1</w:t>
            </w:r>
          </w:p>
        </w:tc>
        <w:tc>
          <w:tcPr>
            <w:tcW w:w="938"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4DC2EFC9" w14:textId="77777777" w:rsidR="00654783" w:rsidRDefault="00654783">
            <w:pPr>
              <w:widowControl/>
              <w:autoSpaceDE/>
              <w:adjustRightInd/>
              <w:spacing w:line="240" w:lineRule="auto"/>
              <w:jc w:val="center"/>
              <w:rPr>
                <w:rFonts w:eastAsia="Calibri" w:cs="Times New Roman"/>
                <w:color w:val="000000"/>
                <w:sz w:val="21"/>
                <w:szCs w:val="21"/>
                <w:lang w:eastAsia="en-US"/>
              </w:rPr>
            </w:pPr>
            <w:r>
              <w:rPr>
                <w:rFonts w:eastAsia="Calibri" w:cs="Times New Roman"/>
                <w:color w:val="000000"/>
                <w:sz w:val="21"/>
                <w:szCs w:val="21"/>
                <w:lang w:eastAsia="en-US"/>
              </w:rPr>
              <w:t>2</w:t>
            </w:r>
          </w:p>
        </w:tc>
        <w:tc>
          <w:tcPr>
            <w:tcW w:w="937"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4A75DDEA" w14:textId="77777777" w:rsidR="00654783" w:rsidRDefault="00654783">
            <w:pPr>
              <w:widowControl/>
              <w:autoSpaceDE/>
              <w:adjustRightInd/>
              <w:spacing w:line="240" w:lineRule="auto"/>
              <w:jc w:val="center"/>
              <w:rPr>
                <w:rFonts w:eastAsia="Calibri" w:cs="Times New Roman"/>
                <w:color w:val="000000"/>
                <w:sz w:val="21"/>
                <w:szCs w:val="21"/>
                <w:lang w:eastAsia="en-US"/>
              </w:rPr>
            </w:pPr>
            <w:r>
              <w:rPr>
                <w:rFonts w:eastAsia="Calibri" w:cs="Times New Roman"/>
                <w:color w:val="000000"/>
                <w:sz w:val="21"/>
                <w:szCs w:val="21"/>
                <w:lang w:eastAsia="en-US"/>
              </w:rPr>
              <w:t>3</w:t>
            </w:r>
          </w:p>
        </w:tc>
        <w:tc>
          <w:tcPr>
            <w:tcW w:w="938"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26CF496E" w14:textId="77777777" w:rsidR="00654783" w:rsidRDefault="00654783">
            <w:pPr>
              <w:widowControl/>
              <w:autoSpaceDE/>
              <w:adjustRightInd/>
              <w:spacing w:line="240" w:lineRule="auto"/>
              <w:jc w:val="center"/>
              <w:rPr>
                <w:rFonts w:eastAsia="Calibri" w:cs="Times New Roman"/>
                <w:color w:val="000000"/>
                <w:sz w:val="21"/>
                <w:szCs w:val="21"/>
                <w:lang w:eastAsia="en-US"/>
              </w:rPr>
            </w:pPr>
            <w:r>
              <w:rPr>
                <w:rFonts w:eastAsia="Calibri" w:cs="Times New Roman"/>
                <w:color w:val="000000"/>
                <w:sz w:val="21"/>
                <w:szCs w:val="21"/>
                <w:lang w:eastAsia="en-US"/>
              </w:rPr>
              <w:t>5</w:t>
            </w:r>
          </w:p>
        </w:tc>
        <w:tc>
          <w:tcPr>
            <w:tcW w:w="938"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7940B841" w14:textId="77777777" w:rsidR="00654783" w:rsidRDefault="00654783">
            <w:pPr>
              <w:widowControl/>
              <w:autoSpaceDE/>
              <w:adjustRightInd/>
              <w:spacing w:line="240" w:lineRule="auto"/>
              <w:jc w:val="center"/>
              <w:rPr>
                <w:rFonts w:eastAsia="Calibri" w:cs="Times New Roman"/>
                <w:color w:val="000000"/>
                <w:sz w:val="21"/>
                <w:szCs w:val="21"/>
                <w:lang w:eastAsia="en-US"/>
              </w:rPr>
            </w:pPr>
            <w:r>
              <w:rPr>
                <w:rFonts w:eastAsia="Calibri" w:cs="Times New Roman"/>
                <w:color w:val="000000"/>
                <w:sz w:val="21"/>
                <w:szCs w:val="21"/>
                <w:lang w:eastAsia="en-US"/>
              </w:rPr>
              <w:t>10</w:t>
            </w:r>
          </w:p>
        </w:tc>
        <w:tc>
          <w:tcPr>
            <w:tcW w:w="1422" w:type="dxa"/>
            <w:tcBorders>
              <w:top w:val="single" w:sz="4" w:space="0" w:color="auto"/>
              <w:left w:val="single" w:sz="4" w:space="0" w:color="auto"/>
              <w:bottom w:val="single" w:sz="4" w:space="0" w:color="auto"/>
              <w:right w:val="single" w:sz="4" w:space="0" w:color="auto"/>
            </w:tcBorders>
            <w:shd w:val="clear" w:color="auto" w:fill="FFFFFF"/>
            <w:hideMark/>
          </w:tcPr>
          <w:p w14:paraId="42E997C4" w14:textId="77777777" w:rsidR="00654783" w:rsidRDefault="00654783">
            <w:pPr>
              <w:widowControl/>
              <w:autoSpaceDE/>
              <w:adjustRightInd/>
              <w:spacing w:line="240" w:lineRule="auto"/>
              <w:jc w:val="center"/>
              <w:rPr>
                <w:rFonts w:eastAsia="Calibri" w:cs="Times New Roman"/>
                <w:i/>
                <w:color w:val="000000"/>
                <w:spacing w:val="-2"/>
                <w:sz w:val="21"/>
                <w:szCs w:val="21"/>
                <w:lang w:eastAsia="en-US"/>
              </w:rPr>
            </w:pPr>
            <w:r>
              <w:rPr>
                <w:rFonts w:eastAsia="Calibri" w:cs="Times New Roman"/>
                <w:i/>
                <w:color w:val="000000"/>
                <w:spacing w:val="-2"/>
                <w:sz w:val="21"/>
                <w:szCs w:val="21"/>
                <w:lang w:eastAsia="en-US"/>
              </w:rPr>
              <w:t>Łącznie (0-10)</w:t>
            </w:r>
          </w:p>
        </w:tc>
      </w:tr>
      <w:tr w:rsidR="00654783" w14:paraId="5D2F0B9B" w14:textId="77777777" w:rsidTr="00AF10B0">
        <w:trPr>
          <w:gridAfter w:val="1"/>
          <w:wAfter w:w="10" w:type="dxa"/>
          <w:trHeight w:val="142"/>
        </w:trPr>
        <w:tc>
          <w:tcPr>
            <w:tcW w:w="1596" w:type="dxa"/>
            <w:vMerge w:val="restart"/>
            <w:tcBorders>
              <w:top w:val="single" w:sz="4" w:space="0" w:color="auto"/>
              <w:left w:val="single" w:sz="4" w:space="0" w:color="auto"/>
              <w:bottom w:val="single" w:sz="4" w:space="0" w:color="auto"/>
              <w:right w:val="single" w:sz="4" w:space="0" w:color="auto"/>
            </w:tcBorders>
            <w:shd w:val="clear" w:color="auto" w:fill="FFFFFF"/>
            <w:hideMark/>
          </w:tcPr>
          <w:p w14:paraId="61EF1BFF" w14:textId="77777777" w:rsidR="00654783" w:rsidRDefault="00654783">
            <w:pPr>
              <w:widowControl/>
              <w:autoSpaceDE/>
              <w:adjustRightInd/>
              <w:spacing w:line="276" w:lineRule="auto"/>
              <w:rPr>
                <w:rFonts w:eastAsia="Calibri" w:cs="Times New Roman"/>
                <w:color w:val="000000"/>
                <w:sz w:val="21"/>
                <w:szCs w:val="21"/>
                <w:lang w:eastAsia="en-US"/>
              </w:rPr>
            </w:pPr>
            <w:r>
              <w:rPr>
                <w:rFonts w:eastAsia="Calibri" w:cs="Times New Roman"/>
                <w:color w:val="000000"/>
                <w:sz w:val="21"/>
                <w:szCs w:val="21"/>
                <w:lang w:eastAsia="en-US"/>
              </w:rPr>
              <w:t>W ujęciu pieniężnym</w:t>
            </w:r>
          </w:p>
          <w:p w14:paraId="2D11FFD9" w14:textId="77777777" w:rsidR="00654783" w:rsidRDefault="00654783">
            <w:pPr>
              <w:widowControl/>
              <w:autoSpaceDE/>
              <w:adjustRightInd/>
              <w:spacing w:line="276" w:lineRule="auto"/>
              <w:rPr>
                <w:rFonts w:eastAsia="Calibri" w:cs="Times New Roman"/>
                <w:spacing w:val="-2"/>
                <w:sz w:val="21"/>
                <w:szCs w:val="21"/>
                <w:lang w:eastAsia="en-US"/>
              </w:rPr>
            </w:pPr>
            <w:r>
              <w:rPr>
                <w:rFonts w:eastAsia="Calibri" w:cs="Times New Roman"/>
                <w:spacing w:val="-2"/>
                <w:sz w:val="21"/>
                <w:szCs w:val="21"/>
                <w:lang w:eastAsia="en-US"/>
              </w:rPr>
              <w:t xml:space="preserve">(w mln zł, </w:t>
            </w:r>
          </w:p>
          <w:p w14:paraId="2690E520" w14:textId="77777777" w:rsidR="00654783" w:rsidRDefault="00654783">
            <w:pPr>
              <w:widowControl/>
              <w:autoSpaceDE/>
              <w:adjustRightInd/>
              <w:spacing w:line="240" w:lineRule="auto"/>
              <w:rPr>
                <w:rFonts w:eastAsia="Calibri" w:cs="Times New Roman"/>
                <w:color w:val="000000"/>
                <w:sz w:val="21"/>
                <w:szCs w:val="21"/>
                <w:lang w:eastAsia="en-US"/>
              </w:rPr>
            </w:pPr>
            <w:r>
              <w:rPr>
                <w:rFonts w:eastAsia="Calibri" w:cs="Times New Roman"/>
                <w:spacing w:val="-2"/>
                <w:sz w:val="21"/>
                <w:szCs w:val="21"/>
                <w:lang w:eastAsia="en-US"/>
              </w:rPr>
              <w:t>ceny stałe z …… r.)</w:t>
            </w:r>
          </w:p>
        </w:tc>
        <w:tc>
          <w:tcPr>
            <w:tcW w:w="2119"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1FB2C66F" w14:textId="77777777" w:rsidR="00654783" w:rsidRDefault="00654783">
            <w:pPr>
              <w:widowControl/>
              <w:autoSpaceDE/>
              <w:adjustRightInd/>
              <w:spacing w:line="240" w:lineRule="auto"/>
              <w:rPr>
                <w:rFonts w:eastAsia="Calibri" w:cs="Times New Roman"/>
                <w:color w:val="000000"/>
                <w:sz w:val="21"/>
                <w:szCs w:val="21"/>
                <w:lang w:eastAsia="en-US"/>
              </w:rPr>
            </w:pPr>
            <w:r>
              <w:rPr>
                <w:rFonts w:eastAsia="Calibri" w:cs="Times New Roman"/>
                <w:color w:val="000000"/>
                <w:sz w:val="21"/>
                <w:szCs w:val="21"/>
                <w:lang w:eastAsia="en-US"/>
              </w:rPr>
              <w:t>duże przedsiębiorstwa</w:t>
            </w:r>
          </w:p>
        </w:tc>
        <w:tc>
          <w:tcPr>
            <w:tcW w:w="1111" w:type="dxa"/>
            <w:gridSpan w:val="2"/>
            <w:tcBorders>
              <w:top w:val="single" w:sz="4" w:space="0" w:color="auto"/>
              <w:left w:val="single" w:sz="4" w:space="0" w:color="auto"/>
              <w:bottom w:val="single" w:sz="4" w:space="0" w:color="auto"/>
              <w:right w:val="single" w:sz="4" w:space="0" w:color="auto"/>
            </w:tcBorders>
            <w:shd w:val="clear" w:color="auto" w:fill="FFFFFF"/>
          </w:tcPr>
          <w:p w14:paraId="28734094" w14:textId="77777777" w:rsidR="00654783" w:rsidRDefault="00654783">
            <w:pPr>
              <w:widowControl/>
              <w:autoSpaceDE/>
              <w:adjustRightInd/>
              <w:spacing w:line="240" w:lineRule="auto"/>
              <w:rPr>
                <w:rFonts w:eastAsia="Calibri" w:cs="Times New Roman"/>
                <w:color w:val="000000"/>
                <w:sz w:val="21"/>
                <w:szCs w:val="21"/>
                <w:lang w:eastAsia="en-US"/>
              </w:rPr>
            </w:pPr>
          </w:p>
        </w:tc>
        <w:tc>
          <w:tcPr>
            <w:tcW w:w="938" w:type="dxa"/>
            <w:gridSpan w:val="5"/>
            <w:tcBorders>
              <w:top w:val="single" w:sz="4" w:space="0" w:color="auto"/>
              <w:left w:val="single" w:sz="4" w:space="0" w:color="auto"/>
              <w:bottom w:val="single" w:sz="4" w:space="0" w:color="auto"/>
              <w:right w:val="single" w:sz="4" w:space="0" w:color="auto"/>
            </w:tcBorders>
            <w:shd w:val="clear" w:color="auto" w:fill="FFFFFF"/>
          </w:tcPr>
          <w:p w14:paraId="688146B4" w14:textId="77777777" w:rsidR="00654783" w:rsidRDefault="00654783">
            <w:pPr>
              <w:widowControl/>
              <w:autoSpaceDE/>
              <w:adjustRightInd/>
              <w:spacing w:line="240" w:lineRule="auto"/>
              <w:rPr>
                <w:rFonts w:eastAsia="Calibri" w:cs="Times New Roman"/>
                <w:color w:val="000000"/>
                <w:sz w:val="21"/>
                <w:szCs w:val="21"/>
                <w:lang w:eastAsia="en-US"/>
              </w:rPr>
            </w:pPr>
          </w:p>
        </w:tc>
        <w:tc>
          <w:tcPr>
            <w:tcW w:w="938" w:type="dxa"/>
            <w:gridSpan w:val="4"/>
            <w:tcBorders>
              <w:top w:val="single" w:sz="4" w:space="0" w:color="auto"/>
              <w:left w:val="single" w:sz="4" w:space="0" w:color="auto"/>
              <w:bottom w:val="single" w:sz="4" w:space="0" w:color="auto"/>
              <w:right w:val="single" w:sz="4" w:space="0" w:color="auto"/>
            </w:tcBorders>
            <w:shd w:val="clear" w:color="auto" w:fill="FFFFFF"/>
          </w:tcPr>
          <w:p w14:paraId="42825888" w14:textId="77777777" w:rsidR="00654783" w:rsidRDefault="00654783">
            <w:pPr>
              <w:widowControl/>
              <w:autoSpaceDE/>
              <w:adjustRightInd/>
              <w:spacing w:line="240" w:lineRule="auto"/>
              <w:rPr>
                <w:rFonts w:eastAsia="Calibri" w:cs="Times New Roman"/>
                <w:color w:val="000000"/>
                <w:sz w:val="21"/>
                <w:szCs w:val="21"/>
                <w:lang w:eastAsia="en-US"/>
              </w:rPr>
            </w:pPr>
          </w:p>
        </w:tc>
        <w:tc>
          <w:tcPr>
            <w:tcW w:w="937" w:type="dxa"/>
            <w:gridSpan w:val="3"/>
            <w:tcBorders>
              <w:top w:val="single" w:sz="4" w:space="0" w:color="auto"/>
              <w:left w:val="single" w:sz="4" w:space="0" w:color="auto"/>
              <w:bottom w:val="single" w:sz="4" w:space="0" w:color="auto"/>
              <w:right w:val="single" w:sz="4" w:space="0" w:color="auto"/>
            </w:tcBorders>
            <w:shd w:val="clear" w:color="auto" w:fill="FFFFFF"/>
          </w:tcPr>
          <w:p w14:paraId="1D8B3DE3" w14:textId="77777777" w:rsidR="00654783" w:rsidRDefault="00654783">
            <w:pPr>
              <w:widowControl/>
              <w:autoSpaceDE/>
              <w:adjustRightInd/>
              <w:spacing w:line="240" w:lineRule="auto"/>
              <w:rPr>
                <w:rFonts w:eastAsia="Calibri" w:cs="Times New Roman"/>
                <w:color w:val="000000"/>
                <w:sz w:val="21"/>
                <w:szCs w:val="21"/>
                <w:lang w:eastAsia="en-US"/>
              </w:rPr>
            </w:pPr>
          </w:p>
        </w:tc>
        <w:tc>
          <w:tcPr>
            <w:tcW w:w="938" w:type="dxa"/>
            <w:gridSpan w:val="4"/>
            <w:tcBorders>
              <w:top w:val="single" w:sz="4" w:space="0" w:color="auto"/>
              <w:left w:val="single" w:sz="4" w:space="0" w:color="auto"/>
              <w:bottom w:val="single" w:sz="4" w:space="0" w:color="auto"/>
              <w:right w:val="single" w:sz="4" w:space="0" w:color="auto"/>
            </w:tcBorders>
            <w:shd w:val="clear" w:color="auto" w:fill="FFFFFF"/>
          </w:tcPr>
          <w:p w14:paraId="01D1F733" w14:textId="77777777" w:rsidR="00654783" w:rsidRDefault="00654783">
            <w:pPr>
              <w:widowControl/>
              <w:autoSpaceDE/>
              <w:adjustRightInd/>
              <w:spacing w:line="240" w:lineRule="auto"/>
              <w:rPr>
                <w:rFonts w:eastAsia="Calibri" w:cs="Times New Roman"/>
                <w:color w:val="000000"/>
                <w:sz w:val="21"/>
                <w:szCs w:val="21"/>
                <w:lang w:eastAsia="en-US"/>
              </w:rPr>
            </w:pPr>
          </w:p>
        </w:tc>
        <w:tc>
          <w:tcPr>
            <w:tcW w:w="938" w:type="dxa"/>
            <w:gridSpan w:val="3"/>
            <w:tcBorders>
              <w:top w:val="single" w:sz="4" w:space="0" w:color="auto"/>
              <w:left w:val="single" w:sz="4" w:space="0" w:color="auto"/>
              <w:bottom w:val="single" w:sz="4" w:space="0" w:color="auto"/>
              <w:right w:val="single" w:sz="4" w:space="0" w:color="auto"/>
            </w:tcBorders>
            <w:shd w:val="clear" w:color="auto" w:fill="FFFFFF"/>
          </w:tcPr>
          <w:p w14:paraId="6F0508CF" w14:textId="77777777" w:rsidR="00654783" w:rsidRDefault="00654783">
            <w:pPr>
              <w:widowControl/>
              <w:autoSpaceDE/>
              <w:adjustRightInd/>
              <w:spacing w:line="240" w:lineRule="auto"/>
              <w:rPr>
                <w:rFonts w:eastAsia="Calibri" w:cs="Times New Roman"/>
                <w:color w:val="000000"/>
                <w:sz w:val="21"/>
                <w:szCs w:val="21"/>
                <w:lang w:eastAsia="en-US"/>
              </w:rPr>
            </w:pPr>
          </w:p>
        </w:tc>
        <w:tc>
          <w:tcPr>
            <w:tcW w:w="1422" w:type="dxa"/>
            <w:tcBorders>
              <w:top w:val="single" w:sz="4" w:space="0" w:color="auto"/>
              <w:left w:val="single" w:sz="4" w:space="0" w:color="auto"/>
              <w:bottom w:val="single" w:sz="4" w:space="0" w:color="auto"/>
              <w:right w:val="single" w:sz="4" w:space="0" w:color="auto"/>
            </w:tcBorders>
            <w:shd w:val="clear" w:color="auto" w:fill="FFFFFF"/>
          </w:tcPr>
          <w:p w14:paraId="2F2FF0A1" w14:textId="77777777" w:rsidR="00654783" w:rsidRDefault="00654783">
            <w:pPr>
              <w:widowControl/>
              <w:autoSpaceDE/>
              <w:adjustRightInd/>
              <w:spacing w:line="240" w:lineRule="auto"/>
              <w:rPr>
                <w:rFonts w:eastAsia="Calibri" w:cs="Times New Roman"/>
                <w:color w:val="000000"/>
                <w:spacing w:val="-2"/>
                <w:sz w:val="21"/>
                <w:szCs w:val="21"/>
                <w:lang w:eastAsia="en-US"/>
              </w:rPr>
            </w:pPr>
          </w:p>
        </w:tc>
      </w:tr>
      <w:tr w:rsidR="00654783" w14:paraId="05F423BA" w14:textId="77777777" w:rsidTr="00AF10B0">
        <w:trPr>
          <w:gridAfter w:val="1"/>
          <w:wAfter w:w="10" w:type="dxa"/>
          <w:trHeight w:val="142"/>
        </w:trPr>
        <w:tc>
          <w:tcPr>
            <w:tcW w:w="1596" w:type="dxa"/>
            <w:vMerge/>
            <w:tcBorders>
              <w:top w:val="single" w:sz="4" w:space="0" w:color="auto"/>
              <w:left w:val="single" w:sz="4" w:space="0" w:color="auto"/>
              <w:bottom w:val="single" w:sz="4" w:space="0" w:color="auto"/>
              <w:right w:val="single" w:sz="4" w:space="0" w:color="auto"/>
            </w:tcBorders>
            <w:vAlign w:val="center"/>
            <w:hideMark/>
          </w:tcPr>
          <w:p w14:paraId="70DD1F35" w14:textId="77777777" w:rsidR="00654783" w:rsidRDefault="00654783">
            <w:pPr>
              <w:widowControl/>
              <w:autoSpaceDE/>
              <w:autoSpaceDN/>
              <w:adjustRightInd/>
              <w:rPr>
                <w:rFonts w:eastAsia="Calibri" w:cs="Times New Roman"/>
                <w:color w:val="000000"/>
                <w:sz w:val="21"/>
                <w:szCs w:val="21"/>
                <w:lang w:eastAsia="en-US"/>
              </w:rPr>
            </w:pPr>
          </w:p>
        </w:tc>
        <w:tc>
          <w:tcPr>
            <w:tcW w:w="2119"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6E0335A7" w14:textId="77777777" w:rsidR="00654783" w:rsidRDefault="00654783">
            <w:pPr>
              <w:widowControl/>
              <w:autoSpaceDE/>
              <w:adjustRightInd/>
              <w:spacing w:line="240" w:lineRule="auto"/>
              <w:rPr>
                <w:rFonts w:eastAsia="Calibri" w:cs="Times New Roman"/>
                <w:color w:val="000000"/>
                <w:sz w:val="21"/>
                <w:szCs w:val="21"/>
                <w:lang w:eastAsia="en-US"/>
              </w:rPr>
            </w:pPr>
            <w:r>
              <w:rPr>
                <w:rFonts w:eastAsia="Calibri" w:cs="Times New Roman"/>
                <w:color w:val="000000"/>
                <w:sz w:val="21"/>
                <w:szCs w:val="21"/>
                <w:lang w:eastAsia="en-US"/>
              </w:rPr>
              <w:t>sektor mikro-, małych i średnich przedsiębiorstw</w:t>
            </w:r>
          </w:p>
        </w:tc>
        <w:tc>
          <w:tcPr>
            <w:tcW w:w="1111" w:type="dxa"/>
            <w:gridSpan w:val="2"/>
            <w:tcBorders>
              <w:top w:val="single" w:sz="4" w:space="0" w:color="auto"/>
              <w:left w:val="single" w:sz="4" w:space="0" w:color="auto"/>
              <w:bottom w:val="single" w:sz="4" w:space="0" w:color="auto"/>
              <w:right w:val="single" w:sz="4" w:space="0" w:color="auto"/>
            </w:tcBorders>
            <w:shd w:val="clear" w:color="auto" w:fill="FFFFFF"/>
          </w:tcPr>
          <w:p w14:paraId="0C2E3C2F" w14:textId="77777777" w:rsidR="00654783" w:rsidRDefault="00654783">
            <w:pPr>
              <w:widowControl/>
              <w:autoSpaceDE/>
              <w:adjustRightInd/>
              <w:spacing w:line="240" w:lineRule="auto"/>
              <w:rPr>
                <w:rFonts w:eastAsia="Calibri" w:cs="Times New Roman"/>
                <w:color w:val="000000"/>
                <w:sz w:val="21"/>
                <w:szCs w:val="21"/>
                <w:lang w:eastAsia="en-US"/>
              </w:rPr>
            </w:pPr>
          </w:p>
        </w:tc>
        <w:tc>
          <w:tcPr>
            <w:tcW w:w="938" w:type="dxa"/>
            <w:gridSpan w:val="5"/>
            <w:tcBorders>
              <w:top w:val="single" w:sz="4" w:space="0" w:color="auto"/>
              <w:left w:val="single" w:sz="4" w:space="0" w:color="auto"/>
              <w:bottom w:val="single" w:sz="4" w:space="0" w:color="auto"/>
              <w:right w:val="single" w:sz="4" w:space="0" w:color="auto"/>
            </w:tcBorders>
            <w:shd w:val="clear" w:color="auto" w:fill="FFFFFF"/>
          </w:tcPr>
          <w:p w14:paraId="64C79BEE" w14:textId="77777777" w:rsidR="00654783" w:rsidRDefault="00654783">
            <w:pPr>
              <w:widowControl/>
              <w:autoSpaceDE/>
              <w:adjustRightInd/>
              <w:spacing w:line="240" w:lineRule="auto"/>
              <w:rPr>
                <w:rFonts w:eastAsia="Calibri" w:cs="Times New Roman"/>
                <w:color w:val="000000"/>
                <w:sz w:val="21"/>
                <w:szCs w:val="21"/>
                <w:lang w:eastAsia="en-US"/>
              </w:rPr>
            </w:pPr>
          </w:p>
        </w:tc>
        <w:tc>
          <w:tcPr>
            <w:tcW w:w="938" w:type="dxa"/>
            <w:gridSpan w:val="4"/>
            <w:tcBorders>
              <w:top w:val="single" w:sz="4" w:space="0" w:color="auto"/>
              <w:left w:val="single" w:sz="4" w:space="0" w:color="auto"/>
              <w:bottom w:val="single" w:sz="4" w:space="0" w:color="auto"/>
              <w:right w:val="single" w:sz="4" w:space="0" w:color="auto"/>
            </w:tcBorders>
            <w:shd w:val="clear" w:color="auto" w:fill="FFFFFF"/>
          </w:tcPr>
          <w:p w14:paraId="58B5F6E4" w14:textId="77777777" w:rsidR="00654783" w:rsidRDefault="00654783">
            <w:pPr>
              <w:widowControl/>
              <w:autoSpaceDE/>
              <w:adjustRightInd/>
              <w:spacing w:line="240" w:lineRule="auto"/>
              <w:rPr>
                <w:rFonts w:eastAsia="Calibri" w:cs="Times New Roman"/>
                <w:color w:val="000000"/>
                <w:sz w:val="21"/>
                <w:szCs w:val="21"/>
                <w:lang w:eastAsia="en-US"/>
              </w:rPr>
            </w:pPr>
          </w:p>
        </w:tc>
        <w:tc>
          <w:tcPr>
            <w:tcW w:w="937" w:type="dxa"/>
            <w:gridSpan w:val="3"/>
            <w:tcBorders>
              <w:top w:val="single" w:sz="4" w:space="0" w:color="auto"/>
              <w:left w:val="single" w:sz="4" w:space="0" w:color="auto"/>
              <w:bottom w:val="single" w:sz="4" w:space="0" w:color="auto"/>
              <w:right w:val="single" w:sz="4" w:space="0" w:color="auto"/>
            </w:tcBorders>
            <w:shd w:val="clear" w:color="auto" w:fill="FFFFFF"/>
          </w:tcPr>
          <w:p w14:paraId="57CD6537" w14:textId="77777777" w:rsidR="00654783" w:rsidRDefault="00654783">
            <w:pPr>
              <w:widowControl/>
              <w:autoSpaceDE/>
              <w:adjustRightInd/>
              <w:spacing w:line="240" w:lineRule="auto"/>
              <w:rPr>
                <w:rFonts w:eastAsia="Calibri" w:cs="Times New Roman"/>
                <w:color w:val="000000"/>
                <w:sz w:val="21"/>
                <w:szCs w:val="21"/>
                <w:lang w:eastAsia="en-US"/>
              </w:rPr>
            </w:pPr>
          </w:p>
        </w:tc>
        <w:tc>
          <w:tcPr>
            <w:tcW w:w="938" w:type="dxa"/>
            <w:gridSpan w:val="4"/>
            <w:tcBorders>
              <w:top w:val="single" w:sz="4" w:space="0" w:color="auto"/>
              <w:left w:val="single" w:sz="4" w:space="0" w:color="auto"/>
              <w:bottom w:val="single" w:sz="4" w:space="0" w:color="auto"/>
              <w:right w:val="single" w:sz="4" w:space="0" w:color="auto"/>
            </w:tcBorders>
            <w:shd w:val="clear" w:color="auto" w:fill="FFFFFF"/>
          </w:tcPr>
          <w:p w14:paraId="7DB0C764" w14:textId="77777777" w:rsidR="00654783" w:rsidRDefault="00654783">
            <w:pPr>
              <w:widowControl/>
              <w:autoSpaceDE/>
              <w:adjustRightInd/>
              <w:spacing w:line="240" w:lineRule="auto"/>
              <w:rPr>
                <w:rFonts w:eastAsia="Calibri" w:cs="Times New Roman"/>
                <w:color w:val="000000"/>
                <w:sz w:val="21"/>
                <w:szCs w:val="21"/>
                <w:lang w:eastAsia="en-US"/>
              </w:rPr>
            </w:pPr>
          </w:p>
        </w:tc>
        <w:tc>
          <w:tcPr>
            <w:tcW w:w="938" w:type="dxa"/>
            <w:gridSpan w:val="3"/>
            <w:tcBorders>
              <w:top w:val="single" w:sz="4" w:space="0" w:color="auto"/>
              <w:left w:val="single" w:sz="4" w:space="0" w:color="auto"/>
              <w:bottom w:val="single" w:sz="4" w:space="0" w:color="auto"/>
              <w:right w:val="single" w:sz="4" w:space="0" w:color="auto"/>
            </w:tcBorders>
            <w:shd w:val="clear" w:color="auto" w:fill="FFFFFF"/>
          </w:tcPr>
          <w:p w14:paraId="01DE546C" w14:textId="77777777" w:rsidR="00654783" w:rsidRDefault="00654783">
            <w:pPr>
              <w:widowControl/>
              <w:autoSpaceDE/>
              <w:adjustRightInd/>
              <w:spacing w:line="240" w:lineRule="auto"/>
              <w:rPr>
                <w:rFonts w:eastAsia="Calibri" w:cs="Times New Roman"/>
                <w:color w:val="000000"/>
                <w:sz w:val="21"/>
                <w:szCs w:val="21"/>
                <w:lang w:eastAsia="en-US"/>
              </w:rPr>
            </w:pPr>
          </w:p>
        </w:tc>
        <w:tc>
          <w:tcPr>
            <w:tcW w:w="1422" w:type="dxa"/>
            <w:tcBorders>
              <w:top w:val="single" w:sz="4" w:space="0" w:color="auto"/>
              <w:left w:val="single" w:sz="4" w:space="0" w:color="auto"/>
              <w:bottom w:val="single" w:sz="4" w:space="0" w:color="auto"/>
              <w:right w:val="single" w:sz="4" w:space="0" w:color="auto"/>
            </w:tcBorders>
            <w:shd w:val="clear" w:color="auto" w:fill="FFFFFF"/>
          </w:tcPr>
          <w:p w14:paraId="495967E9" w14:textId="77777777" w:rsidR="00654783" w:rsidRDefault="00654783">
            <w:pPr>
              <w:widowControl/>
              <w:autoSpaceDE/>
              <w:adjustRightInd/>
              <w:spacing w:line="240" w:lineRule="auto"/>
              <w:rPr>
                <w:rFonts w:eastAsia="Calibri" w:cs="Times New Roman"/>
                <w:color w:val="000000"/>
                <w:spacing w:val="-2"/>
                <w:sz w:val="21"/>
                <w:szCs w:val="21"/>
                <w:lang w:eastAsia="en-US"/>
              </w:rPr>
            </w:pPr>
          </w:p>
        </w:tc>
      </w:tr>
      <w:tr w:rsidR="00654783" w14:paraId="38906E5D" w14:textId="77777777" w:rsidTr="00AF10B0">
        <w:trPr>
          <w:gridAfter w:val="1"/>
          <w:wAfter w:w="10" w:type="dxa"/>
          <w:trHeight w:val="142"/>
        </w:trPr>
        <w:tc>
          <w:tcPr>
            <w:tcW w:w="1596" w:type="dxa"/>
            <w:vMerge/>
            <w:tcBorders>
              <w:top w:val="single" w:sz="4" w:space="0" w:color="auto"/>
              <w:left w:val="single" w:sz="4" w:space="0" w:color="auto"/>
              <w:bottom w:val="single" w:sz="4" w:space="0" w:color="auto"/>
              <w:right w:val="single" w:sz="4" w:space="0" w:color="auto"/>
            </w:tcBorders>
            <w:vAlign w:val="center"/>
            <w:hideMark/>
          </w:tcPr>
          <w:p w14:paraId="020B4508" w14:textId="77777777" w:rsidR="00654783" w:rsidRDefault="00654783">
            <w:pPr>
              <w:widowControl/>
              <w:autoSpaceDE/>
              <w:autoSpaceDN/>
              <w:adjustRightInd/>
              <w:rPr>
                <w:rFonts w:eastAsia="Calibri" w:cs="Times New Roman"/>
                <w:color w:val="000000"/>
                <w:sz w:val="21"/>
                <w:szCs w:val="21"/>
                <w:lang w:eastAsia="en-US"/>
              </w:rPr>
            </w:pPr>
          </w:p>
        </w:tc>
        <w:tc>
          <w:tcPr>
            <w:tcW w:w="2119"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0563E8B3" w14:textId="77777777" w:rsidR="00654783" w:rsidRDefault="00654783">
            <w:pPr>
              <w:widowControl/>
              <w:autoSpaceDE/>
              <w:adjustRightInd/>
              <w:spacing w:line="240" w:lineRule="auto"/>
              <w:rPr>
                <w:rFonts w:eastAsia="Calibri" w:cs="Times New Roman"/>
                <w:color w:val="000000"/>
                <w:sz w:val="21"/>
                <w:szCs w:val="21"/>
                <w:lang w:eastAsia="en-US"/>
              </w:rPr>
            </w:pPr>
            <w:r>
              <w:rPr>
                <w:rFonts w:eastAsia="Calibri" w:cs="Times New Roman"/>
                <w:sz w:val="21"/>
                <w:szCs w:val="21"/>
                <w:lang w:eastAsia="en-US"/>
              </w:rPr>
              <w:t>rodzina, obywatele oraz gospodarstwa domowe, osoby starsze i niepełnosprawne</w:t>
            </w:r>
          </w:p>
        </w:tc>
        <w:tc>
          <w:tcPr>
            <w:tcW w:w="1111" w:type="dxa"/>
            <w:gridSpan w:val="2"/>
            <w:tcBorders>
              <w:top w:val="single" w:sz="4" w:space="0" w:color="auto"/>
              <w:left w:val="single" w:sz="4" w:space="0" w:color="auto"/>
              <w:bottom w:val="single" w:sz="4" w:space="0" w:color="auto"/>
              <w:right w:val="single" w:sz="4" w:space="0" w:color="auto"/>
            </w:tcBorders>
            <w:shd w:val="clear" w:color="auto" w:fill="FFFFFF"/>
          </w:tcPr>
          <w:p w14:paraId="64E2D59F" w14:textId="77777777" w:rsidR="00654783" w:rsidRDefault="00654783">
            <w:pPr>
              <w:widowControl/>
              <w:autoSpaceDE/>
              <w:adjustRightInd/>
              <w:spacing w:line="240" w:lineRule="auto"/>
              <w:rPr>
                <w:rFonts w:eastAsia="Calibri" w:cs="Times New Roman"/>
                <w:color w:val="000000"/>
                <w:sz w:val="21"/>
                <w:szCs w:val="21"/>
                <w:lang w:eastAsia="en-US"/>
              </w:rPr>
            </w:pPr>
          </w:p>
        </w:tc>
        <w:tc>
          <w:tcPr>
            <w:tcW w:w="938" w:type="dxa"/>
            <w:gridSpan w:val="5"/>
            <w:tcBorders>
              <w:top w:val="single" w:sz="4" w:space="0" w:color="auto"/>
              <w:left w:val="single" w:sz="4" w:space="0" w:color="auto"/>
              <w:bottom w:val="single" w:sz="4" w:space="0" w:color="auto"/>
              <w:right w:val="single" w:sz="4" w:space="0" w:color="auto"/>
            </w:tcBorders>
            <w:shd w:val="clear" w:color="auto" w:fill="FFFFFF"/>
          </w:tcPr>
          <w:p w14:paraId="6D2A273E" w14:textId="77777777" w:rsidR="00654783" w:rsidRDefault="00654783">
            <w:pPr>
              <w:widowControl/>
              <w:autoSpaceDE/>
              <w:adjustRightInd/>
              <w:spacing w:line="240" w:lineRule="auto"/>
              <w:rPr>
                <w:rFonts w:eastAsia="Calibri" w:cs="Times New Roman"/>
                <w:color w:val="000000"/>
                <w:sz w:val="21"/>
                <w:szCs w:val="21"/>
                <w:lang w:eastAsia="en-US"/>
              </w:rPr>
            </w:pPr>
          </w:p>
        </w:tc>
        <w:tc>
          <w:tcPr>
            <w:tcW w:w="938" w:type="dxa"/>
            <w:gridSpan w:val="4"/>
            <w:tcBorders>
              <w:top w:val="single" w:sz="4" w:space="0" w:color="auto"/>
              <w:left w:val="single" w:sz="4" w:space="0" w:color="auto"/>
              <w:bottom w:val="single" w:sz="4" w:space="0" w:color="auto"/>
              <w:right w:val="single" w:sz="4" w:space="0" w:color="auto"/>
            </w:tcBorders>
            <w:shd w:val="clear" w:color="auto" w:fill="FFFFFF"/>
          </w:tcPr>
          <w:p w14:paraId="05305510" w14:textId="77777777" w:rsidR="00654783" w:rsidRDefault="00654783">
            <w:pPr>
              <w:widowControl/>
              <w:autoSpaceDE/>
              <w:adjustRightInd/>
              <w:spacing w:line="240" w:lineRule="auto"/>
              <w:rPr>
                <w:rFonts w:eastAsia="Calibri" w:cs="Times New Roman"/>
                <w:color w:val="000000"/>
                <w:sz w:val="21"/>
                <w:szCs w:val="21"/>
                <w:lang w:eastAsia="en-US"/>
              </w:rPr>
            </w:pPr>
          </w:p>
        </w:tc>
        <w:tc>
          <w:tcPr>
            <w:tcW w:w="937" w:type="dxa"/>
            <w:gridSpan w:val="3"/>
            <w:tcBorders>
              <w:top w:val="single" w:sz="4" w:space="0" w:color="auto"/>
              <w:left w:val="single" w:sz="4" w:space="0" w:color="auto"/>
              <w:bottom w:val="single" w:sz="4" w:space="0" w:color="auto"/>
              <w:right w:val="single" w:sz="4" w:space="0" w:color="auto"/>
            </w:tcBorders>
            <w:shd w:val="clear" w:color="auto" w:fill="FFFFFF"/>
          </w:tcPr>
          <w:p w14:paraId="2A3BEAB4" w14:textId="77777777" w:rsidR="00654783" w:rsidRDefault="00654783">
            <w:pPr>
              <w:widowControl/>
              <w:autoSpaceDE/>
              <w:adjustRightInd/>
              <w:spacing w:line="240" w:lineRule="auto"/>
              <w:rPr>
                <w:rFonts w:eastAsia="Calibri" w:cs="Times New Roman"/>
                <w:color w:val="000000"/>
                <w:sz w:val="21"/>
                <w:szCs w:val="21"/>
                <w:lang w:eastAsia="en-US"/>
              </w:rPr>
            </w:pPr>
          </w:p>
        </w:tc>
        <w:tc>
          <w:tcPr>
            <w:tcW w:w="938" w:type="dxa"/>
            <w:gridSpan w:val="4"/>
            <w:tcBorders>
              <w:top w:val="single" w:sz="4" w:space="0" w:color="auto"/>
              <w:left w:val="single" w:sz="4" w:space="0" w:color="auto"/>
              <w:bottom w:val="single" w:sz="4" w:space="0" w:color="auto"/>
              <w:right w:val="single" w:sz="4" w:space="0" w:color="auto"/>
            </w:tcBorders>
            <w:shd w:val="clear" w:color="auto" w:fill="FFFFFF"/>
          </w:tcPr>
          <w:p w14:paraId="57A7D574" w14:textId="77777777" w:rsidR="00654783" w:rsidRDefault="00654783">
            <w:pPr>
              <w:widowControl/>
              <w:autoSpaceDE/>
              <w:adjustRightInd/>
              <w:spacing w:line="240" w:lineRule="auto"/>
              <w:rPr>
                <w:rFonts w:eastAsia="Calibri" w:cs="Times New Roman"/>
                <w:color w:val="000000"/>
                <w:sz w:val="21"/>
                <w:szCs w:val="21"/>
                <w:lang w:eastAsia="en-US"/>
              </w:rPr>
            </w:pPr>
          </w:p>
        </w:tc>
        <w:tc>
          <w:tcPr>
            <w:tcW w:w="938" w:type="dxa"/>
            <w:gridSpan w:val="3"/>
            <w:tcBorders>
              <w:top w:val="single" w:sz="4" w:space="0" w:color="auto"/>
              <w:left w:val="single" w:sz="4" w:space="0" w:color="auto"/>
              <w:bottom w:val="single" w:sz="4" w:space="0" w:color="auto"/>
              <w:right w:val="single" w:sz="4" w:space="0" w:color="auto"/>
            </w:tcBorders>
            <w:shd w:val="clear" w:color="auto" w:fill="FFFFFF"/>
          </w:tcPr>
          <w:p w14:paraId="5CB4A9B7" w14:textId="77777777" w:rsidR="00654783" w:rsidRDefault="00654783">
            <w:pPr>
              <w:widowControl/>
              <w:autoSpaceDE/>
              <w:adjustRightInd/>
              <w:spacing w:line="240" w:lineRule="auto"/>
              <w:rPr>
                <w:rFonts w:eastAsia="Calibri" w:cs="Times New Roman"/>
                <w:color w:val="000000"/>
                <w:sz w:val="21"/>
                <w:szCs w:val="21"/>
                <w:lang w:eastAsia="en-US"/>
              </w:rPr>
            </w:pPr>
          </w:p>
        </w:tc>
        <w:tc>
          <w:tcPr>
            <w:tcW w:w="1422" w:type="dxa"/>
            <w:tcBorders>
              <w:top w:val="single" w:sz="4" w:space="0" w:color="auto"/>
              <w:left w:val="single" w:sz="4" w:space="0" w:color="auto"/>
              <w:bottom w:val="single" w:sz="4" w:space="0" w:color="auto"/>
              <w:right w:val="single" w:sz="4" w:space="0" w:color="auto"/>
            </w:tcBorders>
            <w:shd w:val="clear" w:color="auto" w:fill="FFFFFF"/>
          </w:tcPr>
          <w:p w14:paraId="19DFC4DF" w14:textId="77777777" w:rsidR="00654783" w:rsidRDefault="00654783">
            <w:pPr>
              <w:widowControl/>
              <w:autoSpaceDE/>
              <w:adjustRightInd/>
              <w:spacing w:line="240" w:lineRule="auto"/>
              <w:rPr>
                <w:rFonts w:eastAsia="Calibri" w:cs="Times New Roman"/>
                <w:color w:val="000000"/>
                <w:spacing w:val="-2"/>
                <w:sz w:val="21"/>
                <w:szCs w:val="21"/>
                <w:lang w:eastAsia="en-US"/>
              </w:rPr>
            </w:pPr>
          </w:p>
        </w:tc>
      </w:tr>
      <w:tr w:rsidR="00654783" w14:paraId="59F71D8A" w14:textId="77777777" w:rsidTr="00AF10B0">
        <w:trPr>
          <w:gridAfter w:val="1"/>
          <w:wAfter w:w="10" w:type="dxa"/>
          <w:trHeight w:val="142"/>
        </w:trPr>
        <w:tc>
          <w:tcPr>
            <w:tcW w:w="1596" w:type="dxa"/>
            <w:vMerge/>
            <w:tcBorders>
              <w:top w:val="single" w:sz="4" w:space="0" w:color="auto"/>
              <w:left w:val="single" w:sz="4" w:space="0" w:color="auto"/>
              <w:bottom w:val="single" w:sz="4" w:space="0" w:color="auto"/>
              <w:right w:val="single" w:sz="4" w:space="0" w:color="auto"/>
            </w:tcBorders>
            <w:vAlign w:val="center"/>
            <w:hideMark/>
          </w:tcPr>
          <w:p w14:paraId="17E6A6FA" w14:textId="77777777" w:rsidR="00654783" w:rsidRDefault="00654783">
            <w:pPr>
              <w:widowControl/>
              <w:autoSpaceDE/>
              <w:autoSpaceDN/>
              <w:adjustRightInd/>
              <w:rPr>
                <w:rFonts w:eastAsia="Calibri" w:cs="Times New Roman"/>
                <w:color w:val="000000"/>
                <w:sz w:val="21"/>
                <w:szCs w:val="21"/>
                <w:lang w:eastAsia="en-US"/>
              </w:rPr>
            </w:pPr>
          </w:p>
        </w:tc>
        <w:tc>
          <w:tcPr>
            <w:tcW w:w="2119"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06A07959" w14:textId="77777777" w:rsidR="00654783" w:rsidRDefault="00654783">
            <w:pPr>
              <w:widowControl/>
              <w:autoSpaceDE/>
              <w:adjustRightInd/>
              <w:spacing w:line="240" w:lineRule="auto"/>
              <w:rPr>
                <w:rFonts w:eastAsia="Calibri" w:cs="Times New Roman"/>
                <w:color w:val="000000"/>
                <w:sz w:val="21"/>
                <w:szCs w:val="21"/>
                <w:lang w:eastAsia="en-US"/>
              </w:rPr>
            </w:pPr>
            <w:r>
              <w:rPr>
                <w:rFonts w:eastAsia="Calibri" w:cs="Times New Roman"/>
                <w:color w:val="000000"/>
                <w:sz w:val="21"/>
                <w:szCs w:val="21"/>
                <w:lang w:eastAsia="en-US"/>
              </w:rPr>
              <w:fldChar w:fldCharType="begin">
                <w:ffData>
                  <w:name w:val=""/>
                  <w:enabled/>
                  <w:calcOnExit/>
                  <w:exitMacro w:val="UpdateHeader"/>
                  <w:helpText w:type="text" w:val="Wpisz na jaką grupę docelową będzie miała wpływ projektowana regulacja. Możesz zawężić zakres grupy przez doprecyzowanie: np &quot;małe i średnie przedsiębiorstwa rozliczające się metodą kasową z podatku VAT&quot;"/>
                  <w:statusText w:type="text" w:val="Wpisz na jaką grupę docelową będzie miała wpływ projektowana regulacja"/>
                  <w:textInput>
                    <w:default w:val="(dodaj/usuń)"/>
                    <w:maxLength w:val="1000"/>
                  </w:textInput>
                </w:ffData>
              </w:fldChar>
            </w:r>
            <w:r>
              <w:rPr>
                <w:rFonts w:eastAsia="Calibri" w:cs="Times New Roman"/>
                <w:color w:val="000000"/>
                <w:sz w:val="21"/>
                <w:szCs w:val="21"/>
                <w:lang w:eastAsia="en-US"/>
              </w:rPr>
              <w:instrText xml:space="preserve"> FORMTEXT </w:instrText>
            </w:r>
            <w:r>
              <w:rPr>
                <w:rFonts w:eastAsia="Calibri" w:cs="Times New Roman"/>
                <w:color w:val="000000"/>
                <w:sz w:val="21"/>
                <w:szCs w:val="21"/>
                <w:lang w:eastAsia="en-US"/>
              </w:rPr>
            </w:r>
            <w:r>
              <w:rPr>
                <w:rFonts w:eastAsia="Calibri" w:cs="Times New Roman"/>
                <w:color w:val="000000"/>
                <w:sz w:val="21"/>
                <w:szCs w:val="21"/>
                <w:lang w:eastAsia="en-US"/>
              </w:rPr>
              <w:fldChar w:fldCharType="separate"/>
            </w:r>
            <w:r>
              <w:rPr>
                <w:rFonts w:eastAsia="Calibri" w:cs="Times New Roman"/>
                <w:noProof/>
                <w:color w:val="000000"/>
                <w:sz w:val="21"/>
                <w:szCs w:val="21"/>
                <w:lang w:eastAsia="en-US"/>
              </w:rPr>
              <w:t>(dodaj/usuń)</w:t>
            </w:r>
            <w:r>
              <w:rPr>
                <w:rFonts w:eastAsia="Calibri" w:cs="Times New Roman"/>
                <w:color w:val="000000"/>
                <w:sz w:val="21"/>
                <w:szCs w:val="21"/>
                <w:lang w:eastAsia="en-US"/>
              </w:rPr>
              <w:fldChar w:fldCharType="end"/>
            </w:r>
          </w:p>
        </w:tc>
        <w:tc>
          <w:tcPr>
            <w:tcW w:w="1111" w:type="dxa"/>
            <w:gridSpan w:val="2"/>
            <w:tcBorders>
              <w:top w:val="single" w:sz="4" w:space="0" w:color="auto"/>
              <w:left w:val="single" w:sz="4" w:space="0" w:color="auto"/>
              <w:bottom w:val="single" w:sz="4" w:space="0" w:color="auto"/>
              <w:right w:val="single" w:sz="4" w:space="0" w:color="auto"/>
            </w:tcBorders>
            <w:shd w:val="clear" w:color="auto" w:fill="FFFFFF"/>
          </w:tcPr>
          <w:p w14:paraId="555C0B78" w14:textId="77777777" w:rsidR="00654783" w:rsidRDefault="00654783">
            <w:pPr>
              <w:widowControl/>
              <w:autoSpaceDE/>
              <w:adjustRightInd/>
              <w:spacing w:line="240" w:lineRule="auto"/>
              <w:rPr>
                <w:rFonts w:eastAsia="Calibri" w:cs="Times New Roman"/>
                <w:color w:val="000000"/>
                <w:sz w:val="21"/>
                <w:szCs w:val="21"/>
                <w:lang w:eastAsia="en-US"/>
              </w:rPr>
            </w:pPr>
          </w:p>
        </w:tc>
        <w:tc>
          <w:tcPr>
            <w:tcW w:w="938" w:type="dxa"/>
            <w:gridSpan w:val="5"/>
            <w:tcBorders>
              <w:top w:val="single" w:sz="4" w:space="0" w:color="auto"/>
              <w:left w:val="single" w:sz="4" w:space="0" w:color="auto"/>
              <w:bottom w:val="single" w:sz="4" w:space="0" w:color="auto"/>
              <w:right w:val="single" w:sz="4" w:space="0" w:color="auto"/>
            </w:tcBorders>
            <w:shd w:val="clear" w:color="auto" w:fill="FFFFFF"/>
          </w:tcPr>
          <w:p w14:paraId="4730E704" w14:textId="77777777" w:rsidR="00654783" w:rsidRDefault="00654783">
            <w:pPr>
              <w:widowControl/>
              <w:autoSpaceDE/>
              <w:adjustRightInd/>
              <w:spacing w:line="240" w:lineRule="auto"/>
              <w:rPr>
                <w:rFonts w:eastAsia="Calibri" w:cs="Times New Roman"/>
                <w:color w:val="000000"/>
                <w:sz w:val="21"/>
                <w:szCs w:val="21"/>
                <w:lang w:eastAsia="en-US"/>
              </w:rPr>
            </w:pPr>
          </w:p>
        </w:tc>
        <w:tc>
          <w:tcPr>
            <w:tcW w:w="938" w:type="dxa"/>
            <w:gridSpan w:val="4"/>
            <w:tcBorders>
              <w:top w:val="single" w:sz="4" w:space="0" w:color="auto"/>
              <w:left w:val="single" w:sz="4" w:space="0" w:color="auto"/>
              <w:bottom w:val="single" w:sz="4" w:space="0" w:color="auto"/>
              <w:right w:val="single" w:sz="4" w:space="0" w:color="auto"/>
            </w:tcBorders>
            <w:shd w:val="clear" w:color="auto" w:fill="FFFFFF"/>
          </w:tcPr>
          <w:p w14:paraId="3A1B57ED" w14:textId="77777777" w:rsidR="00654783" w:rsidRDefault="00654783">
            <w:pPr>
              <w:widowControl/>
              <w:autoSpaceDE/>
              <w:adjustRightInd/>
              <w:spacing w:line="240" w:lineRule="auto"/>
              <w:rPr>
                <w:rFonts w:eastAsia="Calibri" w:cs="Times New Roman"/>
                <w:color w:val="000000"/>
                <w:sz w:val="21"/>
                <w:szCs w:val="21"/>
                <w:lang w:eastAsia="en-US"/>
              </w:rPr>
            </w:pPr>
          </w:p>
        </w:tc>
        <w:tc>
          <w:tcPr>
            <w:tcW w:w="937" w:type="dxa"/>
            <w:gridSpan w:val="3"/>
            <w:tcBorders>
              <w:top w:val="single" w:sz="4" w:space="0" w:color="auto"/>
              <w:left w:val="single" w:sz="4" w:space="0" w:color="auto"/>
              <w:bottom w:val="single" w:sz="4" w:space="0" w:color="auto"/>
              <w:right w:val="single" w:sz="4" w:space="0" w:color="auto"/>
            </w:tcBorders>
            <w:shd w:val="clear" w:color="auto" w:fill="FFFFFF"/>
          </w:tcPr>
          <w:p w14:paraId="4608DFE9" w14:textId="77777777" w:rsidR="00654783" w:rsidRDefault="00654783">
            <w:pPr>
              <w:widowControl/>
              <w:autoSpaceDE/>
              <w:adjustRightInd/>
              <w:spacing w:line="240" w:lineRule="auto"/>
              <w:rPr>
                <w:rFonts w:eastAsia="Calibri" w:cs="Times New Roman"/>
                <w:color w:val="000000"/>
                <w:sz w:val="21"/>
                <w:szCs w:val="21"/>
                <w:lang w:eastAsia="en-US"/>
              </w:rPr>
            </w:pPr>
          </w:p>
        </w:tc>
        <w:tc>
          <w:tcPr>
            <w:tcW w:w="938" w:type="dxa"/>
            <w:gridSpan w:val="4"/>
            <w:tcBorders>
              <w:top w:val="single" w:sz="4" w:space="0" w:color="auto"/>
              <w:left w:val="single" w:sz="4" w:space="0" w:color="auto"/>
              <w:bottom w:val="single" w:sz="4" w:space="0" w:color="auto"/>
              <w:right w:val="single" w:sz="4" w:space="0" w:color="auto"/>
            </w:tcBorders>
            <w:shd w:val="clear" w:color="auto" w:fill="FFFFFF"/>
          </w:tcPr>
          <w:p w14:paraId="5D82CC0D" w14:textId="77777777" w:rsidR="00654783" w:rsidRDefault="00654783">
            <w:pPr>
              <w:widowControl/>
              <w:autoSpaceDE/>
              <w:adjustRightInd/>
              <w:spacing w:line="240" w:lineRule="auto"/>
              <w:rPr>
                <w:rFonts w:eastAsia="Calibri" w:cs="Times New Roman"/>
                <w:color w:val="000000"/>
                <w:sz w:val="21"/>
                <w:szCs w:val="21"/>
                <w:lang w:eastAsia="en-US"/>
              </w:rPr>
            </w:pPr>
          </w:p>
        </w:tc>
        <w:tc>
          <w:tcPr>
            <w:tcW w:w="938" w:type="dxa"/>
            <w:gridSpan w:val="3"/>
            <w:tcBorders>
              <w:top w:val="single" w:sz="4" w:space="0" w:color="auto"/>
              <w:left w:val="single" w:sz="4" w:space="0" w:color="auto"/>
              <w:bottom w:val="single" w:sz="4" w:space="0" w:color="auto"/>
              <w:right w:val="single" w:sz="4" w:space="0" w:color="auto"/>
            </w:tcBorders>
            <w:shd w:val="clear" w:color="auto" w:fill="FFFFFF"/>
          </w:tcPr>
          <w:p w14:paraId="7DDB09D4" w14:textId="77777777" w:rsidR="00654783" w:rsidRDefault="00654783">
            <w:pPr>
              <w:widowControl/>
              <w:autoSpaceDE/>
              <w:adjustRightInd/>
              <w:spacing w:line="240" w:lineRule="auto"/>
              <w:rPr>
                <w:rFonts w:eastAsia="Calibri" w:cs="Times New Roman"/>
                <w:color w:val="000000"/>
                <w:sz w:val="21"/>
                <w:szCs w:val="21"/>
                <w:lang w:eastAsia="en-US"/>
              </w:rPr>
            </w:pPr>
          </w:p>
        </w:tc>
        <w:tc>
          <w:tcPr>
            <w:tcW w:w="1422" w:type="dxa"/>
            <w:tcBorders>
              <w:top w:val="single" w:sz="4" w:space="0" w:color="auto"/>
              <w:left w:val="single" w:sz="4" w:space="0" w:color="auto"/>
              <w:bottom w:val="single" w:sz="4" w:space="0" w:color="auto"/>
              <w:right w:val="single" w:sz="4" w:space="0" w:color="auto"/>
            </w:tcBorders>
            <w:shd w:val="clear" w:color="auto" w:fill="FFFFFF"/>
          </w:tcPr>
          <w:p w14:paraId="5714F490" w14:textId="77777777" w:rsidR="00654783" w:rsidRDefault="00654783">
            <w:pPr>
              <w:widowControl/>
              <w:autoSpaceDE/>
              <w:adjustRightInd/>
              <w:spacing w:line="240" w:lineRule="auto"/>
              <w:rPr>
                <w:rFonts w:eastAsia="Calibri" w:cs="Times New Roman"/>
                <w:color w:val="000000"/>
                <w:spacing w:val="-2"/>
                <w:sz w:val="21"/>
                <w:szCs w:val="21"/>
                <w:lang w:eastAsia="en-US"/>
              </w:rPr>
            </w:pPr>
          </w:p>
        </w:tc>
      </w:tr>
      <w:tr w:rsidR="00654783" w14:paraId="4D94E5CF" w14:textId="77777777" w:rsidTr="00AF10B0">
        <w:trPr>
          <w:gridAfter w:val="1"/>
          <w:wAfter w:w="10" w:type="dxa"/>
          <w:trHeight w:val="142"/>
        </w:trPr>
        <w:tc>
          <w:tcPr>
            <w:tcW w:w="1596" w:type="dxa"/>
            <w:vMerge w:val="restart"/>
            <w:tcBorders>
              <w:top w:val="single" w:sz="4" w:space="0" w:color="auto"/>
              <w:left w:val="single" w:sz="4" w:space="0" w:color="auto"/>
              <w:bottom w:val="single" w:sz="4" w:space="0" w:color="auto"/>
              <w:right w:val="single" w:sz="4" w:space="0" w:color="auto"/>
            </w:tcBorders>
            <w:shd w:val="clear" w:color="auto" w:fill="FFFFFF"/>
            <w:hideMark/>
          </w:tcPr>
          <w:p w14:paraId="7835202E" w14:textId="77777777" w:rsidR="00654783" w:rsidRDefault="00654783">
            <w:pPr>
              <w:widowControl/>
              <w:autoSpaceDE/>
              <w:adjustRightInd/>
              <w:spacing w:line="240" w:lineRule="auto"/>
              <w:rPr>
                <w:rFonts w:eastAsia="Calibri" w:cs="Times New Roman"/>
                <w:color w:val="000000"/>
                <w:sz w:val="21"/>
                <w:szCs w:val="21"/>
                <w:lang w:eastAsia="en-US"/>
              </w:rPr>
            </w:pPr>
            <w:r>
              <w:rPr>
                <w:rFonts w:eastAsia="Calibri" w:cs="Times New Roman"/>
                <w:color w:val="000000"/>
                <w:sz w:val="21"/>
                <w:szCs w:val="21"/>
                <w:lang w:eastAsia="en-US"/>
              </w:rPr>
              <w:t>W ujęciu niepieniężnym</w:t>
            </w:r>
          </w:p>
        </w:tc>
        <w:tc>
          <w:tcPr>
            <w:tcW w:w="2119"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292077E1" w14:textId="77777777" w:rsidR="00654783" w:rsidRDefault="00654783">
            <w:pPr>
              <w:widowControl/>
              <w:autoSpaceDE/>
              <w:adjustRightInd/>
              <w:spacing w:line="240" w:lineRule="auto"/>
              <w:rPr>
                <w:rFonts w:eastAsia="Calibri" w:cs="Times New Roman"/>
                <w:color w:val="000000"/>
                <w:sz w:val="21"/>
                <w:szCs w:val="21"/>
                <w:lang w:eastAsia="en-US"/>
              </w:rPr>
            </w:pPr>
            <w:r>
              <w:rPr>
                <w:rFonts w:eastAsia="Calibri" w:cs="Times New Roman"/>
                <w:color w:val="000000"/>
                <w:sz w:val="21"/>
                <w:szCs w:val="21"/>
                <w:lang w:eastAsia="en-US"/>
              </w:rPr>
              <w:t>duże przedsiębiorstwa</w:t>
            </w:r>
          </w:p>
        </w:tc>
        <w:tc>
          <w:tcPr>
            <w:tcW w:w="7222" w:type="dxa"/>
            <w:gridSpan w:val="22"/>
            <w:tcBorders>
              <w:top w:val="single" w:sz="4" w:space="0" w:color="auto"/>
              <w:left w:val="single" w:sz="4" w:space="0" w:color="auto"/>
              <w:bottom w:val="single" w:sz="4" w:space="0" w:color="auto"/>
              <w:right w:val="single" w:sz="4" w:space="0" w:color="auto"/>
            </w:tcBorders>
            <w:shd w:val="clear" w:color="auto" w:fill="FFFFFF"/>
            <w:hideMark/>
          </w:tcPr>
          <w:p w14:paraId="5DA3AD41" w14:textId="77A4296E" w:rsidR="00654783" w:rsidRDefault="00654783">
            <w:pPr>
              <w:spacing w:line="240" w:lineRule="auto"/>
              <w:jc w:val="both"/>
              <w:rPr>
                <w:rFonts w:eastAsia="Times New Roman"/>
                <w:sz w:val="21"/>
                <w:szCs w:val="21"/>
              </w:rPr>
            </w:pPr>
            <w:r>
              <w:rPr>
                <w:rFonts w:eastAsia="Times New Roman"/>
                <w:sz w:val="21"/>
                <w:szCs w:val="21"/>
              </w:rPr>
              <w:t>Zasadniczy wpływ projektowanej ustawy wynikać będzie z wprowadzenia otoczenia instytucjonalnego i regulacyjnego, które umożliwi stosowanie przepisów DGA, a co za tym idzie faktyczne funkcjonowanie rozwiązań z zakresu zarządzania danymi zawartych w tym akcie</w:t>
            </w:r>
            <w:r w:rsidR="007A0723">
              <w:rPr>
                <w:rFonts w:eastAsia="Times New Roman"/>
                <w:sz w:val="21"/>
                <w:szCs w:val="21"/>
              </w:rPr>
              <w:t>. Stosowanie nowych przepisów o </w:t>
            </w:r>
            <w:r>
              <w:rPr>
                <w:rFonts w:eastAsia="Times New Roman"/>
                <w:sz w:val="21"/>
                <w:szCs w:val="21"/>
              </w:rPr>
              <w:t xml:space="preserve">ponownym wykorzystywaniu chronionych danych, działalność pośredników danych oraz organizacji altruizmu danych w ogólnym rozrachunku zwiększy </w:t>
            </w:r>
            <w:r w:rsidR="00890429">
              <w:rPr>
                <w:rFonts w:eastAsia="Times New Roman"/>
                <w:sz w:val="21"/>
                <w:szCs w:val="21"/>
              </w:rPr>
              <w:t xml:space="preserve">(do pewnego stopnia) </w:t>
            </w:r>
            <w:r>
              <w:rPr>
                <w:rFonts w:eastAsia="Times New Roman"/>
                <w:sz w:val="21"/>
                <w:szCs w:val="21"/>
              </w:rPr>
              <w:t>podaż danych na rynku, powiększy zaufanie do ich wymiany oraz obniży jej koszty.</w:t>
            </w:r>
          </w:p>
          <w:p w14:paraId="6B3A917E" w14:textId="390E9C56" w:rsidR="00654783" w:rsidRDefault="00654783">
            <w:pPr>
              <w:spacing w:before="120" w:line="240" w:lineRule="auto"/>
              <w:jc w:val="both"/>
              <w:rPr>
                <w:rFonts w:eastAsia="Times New Roman"/>
                <w:sz w:val="21"/>
                <w:szCs w:val="21"/>
              </w:rPr>
            </w:pPr>
            <w:r>
              <w:rPr>
                <w:rFonts w:eastAsia="Times New Roman"/>
                <w:sz w:val="21"/>
                <w:szCs w:val="21"/>
              </w:rPr>
              <w:t xml:space="preserve">Duże przedsiębiorstwa, które dysponują istotnymi zasobami danych oraz potencjałem technicznym i wykwalifikowanymi pracownikami do analizy tych danych, uzyskają </w:t>
            </w:r>
            <w:r w:rsidR="007A0723">
              <w:rPr>
                <w:rFonts w:eastAsia="Times New Roman"/>
                <w:sz w:val="21"/>
                <w:szCs w:val="21"/>
              </w:rPr>
              <w:t xml:space="preserve">większą przewagę konkurencyjną. </w:t>
            </w:r>
            <w:r>
              <w:rPr>
                <w:rFonts w:eastAsia="Times New Roman"/>
                <w:sz w:val="21"/>
                <w:szCs w:val="21"/>
              </w:rPr>
              <w:t xml:space="preserve">Wartość danych w gospodarce wzrasta kosztem innych, tradycyjnych czynników produkcji, jak praca czy kapitał. Wykorzystanie danych wpływa na wzrost produktywności przedsiębiorstw, obniżenie kosztów ich funkcjonowania, oraz przyczynia się do powstawania </w:t>
            </w:r>
            <w:r>
              <w:rPr>
                <w:rFonts w:eastAsia="Times New Roman"/>
                <w:sz w:val="21"/>
                <w:szCs w:val="21"/>
              </w:rPr>
              <w:lastRenderedPageBreak/>
              <w:t>nowych produktów, usług i modeli biznesowych.</w:t>
            </w:r>
          </w:p>
          <w:p w14:paraId="40EC8AC8" w14:textId="4BE0049A" w:rsidR="00654783" w:rsidRDefault="00654783" w:rsidP="007A0723">
            <w:pPr>
              <w:spacing w:before="120" w:line="240" w:lineRule="auto"/>
              <w:jc w:val="both"/>
              <w:rPr>
                <w:rFonts w:eastAsia="Calibri" w:cs="Times New Roman"/>
                <w:color w:val="000000"/>
                <w:spacing w:val="-2"/>
                <w:sz w:val="21"/>
                <w:szCs w:val="21"/>
                <w:lang w:eastAsia="en-US"/>
              </w:rPr>
            </w:pPr>
            <w:r>
              <w:rPr>
                <w:rFonts w:eastAsia="Times New Roman"/>
                <w:sz w:val="21"/>
                <w:szCs w:val="21"/>
              </w:rPr>
              <w:t xml:space="preserve">Przedsiębiorstwa dzięki dostępowi do </w:t>
            </w:r>
            <w:r w:rsidR="007A0723">
              <w:rPr>
                <w:rFonts w:eastAsia="Times New Roman"/>
                <w:sz w:val="21"/>
                <w:szCs w:val="21"/>
              </w:rPr>
              <w:t>większego</w:t>
            </w:r>
            <w:r>
              <w:rPr>
                <w:rFonts w:eastAsia="Times New Roman"/>
                <w:sz w:val="21"/>
                <w:szCs w:val="21"/>
              </w:rPr>
              <w:t xml:space="preserve"> wolumenu zróżnicowanych, wiarygodnych danych, w tym niedostępnych wcześniej kategorii danych publicznych, uzyskają większą widoczność w łańcuchach dostaw. Będą mogły w sposób szybszy i bardziej innowacyjny rozwijać swoje produkty i procesy produkcji. Dzięki zaufanym, neutralnym pośrednikom danych zyskają zwiększony dostęp do danych innych firm w zamian za udostępnianie własnych zasobów. Dzięki łączeniu danych pochodzących z różnych sektorów uzyskają lepsze wyniki analityczne, możliwość skrócenia czasu i kosztów marketingu.</w:t>
            </w:r>
          </w:p>
        </w:tc>
      </w:tr>
      <w:tr w:rsidR="00654783" w14:paraId="12D658EB" w14:textId="77777777" w:rsidTr="00AF10B0">
        <w:trPr>
          <w:gridAfter w:val="1"/>
          <w:wAfter w:w="10" w:type="dxa"/>
          <w:trHeight w:val="142"/>
        </w:trPr>
        <w:tc>
          <w:tcPr>
            <w:tcW w:w="1596" w:type="dxa"/>
            <w:vMerge/>
            <w:tcBorders>
              <w:top w:val="single" w:sz="4" w:space="0" w:color="auto"/>
              <w:left w:val="single" w:sz="4" w:space="0" w:color="auto"/>
              <w:bottom w:val="single" w:sz="4" w:space="0" w:color="auto"/>
              <w:right w:val="single" w:sz="4" w:space="0" w:color="auto"/>
            </w:tcBorders>
            <w:vAlign w:val="center"/>
            <w:hideMark/>
          </w:tcPr>
          <w:p w14:paraId="64411728" w14:textId="77777777" w:rsidR="00654783" w:rsidRDefault="00654783">
            <w:pPr>
              <w:widowControl/>
              <w:autoSpaceDE/>
              <w:autoSpaceDN/>
              <w:adjustRightInd/>
              <w:rPr>
                <w:rFonts w:eastAsia="Calibri" w:cs="Times New Roman"/>
                <w:color w:val="000000"/>
                <w:sz w:val="21"/>
                <w:szCs w:val="21"/>
                <w:lang w:eastAsia="en-US"/>
              </w:rPr>
            </w:pPr>
          </w:p>
        </w:tc>
        <w:tc>
          <w:tcPr>
            <w:tcW w:w="2119"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30223505" w14:textId="77777777" w:rsidR="00654783" w:rsidRDefault="00654783">
            <w:pPr>
              <w:widowControl/>
              <w:autoSpaceDE/>
              <w:adjustRightInd/>
              <w:spacing w:line="240" w:lineRule="auto"/>
              <w:rPr>
                <w:rFonts w:eastAsia="Calibri" w:cs="Times New Roman"/>
                <w:color w:val="000000"/>
                <w:sz w:val="21"/>
                <w:szCs w:val="21"/>
                <w:lang w:eastAsia="en-US"/>
              </w:rPr>
            </w:pPr>
            <w:r>
              <w:rPr>
                <w:rFonts w:eastAsia="Calibri" w:cs="Times New Roman"/>
                <w:color w:val="000000"/>
                <w:sz w:val="21"/>
                <w:szCs w:val="21"/>
                <w:lang w:eastAsia="en-US"/>
              </w:rPr>
              <w:t>mikro-, małe i średnice przedsiębiorstwa</w:t>
            </w:r>
          </w:p>
        </w:tc>
        <w:tc>
          <w:tcPr>
            <w:tcW w:w="7222" w:type="dxa"/>
            <w:gridSpan w:val="22"/>
            <w:tcBorders>
              <w:top w:val="single" w:sz="4" w:space="0" w:color="auto"/>
              <w:left w:val="single" w:sz="4" w:space="0" w:color="auto"/>
              <w:bottom w:val="single" w:sz="4" w:space="0" w:color="auto"/>
              <w:right w:val="single" w:sz="4" w:space="0" w:color="auto"/>
            </w:tcBorders>
            <w:shd w:val="clear" w:color="auto" w:fill="FFFFFF"/>
            <w:hideMark/>
          </w:tcPr>
          <w:p w14:paraId="2B58D257" w14:textId="77777777" w:rsidR="00654783" w:rsidRDefault="00654783">
            <w:pPr>
              <w:spacing w:line="240" w:lineRule="auto"/>
              <w:jc w:val="both"/>
              <w:rPr>
                <w:rFonts w:eastAsia="Times New Roman"/>
                <w:sz w:val="21"/>
                <w:szCs w:val="21"/>
                <w:lang w:val="en-US"/>
              </w:rPr>
            </w:pPr>
            <w:r>
              <w:rPr>
                <w:rFonts w:eastAsia="Times New Roman"/>
                <w:sz w:val="21"/>
                <w:szCs w:val="21"/>
              </w:rPr>
              <w:t>Dane są krytycznym zasobem przede wszystkim dla start-</w:t>
            </w:r>
            <w:proofErr w:type="spellStart"/>
            <w:r>
              <w:rPr>
                <w:rFonts w:eastAsia="Times New Roman"/>
                <w:sz w:val="21"/>
                <w:szCs w:val="21"/>
              </w:rPr>
              <w:t>up’ów</w:t>
            </w:r>
            <w:proofErr w:type="spellEnd"/>
            <w:r>
              <w:rPr>
                <w:rFonts w:eastAsia="Times New Roman"/>
                <w:sz w:val="21"/>
                <w:szCs w:val="21"/>
              </w:rPr>
              <w:t xml:space="preserve"> i MŚP, zwłaszcza, że firmy tego typu są zakładane przy niskim kapitale początkowym. </w:t>
            </w:r>
            <w:proofErr w:type="spellStart"/>
            <w:r>
              <w:rPr>
                <w:rFonts w:eastAsia="Times New Roman"/>
                <w:sz w:val="21"/>
                <w:szCs w:val="21"/>
                <w:lang w:val="en-US"/>
              </w:rPr>
              <w:t>Ponad</w:t>
            </w:r>
            <w:proofErr w:type="spellEnd"/>
            <w:r>
              <w:rPr>
                <w:rFonts w:eastAsia="Times New Roman"/>
                <w:sz w:val="21"/>
                <w:szCs w:val="21"/>
                <w:lang w:val="en-US"/>
              </w:rPr>
              <w:t xml:space="preserve"> 99% firm </w:t>
            </w:r>
            <w:proofErr w:type="spellStart"/>
            <w:r>
              <w:rPr>
                <w:rFonts w:eastAsia="Times New Roman"/>
                <w:sz w:val="21"/>
                <w:szCs w:val="21"/>
                <w:lang w:val="en-US"/>
              </w:rPr>
              <w:t>dostarczających</w:t>
            </w:r>
            <w:proofErr w:type="spellEnd"/>
            <w:r>
              <w:rPr>
                <w:rFonts w:eastAsia="Times New Roman"/>
                <w:sz w:val="21"/>
                <w:szCs w:val="21"/>
                <w:lang w:val="en-US"/>
              </w:rPr>
              <w:t xml:space="preserve"> </w:t>
            </w:r>
            <w:proofErr w:type="spellStart"/>
            <w:r>
              <w:rPr>
                <w:rFonts w:eastAsia="Times New Roman"/>
                <w:sz w:val="21"/>
                <w:szCs w:val="21"/>
                <w:lang w:val="en-US"/>
              </w:rPr>
              <w:t>dane</w:t>
            </w:r>
            <w:proofErr w:type="spellEnd"/>
            <w:r>
              <w:rPr>
                <w:rFonts w:eastAsia="Times New Roman"/>
                <w:sz w:val="21"/>
                <w:szCs w:val="21"/>
                <w:lang w:val="en-US"/>
              </w:rPr>
              <w:t xml:space="preserve"> i </w:t>
            </w:r>
            <w:proofErr w:type="spellStart"/>
            <w:r>
              <w:rPr>
                <w:rFonts w:eastAsia="Times New Roman"/>
                <w:sz w:val="21"/>
                <w:szCs w:val="21"/>
                <w:lang w:val="en-US"/>
              </w:rPr>
              <w:t>ponad</w:t>
            </w:r>
            <w:proofErr w:type="spellEnd"/>
            <w:r>
              <w:rPr>
                <w:rFonts w:eastAsia="Times New Roman"/>
                <w:sz w:val="21"/>
                <w:szCs w:val="21"/>
                <w:lang w:val="en-US"/>
              </w:rPr>
              <w:t xml:space="preserve"> 98,8% firm </w:t>
            </w:r>
            <w:proofErr w:type="spellStart"/>
            <w:r>
              <w:rPr>
                <w:rFonts w:eastAsia="Times New Roman"/>
                <w:sz w:val="21"/>
                <w:szCs w:val="21"/>
                <w:lang w:val="en-US"/>
              </w:rPr>
              <w:t>korzystających</w:t>
            </w:r>
            <w:proofErr w:type="spellEnd"/>
            <w:r>
              <w:rPr>
                <w:rFonts w:eastAsia="Times New Roman"/>
                <w:sz w:val="21"/>
                <w:szCs w:val="21"/>
                <w:lang w:val="en-US"/>
              </w:rPr>
              <w:t xml:space="preserve"> z </w:t>
            </w:r>
            <w:proofErr w:type="spellStart"/>
            <w:r>
              <w:rPr>
                <w:rFonts w:eastAsia="Times New Roman"/>
                <w:sz w:val="21"/>
                <w:szCs w:val="21"/>
                <w:lang w:val="en-US"/>
              </w:rPr>
              <w:t>danych</w:t>
            </w:r>
            <w:proofErr w:type="spellEnd"/>
            <w:r>
              <w:rPr>
                <w:rFonts w:eastAsia="Times New Roman"/>
                <w:sz w:val="21"/>
                <w:szCs w:val="21"/>
                <w:lang w:val="en-US"/>
              </w:rPr>
              <w:t xml:space="preserve"> w UE to MŚP (</w:t>
            </w:r>
            <w:proofErr w:type="spellStart"/>
            <w:r>
              <w:rPr>
                <w:rFonts w:eastAsia="Times New Roman"/>
                <w:sz w:val="21"/>
                <w:szCs w:val="21"/>
                <w:lang w:val="en-US"/>
              </w:rPr>
              <w:t>zob</w:t>
            </w:r>
            <w:proofErr w:type="spellEnd"/>
            <w:r>
              <w:rPr>
                <w:rFonts w:eastAsia="Times New Roman"/>
                <w:sz w:val="21"/>
                <w:szCs w:val="21"/>
                <w:lang w:val="en-US"/>
              </w:rPr>
              <w:t xml:space="preserve">. </w:t>
            </w:r>
            <w:proofErr w:type="spellStart"/>
            <w:r>
              <w:rPr>
                <w:rFonts w:eastAsia="Times New Roman"/>
                <w:sz w:val="21"/>
                <w:szCs w:val="21"/>
                <w:lang w:val="en-US"/>
              </w:rPr>
              <w:t>dane</w:t>
            </w:r>
            <w:proofErr w:type="spellEnd"/>
            <w:r>
              <w:rPr>
                <w:rFonts w:eastAsia="Times New Roman"/>
                <w:sz w:val="21"/>
                <w:szCs w:val="21"/>
                <w:lang w:val="en-US"/>
              </w:rPr>
              <w:t xml:space="preserve"> </w:t>
            </w:r>
            <w:proofErr w:type="spellStart"/>
            <w:r>
              <w:rPr>
                <w:rFonts w:eastAsia="Times New Roman"/>
                <w:sz w:val="21"/>
                <w:szCs w:val="21"/>
                <w:lang w:val="en-US"/>
              </w:rPr>
              <w:t>przytoczone</w:t>
            </w:r>
            <w:proofErr w:type="spellEnd"/>
            <w:r>
              <w:rPr>
                <w:rFonts w:eastAsia="Times New Roman"/>
                <w:sz w:val="21"/>
                <w:szCs w:val="21"/>
                <w:lang w:val="en-US"/>
              </w:rPr>
              <w:t xml:space="preserve"> w </w:t>
            </w:r>
            <w:hyperlink r:id="rId23" w:history="1">
              <w:r>
                <w:rPr>
                  <w:rStyle w:val="Hipercze"/>
                  <w:rFonts w:eastAsia="Times New Roman"/>
                  <w:i/>
                  <w:sz w:val="21"/>
                  <w:szCs w:val="21"/>
                  <w:lang w:val="en-US"/>
                </w:rPr>
                <w:t>Commission Staff Working Document Impact Assessment Report Accompanying the document Proposal for a Regulation of the European Parliament and of the Council on European data governance</w:t>
              </w:r>
            </w:hyperlink>
            <w:r>
              <w:rPr>
                <w:rFonts w:eastAsia="Times New Roman"/>
                <w:sz w:val="21"/>
                <w:szCs w:val="21"/>
                <w:lang w:val="en-US"/>
              </w:rPr>
              <w:t>).</w:t>
            </w:r>
          </w:p>
          <w:p w14:paraId="098A1F10" w14:textId="50FE7160" w:rsidR="00654783" w:rsidRDefault="00654783">
            <w:pPr>
              <w:spacing w:before="120" w:line="240" w:lineRule="auto"/>
              <w:jc w:val="both"/>
              <w:rPr>
                <w:rFonts w:eastAsia="Times New Roman"/>
                <w:sz w:val="21"/>
                <w:szCs w:val="21"/>
              </w:rPr>
            </w:pPr>
            <w:r>
              <w:rPr>
                <w:rFonts w:eastAsia="Times New Roman"/>
                <w:sz w:val="21"/>
                <w:szCs w:val="21"/>
              </w:rPr>
              <w:t xml:space="preserve">Większość korzyści ze zwiększonego dostępu do danych, które dotyczą dużych przedsiębiorstw, odnosi się również do MŚP. W ich przypadku jednak usługi oferowane przez neutralnych pośredników danych, takie jak pewny, oparty o jasne zasady dostęp do wiarygodnych danych dobrej jakości po konkurencyjnych cenach, będą miały kluczowe znaczenie. MŚP </w:t>
            </w:r>
            <w:r w:rsidR="00890429">
              <w:rPr>
                <w:rFonts w:eastAsia="Times New Roman"/>
                <w:sz w:val="21"/>
                <w:szCs w:val="21"/>
              </w:rPr>
              <w:t>nie dysponują bowiem środkami i </w:t>
            </w:r>
            <w:r>
              <w:rPr>
                <w:rFonts w:eastAsia="Times New Roman"/>
                <w:sz w:val="21"/>
                <w:szCs w:val="21"/>
              </w:rPr>
              <w:t>możliwościami, które pozwalają na poszukiwanie takich danych na własną rękę.</w:t>
            </w:r>
          </w:p>
        </w:tc>
      </w:tr>
      <w:tr w:rsidR="00654783" w14:paraId="03E7FABA" w14:textId="77777777" w:rsidTr="00AF10B0">
        <w:trPr>
          <w:gridAfter w:val="1"/>
          <w:wAfter w:w="10" w:type="dxa"/>
          <w:trHeight w:val="596"/>
        </w:trPr>
        <w:tc>
          <w:tcPr>
            <w:tcW w:w="1596" w:type="dxa"/>
            <w:vMerge/>
            <w:tcBorders>
              <w:top w:val="single" w:sz="4" w:space="0" w:color="auto"/>
              <w:left w:val="single" w:sz="4" w:space="0" w:color="auto"/>
              <w:bottom w:val="single" w:sz="4" w:space="0" w:color="auto"/>
              <w:right w:val="single" w:sz="4" w:space="0" w:color="auto"/>
            </w:tcBorders>
            <w:vAlign w:val="center"/>
            <w:hideMark/>
          </w:tcPr>
          <w:p w14:paraId="441DFA60" w14:textId="77777777" w:rsidR="00654783" w:rsidRDefault="00654783">
            <w:pPr>
              <w:widowControl/>
              <w:autoSpaceDE/>
              <w:autoSpaceDN/>
              <w:adjustRightInd/>
              <w:rPr>
                <w:rFonts w:eastAsia="Calibri" w:cs="Times New Roman"/>
                <w:color w:val="000000"/>
                <w:sz w:val="21"/>
                <w:szCs w:val="21"/>
                <w:lang w:eastAsia="en-US"/>
              </w:rPr>
            </w:pPr>
          </w:p>
        </w:tc>
        <w:tc>
          <w:tcPr>
            <w:tcW w:w="2119"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4D1B07E5" w14:textId="77777777" w:rsidR="00654783" w:rsidRDefault="00654783">
            <w:pPr>
              <w:widowControl/>
              <w:tabs>
                <w:tab w:val="right" w:pos="1936"/>
              </w:tabs>
              <w:autoSpaceDE/>
              <w:adjustRightInd/>
              <w:spacing w:line="240" w:lineRule="auto"/>
              <w:rPr>
                <w:rFonts w:eastAsia="Calibri" w:cs="Times New Roman"/>
                <w:color w:val="000000"/>
                <w:sz w:val="21"/>
                <w:szCs w:val="21"/>
                <w:lang w:eastAsia="en-US"/>
              </w:rPr>
            </w:pPr>
            <w:r>
              <w:rPr>
                <w:rFonts w:eastAsia="Calibri" w:cs="Times New Roman"/>
                <w:sz w:val="21"/>
                <w:szCs w:val="21"/>
                <w:lang w:eastAsia="en-US"/>
              </w:rPr>
              <w:t>rodzina, obywatele oraz gospodarstwa domowe, osoby starsze i niepełnosprawne</w:t>
            </w:r>
            <w:r>
              <w:rPr>
                <w:rFonts w:eastAsia="Calibri" w:cs="Times New Roman"/>
                <w:color w:val="000000"/>
                <w:sz w:val="21"/>
                <w:szCs w:val="21"/>
                <w:lang w:eastAsia="en-US"/>
              </w:rPr>
              <w:t xml:space="preserve"> </w:t>
            </w:r>
          </w:p>
        </w:tc>
        <w:tc>
          <w:tcPr>
            <w:tcW w:w="7222" w:type="dxa"/>
            <w:gridSpan w:val="22"/>
            <w:tcBorders>
              <w:top w:val="single" w:sz="4" w:space="0" w:color="auto"/>
              <w:left w:val="single" w:sz="4" w:space="0" w:color="auto"/>
              <w:bottom w:val="single" w:sz="4" w:space="0" w:color="auto"/>
              <w:right w:val="single" w:sz="4" w:space="0" w:color="auto"/>
            </w:tcBorders>
            <w:shd w:val="clear" w:color="auto" w:fill="FFFFFF"/>
            <w:hideMark/>
          </w:tcPr>
          <w:p w14:paraId="210ABFEC" w14:textId="39A31F3F" w:rsidR="00654783" w:rsidRDefault="00654783">
            <w:pPr>
              <w:widowControl/>
              <w:autoSpaceDE/>
              <w:adjustRightInd/>
              <w:spacing w:line="240" w:lineRule="auto"/>
              <w:jc w:val="both"/>
              <w:rPr>
                <w:rFonts w:eastAsia="Calibri" w:cs="Times New Roman"/>
                <w:color w:val="000000"/>
                <w:spacing w:val="-2"/>
                <w:sz w:val="21"/>
                <w:szCs w:val="21"/>
                <w:lang w:eastAsia="en-US"/>
              </w:rPr>
            </w:pPr>
            <w:r>
              <w:rPr>
                <w:rFonts w:eastAsia="Calibri" w:cs="Times New Roman"/>
                <w:color w:val="000000"/>
                <w:spacing w:val="-2"/>
                <w:sz w:val="21"/>
                <w:szCs w:val="21"/>
                <w:lang w:eastAsia="en-US"/>
              </w:rPr>
              <w:t xml:space="preserve">Pozytywny wpływ projektowanej regulacji na sektor przedsiębiorstw przełoży się na korzyści gospodarcze, które w dalszej kolejności </w:t>
            </w:r>
            <w:r w:rsidR="00890429">
              <w:rPr>
                <w:rFonts w:eastAsia="Calibri" w:cs="Times New Roman"/>
                <w:color w:val="000000"/>
                <w:spacing w:val="-2"/>
                <w:sz w:val="21"/>
                <w:szCs w:val="21"/>
                <w:lang w:eastAsia="en-US"/>
              </w:rPr>
              <w:t xml:space="preserve">(pośrednio) </w:t>
            </w:r>
            <w:r>
              <w:rPr>
                <w:rFonts w:eastAsia="Calibri" w:cs="Times New Roman"/>
                <w:color w:val="000000"/>
                <w:spacing w:val="-2"/>
                <w:sz w:val="21"/>
                <w:szCs w:val="21"/>
                <w:lang w:eastAsia="en-US"/>
              </w:rPr>
              <w:t>będą dodatnio oddziaływać na społeczeństwo. Obywatele skorzystają na wzroście zamożności oraz na dostępie do nowych innowacyjnych usług i produktów poprawiających jakość życia.</w:t>
            </w:r>
          </w:p>
          <w:p w14:paraId="34719182" w14:textId="0E977532" w:rsidR="00654783" w:rsidRDefault="00654783" w:rsidP="009D1BBC">
            <w:pPr>
              <w:widowControl/>
              <w:autoSpaceDE/>
              <w:adjustRightInd/>
              <w:spacing w:before="120" w:line="240" w:lineRule="auto"/>
              <w:jc w:val="both"/>
              <w:rPr>
                <w:rFonts w:eastAsia="Calibri" w:cs="Times New Roman"/>
                <w:color w:val="000000"/>
                <w:spacing w:val="-2"/>
                <w:sz w:val="21"/>
                <w:szCs w:val="21"/>
                <w:lang w:eastAsia="en-US"/>
              </w:rPr>
            </w:pPr>
            <w:r>
              <w:rPr>
                <w:rFonts w:eastAsia="Calibri" w:cs="Times New Roman"/>
                <w:color w:val="000000"/>
                <w:spacing w:val="-2"/>
                <w:sz w:val="21"/>
                <w:szCs w:val="21"/>
                <w:lang w:eastAsia="en-US"/>
              </w:rPr>
              <w:t xml:space="preserve">Dzięki zwiększonej </w:t>
            </w:r>
            <w:r w:rsidR="009D1BBC">
              <w:rPr>
                <w:rFonts w:eastAsia="Calibri" w:cs="Times New Roman"/>
                <w:color w:val="000000"/>
                <w:spacing w:val="-2"/>
                <w:sz w:val="21"/>
                <w:szCs w:val="21"/>
                <w:lang w:eastAsia="en-US"/>
              </w:rPr>
              <w:t xml:space="preserve">(do pewnego stopnia) </w:t>
            </w:r>
            <w:r>
              <w:rPr>
                <w:rFonts w:eastAsia="Calibri" w:cs="Times New Roman"/>
                <w:color w:val="000000"/>
                <w:spacing w:val="-2"/>
                <w:sz w:val="21"/>
                <w:szCs w:val="21"/>
                <w:lang w:eastAsia="en-US"/>
              </w:rPr>
              <w:t xml:space="preserve">puli danych pozyskiwanych dla dobra ogólnego poprzez mechanizm altruizmu danych poprawi się możliwość realizacji badań naukowych np. w dziedzinie zdrowia czy skuteczniejszego reagowania przez administrację na wyzwania społeczne lub sytuacje nadzwyczajne. Dane pozyskane dzięki altruizmowi danych będzie można wykorzystać także do </w:t>
            </w:r>
            <w:r w:rsidR="009D1BBC">
              <w:rPr>
                <w:rFonts w:eastAsia="Calibri" w:cs="Times New Roman"/>
                <w:color w:val="000000"/>
                <w:spacing w:val="-2"/>
                <w:sz w:val="21"/>
                <w:szCs w:val="21"/>
                <w:lang w:eastAsia="en-US"/>
              </w:rPr>
              <w:t>usprawnienia usług publicznych</w:t>
            </w:r>
            <w:r>
              <w:rPr>
                <w:rFonts w:eastAsia="Calibri" w:cs="Times New Roman"/>
                <w:color w:val="000000"/>
                <w:spacing w:val="-2"/>
                <w:sz w:val="21"/>
                <w:szCs w:val="21"/>
                <w:lang w:eastAsia="en-US"/>
              </w:rPr>
              <w:t>, które będą mogły być tańsze lub spersonalizowane.</w:t>
            </w:r>
          </w:p>
        </w:tc>
      </w:tr>
      <w:tr w:rsidR="00654783" w14:paraId="4C5927CD" w14:textId="77777777" w:rsidTr="00AF10B0">
        <w:trPr>
          <w:gridAfter w:val="1"/>
          <w:wAfter w:w="10" w:type="dxa"/>
          <w:trHeight w:val="240"/>
        </w:trPr>
        <w:tc>
          <w:tcPr>
            <w:tcW w:w="1596" w:type="dxa"/>
            <w:vMerge/>
            <w:tcBorders>
              <w:top w:val="single" w:sz="4" w:space="0" w:color="auto"/>
              <w:left w:val="single" w:sz="4" w:space="0" w:color="auto"/>
              <w:bottom w:val="single" w:sz="4" w:space="0" w:color="auto"/>
              <w:right w:val="single" w:sz="4" w:space="0" w:color="auto"/>
            </w:tcBorders>
            <w:vAlign w:val="center"/>
            <w:hideMark/>
          </w:tcPr>
          <w:p w14:paraId="758A6485" w14:textId="77777777" w:rsidR="00654783" w:rsidRDefault="00654783">
            <w:pPr>
              <w:widowControl/>
              <w:autoSpaceDE/>
              <w:autoSpaceDN/>
              <w:adjustRightInd/>
              <w:rPr>
                <w:rFonts w:eastAsia="Calibri" w:cs="Times New Roman"/>
                <w:color w:val="000000"/>
                <w:sz w:val="21"/>
                <w:szCs w:val="21"/>
                <w:lang w:eastAsia="en-US"/>
              </w:rPr>
            </w:pPr>
          </w:p>
        </w:tc>
        <w:tc>
          <w:tcPr>
            <w:tcW w:w="2119"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593F2FEF" w14:textId="77777777" w:rsidR="00654783" w:rsidRDefault="00654783">
            <w:pPr>
              <w:widowControl/>
              <w:tabs>
                <w:tab w:val="right" w:pos="1936"/>
              </w:tabs>
              <w:autoSpaceDE/>
              <w:adjustRightInd/>
              <w:spacing w:line="276" w:lineRule="auto"/>
              <w:rPr>
                <w:rFonts w:eastAsia="Calibri" w:cs="Times New Roman"/>
                <w:sz w:val="21"/>
                <w:szCs w:val="21"/>
                <w:lang w:eastAsia="en-US"/>
              </w:rPr>
            </w:pPr>
            <w:r>
              <w:rPr>
                <w:rFonts w:eastAsia="Calibri" w:cs="Times New Roman"/>
                <w:color w:val="000000"/>
                <w:sz w:val="21"/>
                <w:szCs w:val="21"/>
                <w:lang w:eastAsia="en-US"/>
              </w:rPr>
              <w:t xml:space="preserve">gospodarka </w:t>
            </w:r>
          </w:p>
        </w:tc>
        <w:tc>
          <w:tcPr>
            <w:tcW w:w="7222" w:type="dxa"/>
            <w:gridSpan w:val="22"/>
            <w:tcBorders>
              <w:top w:val="single" w:sz="4" w:space="0" w:color="auto"/>
              <w:left w:val="single" w:sz="4" w:space="0" w:color="auto"/>
              <w:bottom w:val="single" w:sz="4" w:space="0" w:color="auto"/>
              <w:right w:val="single" w:sz="4" w:space="0" w:color="auto"/>
            </w:tcBorders>
            <w:shd w:val="clear" w:color="auto" w:fill="FFFFFF"/>
            <w:hideMark/>
          </w:tcPr>
          <w:p w14:paraId="681EDA22" w14:textId="77777777" w:rsidR="00654783" w:rsidRDefault="00654783">
            <w:pPr>
              <w:spacing w:line="240" w:lineRule="auto"/>
              <w:jc w:val="both"/>
              <w:rPr>
                <w:rFonts w:eastAsia="Times New Roman"/>
                <w:sz w:val="21"/>
                <w:szCs w:val="21"/>
              </w:rPr>
            </w:pPr>
            <w:r>
              <w:rPr>
                <w:rFonts w:eastAsia="Times New Roman"/>
                <w:sz w:val="21"/>
                <w:szCs w:val="21"/>
              </w:rPr>
              <w:t>Gospodarka jest jednym z głównych beneficjentów zwiększania dostępności danych, co osiągnięte zostanie po ustanowieniu otoczenia instytucjonalnego oraz regulacyjnego służącego stosowaniu przepisów DGA. Dzięki zwiększaniu wykorzystania danych możliwe jest przyspieszenie tempa rozwoju przedsiębiorczości i rozwoju gospodarczego w sektorze prywatnym, co z kolei istotnie przekłada się na wzrost gospodarczy.</w:t>
            </w:r>
          </w:p>
          <w:p w14:paraId="02A3434A" w14:textId="77777777" w:rsidR="00654783" w:rsidRDefault="00654783">
            <w:pPr>
              <w:spacing w:before="120" w:line="240" w:lineRule="auto"/>
              <w:jc w:val="both"/>
              <w:rPr>
                <w:rFonts w:eastAsia="Times New Roman"/>
                <w:sz w:val="21"/>
                <w:szCs w:val="21"/>
              </w:rPr>
            </w:pPr>
            <w:r>
              <w:rPr>
                <w:rFonts w:eastAsia="Times New Roman"/>
                <w:sz w:val="21"/>
                <w:szCs w:val="21"/>
              </w:rPr>
              <w:t>Skutkiem wzrostu gospodarczego jest wzrost zamożności społeczeństwa – skorzystają więc na tym gospodarstwa domowe, zwykli obywatele. Wzrost zamożności – na poziomie jednostki i rodziny – to jednak nie tylko poprawa warunków materialnych ale również zwiększenie uczestnictwa w różnych aspektach funkcjonowania społeczeństwa; zwiększenie aktywności społecznej i obywatelskiej. Temu zaś będzie sprzyjać większa ilość danych dostępnych do ponownego wykorzystywania. Dodatkowo, dzięki nowym zastosowaniom danych, w analizach, badaniach, algorytmach, aplikacjach i produktach możliwa jest poprawa jakości życia obywateli.</w:t>
            </w:r>
          </w:p>
        </w:tc>
      </w:tr>
      <w:tr w:rsidR="00654783" w14:paraId="437DE4F9" w14:textId="77777777" w:rsidTr="00AF10B0">
        <w:trPr>
          <w:gridAfter w:val="1"/>
          <w:wAfter w:w="10" w:type="dxa"/>
          <w:trHeight w:val="142"/>
        </w:trPr>
        <w:tc>
          <w:tcPr>
            <w:tcW w:w="1596" w:type="dxa"/>
            <w:vMerge w:val="restart"/>
            <w:tcBorders>
              <w:top w:val="single" w:sz="4" w:space="0" w:color="auto"/>
              <w:left w:val="single" w:sz="4" w:space="0" w:color="auto"/>
              <w:bottom w:val="single" w:sz="4" w:space="0" w:color="auto"/>
              <w:right w:val="single" w:sz="4" w:space="0" w:color="auto"/>
            </w:tcBorders>
            <w:shd w:val="clear" w:color="auto" w:fill="FFFFFF"/>
            <w:hideMark/>
          </w:tcPr>
          <w:p w14:paraId="1358CCFA" w14:textId="77777777" w:rsidR="00654783" w:rsidRDefault="00654783">
            <w:pPr>
              <w:widowControl/>
              <w:autoSpaceDE/>
              <w:adjustRightInd/>
              <w:spacing w:line="240" w:lineRule="auto"/>
              <w:rPr>
                <w:rFonts w:eastAsia="Calibri" w:cs="Times New Roman"/>
                <w:color w:val="000000"/>
                <w:sz w:val="21"/>
                <w:szCs w:val="21"/>
                <w:lang w:eastAsia="en-US"/>
              </w:rPr>
            </w:pPr>
            <w:r>
              <w:rPr>
                <w:rFonts w:eastAsia="Calibri" w:cs="Times New Roman"/>
                <w:color w:val="000000"/>
                <w:sz w:val="21"/>
                <w:szCs w:val="21"/>
                <w:lang w:eastAsia="en-US"/>
              </w:rPr>
              <w:t>Niemierzalne</w:t>
            </w:r>
          </w:p>
        </w:tc>
        <w:tc>
          <w:tcPr>
            <w:tcW w:w="2119"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50BC53B5" w14:textId="77777777" w:rsidR="00654783" w:rsidRDefault="00654783">
            <w:pPr>
              <w:widowControl/>
              <w:autoSpaceDE/>
              <w:adjustRightInd/>
              <w:spacing w:line="240" w:lineRule="auto"/>
              <w:rPr>
                <w:rFonts w:eastAsia="Calibri" w:cs="Times New Roman"/>
                <w:color w:val="000000"/>
                <w:sz w:val="21"/>
                <w:szCs w:val="21"/>
                <w:lang w:eastAsia="en-US"/>
              </w:rPr>
            </w:pPr>
            <w:r>
              <w:rPr>
                <w:rFonts w:eastAsia="Calibri" w:cs="Times New Roman"/>
                <w:color w:val="000000"/>
                <w:sz w:val="21"/>
                <w:szCs w:val="21"/>
                <w:lang w:eastAsia="en-US"/>
              </w:rPr>
              <w:fldChar w:fldCharType="begin">
                <w:ffData>
                  <w:name w:val=""/>
                  <w:enabled/>
                  <w:calcOnExit/>
                  <w:exitMacro w:val="UpdateHeader"/>
                  <w:helpText w:type="text" w:val="Wpisz na jaką grupę docelową będzie miała wpływ projektowana regulacja. Możesz zawężić zakres grupy przez doprecyzowanie: np &quot;małe i średnie przedsiębiorstwa rozliczające się metodą kasową z podatku VAT&quot;"/>
                  <w:statusText w:type="text" w:val="Wpisz na jaką grupę docelową będzie miała wpływ projektowana regulacja"/>
                  <w:textInput>
                    <w:default w:val="(dodaj/usuń)"/>
                    <w:maxLength w:val="1000"/>
                  </w:textInput>
                </w:ffData>
              </w:fldChar>
            </w:r>
            <w:r>
              <w:rPr>
                <w:rFonts w:eastAsia="Calibri" w:cs="Times New Roman"/>
                <w:color w:val="000000"/>
                <w:sz w:val="21"/>
                <w:szCs w:val="21"/>
                <w:lang w:eastAsia="en-US"/>
              </w:rPr>
              <w:instrText xml:space="preserve"> FORMTEXT </w:instrText>
            </w:r>
            <w:r>
              <w:rPr>
                <w:rFonts w:eastAsia="Calibri" w:cs="Times New Roman"/>
                <w:color w:val="000000"/>
                <w:sz w:val="21"/>
                <w:szCs w:val="21"/>
                <w:lang w:eastAsia="en-US"/>
              </w:rPr>
            </w:r>
            <w:r>
              <w:rPr>
                <w:rFonts w:eastAsia="Calibri" w:cs="Times New Roman"/>
                <w:color w:val="000000"/>
                <w:sz w:val="21"/>
                <w:szCs w:val="21"/>
                <w:lang w:eastAsia="en-US"/>
              </w:rPr>
              <w:fldChar w:fldCharType="separate"/>
            </w:r>
            <w:r>
              <w:rPr>
                <w:rFonts w:eastAsia="Calibri" w:cs="Times New Roman"/>
                <w:noProof/>
                <w:color w:val="000000"/>
                <w:sz w:val="21"/>
                <w:szCs w:val="21"/>
                <w:lang w:eastAsia="en-US"/>
              </w:rPr>
              <w:t>(dodaj/usuń)</w:t>
            </w:r>
            <w:r>
              <w:rPr>
                <w:rFonts w:eastAsia="Calibri" w:cs="Times New Roman"/>
                <w:color w:val="000000"/>
                <w:sz w:val="21"/>
                <w:szCs w:val="21"/>
                <w:lang w:eastAsia="en-US"/>
              </w:rPr>
              <w:fldChar w:fldCharType="end"/>
            </w:r>
          </w:p>
        </w:tc>
        <w:tc>
          <w:tcPr>
            <w:tcW w:w="7222" w:type="dxa"/>
            <w:gridSpan w:val="22"/>
            <w:tcBorders>
              <w:top w:val="single" w:sz="4" w:space="0" w:color="auto"/>
              <w:left w:val="single" w:sz="4" w:space="0" w:color="auto"/>
              <w:bottom w:val="single" w:sz="4" w:space="0" w:color="auto"/>
              <w:right w:val="single" w:sz="4" w:space="0" w:color="auto"/>
            </w:tcBorders>
            <w:shd w:val="clear" w:color="auto" w:fill="FFFFFF"/>
          </w:tcPr>
          <w:p w14:paraId="63E42C21" w14:textId="77777777" w:rsidR="00654783" w:rsidRDefault="00654783">
            <w:pPr>
              <w:widowControl/>
              <w:autoSpaceDE/>
              <w:adjustRightInd/>
              <w:spacing w:line="240" w:lineRule="auto"/>
              <w:rPr>
                <w:rFonts w:eastAsia="Calibri" w:cs="Times New Roman"/>
                <w:color w:val="000000"/>
                <w:spacing w:val="-2"/>
                <w:sz w:val="21"/>
                <w:szCs w:val="21"/>
                <w:lang w:eastAsia="en-US"/>
              </w:rPr>
            </w:pPr>
          </w:p>
        </w:tc>
      </w:tr>
      <w:tr w:rsidR="00654783" w14:paraId="2C520164" w14:textId="77777777" w:rsidTr="00AF10B0">
        <w:trPr>
          <w:gridAfter w:val="1"/>
          <w:wAfter w:w="10" w:type="dxa"/>
          <w:trHeight w:val="142"/>
        </w:trPr>
        <w:tc>
          <w:tcPr>
            <w:tcW w:w="1596" w:type="dxa"/>
            <w:vMerge/>
            <w:tcBorders>
              <w:top w:val="single" w:sz="4" w:space="0" w:color="auto"/>
              <w:left w:val="single" w:sz="4" w:space="0" w:color="auto"/>
              <w:bottom w:val="single" w:sz="4" w:space="0" w:color="auto"/>
              <w:right w:val="single" w:sz="4" w:space="0" w:color="auto"/>
            </w:tcBorders>
            <w:vAlign w:val="center"/>
            <w:hideMark/>
          </w:tcPr>
          <w:p w14:paraId="4FC60F61" w14:textId="77777777" w:rsidR="00654783" w:rsidRDefault="00654783">
            <w:pPr>
              <w:widowControl/>
              <w:autoSpaceDE/>
              <w:autoSpaceDN/>
              <w:adjustRightInd/>
              <w:rPr>
                <w:rFonts w:eastAsia="Calibri" w:cs="Times New Roman"/>
                <w:color w:val="000000"/>
                <w:sz w:val="21"/>
                <w:szCs w:val="21"/>
                <w:lang w:eastAsia="en-US"/>
              </w:rPr>
            </w:pPr>
          </w:p>
        </w:tc>
        <w:tc>
          <w:tcPr>
            <w:tcW w:w="2119"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7C48DDCB" w14:textId="77777777" w:rsidR="00654783" w:rsidRDefault="00654783">
            <w:pPr>
              <w:widowControl/>
              <w:autoSpaceDE/>
              <w:adjustRightInd/>
              <w:spacing w:line="240" w:lineRule="auto"/>
              <w:rPr>
                <w:rFonts w:eastAsia="Calibri" w:cs="Times New Roman"/>
                <w:color w:val="000000"/>
                <w:sz w:val="21"/>
                <w:szCs w:val="21"/>
                <w:lang w:eastAsia="en-US"/>
              </w:rPr>
            </w:pPr>
            <w:r>
              <w:rPr>
                <w:rFonts w:eastAsia="Calibri" w:cs="Times New Roman"/>
                <w:color w:val="000000"/>
                <w:sz w:val="21"/>
                <w:szCs w:val="21"/>
                <w:lang w:eastAsia="en-US"/>
              </w:rPr>
              <w:fldChar w:fldCharType="begin">
                <w:ffData>
                  <w:name w:val=""/>
                  <w:enabled/>
                  <w:calcOnExit/>
                  <w:exitMacro w:val="UpdateHeader"/>
                  <w:helpText w:type="text" w:val="Wpisz na jaką grupę docelową będzie miała wpływ projektowana regulacja. Możesz zawężić zakres grupy przez doprecyzowanie: np &quot;małe i średnie przedsiębiorstwa rozliczające się metodą kasową z podatku VAT&quot;"/>
                  <w:statusText w:type="text" w:val="Wpisz na jaką grupę docelową będzie miała wpływ projektowana regulacja"/>
                  <w:textInput>
                    <w:default w:val="(dodaj/usuń)"/>
                    <w:maxLength w:val="1000"/>
                  </w:textInput>
                </w:ffData>
              </w:fldChar>
            </w:r>
            <w:r>
              <w:rPr>
                <w:rFonts w:eastAsia="Calibri" w:cs="Times New Roman"/>
                <w:color w:val="000000"/>
                <w:sz w:val="21"/>
                <w:szCs w:val="21"/>
                <w:lang w:eastAsia="en-US"/>
              </w:rPr>
              <w:instrText xml:space="preserve"> FORMTEXT </w:instrText>
            </w:r>
            <w:r>
              <w:rPr>
                <w:rFonts w:eastAsia="Calibri" w:cs="Times New Roman"/>
                <w:color w:val="000000"/>
                <w:sz w:val="21"/>
                <w:szCs w:val="21"/>
                <w:lang w:eastAsia="en-US"/>
              </w:rPr>
            </w:r>
            <w:r>
              <w:rPr>
                <w:rFonts w:eastAsia="Calibri" w:cs="Times New Roman"/>
                <w:color w:val="000000"/>
                <w:sz w:val="21"/>
                <w:szCs w:val="21"/>
                <w:lang w:eastAsia="en-US"/>
              </w:rPr>
              <w:fldChar w:fldCharType="separate"/>
            </w:r>
            <w:r>
              <w:rPr>
                <w:rFonts w:eastAsia="Calibri" w:cs="Times New Roman"/>
                <w:noProof/>
                <w:color w:val="000000"/>
                <w:sz w:val="21"/>
                <w:szCs w:val="21"/>
                <w:lang w:eastAsia="en-US"/>
              </w:rPr>
              <w:t>(dodaj/usuń)</w:t>
            </w:r>
            <w:r>
              <w:rPr>
                <w:rFonts w:eastAsia="Calibri" w:cs="Times New Roman"/>
                <w:color w:val="000000"/>
                <w:sz w:val="21"/>
                <w:szCs w:val="21"/>
                <w:lang w:eastAsia="en-US"/>
              </w:rPr>
              <w:fldChar w:fldCharType="end"/>
            </w:r>
          </w:p>
        </w:tc>
        <w:tc>
          <w:tcPr>
            <w:tcW w:w="7222" w:type="dxa"/>
            <w:gridSpan w:val="22"/>
            <w:tcBorders>
              <w:top w:val="single" w:sz="4" w:space="0" w:color="auto"/>
              <w:left w:val="single" w:sz="4" w:space="0" w:color="auto"/>
              <w:bottom w:val="single" w:sz="4" w:space="0" w:color="auto"/>
              <w:right w:val="single" w:sz="4" w:space="0" w:color="auto"/>
            </w:tcBorders>
            <w:shd w:val="clear" w:color="auto" w:fill="FFFFFF"/>
          </w:tcPr>
          <w:p w14:paraId="1271A19F" w14:textId="77777777" w:rsidR="00654783" w:rsidRDefault="00654783">
            <w:pPr>
              <w:widowControl/>
              <w:autoSpaceDE/>
              <w:adjustRightInd/>
              <w:spacing w:line="240" w:lineRule="auto"/>
              <w:rPr>
                <w:rFonts w:eastAsia="Calibri" w:cs="Times New Roman"/>
                <w:color w:val="000000"/>
                <w:spacing w:val="-2"/>
                <w:sz w:val="21"/>
                <w:szCs w:val="21"/>
                <w:lang w:eastAsia="en-US"/>
              </w:rPr>
            </w:pPr>
          </w:p>
        </w:tc>
      </w:tr>
      <w:tr w:rsidR="00654783" w14:paraId="3FAEBF08" w14:textId="77777777" w:rsidTr="00CA6AF1">
        <w:trPr>
          <w:gridAfter w:val="1"/>
          <w:wAfter w:w="10" w:type="dxa"/>
          <w:trHeight w:val="1643"/>
        </w:trPr>
        <w:tc>
          <w:tcPr>
            <w:tcW w:w="224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610C2EBF" w14:textId="77777777" w:rsidR="00654783" w:rsidRDefault="00654783">
            <w:pPr>
              <w:widowControl/>
              <w:autoSpaceDE/>
              <w:adjustRightInd/>
              <w:spacing w:line="240" w:lineRule="auto"/>
              <w:rPr>
                <w:rFonts w:eastAsia="Calibri" w:cs="Times New Roman"/>
                <w:color w:val="000000"/>
                <w:sz w:val="21"/>
                <w:szCs w:val="21"/>
                <w:lang w:eastAsia="en-US"/>
              </w:rPr>
            </w:pPr>
            <w:r>
              <w:rPr>
                <w:rFonts w:eastAsia="Calibri" w:cs="Times New Roman"/>
                <w:color w:val="000000"/>
                <w:sz w:val="21"/>
                <w:szCs w:val="21"/>
                <w:lang w:eastAsia="en-US"/>
              </w:rPr>
              <w:t xml:space="preserve">Dodatkowe informacje, w tym wskazanie źródeł danych i przyjętych do obliczeń założeń </w:t>
            </w:r>
          </w:p>
        </w:tc>
        <w:tc>
          <w:tcPr>
            <w:tcW w:w="8694" w:type="dxa"/>
            <w:gridSpan w:val="26"/>
            <w:tcBorders>
              <w:top w:val="single" w:sz="4" w:space="0" w:color="auto"/>
              <w:left w:val="single" w:sz="4" w:space="0" w:color="auto"/>
              <w:bottom w:val="single" w:sz="4" w:space="0" w:color="auto"/>
              <w:right w:val="single" w:sz="4" w:space="0" w:color="auto"/>
            </w:tcBorders>
            <w:shd w:val="clear" w:color="auto" w:fill="FFFFFF"/>
            <w:vAlign w:val="center"/>
            <w:hideMark/>
          </w:tcPr>
          <w:p w14:paraId="2B6A31ED" w14:textId="77777777" w:rsidR="00654783" w:rsidRDefault="00654783">
            <w:pPr>
              <w:widowControl/>
              <w:autoSpaceDE/>
              <w:adjustRightInd/>
              <w:spacing w:line="240" w:lineRule="auto"/>
              <w:jc w:val="both"/>
              <w:rPr>
                <w:rFonts w:eastAsia="Calibri" w:cs="Times New Roman"/>
                <w:color w:val="000000"/>
                <w:sz w:val="21"/>
                <w:szCs w:val="21"/>
                <w:lang w:eastAsia="en-US"/>
              </w:rPr>
            </w:pPr>
            <w:r>
              <w:rPr>
                <w:rFonts w:eastAsia="Calibri" w:cs="Times New Roman"/>
                <w:color w:val="000000"/>
                <w:sz w:val="21"/>
                <w:szCs w:val="21"/>
                <w:lang w:eastAsia="en-US"/>
              </w:rPr>
              <w:t xml:space="preserve">Według badania OECD </w:t>
            </w:r>
            <w:hyperlink r:id="rId24" w:history="1">
              <w:proofErr w:type="spellStart"/>
              <w:r>
                <w:rPr>
                  <w:rStyle w:val="Hipercze"/>
                  <w:rFonts w:eastAsia="Calibri" w:cs="Times New Roman"/>
                  <w:i/>
                  <w:sz w:val="22"/>
                  <w:szCs w:val="22"/>
                  <w:lang w:eastAsia="en-US"/>
                </w:rPr>
                <w:t>Enhancing</w:t>
              </w:r>
              <w:proofErr w:type="spellEnd"/>
              <w:r>
                <w:rPr>
                  <w:rStyle w:val="Hipercze"/>
                  <w:rFonts w:eastAsia="Calibri" w:cs="Times New Roman"/>
                  <w:i/>
                  <w:sz w:val="22"/>
                  <w:szCs w:val="22"/>
                  <w:lang w:eastAsia="en-US"/>
                </w:rPr>
                <w:t xml:space="preserve"> Access to and </w:t>
              </w:r>
              <w:proofErr w:type="spellStart"/>
              <w:r>
                <w:rPr>
                  <w:rStyle w:val="Hipercze"/>
                  <w:rFonts w:eastAsia="Calibri" w:cs="Times New Roman"/>
                  <w:i/>
                  <w:sz w:val="22"/>
                  <w:szCs w:val="22"/>
                  <w:lang w:eastAsia="en-US"/>
                </w:rPr>
                <w:t>Sharing</w:t>
              </w:r>
              <w:proofErr w:type="spellEnd"/>
              <w:r>
                <w:rPr>
                  <w:rStyle w:val="Hipercze"/>
                  <w:rFonts w:eastAsia="Calibri" w:cs="Times New Roman"/>
                  <w:i/>
                  <w:sz w:val="22"/>
                  <w:szCs w:val="22"/>
                  <w:lang w:eastAsia="en-US"/>
                </w:rPr>
                <w:t xml:space="preserve"> of Data: </w:t>
              </w:r>
              <w:proofErr w:type="spellStart"/>
              <w:r>
                <w:rPr>
                  <w:rStyle w:val="Hipercze"/>
                  <w:rFonts w:eastAsia="Calibri" w:cs="Times New Roman"/>
                  <w:i/>
                  <w:sz w:val="22"/>
                  <w:szCs w:val="22"/>
                  <w:lang w:eastAsia="en-US"/>
                </w:rPr>
                <w:t>Reconciling</w:t>
              </w:r>
              <w:proofErr w:type="spellEnd"/>
              <w:r>
                <w:rPr>
                  <w:rStyle w:val="Hipercze"/>
                  <w:rFonts w:eastAsia="Calibri" w:cs="Times New Roman"/>
                  <w:i/>
                  <w:sz w:val="22"/>
                  <w:szCs w:val="22"/>
                  <w:lang w:eastAsia="en-US"/>
                </w:rPr>
                <w:t xml:space="preserve"> </w:t>
              </w:r>
              <w:proofErr w:type="spellStart"/>
              <w:r>
                <w:rPr>
                  <w:rStyle w:val="Hipercze"/>
                  <w:rFonts w:eastAsia="Calibri" w:cs="Times New Roman"/>
                  <w:i/>
                  <w:sz w:val="22"/>
                  <w:szCs w:val="22"/>
                  <w:lang w:eastAsia="en-US"/>
                </w:rPr>
                <w:t>Risks</w:t>
              </w:r>
              <w:proofErr w:type="spellEnd"/>
              <w:r>
                <w:rPr>
                  <w:rStyle w:val="Hipercze"/>
                  <w:rFonts w:eastAsia="Calibri" w:cs="Times New Roman"/>
                  <w:i/>
                  <w:sz w:val="22"/>
                  <w:szCs w:val="22"/>
                  <w:lang w:eastAsia="en-US"/>
                </w:rPr>
                <w:t xml:space="preserve"> and </w:t>
              </w:r>
              <w:proofErr w:type="spellStart"/>
              <w:r>
                <w:rPr>
                  <w:rStyle w:val="Hipercze"/>
                  <w:rFonts w:eastAsia="Calibri" w:cs="Times New Roman"/>
                  <w:i/>
                  <w:sz w:val="22"/>
                  <w:szCs w:val="22"/>
                  <w:lang w:eastAsia="en-US"/>
                </w:rPr>
                <w:t>Benefits</w:t>
              </w:r>
              <w:proofErr w:type="spellEnd"/>
              <w:r>
                <w:rPr>
                  <w:rStyle w:val="Hipercze"/>
                  <w:rFonts w:eastAsia="Calibri" w:cs="Times New Roman"/>
                  <w:i/>
                  <w:sz w:val="22"/>
                  <w:szCs w:val="22"/>
                  <w:lang w:eastAsia="en-US"/>
                </w:rPr>
                <w:t xml:space="preserve"> for Data Re-</w:t>
              </w:r>
              <w:proofErr w:type="spellStart"/>
              <w:r>
                <w:rPr>
                  <w:rStyle w:val="Hipercze"/>
                  <w:rFonts w:eastAsia="Calibri" w:cs="Times New Roman"/>
                  <w:i/>
                  <w:sz w:val="22"/>
                  <w:szCs w:val="22"/>
                  <w:lang w:eastAsia="en-US"/>
                </w:rPr>
                <w:t>use</w:t>
              </w:r>
              <w:proofErr w:type="spellEnd"/>
              <w:r>
                <w:rPr>
                  <w:rStyle w:val="Hipercze"/>
                  <w:rFonts w:eastAsia="Calibri" w:cs="Times New Roman"/>
                  <w:i/>
                  <w:sz w:val="22"/>
                  <w:szCs w:val="22"/>
                  <w:lang w:eastAsia="en-US"/>
                </w:rPr>
                <w:t xml:space="preserve"> </w:t>
              </w:r>
              <w:proofErr w:type="spellStart"/>
              <w:r>
                <w:rPr>
                  <w:rStyle w:val="Hipercze"/>
                  <w:rFonts w:eastAsia="Calibri" w:cs="Times New Roman"/>
                  <w:i/>
                  <w:sz w:val="22"/>
                  <w:szCs w:val="22"/>
                  <w:lang w:eastAsia="en-US"/>
                </w:rPr>
                <w:t>across</w:t>
              </w:r>
              <w:proofErr w:type="spellEnd"/>
              <w:r>
                <w:rPr>
                  <w:rStyle w:val="Hipercze"/>
                  <w:rFonts w:eastAsia="Calibri" w:cs="Times New Roman"/>
                  <w:i/>
                  <w:sz w:val="22"/>
                  <w:szCs w:val="22"/>
                  <w:lang w:eastAsia="en-US"/>
                </w:rPr>
                <w:t xml:space="preserve"> </w:t>
              </w:r>
              <w:proofErr w:type="spellStart"/>
              <w:r>
                <w:rPr>
                  <w:rStyle w:val="Hipercze"/>
                  <w:rFonts w:eastAsia="Calibri" w:cs="Times New Roman"/>
                  <w:i/>
                  <w:sz w:val="22"/>
                  <w:szCs w:val="22"/>
                  <w:lang w:eastAsia="en-US"/>
                </w:rPr>
                <w:t>Societies</w:t>
              </w:r>
              <w:proofErr w:type="spellEnd"/>
              <w:r>
                <w:rPr>
                  <w:rStyle w:val="Hipercze"/>
                  <w:rFonts w:eastAsia="Calibri" w:cs="Times New Roman"/>
                  <w:sz w:val="22"/>
                  <w:szCs w:val="22"/>
                  <w:lang w:eastAsia="en-US"/>
                </w:rPr>
                <w:t xml:space="preserve"> (OECD Publishing, Paris, 2019</w:t>
              </w:r>
            </w:hyperlink>
            <w:r>
              <w:rPr>
                <w:rFonts w:eastAsia="Calibri" w:cs="Times New Roman"/>
                <w:sz w:val="22"/>
                <w:szCs w:val="22"/>
                <w:lang w:eastAsia="en-US"/>
              </w:rPr>
              <w:t xml:space="preserve">) </w:t>
            </w:r>
            <w:r>
              <w:rPr>
                <w:rFonts w:eastAsia="Calibri" w:cs="Times New Roman"/>
                <w:color w:val="000000"/>
                <w:sz w:val="21"/>
                <w:szCs w:val="21"/>
                <w:lang w:eastAsia="en-US"/>
              </w:rPr>
              <w:t xml:space="preserve">dostęp do danych i dzielenie się nimi może generować korzyści społeczne i gospodarcze o wartości do 1,5% PKB w przypadku danych publicznych i od 1% do 4% PKB, gdy uwzględnia się również dane prywatne. Badanie zlecone przez KE nt. europejskiego rynku danych </w:t>
            </w:r>
            <w:hyperlink r:id="rId25" w:history="1">
              <w:proofErr w:type="spellStart"/>
              <w:r>
                <w:rPr>
                  <w:rStyle w:val="Hipercze"/>
                  <w:rFonts w:eastAsia="Calibri" w:cs="Times New Roman"/>
                  <w:i/>
                  <w:sz w:val="21"/>
                  <w:szCs w:val="21"/>
                  <w:lang w:eastAsia="en-US"/>
                </w:rPr>
                <w:t>European</w:t>
              </w:r>
              <w:proofErr w:type="spellEnd"/>
              <w:r>
                <w:rPr>
                  <w:rStyle w:val="Hipercze"/>
                  <w:rFonts w:eastAsia="Calibri" w:cs="Times New Roman"/>
                  <w:i/>
                  <w:sz w:val="21"/>
                  <w:szCs w:val="21"/>
                  <w:lang w:eastAsia="en-US"/>
                </w:rPr>
                <w:t xml:space="preserve"> Data Market </w:t>
              </w:r>
              <w:proofErr w:type="spellStart"/>
              <w:r>
                <w:rPr>
                  <w:rStyle w:val="Hipercze"/>
                  <w:rFonts w:eastAsia="Calibri" w:cs="Times New Roman"/>
                  <w:i/>
                  <w:sz w:val="21"/>
                  <w:szCs w:val="21"/>
                  <w:lang w:eastAsia="en-US"/>
                </w:rPr>
                <w:t>Monotoring</w:t>
              </w:r>
              <w:proofErr w:type="spellEnd"/>
              <w:r>
                <w:rPr>
                  <w:rStyle w:val="Hipercze"/>
                  <w:rFonts w:eastAsia="Calibri" w:cs="Times New Roman"/>
                  <w:i/>
                  <w:sz w:val="21"/>
                  <w:szCs w:val="21"/>
                  <w:lang w:eastAsia="en-US"/>
                </w:rPr>
                <w:t xml:space="preserve"> </w:t>
              </w:r>
              <w:proofErr w:type="spellStart"/>
              <w:r>
                <w:rPr>
                  <w:rStyle w:val="Hipercze"/>
                  <w:rFonts w:eastAsia="Calibri" w:cs="Times New Roman"/>
                  <w:i/>
                  <w:sz w:val="21"/>
                  <w:szCs w:val="21"/>
                  <w:lang w:eastAsia="en-US"/>
                </w:rPr>
                <w:t>Tool</w:t>
              </w:r>
              <w:proofErr w:type="spellEnd"/>
              <w:r>
                <w:rPr>
                  <w:rStyle w:val="Hipercze"/>
                  <w:rFonts w:eastAsia="Calibri" w:cs="Times New Roman"/>
                  <w:i/>
                  <w:sz w:val="21"/>
                  <w:szCs w:val="21"/>
                  <w:lang w:eastAsia="en-US"/>
                </w:rPr>
                <w:t xml:space="preserve"> 2021</w:t>
              </w:r>
            </w:hyperlink>
            <w:r>
              <w:rPr>
                <w:rFonts w:eastAsia="Calibri" w:cs="Times New Roman"/>
                <w:i/>
                <w:color w:val="000000"/>
                <w:sz w:val="22"/>
                <w:szCs w:val="22"/>
                <w:lang w:eastAsia="en-US"/>
              </w:rPr>
              <w:t xml:space="preserve"> </w:t>
            </w:r>
            <w:r>
              <w:rPr>
                <w:rFonts w:eastAsia="Calibri" w:cs="Times New Roman"/>
                <w:color w:val="000000"/>
                <w:sz w:val="21"/>
                <w:szCs w:val="21"/>
                <w:lang w:eastAsia="en-US"/>
              </w:rPr>
              <w:t>wskazuje z kolei, że wielkość rynku danych wynosiła w 2020 r. 60,6 mln euro dla krajów UE (wzrost o 3,8% w stosunku do 2019).</w:t>
            </w:r>
          </w:p>
          <w:p w14:paraId="240A1117" w14:textId="6C1D74F7" w:rsidR="00654783" w:rsidRDefault="00654783">
            <w:pPr>
              <w:widowControl/>
              <w:autoSpaceDE/>
              <w:adjustRightInd/>
              <w:spacing w:before="120" w:line="240" w:lineRule="auto"/>
              <w:jc w:val="both"/>
              <w:rPr>
                <w:rFonts w:eastAsia="Calibri" w:cs="Times New Roman"/>
                <w:color w:val="000000"/>
                <w:sz w:val="21"/>
                <w:szCs w:val="21"/>
                <w:lang w:eastAsia="en-US"/>
              </w:rPr>
            </w:pPr>
            <w:r>
              <w:rPr>
                <w:rFonts w:eastAsia="Calibri" w:cs="Times New Roman"/>
                <w:color w:val="000000"/>
                <w:sz w:val="21"/>
                <w:szCs w:val="21"/>
                <w:lang w:eastAsia="en-US"/>
              </w:rPr>
              <w:t>W przypadku Polski, wartość rynku danych w 2020 r. wyniosła 2,2 mln euro, w latach następnych prognozowany jest jego wzrost</w:t>
            </w:r>
            <w:r w:rsidR="007A0723">
              <w:rPr>
                <w:rFonts w:eastAsia="Calibri" w:cs="Times New Roman"/>
                <w:color w:val="000000"/>
                <w:sz w:val="21"/>
                <w:szCs w:val="21"/>
                <w:lang w:eastAsia="en-US"/>
              </w:rPr>
              <w:t>.</w:t>
            </w:r>
            <w:r>
              <w:rPr>
                <w:rFonts w:eastAsia="Calibri" w:cs="Times New Roman"/>
                <w:color w:val="000000"/>
                <w:sz w:val="21"/>
                <w:szCs w:val="21"/>
                <w:lang w:eastAsia="en-US"/>
              </w:rPr>
              <w:t xml:space="preserve"> W Polsce w 2020 r. funkcjonowało około 6,2 tys. firm z zakresu tzw. przemysłu danych (data </w:t>
            </w:r>
            <w:proofErr w:type="spellStart"/>
            <w:r>
              <w:rPr>
                <w:rFonts w:eastAsia="Calibri" w:cs="Times New Roman"/>
                <w:color w:val="000000"/>
                <w:sz w:val="21"/>
                <w:szCs w:val="21"/>
                <w:lang w:eastAsia="en-US"/>
              </w:rPr>
              <w:t>companies</w:t>
            </w:r>
            <w:proofErr w:type="spellEnd"/>
            <w:r>
              <w:rPr>
                <w:rFonts w:eastAsia="Calibri" w:cs="Times New Roman"/>
                <w:color w:val="000000"/>
                <w:sz w:val="21"/>
                <w:szCs w:val="21"/>
                <w:lang w:eastAsia="en-US"/>
              </w:rPr>
              <w:t xml:space="preserve">), oraz pracowało około 530 tys. pracowników w branżach </w:t>
            </w:r>
            <w:r>
              <w:rPr>
                <w:rFonts w:eastAsia="Calibri" w:cs="Times New Roman"/>
                <w:color w:val="000000"/>
                <w:sz w:val="21"/>
                <w:szCs w:val="21"/>
                <w:lang w:eastAsia="en-US"/>
              </w:rPr>
              <w:lastRenderedPageBreak/>
              <w:t xml:space="preserve">związanych z przetwarzaniem danych (zob. publikacja </w:t>
            </w:r>
            <w:hyperlink r:id="rId26" w:history="1">
              <w:r>
                <w:rPr>
                  <w:rStyle w:val="Hipercze"/>
                  <w:rFonts w:eastAsia="Calibri" w:cs="Times New Roman"/>
                  <w:i/>
                  <w:sz w:val="22"/>
                  <w:szCs w:val="22"/>
                  <w:lang w:eastAsia="en-US"/>
                </w:rPr>
                <w:t xml:space="preserve">The </w:t>
              </w:r>
              <w:proofErr w:type="spellStart"/>
              <w:r>
                <w:rPr>
                  <w:rStyle w:val="Hipercze"/>
                  <w:rFonts w:eastAsia="Calibri" w:cs="Times New Roman"/>
                  <w:i/>
                  <w:sz w:val="22"/>
                  <w:szCs w:val="22"/>
                  <w:lang w:eastAsia="en-US"/>
                </w:rPr>
                <w:t>European</w:t>
              </w:r>
              <w:proofErr w:type="spellEnd"/>
              <w:r>
                <w:rPr>
                  <w:rStyle w:val="Hipercze"/>
                  <w:rFonts w:eastAsia="Calibri" w:cs="Times New Roman"/>
                  <w:i/>
                  <w:sz w:val="22"/>
                  <w:szCs w:val="22"/>
                  <w:lang w:eastAsia="en-US"/>
                </w:rPr>
                <w:t xml:space="preserve"> Data Market Monitoring </w:t>
              </w:r>
              <w:proofErr w:type="spellStart"/>
              <w:r>
                <w:rPr>
                  <w:rStyle w:val="Hipercze"/>
                  <w:rFonts w:eastAsia="Calibri" w:cs="Times New Roman"/>
                  <w:i/>
                  <w:sz w:val="22"/>
                  <w:szCs w:val="22"/>
                  <w:lang w:eastAsia="en-US"/>
                </w:rPr>
                <w:t>Tool</w:t>
              </w:r>
              <w:proofErr w:type="spellEnd"/>
              <w:r>
                <w:rPr>
                  <w:rStyle w:val="Hipercze"/>
                  <w:rFonts w:eastAsia="Calibri" w:cs="Times New Roman"/>
                  <w:sz w:val="22"/>
                  <w:szCs w:val="22"/>
                  <w:lang w:eastAsia="en-US"/>
                </w:rPr>
                <w:t>, 2021</w:t>
              </w:r>
            </w:hyperlink>
            <w:r>
              <w:rPr>
                <w:rFonts w:eastAsia="Calibri" w:cs="Times New Roman"/>
                <w:sz w:val="22"/>
                <w:szCs w:val="22"/>
                <w:lang w:eastAsia="en-US"/>
              </w:rPr>
              <w:t>)</w:t>
            </w:r>
            <w:r>
              <w:rPr>
                <w:rFonts w:eastAsia="Calibri" w:cs="Times New Roman"/>
                <w:color w:val="000000"/>
                <w:sz w:val="21"/>
                <w:szCs w:val="21"/>
                <w:lang w:eastAsia="en-US"/>
              </w:rPr>
              <w:t>.</w:t>
            </w:r>
          </w:p>
          <w:p w14:paraId="313E577A" w14:textId="7F7FAC18" w:rsidR="00654783" w:rsidRDefault="00654783">
            <w:pPr>
              <w:widowControl/>
              <w:autoSpaceDE/>
              <w:adjustRightInd/>
              <w:spacing w:before="120" w:line="240" w:lineRule="auto"/>
              <w:jc w:val="both"/>
              <w:rPr>
                <w:rFonts w:eastAsia="Calibri" w:cs="Times New Roman"/>
                <w:color w:val="000000"/>
                <w:sz w:val="21"/>
                <w:szCs w:val="21"/>
                <w:lang w:eastAsia="en-US"/>
              </w:rPr>
            </w:pPr>
            <w:r>
              <w:rPr>
                <w:rFonts w:eastAsia="Calibri" w:cs="Times New Roman"/>
                <w:color w:val="000000"/>
                <w:sz w:val="21"/>
                <w:szCs w:val="21"/>
                <w:lang w:eastAsia="en-US"/>
              </w:rPr>
              <w:t xml:space="preserve">Badacze z SGH na zlecenie Ministerstwa Cyfryzacji zbadali stopień intensywności oparcia gospodarki o dane w poszczególnych krajach UE (mierzący zakres, w jakim przedsiębiorstwa wykorzystują modele biznesowe oparte na danych cyfrowych i ich wymianie). Według opracowanego przez nich raportu </w:t>
            </w:r>
            <w:r>
              <w:rPr>
                <w:rFonts w:eastAsia="Calibri" w:cs="Times New Roman"/>
                <w:i/>
                <w:color w:val="000000"/>
                <w:sz w:val="22"/>
                <w:szCs w:val="22"/>
                <w:lang w:eastAsia="en-US"/>
              </w:rPr>
              <w:t>Intensywność wykorzystania danych w gospodarce a jej rozwój. Analiza diagnostyczna</w:t>
            </w:r>
            <w:r>
              <w:rPr>
                <w:rFonts w:eastAsia="Calibri" w:cs="Times New Roman"/>
                <w:color w:val="000000"/>
                <w:sz w:val="22"/>
                <w:szCs w:val="22"/>
                <w:lang w:eastAsia="en-US"/>
              </w:rPr>
              <w:t>, red. Grzegorz Koloch i in., Warszawa, 2017</w:t>
            </w:r>
            <w:r>
              <w:rPr>
                <w:rFonts w:eastAsia="Calibri" w:cs="Times New Roman"/>
                <w:sz w:val="22"/>
                <w:szCs w:val="22"/>
                <w:lang w:eastAsia="en-US"/>
              </w:rPr>
              <w:t>, n</w:t>
            </w:r>
            <w:r>
              <w:rPr>
                <w:rFonts w:eastAsia="Calibri" w:cs="Times New Roman"/>
                <w:color w:val="000000"/>
                <w:sz w:val="21"/>
                <w:szCs w:val="21"/>
                <w:lang w:eastAsia="en-US"/>
              </w:rPr>
              <w:t>a</w:t>
            </w:r>
            <w:r w:rsidR="002529AC">
              <w:rPr>
                <w:rFonts w:eastAsia="Calibri" w:cs="Times New Roman"/>
                <w:color w:val="000000"/>
                <w:sz w:val="21"/>
                <w:szCs w:val="21"/>
                <w:lang w:eastAsia="en-US"/>
              </w:rPr>
              <w:t>jwiększe wykorzystanie danych w </w:t>
            </w:r>
            <w:r>
              <w:rPr>
                <w:rFonts w:eastAsia="Calibri" w:cs="Times New Roman"/>
                <w:color w:val="000000"/>
                <w:sz w:val="21"/>
                <w:szCs w:val="21"/>
                <w:lang w:eastAsia="en-US"/>
              </w:rPr>
              <w:t>gospodarce odnotowywane jest w państwach skandynawskich, z Finlandią na czele (37%), natomiast najniższe w Grecji (11%) i Rumunii (12%). Polska sytuuje się poniżej średniej UE (tj. 21,04%) z wykorzystaniem danych na poziomie 17%. Autorzy raportu ustalili również, że choć Polska charakteryzuje się intensywnością wykorzystania danych poniżej średniej UE, to jednak wykorzystanie danych ma ponadprzeciętnie wysoki udział w łącznej produktywności gospodarki, nawet na tle państw o wiodącej w UE intensywności wykorzystania danych. Polska należy więc do gospodarek, w których zwiększanie intensywności oparcia działalności gospodarczej o dane skutkuje ponadprzeciętnym efektem w postaci przyrostu produktu w porównaniu do innych sposobów jego zwiększania.</w:t>
            </w:r>
          </w:p>
        </w:tc>
      </w:tr>
      <w:tr w:rsidR="00654783" w14:paraId="0B25AE56" w14:textId="77777777" w:rsidTr="00CA6AF1">
        <w:trPr>
          <w:gridAfter w:val="1"/>
          <w:wAfter w:w="10" w:type="dxa"/>
          <w:trHeight w:val="342"/>
        </w:trPr>
        <w:tc>
          <w:tcPr>
            <w:tcW w:w="10937" w:type="dxa"/>
            <w:gridSpan w:val="28"/>
            <w:tcBorders>
              <w:top w:val="single" w:sz="4" w:space="0" w:color="auto"/>
              <w:left w:val="single" w:sz="4" w:space="0" w:color="auto"/>
              <w:bottom w:val="single" w:sz="4" w:space="0" w:color="auto"/>
              <w:right w:val="single" w:sz="4" w:space="0" w:color="auto"/>
            </w:tcBorders>
            <w:shd w:val="clear" w:color="auto" w:fill="99CCFF"/>
            <w:vAlign w:val="center"/>
            <w:hideMark/>
          </w:tcPr>
          <w:p w14:paraId="2DE37C56" w14:textId="77777777" w:rsidR="00654783" w:rsidRDefault="00654783" w:rsidP="00654783">
            <w:pPr>
              <w:widowControl/>
              <w:numPr>
                <w:ilvl w:val="0"/>
                <w:numId w:val="18"/>
              </w:numPr>
              <w:autoSpaceDE/>
              <w:adjustRightInd/>
              <w:spacing w:before="60" w:after="60" w:line="240" w:lineRule="auto"/>
              <w:ind w:left="318" w:hanging="284"/>
              <w:jc w:val="both"/>
              <w:rPr>
                <w:rFonts w:eastAsia="Calibri" w:cs="Times New Roman"/>
                <w:b/>
                <w:color w:val="000000"/>
                <w:sz w:val="22"/>
                <w:szCs w:val="22"/>
                <w:lang w:eastAsia="en-US"/>
              </w:rPr>
            </w:pPr>
            <w:r>
              <w:rPr>
                <w:rFonts w:eastAsia="Calibri" w:cs="Times New Roman"/>
                <w:b/>
                <w:color w:val="000000"/>
                <w:sz w:val="22"/>
                <w:szCs w:val="22"/>
                <w:lang w:eastAsia="en-US"/>
              </w:rPr>
              <w:lastRenderedPageBreak/>
              <w:t xml:space="preserve"> Zmiana obciążeń regulacyjnych (w tym obowiązków informacyjnych) wynikających z projektu</w:t>
            </w:r>
          </w:p>
        </w:tc>
      </w:tr>
      <w:tr w:rsidR="00654783" w14:paraId="236D4466" w14:textId="77777777" w:rsidTr="00CA6AF1">
        <w:trPr>
          <w:gridAfter w:val="1"/>
          <w:wAfter w:w="10" w:type="dxa"/>
          <w:trHeight w:val="151"/>
        </w:trPr>
        <w:tc>
          <w:tcPr>
            <w:tcW w:w="10937" w:type="dxa"/>
            <w:gridSpan w:val="28"/>
            <w:tcBorders>
              <w:top w:val="single" w:sz="4" w:space="0" w:color="auto"/>
              <w:left w:val="single" w:sz="4" w:space="0" w:color="auto"/>
              <w:bottom w:val="single" w:sz="4" w:space="0" w:color="auto"/>
              <w:right w:val="single" w:sz="4" w:space="0" w:color="auto"/>
            </w:tcBorders>
            <w:shd w:val="clear" w:color="auto" w:fill="FFFFFF"/>
            <w:hideMark/>
          </w:tcPr>
          <w:p w14:paraId="3F9DCA78" w14:textId="77777777" w:rsidR="00654783" w:rsidRDefault="00654783">
            <w:pPr>
              <w:widowControl/>
              <w:autoSpaceDE/>
              <w:adjustRightInd/>
              <w:spacing w:line="240" w:lineRule="auto"/>
              <w:rPr>
                <w:rFonts w:eastAsia="Calibri" w:cs="Times New Roman"/>
                <w:color w:val="000000"/>
                <w:sz w:val="22"/>
                <w:szCs w:val="22"/>
                <w:lang w:eastAsia="en-US"/>
              </w:rPr>
            </w:pPr>
            <w:r>
              <w:rPr>
                <w:rFonts w:eastAsia="Calibri" w:cs="Times New Roman"/>
                <w:color w:val="000000"/>
                <w:sz w:val="22"/>
                <w:szCs w:val="22"/>
                <w:lang w:eastAsia="en-US"/>
              </w:rPr>
              <w:fldChar w:fldCharType="begin">
                <w:ffData>
                  <w:name w:val="Wybór1"/>
                  <w:enabled/>
                  <w:calcOnExit w:val="0"/>
                  <w:checkBox>
                    <w:sizeAuto/>
                    <w:default w:val="0"/>
                  </w:checkBox>
                </w:ffData>
              </w:fldChar>
            </w:r>
            <w:r>
              <w:rPr>
                <w:rFonts w:eastAsia="Calibri" w:cs="Times New Roman"/>
                <w:color w:val="000000"/>
                <w:sz w:val="22"/>
                <w:szCs w:val="22"/>
                <w:lang w:eastAsia="en-US"/>
              </w:rPr>
              <w:instrText xml:space="preserve"> FORMCHECKBOX </w:instrText>
            </w:r>
            <w:r w:rsidR="00811AAF">
              <w:rPr>
                <w:rFonts w:eastAsia="Calibri" w:cs="Times New Roman"/>
                <w:color w:val="000000"/>
                <w:sz w:val="22"/>
                <w:szCs w:val="22"/>
                <w:lang w:eastAsia="en-US"/>
              </w:rPr>
            </w:r>
            <w:r w:rsidR="00811AAF">
              <w:rPr>
                <w:rFonts w:eastAsia="Calibri" w:cs="Times New Roman"/>
                <w:color w:val="000000"/>
                <w:sz w:val="22"/>
                <w:szCs w:val="22"/>
                <w:lang w:eastAsia="en-US"/>
              </w:rPr>
              <w:fldChar w:fldCharType="separate"/>
            </w:r>
            <w:r>
              <w:rPr>
                <w:rFonts w:eastAsia="Calibri" w:cs="Times New Roman"/>
                <w:color w:val="000000"/>
                <w:sz w:val="22"/>
                <w:szCs w:val="22"/>
                <w:lang w:eastAsia="en-US"/>
              </w:rPr>
              <w:fldChar w:fldCharType="end"/>
            </w:r>
            <w:r>
              <w:rPr>
                <w:rFonts w:eastAsia="Calibri" w:cs="Times New Roman"/>
                <w:color w:val="000000"/>
                <w:sz w:val="22"/>
                <w:szCs w:val="22"/>
                <w:lang w:eastAsia="en-US"/>
              </w:rPr>
              <w:t xml:space="preserve"> </w:t>
            </w:r>
            <w:r>
              <w:rPr>
                <w:rFonts w:eastAsia="Calibri" w:cs="Times New Roman"/>
                <w:color w:val="000000"/>
                <w:spacing w:val="-2"/>
                <w:sz w:val="22"/>
                <w:szCs w:val="22"/>
                <w:lang w:eastAsia="en-US"/>
              </w:rPr>
              <w:t>nie dotyczy</w:t>
            </w:r>
          </w:p>
        </w:tc>
      </w:tr>
      <w:tr w:rsidR="00654783" w14:paraId="27BB0195" w14:textId="77777777" w:rsidTr="00CA6AF1">
        <w:trPr>
          <w:gridAfter w:val="1"/>
          <w:wAfter w:w="10" w:type="dxa"/>
          <w:trHeight w:val="946"/>
        </w:trPr>
        <w:tc>
          <w:tcPr>
            <w:tcW w:w="5111" w:type="dxa"/>
            <w:gridSpan w:val="11"/>
            <w:tcBorders>
              <w:top w:val="single" w:sz="4" w:space="0" w:color="auto"/>
              <w:left w:val="single" w:sz="4" w:space="0" w:color="auto"/>
              <w:bottom w:val="single" w:sz="4" w:space="0" w:color="auto"/>
              <w:right w:val="single" w:sz="4" w:space="0" w:color="auto"/>
            </w:tcBorders>
            <w:shd w:val="clear" w:color="auto" w:fill="FFFFFF"/>
            <w:hideMark/>
          </w:tcPr>
          <w:p w14:paraId="31E5B8A0" w14:textId="77777777" w:rsidR="00654783" w:rsidRDefault="00654783">
            <w:pPr>
              <w:widowControl/>
              <w:autoSpaceDE/>
              <w:adjustRightInd/>
              <w:spacing w:line="276" w:lineRule="auto"/>
              <w:rPr>
                <w:rFonts w:eastAsia="Calibri" w:cs="Times New Roman"/>
                <w:color w:val="000000"/>
                <w:spacing w:val="-2"/>
                <w:sz w:val="22"/>
                <w:szCs w:val="22"/>
                <w:lang w:eastAsia="en-US"/>
              </w:rPr>
            </w:pPr>
            <w:r>
              <w:rPr>
                <w:rFonts w:eastAsia="Calibri" w:cs="Times New Roman"/>
                <w:color w:val="000000"/>
                <w:spacing w:val="-2"/>
                <w:sz w:val="22"/>
                <w:szCs w:val="22"/>
                <w:lang w:eastAsia="en-US"/>
              </w:rPr>
              <w:t xml:space="preserve">Wprowadzane są obciążenia poza bezwzględnie wymaganymi przez UE </w:t>
            </w:r>
            <w:r>
              <w:rPr>
                <w:rFonts w:eastAsia="Calibri" w:cs="Times New Roman"/>
                <w:color w:val="000000"/>
                <w:sz w:val="22"/>
                <w:szCs w:val="22"/>
                <w:lang w:eastAsia="en-US"/>
              </w:rPr>
              <w:t>(szczegóły w odwróconej tabeli zgodności).</w:t>
            </w:r>
          </w:p>
        </w:tc>
        <w:tc>
          <w:tcPr>
            <w:tcW w:w="5826" w:type="dxa"/>
            <w:gridSpan w:val="17"/>
            <w:tcBorders>
              <w:top w:val="single" w:sz="4" w:space="0" w:color="auto"/>
              <w:left w:val="single" w:sz="4" w:space="0" w:color="auto"/>
              <w:bottom w:val="single" w:sz="4" w:space="0" w:color="auto"/>
              <w:right w:val="single" w:sz="4" w:space="0" w:color="auto"/>
            </w:tcBorders>
            <w:shd w:val="clear" w:color="auto" w:fill="FFFFFF"/>
            <w:hideMark/>
          </w:tcPr>
          <w:p w14:paraId="54E8951C" w14:textId="77777777" w:rsidR="00654783" w:rsidRDefault="00654783">
            <w:pPr>
              <w:widowControl/>
              <w:autoSpaceDE/>
              <w:adjustRightInd/>
              <w:spacing w:line="240" w:lineRule="auto"/>
              <w:rPr>
                <w:rFonts w:eastAsia="Calibri" w:cs="Times New Roman"/>
                <w:color w:val="000000"/>
                <w:sz w:val="22"/>
                <w:szCs w:val="22"/>
                <w:lang w:eastAsia="en-US"/>
              </w:rPr>
            </w:pPr>
            <w:r>
              <w:rPr>
                <w:rFonts w:eastAsia="Calibri" w:cs="Times New Roman"/>
                <w:color w:val="000000"/>
                <w:sz w:val="22"/>
                <w:szCs w:val="22"/>
                <w:lang w:eastAsia="en-US"/>
              </w:rPr>
              <w:fldChar w:fldCharType="begin">
                <w:ffData>
                  <w:name w:val="Wybór1"/>
                  <w:enabled/>
                  <w:calcOnExit w:val="0"/>
                  <w:checkBox>
                    <w:sizeAuto/>
                    <w:default w:val="0"/>
                  </w:checkBox>
                </w:ffData>
              </w:fldChar>
            </w:r>
            <w:r>
              <w:rPr>
                <w:rFonts w:eastAsia="Calibri" w:cs="Times New Roman"/>
                <w:color w:val="000000"/>
                <w:sz w:val="22"/>
                <w:szCs w:val="22"/>
                <w:lang w:eastAsia="en-US"/>
              </w:rPr>
              <w:instrText xml:space="preserve"> FORMCHECKBOX </w:instrText>
            </w:r>
            <w:r w:rsidR="00811AAF">
              <w:rPr>
                <w:rFonts w:eastAsia="Calibri" w:cs="Times New Roman"/>
                <w:color w:val="000000"/>
                <w:sz w:val="22"/>
                <w:szCs w:val="22"/>
                <w:lang w:eastAsia="en-US"/>
              </w:rPr>
            </w:r>
            <w:r w:rsidR="00811AAF">
              <w:rPr>
                <w:rFonts w:eastAsia="Calibri" w:cs="Times New Roman"/>
                <w:color w:val="000000"/>
                <w:sz w:val="22"/>
                <w:szCs w:val="22"/>
                <w:lang w:eastAsia="en-US"/>
              </w:rPr>
              <w:fldChar w:fldCharType="separate"/>
            </w:r>
            <w:r>
              <w:rPr>
                <w:rFonts w:eastAsia="Calibri" w:cs="Times New Roman"/>
                <w:color w:val="000000"/>
                <w:sz w:val="22"/>
                <w:szCs w:val="22"/>
                <w:lang w:eastAsia="en-US"/>
              </w:rPr>
              <w:fldChar w:fldCharType="end"/>
            </w:r>
            <w:r>
              <w:rPr>
                <w:rFonts w:eastAsia="Calibri" w:cs="Times New Roman"/>
                <w:color w:val="000000"/>
                <w:sz w:val="22"/>
                <w:szCs w:val="22"/>
                <w:lang w:eastAsia="en-US"/>
              </w:rPr>
              <w:t xml:space="preserve"> tak</w:t>
            </w:r>
          </w:p>
          <w:p w14:paraId="79AD3BD8" w14:textId="77777777" w:rsidR="00654783" w:rsidRDefault="00654783">
            <w:pPr>
              <w:widowControl/>
              <w:autoSpaceDE/>
              <w:adjustRightInd/>
              <w:spacing w:line="240" w:lineRule="auto"/>
              <w:rPr>
                <w:rFonts w:eastAsia="Calibri" w:cs="Times New Roman"/>
                <w:color w:val="000000"/>
                <w:sz w:val="22"/>
                <w:szCs w:val="22"/>
                <w:lang w:eastAsia="en-US"/>
              </w:rPr>
            </w:pPr>
            <w:r>
              <w:rPr>
                <w:rFonts w:eastAsia="Calibri" w:cs="Times New Roman"/>
                <w:color w:val="000000"/>
                <w:sz w:val="22"/>
                <w:szCs w:val="22"/>
                <w:lang w:eastAsia="en-US"/>
              </w:rPr>
              <w:fldChar w:fldCharType="begin">
                <w:ffData>
                  <w:name w:val=""/>
                  <w:enabled/>
                  <w:calcOnExit w:val="0"/>
                  <w:checkBox>
                    <w:sizeAuto/>
                    <w:default w:val="1"/>
                  </w:checkBox>
                </w:ffData>
              </w:fldChar>
            </w:r>
            <w:r>
              <w:rPr>
                <w:rFonts w:eastAsia="Calibri" w:cs="Times New Roman"/>
                <w:color w:val="000000"/>
                <w:sz w:val="22"/>
                <w:szCs w:val="22"/>
                <w:lang w:eastAsia="en-US"/>
              </w:rPr>
              <w:instrText xml:space="preserve"> FORMCHECKBOX </w:instrText>
            </w:r>
            <w:r w:rsidR="00811AAF">
              <w:rPr>
                <w:rFonts w:eastAsia="Calibri" w:cs="Times New Roman"/>
                <w:color w:val="000000"/>
                <w:sz w:val="22"/>
                <w:szCs w:val="22"/>
                <w:lang w:eastAsia="en-US"/>
              </w:rPr>
            </w:r>
            <w:r w:rsidR="00811AAF">
              <w:rPr>
                <w:rFonts w:eastAsia="Calibri" w:cs="Times New Roman"/>
                <w:color w:val="000000"/>
                <w:sz w:val="22"/>
                <w:szCs w:val="22"/>
                <w:lang w:eastAsia="en-US"/>
              </w:rPr>
              <w:fldChar w:fldCharType="separate"/>
            </w:r>
            <w:r>
              <w:rPr>
                <w:rFonts w:eastAsia="Calibri" w:cs="Times New Roman"/>
                <w:color w:val="000000"/>
                <w:sz w:val="22"/>
                <w:szCs w:val="22"/>
                <w:lang w:eastAsia="en-US"/>
              </w:rPr>
              <w:fldChar w:fldCharType="end"/>
            </w:r>
            <w:r>
              <w:rPr>
                <w:rFonts w:eastAsia="Calibri" w:cs="Times New Roman"/>
                <w:color w:val="000000"/>
                <w:sz w:val="22"/>
                <w:szCs w:val="22"/>
                <w:lang w:eastAsia="en-US"/>
              </w:rPr>
              <w:t xml:space="preserve"> nie</w:t>
            </w:r>
          </w:p>
          <w:p w14:paraId="05DDC429" w14:textId="77777777" w:rsidR="00654783" w:rsidRDefault="00654783">
            <w:pPr>
              <w:widowControl/>
              <w:autoSpaceDE/>
              <w:adjustRightInd/>
              <w:spacing w:line="276" w:lineRule="auto"/>
              <w:rPr>
                <w:rFonts w:eastAsia="Calibri" w:cs="Times New Roman"/>
                <w:color w:val="000000"/>
                <w:sz w:val="22"/>
                <w:szCs w:val="22"/>
                <w:lang w:eastAsia="en-US"/>
              </w:rPr>
            </w:pPr>
            <w:r>
              <w:rPr>
                <w:rFonts w:eastAsia="Calibri" w:cs="Times New Roman"/>
                <w:color w:val="000000"/>
                <w:sz w:val="22"/>
                <w:szCs w:val="22"/>
                <w:lang w:eastAsia="en-US"/>
              </w:rPr>
              <w:fldChar w:fldCharType="begin">
                <w:ffData>
                  <w:name w:val=""/>
                  <w:enabled/>
                  <w:calcOnExit w:val="0"/>
                  <w:checkBox>
                    <w:sizeAuto/>
                    <w:default w:val="0"/>
                  </w:checkBox>
                </w:ffData>
              </w:fldChar>
            </w:r>
            <w:r>
              <w:rPr>
                <w:rFonts w:eastAsia="Calibri" w:cs="Times New Roman"/>
                <w:color w:val="000000"/>
                <w:sz w:val="22"/>
                <w:szCs w:val="22"/>
                <w:lang w:eastAsia="en-US"/>
              </w:rPr>
              <w:instrText xml:space="preserve"> FORMCHECKBOX </w:instrText>
            </w:r>
            <w:r w:rsidR="00811AAF">
              <w:rPr>
                <w:rFonts w:eastAsia="Calibri" w:cs="Times New Roman"/>
                <w:color w:val="000000"/>
                <w:sz w:val="22"/>
                <w:szCs w:val="22"/>
                <w:lang w:eastAsia="en-US"/>
              </w:rPr>
            </w:r>
            <w:r w:rsidR="00811AAF">
              <w:rPr>
                <w:rFonts w:eastAsia="Calibri" w:cs="Times New Roman"/>
                <w:color w:val="000000"/>
                <w:sz w:val="22"/>
                <w:szCs w:val="22"/>
                <w:lang w:eastAsia="en-US"/>
              </w:rPr>
              <w:fldChar w:fldCharType="separate"/>
            </w:r>
            <w:r>
              <w:rPr>
                <w:rFonts w:eastAsia="Calibri" w:cs="Times New Roman"/>
                <w:color w:val="000000"/>
                <w:sz w:val="22"/>
                <w:szCs w:val="22"/>
                <w:lang w:eastAsia="en-US"/>
              </w:rPr>
              <w:fldChar w:fldCharType="end"/>
            </w:r>
            <w:r>
              <w:rPr>
                <w:rFonts w:eastAsia="Calibri" w:cs="Times New Roman"/>
                <w:color w:val="000000"/>
                <w:sz w:val="22"/>
                <w:szCs w:val="22"/>
                <w:lang w:eastAsia="en-US"/>
              </w:rPr>
              <w:t xml:space="preserve"> nie dotyczy</w:t>
            </w:r>
          </w:p>
        </w:tc>
      </w:tr>
      <w:tr w:rsidR="00654783" w14:paraId="699F90EB" w14:textId="77777777" w:rsidTr="00CA6AF1">
        <w:trPr>
          <w:gridAfter w:val="1"/>
          <w:wAfter w:w="10" w:type="dxa"/>
          <w:trHeight w:val="1245"/>
        </w:trPr>
        <w:tc>
          <w:tcPr>
            <w:tcW w:w="5111" w:type="dxa"/>
            <w:gridSpan w:val="11"/>
            <w:tcBorders>
              <w:top w:val="single" w:sz="4" w:space="0" w:color="auto"/>
              <w:left w:val="single" w:sz="4" w:space="0" w:color="auto"/>
              <w:bottom w:val="single" w:sz="4" w:space="0" w:color="auto"/>
              <w:right w:val="single" w:sz="4" w:space="0" w:color="auto"/>
            </w:tcBorders>
            <w:shd w:val="clear" w:color="auto" w:fill="FFFFFF"/>
            <w:hideMark/>
          </w:tcPr>
          <w:p w14:paraId="4C387CCE" w14:textId="77777777" w:rsidR="00654783" w:rsidRDefault="00654783">
            <w:pPr>
              <w:widowControl/>
              <w:autoSpaceDE/>
              <w:adjustRightInd/>
              <w:spacing w:line="240" w:lineRule="auto"/>
              <w:rPr>
                <w:rFonts w:eastAsia="Calibri" w:cs="Times New Roman"/>
                <w:color w:val="000000"/>
                <w:spacing w:val="-2"/>
                <w:sz w:val="22"/>
                <w:szCs w:val="22"/>
                <w:lang w:eastAsia="en-US"/>
              </w:rPr>
            </w:pPr>
            <w:r>
              <w:rPr>
                <w:rFonts w:eastAsia="Calibri" w:cs="Times New Roman"/>
                <w:color w:val="000000"/>
                <w:sz w:val="22"/>
                <w:szCs w:val="22"/>
                <w:lang w:eastAsia="en-US"/>
              </w:rPr>
              <w:fldChar w:fldCharType="begin">
                <w:ffData>
                  <w:name w:val="Wybór1"/>
                  <w:enabled/>
                  <w:calcOnExit w:val="0"/>
                  <w:checkBox>
                    <w:sizeAuto/>
                    <w:default w:val="0"/>
                  </w:checkBox>
                </w:ffData>
              </w:fldChar>
            </w:r>
            <w:r>
              <w:rPr>
                <w:rFonts w:eastAsia="Calibri" w:cs="Times New Roman"/>
                <w:color w:val="000000"/>
                <w:sz w:val="22"/>
                <w:szCs w:val="22"/>
                <w:lang w:eastAsia="en-US"/>
              </w:rPr>
              <w:instrText xml:space="preserve"> FORMCHECKBOX </w:instrText>
            </w:r>
            <w:r w:rsidR="00811AAF">
              <w:rPr>
                <w:rFonts w:eastAsia="Calibri" w:cs="Times New Roman"/>
                <w:color w:val="000000"/>
                <w:sz w:val="22"/>
                <w:szCs w:val="22"/>
                <w:lang w:eastAsia="en-US"/>
              </w:rPr>
            </w:r>
            <w:r w:rsidR="00811AAF">
              <w:rPr>
                <w:rFonts w:eastAsia="Calibri" w:cs="Times New Roman"/>
                <w:color w:val="000000"/>
                <w:sz w:val="22"/>
                <w:szCs w:val="22"/>
                <w:lang w:eastAsia="en-US"/>
              </w:rPr>
              <w:fldChar w:fldCharType="separate"/>
            </w:r>
            <w:r>
              <w:rPr>
                <w:rFonts w:eastAsia="Calibri" w:cs="Times New Roman"/>
                <w:color w:val="000000"/>
                <w:sz w:val="22"/>
                <w:szCs w:val="22"/>
                <w:lang w:eastAsia="en-US"/>
              </w:rPr>
              <w:fldChar w:fldCharType="end"/>
            </w:r>
            <w:r>
              <w:rPr>
                <w:rFonts w:eastAsia="Calibri" w:cs="Times New Roman"/>
                <w:color w:val="000000"/>
                <w:sz w:val="20"/>
                <w:lang w:eastAsia="en-US"/>
              </w:rPr>
              <w:t xml:space="preserve"> </w:t>
            </w:r>
            <w:r>
              <w:rPr>
                <w:rFonts w:eastAsia="Calibri" w:cs="Times New Roman"/>
                <w:color w:val="000000"/>
                <w:spacing w:val="-2"/>
                <w:sz w:val="22"/>
                <w:szCs w:val="22"/>
                <w:lang w:eastAsia="en-US"/>
              </w:rPr>
              <w:t>zmniejszenie liczby dokumentów</w:t>
            </w:r>
          </w:p>
          <w:p w14:paraId="2E18D636" w14:textId="77777777" w:rsidR="00654783" w:rsidRDefault="00654783">
            <w:pPr>
              <w:widowControl/>
              <w:autoSpaceDE/>
              <w:adjustRightInd/>
              <w:spacing w:line="240" w:lineRule="auto"/>
              <w:rPr>
                <w:rFonts w:eastAsia="Calibri" w:cs="Times New Roman"/>
                <w:color w:val="000000"/>
                <w:spacing w:val="-2"/>
                <w:sz w:val="22"/>
                <w:szCs w:val="22"/>
                <w:lang w:eastAsia="en-US"/>
              </w:rPr>
            </w:pPr>
            <w:r>
              <w:rPr>
                <w:rFonts w:eastAsia="Calibri" w:cs="Times New Roman"/>
                <w:color w:val="000000"/>
                <w:sz w:val="22"/>
                <w:szCs w:val="22"/>
                <w:lang w:eastAsia="en-US"/>
              </w:rPr>
              <w:fldChar w:fldCharType="begin">
                <w:ffData>
                  <w:name w:val="Wybór1"/>
                  <w:enabled/>
                  <w:calcOnExit w:val="0"/>
                  <w:checkBox>
                    <w:sizeAuto/>
                    <w:default w:val="0"/>
                  </w:checkBox>
                </w:ffData>
              </w:fldChar>
            </w:r>
            <w:r>
              <w:rPr>
                <w:rFonts w:eastAsia="Calibri" w:cs="Times New Roman"/>
                <w:color w:val="000000"/>
                <w:sz w:val="22"/>
                <w:szCs w:val="22"/>
                <w:lang w:eastAsia="en-US"/>
              </w:rPr>
              <w:instrText xml:space="preserve"> FORMCHECKBOX </w:instrText>
            </w:r>
            <w:r w:rsidR="00811AAF">
              <w:rPr>
                <w:rFonts w:eastAsia="Calibri" w:cs="Times New Roman"/>
                <w:color w:val="000000"/>
                <w:sz w:val="22"/>
                <w:szCs w:val="22"/>
                <w:lang w:eastAsia="en-US"/>
              </w:rPr>
            </w:r>
            <w:r w:rsidR="00811AAF">
              <w:rPr>
                <w:rFonts w:eastAsia="Calibri" w:cs="Times New Roman"/>
                <w:color w:val="000000"/>
                <w:sz w:val="22"/>
                <w:szCs w:val="22"/>
                <w:lang w:eastAsia="en-US"/>
              </w:rPr>
              <w:fldChar w:fldCharType="separate"/>
            </w:r>
            <w:r>
              <w:rPr>
                <w:rFonts w:eastAsia="Calibri" w:cs="Times New Roman"/>
                <w:color w:val="000000"/>
                <w:sz w:val="22"/>
                <w:szCs w:val="22"/>
                <w:lang w:eastAsia="en-US"/>
              </w:rPr>
              <w:fldChar w:fldCharType="end"/>
            </w:r>
            <w:r>
              <w:rPr>
                <w:rFonts w:eastAsia="Calibri" w:cs="Times New Roman"/>
                <w:color w:val="000000"/>
                <w:sz w:val="20"/>
                <w:lang w:eastAsia="en-US"/>
              </w:rPr>
              <w:t xml:space="preserve"> </w:t>
            </w:r>
            <w:r>
              <w:rPr>
                <w:rFonts w:eastAsia="Calibri" w:cs="Times New Roman"/>
                <w:color w:val="000000"/>
                <w:spacing w:val="-2"/>
                <w:sz w:val="22"/>
                <w:szCs w:val="22"/>
                <w:lang w:eastAsia="en-US"/>
              </w:rPr>
              <w:t>zmniejszenie liczby procedur</w:t>
            </w:r>
          </w:p>
          <w:p w14:paraId="09DE9443" w14:textId="77777777" w:rsidR="00654783" w:rsidRDefault="00654783">
            <w:pPr>
              <w:widowControl/>
              <w:autoSpaceDE/>
              <w:adjustRightInd/>
              <w:spacing w:line="240" w:lineRule="auto"/>
              <w:rPr>
                <w:rFonts w:eastAsia="Calibri" w:cs="Times New Roman"/>
                <w:color w:val="000000"/>
                <w:spacing w:val="-2"/>
                <w:sz w:val="22"/>
                <w:szCs w:val="22"/>
                <w:lang w:eastAsia="en-US"/>
              </w:rPr>
            </w:pPr>
            <w:r>
              <w:rPr>
                <w:rFonts w:eastAsia="Calibri" w:cs="Times New Roman"/>
                <w:color w:val="000000"/>
                <w:sz w:val="22"/>
                <w:szCs w:val="22"/>
                <w:lang w:eastAsia="en-US"/>
              </w:rPr>
              <w:fldChar w:fldCharType="begin">
                <w:ffData>
                  <w:name w:val=""/>
                  <w:enabled/>
                  <w:calcOnExit w:val="0"/>
                  <w:checkBox>
                    <w:sizeAuto/>
                    <w:default w:val="0"/>
                  </w:checkBox>
                </w:ffData>
              </w:fldChar>
            </w:r>
            <w:r>
              <w:rPr>
                <w:rFonts w:eastAsia="Calibri" w:cs="Times New Roman"/>
                <w:color w:val="000000"/>
                <w:sz w:val="22"/>
                <w:szCs w:val="22"/>
                <w:lang w:eastAsia="en-US"/>
              </w:rPr>
              <w:instrText xml:space="preserve"> FORMCHECKBOX </w:instrText>
            </w:r>
            <w:r w:rsidR="00811AAF">
              <w:rPr>
                <w:rFonts w:eastAsia="Calibri" w:cs="Times New Roman"/>
                <w:color w:val="000000"/>
                <w:sz w:val="22"/>
                <w:szCs w:val="22"/>
                <w:lang w:eastAsia="en-US"/>
              </w:rPr>
            </w:r>
            <w:r w:rsidR="00811AAF">
              <w:rPr>
                <w:rFonts w:eastAsia="Calibri" w:cs="Times New Roman"/>
                <w:color w:val="000000"/>
                <w:sz w:val="22"/>
                <w:szCs w:val="22"/>
                <w:lang w:eastAsia="en-US"/>
              </w:rPr>
              <w:fldChar w:fldCharType="separate"/>
            </w:r>
            <w:r>
              <w:rPr>
                <w:rFonts w:eastAsia="Calibri" w:cs="Times New Roman"/>
                <w:color w:val="000000"/>
                <w:sz w:val="22"/>
                <w:szCs w:val="22"/>
                <w:lang w:eastAsia="en-US"/>
              </w:rPr>
              <w:fldChar w:fldCharType="end"/>
            </w:r>
            <w:r>
              <w:rPr>
                <w:rFonts w:eastAsia="Calibri" w:cs="Times New Roman"/>
                <w:color w:val="000000"/>
                <w:sz w:val="20"/>
                <w:lang w:eastAsia="en-US"/>
              </w:rPr>
              <w:t xml:space="preserve"> </w:t>
            </w:r>
            <w:r>
              <w:rPr>
                <w:rFonts w:eastAsia="Calibri" w:cs="Times New Roman"/>
                <w:color w:val="000000"/>
                <w:spacing w:val="-2"/>
                <w:sz w:val="22"/>
                <w:szCs w:val="22"/>
                <w:lang w:eastAsia="en-US"/>
              </w:rPr>
              <w:t>skrócenie czasu na załatwienie sprawy</w:t>
            </w:r>
          </w:p>
          <w:p w14:paraId="3AEA7C1F" w14:textId="77777777" w:rsidR="00654783" w:rsidRDefault="00654783">
            <w:pPr>
              <w:widowControl/>
              <w:autoSpaceDE/>
              <w:adjustRightInd/>
              <w:spacing w:line="276" w:lineRule="auto"/>
              <w:rPr>
                <w:rFonts w:eastAsia="Calibri" w:cs="Times New Roman"/>
                <w:b/>
                <w:color w:val="000000"/>
                <w:spacing w:val="-2"/>
                <w:sz w:val="22"/>
                <w:szCs w:val="22"/>
                <w:lang w:eastAsia="en-US"/>
              </w:rPr>
            </w:pPr>
            <w:r>
              <w:rPr>
                <w:rFonts w:eastAsia="Calibri" w:cs="Times New Roman"/>
                <w:color w:val="000000"/>
                <w:sz w:val="22"/>
                <w:szCs w:val="22"/>
                <w:lang w:eastAsia="en-US"/>
              </w:rPr>
              <w:fldChar w:fldCharType="begin">
                <w:ffData>
                  <w:name w:val="Wybór1"/>
                  <w:enabled/>
                  <w:calcOnExit w:val="0"/>
                  <w:checkBox>
                    <w:sizeAuto/>
                    <w:default w:val="0"/>
                  </w:checkBox>
                </w:ffData>
              </w:fldChar>
            </w:r>
            <w:r>
              <w:rPr>
                <w:rFonts w:eastAsia="Calibri" w:cs="Times New Roman"/>
                <w:color w:val="000000"/>
                <w:sz w:val="22"/>
                <w:szCs w:val="22"/>
                <w:lang w:eastAsia="en-US"/>
              </w:rPr>
              <w:instrText xml:space="preserve"> FORMCHECKBOX </w:instrText>
            </w:r>
            <w:r w:rsidR="00811AAF">
              <w:rPr>
                <w:rFonts w:eastAsia="Calibri" w:cs="Times New Roman"/>
                <w:color w:val="000000"/>
                <w:sz w:val="22"/>
                <w:szCs w:val="22"/>
                <w:lang w:eastAsia="en-US"/>
              </w:rPr>
            </w:r>
            <w:r w:rsidR="00811AAF">
              <w:rPr>
                <w:rFonts w:eastAsia="Calibri" w:cs="Times New Roman"/>
                <w:color w:val="000000"/>
                <w:sz w:val="22"/>
                <w:szCs w:val="22"/>
                <w:lang w:eastAsia="en-US"/>
              </w:rPr>
              <w:fldChar w:fldCharType="separate"/>
            </w:r>
            <w:r>
              <w:rPr>
                <w:rFonts w:eastAsia="Calibri" w:cs="Times New Roman"/>
                <w:color w:val="000000"/>
                <w:sz w:val="22"/>
                <w:szCs w:val="22"/>
                <w:lang w:eastAsia="en-US"/>
              </w:rPr>
              <w:fldChar w:fldCharType="end"/>
            </w:r>
            <w:r>
              <w:rPr>
                <w:rFonts w:eastAsia="Calibri" w:cs="Times New Roman"/>
                <w:color w:val="000000"/>
                <w:sz w:val="20"/>
                <w:lang w:eastAsia="en-US"/>
              </w:rPr>
              <w:t xml:space="preserve"> </w:t>
            </w:r>
            <w:r>
              <w:rPr>
                <w:rFonts w:eastAsia="Calibri" w:cs="Times New Roman"/>
                <w:color w:val="000000"/>
                <w:spacing w:val="-2"/>
                <w:sz w:val="22"/>
                <w:szCs w:val="22"/>
                <w:lang w:eastAsia="en-US"/>
              </w:rPr>
              <w:t>inne:</w:t>
            </w:r>
            <w:r>
              <w:rPr>
                <w:rFonts w:eastAsia="Calibri" w:cs="Times New Roman"/>
                <w:color w:val="000000"/>
                <w:sz w:val="22"/>
                <w:szCs w:val="22"/>
                <w:lang w:eastAsia="en-US"/>
              </w:rPr>
              <w:t xml:space="preserve"> </w:t>
            </w:r>
            <w:r>
              <w:rPr>
                <w:rFonts w:eastAsia="Calibri" w:cs="Times New Roman"/>
                <w:color w:val="000000"/>
                <w:sz w:val="22"/>
                <w:szCs w:val="22"/>
                <w:lang w:eastAsia="en-US"/>
              </w:rPr>
              <w:fldChar w:fldCharType="begin">
                <w:ffData>
                  <w:name w:val=""/>
                  <w:enabled/>
                  <w:calcOnExit w:val="0"/>
                  <w:helpText w:type="text" w:val="W przypadku wyboru Upoważnienie ustawowe, Strategia lub Inne wpisz dokładnie źródła tj. jaka ustawa, tytuł strategii i jaki inny dokument"/>
                  <w:statusText w:type="text" w:val="W przypadku wyboru Upoważnienie ustawowe, Strategia lub Inne wpisz dokładnie źródła tj. jaka ustawa, tytuł strategii i jaki inny dokument"/>
                  <w:textInput/>
                </w:ffData>
              </w:fldChar>
            </w:r>
            <w:r>
              <w:rPr>
                <w:rFonts w:eastAsia="Calibri" w:cs="Times New Roman"/>
                <w:color w:val="000000"/>
                <w:sz w:val="22"/>
                <w:szCs w:val="22"/>
                <w:lang w:eastAsia="en-US"/>
              </w:rPr>
              <w:instrText xml:space="preserve"> FORMTEXT </w:instrText>
            </w:r>
            <w:r>
              <w:rPr>
                <w:rFonts w:eastAsia="Calibri" w:cs="Times New Roman"/>
                <w:color w:val="000000"/>
                <w:sz w:val="22"/>
                <w:szCs w:val="22"/>
                <w:lang w:eastAsia="en-US"/>
              </w:rPr>
            </w:r>
            <w:r>
              <w:rPr>
                <w:rFonts w:eastAsia="Calibri" w:cs="Times New Roman"/>
                <w:color w:val="000000"/>
                <w:sz w:val="22"/>
                <w:szCs w:val="22"/>
                <w:lang w:eastAsia="en-US"/>
              </w:rPr>
              <w:fldChar w:fldCharType="separate"/>
            </w:r>
            <w:r>
              <w:rPr>
                <w:rFonts w:eastAsia="Calibri" w:hAnsi="Calibri" w:cs="Times New Roman"/>
                <w:noProof/>
                <w:color w:val="000000"/>
                <w:sz w:val="22"/>
                <w:szCs w:val="22"/>
                <w:lang w:eastAsia="en-US"/>
              </w:rPr>
              <w:t> </w:t>
            </w:r>
            <w:r>
              <w:rPr>
                <w:rFonts w:eastAsia="Calibri" w:hAnsi="Calibri" w:cs="Times New Roman"/>
                <w:noProof/>
                <w:color w:val="000000"/>
                <w:sz w:val="22"/>
                <w:szCs w:val="22"/>
                <w:lang w:eastAsia="en-US"/>
              </w:rPr>
              <w:t> </w:t>
            </w:r>
            <w:r>
              <w:rPr>
                <w:rFonts w:eastAsia="Calibri" w:hAnsi="Calibri" w:cs="Times New Roman"/>
                <w:noProof/>
                <w:color w:val="000000"/>
                <w:sz w:val="22"/>
                <w:szCs w:val="22"/>
                <w:lang w:eastAsia="en-US"/>
              </w:rPr>
              <w:t> </w:t>
            </w:r>
            <w:r>
              <w:rPr>
                <w:rFonts w:eastAsia="Calibri" w:hAnsi="Calibri" w:cs="Times New Roman"/>
                <w:noProof/>
                <w:color w:val="000000"/>
                <w:sz w:val="22"/>
                <w:szCs w:val="22"/>
                <w:lang w:eastAsia="en-US"/>
              </w:rPr>
              <w:t> </w:t>
            </w:r>
            <w:r>
              <w:rPr>
                <w:rFonts w:eastAsia="Calibri" w:hAnsi="Calibri" w:cs="Times New Roman"/>
                <w:noProof/>
                <w:color w:val="000000"/>
                <w:sz w:val="22"/>
                <w:szCs w:val="22"/>
                <w:lang w:eastAsia="en-US"/>
              </w:rPr>
              <w:t> </w:t>
            </w:r>
            <w:r>
              <w:rPr>
                <w:rFonts w:eastAsia="Calibri" w:cs="Times New Roman"/>
                <w:color w:val="000000"/>
                <w:sz w:val="22"/>
                <w:szCs w:val="22"/>
                <w:lang w:eastAsia="en-US"/>
              </w:rPr>
              <w:fldChar w:fldCharType="end"/>
            </w:r>
          </w:p>
        </w:tc>
        <w:tc>
          <w:tcPr>
            <w:tcW w:w="5826" w:type="dxa"/>
            <w:gridSpan w:val="17"/>
            <w:tcBorders>
              <w:top w:val="single" w:sz="4" w:space="0" w:color="auto"/>
              <w:left w:val="single" w:sz="4" w:space="0" w:color="auto"/>
              <w:bottom w:val="single" w:sz="4" w:space="0" w:color="auto"/>
              <w:right w:val="single" w:sz="4" w:space="0" w:color="auto"/>
            </w:tcBorders>
            <w:shd w:val="clear" w:color="auto" w:fill="FFFFFF"/>
          </w:tcPr>
          <w:p w14:paraId="50A88A6D" w14:textId="77777777" w:rsidR="00654783" w:rsidRDefault="00654783">
            <w:pPr>
              <w:widowControl/>
              <w:autoSpaceDE/>
              <w:adjustRightInd/>
              <w:spacing w:line="240" w:lineRule="auto"/>
              <w:rPr>
                <w:rFonts w:eastAsia="Calibri" w:cs="Times New Roman"/>
                <w:color w:val="000000"/>
                <w:spacing w:val="-2"/>
                <w:sz w:val="22"/>
                <w:szCs w:val="22"/>
                <w:lang w:eastAsia="en-US"/>
              </w:rPr>
            </w:pPr>
            <w:r>
              <w:rPr>
                <w:rFonts w:eastAsia="Calibri" w:cs="Times New Roman"/>
                <w:color w:val="000000"/>
                <w:sz w:val="22"/>
                <w:szCs w:val="22"/>
                <w:lang w:eastAsia="en-US"/>
              </w:rPr>
              <w:fldChar w:fldCharType="begin">
                <w:ffData>
                  <w:name w:val=""/>
                  <w:enabled/>
                  <w:calcOnExit w:val="0"/>
                  <w:checkBox>
                    <w:sizeAuto/>
                    <w:default w:val="0"/>
                  </w:checkBox>
                </w:ffData>
              </w:fldChar>
            </w:r>
            <w:r>
              <w:rPr>
                <w:rFonts w:eastAsia="Calibri" w:cs="Times New Roman"/>
                <w:color w:val="000000"/>
                <w:sz w:val="22"/>
                <w:szCs w:val="22"/>
                <w:lang w:eastAsia="en-US"/>
              </w:rPr>
              <w:instrText xml:space="preserve"> FORMCHECKBOX </w:instrText>
            </w:r>
            <w:r w:rsidR="00811AAF">
              <w:rPr>
                <w:rFonts w:eastAsia="Calibri" w:cs="Times New Roman"/>
                <w:color w:val="000000"/>
                <w:sz w:val="22"/>
                <w:szCs w:val="22"/>
                <w:lang w:eastAsia="en-US"/>
              </w:rPr>
            </w:r>
            <w:r w:rsidR="00811AAF">
              <w:rPr>
                <w:rFonts w:eastAsia="Calibri" w:cs="Times New Roman"/>
                <w:color w:val="000000"/>
                <w:sz w:val="22"/>
                <w:szCs w:val="22"/>
                <w:lang w:eastAsia="en-US"/>
              </w:rPr>
              <w:fldChar w:fldCharType="separate"/>
            </w:r>
            <w:r>
              <w:rPr>
                <w:rFonts w:eastAsia="Calibri" w:cs="Times New Roman"/>
                <w:color w:val="000000"/>
                <w:sz w:val="22"/>
                <w:szCs w:val="22"/>
                <w:lang w:eastAsia="en-US"/>
              </w:rPr>
              <w:fldChar w:fldCharType="end"/>
            </w:r>
            <w:r>
              <w:rPr>
                <w:rFonts w:eastAsia="Calibri" w:cs="Times New Roman"/>
                <w:color w:val="000000"/>
                <w:sz w:val="22"/>
                <w:szCs w:val="22"/>
                <w:lang w:eastAsia="en-US"/>
              </w:rPr>
              <w:t xml:space="preserve"> </w:t>
            </w:r>
            <w:r>
              <w:rPr>
                <w:rFonts w:eastAsia="Calibri" w:cs="Times New Roman"/>
                <w:color w:val="000000"/>
                <w:spacing w:val="-2"/>
                <w:sz w:val="22"/>
                <w:szCs w:val="22"/>
                <w:lang w:eastAsia="en-US"/>
              </w:rPr>
              <w:t>zwiększenie liczby dokumentów</w:t>
            </w:r>
          </w:p>
          <w:p w14:paraId="6CD35747" w14:textId="77777777" w:rsidR="00654783" w:rsidRDefault="00654783">
            <w:pPr>
              <w:widowControl/>
              <w:autoSpaceDE/>
              <w:adjustRightInd/>
              <w:spacing w:line="240" w:lineRule="auto"/>
              <w:rPr>
                <w:rFonts w:eastAsia="Calibri" w:cs="Times New Roman"/>
                <w:color w:val="000000"/>
                <w:spacing w:val="-2"/>
                <w:sz w:val="22"/>
                <w:szCs w:val="22"/>
                <w:lang w:eastAsia="en-US"/>
              </w:rPr>
            </w:pPr>
            <w:r>
              <w:rPr>
                <w:rFonts w:eastAsia="Calibri" w:cs="Times New Roman"/>
                <w:color w:val="000000"/>
                <w:sz w:val="22"/>
                <w:szCs w:val="22"/>
                <w:lang w:eastAsia="en-US"/>
              </w:rPr>
              <w:fldChar w:fldCharType="begin">
                <w:ffData>
                  <w:name w:val=""/>
                  <w:enabled/>
                  <w:calcOnExit w:val="0"/>
                  <w:checkBox>
                    <w:sizeAuto/>
                    <w:default w:val="1"/>
                  </w:checkBox>
                </w:ffData>
              </w:fldChar>
            </w:r>
            <w:r>
              <w:rPr>
                <w:rFonts w:eastAsia="Calibri" w:cs="Times New Roman"/>
                <w:color w:val="000000"/>
                <w:sz w:val="22"/>
                <w:szCs w:val="22"/>
                <w:lang w:eastAsia="en-US"/>
              </w:rPr>
              <w:instrText xml:space="preserve"> FORMCHECKBOX </w:instrText>
            </w:r>
            <w:r w:rsidR="00811AAF">
              <w:rPr>
                <w:rFonts w:eastAsia="Calibri" w:cs="Times New Roman"/>
                <w:color w:val="000000"/>
                <w:sz w:val="22"/>
                <w:szCs w:val="22"/>
                <w:lang w:eastAsia="en-US"/>
              </w:rPr>
            </w:r>
            <w:r w:rsidR="00811AAF">
              <w:rPr>
                <w:rFonts w:eastAsia="Calibri" w:cs="Times New Roman"/>
                <w:color w:val="000000"/>
                <w:sz w:val="22"/>
                <w:szCs w:val="22"/>
                <w:lang w:eastAsia="en-US"/>
              </w:rPr>
              <w:fldChar w:fldCharType="separate"/>
            </w:r>
            <w:r>
              <w:rPr>
                <w:rFonts w:eastAsia="Calibri" w:cs="Times New Roman"/>
                <w:color w:val="000000"/>
                <w:sz w:val="22"/>
                <w:szCs w:val="22"/>
                <w:lang w:eastAsia="en-US"/>
              </w:rPr>
              <w:fldChar w:fldCharType="end"/>
            </w:r>
            <w:r>
              <w:rPr>
                <w:rFonts w:eastAsia="Calibri" w:cs="Times New Roman"/>
                <w:color w:val="000000"/>
                <w:sz w:val="22"/>
                <w:szCs w:val="22"/>
                <w:lang w:eastAsia="en-US"/>
              </w:rPr>
              <w:t xml:space="preserve"> </w:t>
            </w:r>
            <w:r>
              <w:rPr>
                <w:rFonts w:eastAsia="Calibri" w:cs="Times New Roman"/>
                <w:color w:val="000000"/>
                <w:spacing w:val="-2"/>
                <w:sz w:val="22"/>
                <w:szCs w:val="22"/>
                <w:lang w:eastAsia="en-US"/>
              </w:rPr>
              <w:t>zwiększenie liczby procedur</w:t>
            </w:r>
          </w:p>
          <w:p w14:paraId="02C83D47" w14:textId="77777777" w:rsidR="00654783" w:rsidRDefault="00654783">
            <w:pPr>
              <w:widowControl/>
              <w:autoSpaceDE/>
              <w:adjustRightInd/>
              <w:spacing w:line="240" w:lineRule="auto"/>
              <w:rPr>
                <w:rFonts w:eastAsia="Calibri" w:cs="Times New Roman"/>
                <w:color w:val="000000"/>
                <w:spacing w:val="-2"/>
                <w:sz w:val="22"/>
                <w:szCs w:val="22"/>
                <w:lang w:eastAsia="en-US"/>
              </w:rPr>
            </w:pPr>
            <w:r>
              <w:rPr>
                <w:rFonts w:eastAsia="Calibri" w:cs="Times New Roman"/>
                <w:color w:val="000000"/>
                <w:sz w:val="22"/>
                <w:szCs w:val="22"/>
                <w:lang w:eastAsia="en-US"/>
              </w:rPr>
              <w:fldChar w:fldCharType="begin">
                <w:ffData>
                  <w:name w:val="Wybór1"/>
                  <w:enabled/>
                  <w:calcOnExit w:val="0"/>
                  <w:checkBox>
                    <w:sizeAuto/>
                    <w:default w:val="0"/>
                  </w:checkBox>
                </w:ffData>
              </w:fldChar>
            </w:r>
            <w:r>
              <w:rPr>
                <w:rFonts w:eastAsia="Calibri" w:cs="Times New Roman"/>
                <w:color w:val="000000"/>
                <w:sz w:val="22"/>
                <w:szCs w:val="22"/>
                <w:lang w:eastAsia="en-US"/>
              </w:rPr>
              <w:instrText xml:space="preserve"> FORMCHECKBOX </w:instrText>
            </w:r>
            <w:r w:rsidR="00811AAF">
              <w:rPr>
                <w:rFonts w:eastAsia="Calibri" w:cs="Times New Roman"/>
                <w:color w:val="000000"/>
                <w:sz w:val="22"/>
                <w:szCs w:val="22"/>
                <w:lang w:eastAsia="en-US"/>
              </w:rPr>
            </w:r>
            <w:r w:rsidR="00811AAF">
              <w:rPr>
                <w:rFonts w:eastAsia="Calibri" w:cs="Times New Roman"/>
                <w:color w:val="000000"/>
                <w:sz w:val="22"/>
                <w:szCs w:val="22"/>
                <w:lang w:eastAsia="en-US"/>
              </w:rPr>
              <w:fldChar w:fldCharType="separate"/>
            </w:r>
            <w:r>
              <w:rPr>
                <w:rFonts w:eastAsia="Calibri" w:cs="Times New Roman"/>
                <w:color w:val="000000"/>
                <w:sz w:val="22"/>
                <w:szCs w:val="22"/>
                <w:lang w:eastAsia="en-US"/>
              </w:rPr>
              <w:fldChar w:fldCharType="end"/>
            </w:r>
            <w:r>
              <w:rPr>
                <w:rFonts w:eastAsia="Calibri" w:cs="Times New Roman"/>
                <w:color w:val="000000"/>
                <w:sz w:val="20"/>
                <w:lang w:eastAsia="en-US"/>
              </w:rPr>
              <w:t xml:space="preserve"> </w:t>
            </w:r>
            <w:r>
              <w:rPr>
                <w:rFonts w:eastAsia="Calibri" w:cs="Times New Roman"/>
                <w:color w:val="000000"/>
                <w:spacing w:val="-2"/>
                <w:sz w:val="22"/>
                <w:szCs w:val="22"/>
                <w:lang w:eastAsia="en-US"/>
              </w:rPr>
              <w:t>wydłużenie czasu na załatwienie sprawy</w:t>
            </w:r>
          </w:p>
          <w:p w14:paraId="56E37148" w14:textId="77777777" w:rsidR="00654783" w:rsidRDefault="00654783">
            <w:pPr>
              <w:widowControl/>
              <w:autoSpaceDE/>
              <w:adjustRightInd/>
              <w:spacing w:line="240" w:lineRule="auto"/>
              <w:rPr>
                <w:rFonts w:eastAsia="Calibri" w:cs="Times New Roman"/>
                <w:color w:val="000000"/>
                <w:sz w:val="22"/>
                <w:szCs w:val="22"/>
                <w:lang w:eastAsia="en-US"/>
              </w:rPr>
            </w:pPr>
            <w:r>
              <w:rPr>
                <w:rFonts w:eastAsia="Calibri" w:cs="Times New Roman"/>
                <w:color w:val="000000"/>
                <w:sz w:val="22"/>
                <w:szCs w:val="22"/>
                <w:lang w:eastAsia="en-US"/>
              </w:rPr>
              <w:fldChar w:fldCharType="begin">
                <w:ffData>
                  <w:name w:val="Wybór1"/>
                  <w:enabled/>
                  <w:calcOnExit w:val="0"/>
                  <w:checkBox>
                    <w:sizeAuto/>
                    <w:default w:val="0"/>
                  </w:checkBox>
                </w:ffData>
              </w:fldChar>
            </w:r>
            <w:r>
              <w:rPr>
                <w:rFonts w:eastAsia="Calibri" w:cs="Times New Roman"/>
                <w:color w:val="000000"/>
                <w:sz w:val="22"/>
                <w:szCs w:val="22"/>
                <w:lang w:eastAsia="en-US"/>
              </w:rPr>
              <w:instrText xml:space="preserve"> FORMCHECKBOX </w:instrText>
            </w:r>
            <w:r w:rsidR="00811AAF">
              <w:rPr>
                <w:rFonts w:eastAsia="Calibri" w:cs="Times New Roman"/>
                <w:color w:val="000000"/>
                <w:sz w:val="22"/>
                <w:szCs w:val="22"/>
                <w:lang w:eastAsia="en-US"/>
              </w:rPr>
            </w:r>
            <w:r w:rsidR="00811AAF">
              <w:rPr>
                <w:rFonts w:eastAsia="Calibri" w:cs="Times New Roman"/>
                <w:color w:val="000000"/>
                <w:sz w:val="22"/>
                <w:szCs w:val="22"/>
                <w:lang w:eastAsia="en-US"/>
              </w:rPr>
              <w:fldChar w:fldCharType="separate"/>
            </w:r>
            <w:r>
              <w:rPr>
                <w:rFonts w:eastAsia="Calibri" w:cs="Times New Roman"/>
                <w:color w:val="000000"/>
                <w:sz w:val="22"/>
                <w:szCs w:val="22"/>
                <w:lang w:eastAsia="en-US"/>
              </w:rPr>
              <w:fldChar w:fldCharType="end"/>
            </w:r>
            <w:r>
              <w:rPr>
                <w:rFonts w:eastAsia="Calibri" w:cs="Times New Roman"/>
                <w:color w:val="000000"/>
                <w:sz w:val="20"/>
                <w:lang w:eastAsia="en-US"/>
              </w:rPr>
              <w:t xml:space="preserve"> </w:t>
            </w:r>
            <w:r>
              <w:rPr>
                <w:rFonts w:eastAsia="Calibri" w:cs="Times New Roman"/>
                <w:color w:val="000000"/>
                <w:spacing w:val="-2"/>
                <w:sz w:val="22"/>
                <w:szCs w:val="22"/>
                <w:lang w:eastAsia="en-US"/>
              </w:rPr>
              <w:t>inne:</w:t>
            </w:r>
            <w:r>
              <w:rPr>
                <w:rFonts w:eastAsia="Calibri" w:cs="Times New Roman"/>
                <w:color w:val="000000"/>
                <w:sz w:val="22"/>
                <w:szCs w:val="22"/>
                <w:lang w:eastAsia="en-US"/>
              </w:rPr>
              <w:t xml:space="preserve"> </w:t>
            </w:r>
            <w:r>
              <w:rPr>
                <w:rFonts w:eastAsia="Calibri" w:cs="Times New Roman"/>
                <w:color w:val="000000"/>
                <w:sz w:val="22"/>
                <w:szCs w:val="22"/>
                <w:lang w:eastAsia="en-US"/>
              </w:rPr>
              <w:fldChar w:fldCharType="begin">
                <w:ffData>
                  <w:name w:val=""/>
                  <w:enabled/>
                  <w:calcOnExit w:val="0"/>
                  <w:helpText w:type="text" w:val="W przypadku wyboru Upoważnienie ustawowe, Strategia lub Inne wpisz dokładnie źródła tj. jaka ustawa, tytuł strategii i jaki inny dokument"/>
                  <w:statusText w:type="text" w:val="W przypadku wyboru Upoważnienie ustawowe, Strategia lub Inne wpisz dokładnie źródła tj. jaka ustawa, tytuł strategii i jaki inny dokument"/>
                  <w:textInput/>
                </w:ffData>
              </w:fldChar>
            </w:r>
            <w:r>
              <w:rPr>
                <w:rFonts w:eastAsia="Calibri" w:cs="Times New Roman"/>
                <w:color w:val="000000"/>
                <w:sz w:val="22"/>
                <w:szCs w:val="22"/>
                <w:lang w:eastAsia="en-US"/>
              </w:rPr>
              <w:instrText xml:space="preserve"> FORMTEXT </w:instrText>
            </w:r>
            <w:r>
              <w:rPr>
                <w:rFonts w:eastAsia="Calibri" w:cs="Times New Roman"/>
                <w:color w:val="000000"/>
                <w:sz w:val="22"/>
                <w:szCs w:val="22"/>
                <w:lang w:eastAsia="en-US"/>
              </w:rPr>
            </w:r>
            <w:r>
              <w:rPr>
                <w:rFonts w:eastAsia="Calibri" w:cs="Times New Roman"/>
                <w:color w:val="000000"/>
                <w:sz w:val="22"/>
                <w:szCs w:val="22"/>
                <w:lang w:eastAsia="en-US"/>
              </w:rPr>
              <w:fldChar w:fldCharType="separate"/>
            </w:r>
            <w:r>
              <w:rPr>
                <w:rFonts w:eastAsia="Calibri" w:hAnsi="Calibri" w:cs="Times New Roman"/>
                <w:noProof/>
                <w:color w:val="000000"/>
                <w:sz w:val="22"/>
                <w:szCs w:val="22"/>
                <w:lang w:eastAsia="en-US"/>
              </w:rPr>
              <w:t> </w:t>
            </w:r>
            <w:r>
              <w:rPr>
                <w:rFonts w:eastAsia="Calibri" w:hAnsi="Calibri" w:cs="Times New Roman"/>
                <w:noProof/>
                <w:color w:val="000000"/>
                <w:sz w:val="22"/>
                <w:szCs w:val="22"/>
                <w:lang w:eastAsia="en-US"/>
              </w:rPr>
              <w:t> </w:t>
            </w:r>
            <w:r>
              <w:rPr>
                <w:rFonts w:eastAsia="Calibri" w:hAnsi="Calibri" w:cs="Times New Roman"/>
                <w:noProof/>
                <w:color w:val="000000"/>
                <w:sz w:val="22"/>
                <w:szCs w:val="22"/>
                <w:lang w:eastAsia="en-US"/>
              </w:rPr>
              <w:t> </w:t>
            </w:r>
            <w:r>
              <w:rPr>
                <w:rFonts w:eastAsia="Calibri" w:hAnsi="Calibri" w:cs="Times New Roman"/>
                <w:noProof/>
                <w:color w:val="000000"/>
                <w:sz w:val="22"/>
                <w:szCs w:val="22"/>
                <w:lang w:eastAsia="en-US"/>
              </w:rPr>
              <w:t> </w:t>
            </w:r>
            <w:r>
              <w:rPr>
                <w:rFonts w:eastAsia="Calibri" w:hAnsi="Calibri" w:cs="Times New Roman"/>
                <w:noProof/>
                <w:color w:val="000000"/>
                <w:sz w:val="22"/>
                <w:szCs w:val="22"/>
                <w:lang w:eastAsia="en-US"/>
              </w:rPr>
              <w:t> </w:t>
            </w:r>
            <w:r>
              <w:rPr>
                <w:rFonts w:eastAsia="Calibri" w:cs="Times New Roman"/>
                <w:color w:val="000000"/>
                <w:sz w:val="22"/>
                <w:szCs w:val="22"/>
                <w:lang w:eastAsia="en-US"/>
              </w:rPr>
              <w:fldChar w:fldCharType="end"/>
            </w:r>
          </w:p>
          <w:p w14:paraId="6E7DC29A" w14:textId="77777777" w:rsidR="00654783" w:rsidRDefault="00654783">
            <w:pPr>
              <w:widowControl/>
              <w:autoSpaceDE/>
              <w:adjustRightInd/>
              <w:spacing w:line="240" w:lineRule="auto"/>
              <w:rPr>
                <w:rFonts w:eastAsia="Calibri" w:cs="Times New Roman"/>
                <w:color w:val="000000"/>
                <w:sz w:val="22"/>
                <w:szCs w:val="22"/>
                <w:lang w:eastAsia="en-US"/>
              </w:rPr>
            </w:pPr>
          </w:p>
        </w:tc>
      </w:tr>
      <w:tr w:rsidR="00654783" w14:paraId="0D1221BA" w14:textId="77777777" w:rsidTr="00CA6AF1">
        <w:trPr>
          <w:gridAfter w:val="1"/>
          <w:wAfter w:w="10" w:type="dxa"/>
          <w:trHeight w:val="870"/>
        </w:trPr>
        <w:tc>
          <w:tcPr>
            <w:tcW w:w="5111" w:type="dxa"/>
            <w:gridSpan w:val="11"/>
            <w:tcBorders>
              <w:top w:val="single" w:sz="4" w:space="0" w:color="auto"/>
              <w:left w:val="single" w:sz="4" w:space="0" w:color="auto"/>
              <w:bottom w:val="single" w:sz="4" w:space="0" w:color="auto"/>
              <w:right w:val="single" w:sz="4" w:space="0" w:color="auto"/>
            </w:tcBorders>
            <w:shd w:val="clear" w:color="auto" w:fill="FFFFFF"/>
            <w:hideMark/>
          </w:tcPr>
          <w:p w14:paraId="298774B1" w14:textId="77777777" w:rsidR="00654783" w:rsidRDefault="00654783">
            <w:pPr>
              <w:widowControl/>
              <w:autoSpaceDE/>
              <w:adjustRightInd/>
              <w:spacing w:line="240" w:lineRule="auto"/>
              <w:rPr>
                <w:rFonts w:eastAsia="Calibri" w:cs="Times New Roman"/>
                <w:color w:val="000000"/>
                <w:sz w:val="22"/>
                <w:szCs w:val="22"/>
                <w:lang w:eastAsia="en-US"/>
              </w:rPr>
            </w:pPr>
            <w:r>
              <w:rPr>
                <w:rFonts w:eastAsia="Calibri" w:cs="Times New Roman"/>
                <w:color w:val="000000"/>
                <w:spacing w:val="-2"/>
                <w:sz w:val="22"/>
                <w:szCs w:val="22"/>
                <w:lang w:eastAsia="en-US"/>
              </w:rPr>
              <w:t>Wprowadzane obciążenia są przystosowane do ich elektronizacji.</w:t>
            </w:r>
          </w:p>
        </w:tc>
        <w:tc>
          <w:tcPr>
            <w:tcW w:w="5826" w:type="dxa"/>
            <w:gridSpan w:val="17"/>
            <w:tcBorders>
              <w:top w:val="single" w:sz="4" w:space="0" w:color="auto"/>
              <w:left w:val="single" w:sz="4" w:space="0" w:color="auto"/>
              <w:bottom w:val="single" w:sz="4" w:space="0" w:color="auto"/>
              <w:right w:val="single" w:sz="4" w:space="0" w:color="auto"/>
            </w:tcBorders>
            <w:shd w:val="clear" w:color="auto" w:fill="FFFFFF"/>
            <w:hideMark/>
          </w:tcPr>
          <w:p w14:paraId="4C9484AA" w14:textId="77777777" w:rsidR="00654783" w:rsidRDefault="00654783">
            <w:pPr>
              <w:widowControl/>
              <w:autoSpaceDE/>
              <w:adjustRightInd/>
              <w:spacing w:line="240" w:lineRule="auto"/>
              <w:rPr>
                <w:rFonts w:eastAsia="Calibri" w:cs="Times New Roman"/>
                <w:color w:val="000000"/>
                <w:sz w:val="22"/>
                <w:szCs w:val="22"/>
                <w:lang w:eastAsia="en-US"/>
              </w:rPr>
            </w:pPr>
            <w:r>
              <w:rPr>
                <w:rFonts w:eastAsia="Calibri" w:cs="Times New Roman"/>
                <w:color w:val="000000"/>
                <w:sz w:val="22"/>
                <w:szCs w:val="22"/>
                <w:lang w:eastAsia="en-US"/>
              </w:rPr>
              <w:fldChar w:fldCharType="begin">
                <w:ffData>
                  <w:name w:val=""/>
                  <w:enabled/>
                  <w:calcOnExit w:val="0"/>
                  <w:checkBox>
                    <w:sizeAuto/>
                    <w:default w:val="1"/>
                  </w:checkBox>
                </w:ffData>
              </w:fldChar>
            </w:r>
            <w:r>
              <w:rPr>
                <w:rFonts w:eastAsia="Calibri" w:cs="Times New Roman"/>
                <w:color w:val="000000"/>
                <w:sz w:val="22"/>
                <w:szCs w:val="22"/>
                <w:lang w:eastAsia="en-US"/>
              </w:rPr>
              <w:instrText xml:space="preserve"> FORMCHECKBOX </w:instrText>
            </w:r>
            <w:r w:rsidR="00811AAF">
              <w:rPr>
                <w:rFonts w:eastAsia="Calibri" w:cs="Times New Roman"/>
                <w:color w:val="000000"/>
                <w:sz w:val="22"/>
                <w:szCs w:val="22"/>
                <w:lang w:eastAsia="en-US"/>
              </w:rPr>
            </w:r>
            <w:r w:rsidR="00811AAF">
              <w:rPr>
                <w:rFonts w:eastAsia="Calibri" w:cs="Times New Roman"/>
                <w:color w:val="000000"/>
                <w:sz w:val="22"/>
                <w:szCs w:val="22"/>
                <w:lang w:eastAsia="en-US"/>
              </w:rPr>
              <w:fldChar w:fldCharType="separate"/>
            </w:r>
            <w:r>
              <w:rPr>
                <w:rFonts w:eastAsia="Calibri" w:cs="Times New Roman"/>
                <w:color w:val="000000"/>
                <w:sz w:val="22"/>
                <w:szCs w:val="22"/>
                <w:lang w:eastAsia="en-US"/>
              </w:rPr>
              <w:fldChar w:fldCharType="end"/>
            </w:r>
            <w:r>
              <w:rPr>
                <w:rFonts w:eastAsia="Calibri" w:cs="Times New Roman"/>
                <w:color w:val="000000"/>
                <w:sz w:val="22"/>
                <w:szCs w:val="22"/>
                <w:lang w:eastAsia="en-US"/>
              </w:rPr>
              <w:t xml:space="preserve"> tak</w:t>
            </w:r>
          </w:p>
          <w:p w14:paraId="78B249D7" w14:textId="77777777" w:rsidR="00654783" w:rsidRDefault="00654783">
            <w:pPr>
              <w:widowControl/>
              <w:autoSpaceDE/>
              <w:adjustRightInd/>
              <w:spacing w:line="240" w:lineRule="auto"/>
              <w:rPr>
                <w:rFonts w:eastAsia="Calibri" w:cs="Times New Roman"/>
                <w:color w:val="000000"/>
                <w:sz w:val="22"/>
                <w:szCs w:val="22"/>
                <w:lang w:eastAsia="en-US"/>
              </w:rPr>
            </w:pPr>
            <w:r>
              <w:rPr>
                <w:rFonts w:eastAsia="Calibri" w:cs="Times New Roman"/>
                <w:color w:val="000000"/>
                <w:sz w:val="22"/>
                <w:szCs w:val="22"/>
                <w:lang w:eastAsia="en-US"/>
              </w:rPr>
              <w:fldChar w:fldCharType="begin">
                <w:ffData>
                  <w:name w:val="Wybór1"/>
                  <w:enabled/>
                  <w:calcOnExit w:val="0"/>
                  <w:checkBox>
                    <w:sizeAuto/>
                    <w:default w:val="0"/>
                  </w:checkBox>
                </w:ffData>
              </w:fldChar>
            </w:r>
            <w:r>
              <w:rPr>
                <w:rFonts w:eastAsia="Calibri" w:cs="Times New Roman"/>
                <w:color w:val="000000"/>
                <w:sz w:val="22"/>
                <w:szCs w:val="22"/>
                <w:lang w:eastAsia="en-US"/>
              </w:rPr>
              <w:instrText xml:space="preserve"> FORMCHECKBOX </w:instrText>
            </w:r>
            <w:r w:rsidR="00811AAF">
              <w:rPr>
                <w:rFonts w:eastAsia="Calibri" w:cs="Times New Roman"/>
                <w:color w:val="000000"/>
                <w:sz w:val="22"/>
                <w:szCs w:val="22"/>
                <w:lang w:eastAsia="en-US"/>
              </w:rPr>
            </w:r>
            <w:r w:rsidR="00811AAF">
              <w:rPr>
                <w:rFonts w:eastAsia="Calibri" w:cs="Times New Roman"/>
                <w:color w:val="000000"/>
                <w:sz w:val="22"/>
                <w:szCs w:val="22"/>
                <w:lang w:eastAsia="en-US"/>
              </w:rPr>
              <w:fldChar w:fldCharType="separate"/>
            </w:r>
            <w:r>
              <w:rPr>
                <w:rFonts w:eastAsia="Calibri" w:cs="Times New Roman"/>
                <w:color w:val="000000"/>
                <w:sz w:val="22"/>
                <w:szCs w:val="22"/>
                <w:lang w:eastAsia="en-US"/>
              </w:rPr>
              <w:fldChar w:fldCharType="end"/>
            </w:r>
            <w:r>
              <w:rPr>
                <w:rFonts w:eastAsia="Calibri" w:cs="Times New Roman"/>
                <w:color w:val="000000"/>
                <w:sz w:val="22"/>
                <w:szCs w:val="22"/>
                <w:lang w:eastAsia="en-US"/>
              </w:rPr>
              <w:t xml:space="preserve"> nie</w:t>
            </w:r>
          </w:p>
          <w:p w14:paraId="6AC7C65F" w14:textId="77777777" w:rsidR="00654783" w:rsidRDefault="00654783">
            <w:pPr>
              <w:widowControl/>
              <w:autoSpaceDE/>
              <w:adjustRightInd/>
              <w:spacing w:line="240" w:lineRule="auto"/>
              <w:rPr>
                <w:rFonts w:eastAsia="Calibri" w:cs="Times New Roman"/>
                <w:color w:val="000000"/>
                <w:sz w:val="22"/>
                <w:szCs w:val="22"/>
                <w:lang w:eastAsia="en-US"/>
              </w:rPr>
            </w:pPr>
            <w:r>
              <w:rPr>
                <w:rFonts w:eastAsia="Calibri" w:cs="Times New Roman"/>
                <w:color w:val="000000"/>
                <w:sz w:val="22"/>
                <w:szCs w:val="22"/>
                <w:lang w:eastAsia="en-US"/>
              </w:rPr>
              <w:fldChar w:fldCharType="begin">
                <w:ffData>
                  <w:name w:val="Wybór1"/>
                  <w:enabled/>
                  <w:calcOnExit w:val="0"/>
                  <w:checkBox>
                    <w:sizeAuto/>
                    <w:default w:val="0"/>
                  </w:checkBox>
                </w:ffData>
              </w:fldChar>
            </w:r>
            <w:r>
              <w:rPr>
                <w:rFonts w:eastAsia="Calibri" w:cs="Times New Roman"/>
                <w:color w:val="000000"/>
                <w:sz w:val="22"/>
                <w:szCs w:val="22"/>
                <w:lang w:eastAsia="en-US"/>
              </w:rPr>
              <w:instrText xml:space="preserve"> FORMCHECKBOX </w:instrText>
            </w:r>
            <w:r w:rsidR="00811AAF">
              <w:rPr>
                <w:rFonts w:eastAsia="Calibri" w:cs="Times New Roman"/>
                <w:color w:val="000000"/>
                <w:sz w:val="22"/>
                <w:szCs w:val="22"/>
                <w:lang w:eastAsia="en-US"/>
              </w:rPr>
            </w:r>
            <w:r w:rsidR="00811AAF">
              <w:rPr>
                <w:rFonts w:eastAsia="Calibri" w:cs="Times New Roman"/>
                <w:color w:val="000000"/>
                <w:sz w:val="22"/>
                <w:szCs w:val="22"/>
                <w:lang w:eastAsia="en-US"/>
              </w:rPr>
              <w:fldChar w:fldCharType="separate"/>
            </w:r>
            <w:r>
              <w:rPr>
                <w:rFonts w:eastAsia="Calibri" w:cs="Times New Roman"/>
                <w:color w:val="000000"/>
                <w:sz w:val="22"/>
                <w:szCs w:val="22"/>
                <w:lang w:eastAsia="en-US"/>
              </w:rPr>
              <w:fldChar w:fldCharType="end"/>
            </w:r>
            <w:r>
              <w:rPr>
                <w:rFonts w:eastAsia="Calibri" w:cs="Times New Roman"/>
                <w:color w:val="000000"/>
                <w:sz w:val="22"/>
                <w:szCs w:val="22"/>
                <w:lang w:eastAsia="en-US"/>
              </w:rPr>
              <w:t xml:space="preserve"> nie dotyczy</w:t>
            </w:r>
          </w:p>
        </w:tc>
      </w:tr>
      <w:tr w:rsidR="00654783" w14:paraId="510D147D" w14:textId="77777777" w:rsidTr="00CA6AF1">
        <w:trPr>
          <w:gridAfter w:val="1"/>
          <w:wAfter w:w="10" w:type="dxa"/>
          <w:trHeight w:val="630"/>
        </w:trPr>
        <w:tc>
          <w:tcPr>
            <w:tcW w:w="10937" w:type="dxa"/>
            <w:gridSpan w:val="28"/>
            <w:tcBorders>
              <w:top w:val="single" w:sz="4" w:space="0" w:color="auto"/>
              <w:left w:val="single" w:sz="4" w:space="0" w:color="auto"/>
              <w:bottom w:val="single" w:sz="4" w:space="0" w:color="auto"/>
              <w:right w:val="single" w:sz="4" w:space="0" w:color="auto"/>
            </w:tcBorders>
            <w:shd w:val="clear" w:color="auto" w:fill="FFFFFF"/>
            <w:hideMark/>
          </w:tcPr>
          <w:p w14:paraId="0BA48FC0" w14:textId="77777777" w:rsidR="00654783" w:rsidRDefault="00654783">
            <w:pPr>
              <w:widowControl/>
              <w:autoSpaceDE/>
              <w:adjustRightInd/>
              <w:spacing w:line="240" w:lineRule="auto"/>
              <w:jc w:val="both"/>
              <w:rPr>
                <w:rFonts w:eastAsia="Calibri" w:cs="Times New Roman"/>
                <w:color w:val="000000"/>
                <w:sz w:val="22"/>
                <w:szCs w:val="22"/>
                <w:lang w:eastAsia="en-US"/>
              </w:rPr>
            </w:pPr>
            <w:r>
              <w:rPr>
                <w:rFonts w:eastAsia="Calibri" w:cs="Times New Roman"/>
                <w:color w:val="000000"/>
                <w:sz w:val="22"/>
                <w:szCs w:val="22"/>
                <w:lang w:eastAsia="en-US"/>
              </w:rPr>
              <w:t>Komentarz:</w:t>
            </w:r>
          </w:p>
          <w:p w14:paraId="432B6E8C" w14:textId="77777777" w:rsidR="00654783" w:rsidRDefault="00654783">
            <w:pPr>
              <w:widowControl/>
              <w:autoSpaceDE/>
              <w:adjustRightInd/>
              <w:spacing w:line="240" w:lineRule="auto"/>
              <w:jc w:val="both"/>
              <w:rPr>
                <w:rFonts w:eastAsia="Calibri" w:cs="Times New Roman"/>
                <w:color w:val="000000"/>
                <w:sz w:val="22"/>
                <w:szCs w:val="22"/>
                <w:lang w:eastAsia="en-US"/>
              </w:rPr>
            </w:pPr>
            <w:r>
              <w:rPr>
                <w:rFonts w:eastAsia="Calibri" w:cs="Times New Roman"/>
                <w:color w:val="000000"/>
                <w:sz w:val="22"/>
                <w:szCs w:val="22"/>
                <w:lang w:eastAsia="en-US"/>
              </w:rPr>
              <w:t>Projektowana ustawa nakłada obciążenia regulacyjne na podmioty sektora publicznego udostępniające chronione dane do ponownego wykorzystywania oraz na właściwe podmioty i pojedynczy punkt informacyjny (wspierające podmioty sektora publicznego w obsłudze wniosków). Zasadnicze obciążenia związane będą po pierwsze ze zbudowaniem systemu instytucjonalnego i regulacyjnego, przeszkoleniem pracowników czy upowszechnieniem wiedzy o nowych regulacjach. Po drugie zaś, wynikać będą one z rozpatrywania wniosków o ponowne wykorzystywanie chronionych danych, w tym dostosowaniem danych do ich udostępnienia, nadzorowaniem procesu udostępniania danych (np. obsługa bezpiecznego środowiska przetwarzania, monitorowanie dalszego wykorzystywania udostępnionych danych i jego zgodności z wymogami nałożonymi na ponownych użytkowników) czy pośrednictwa pomiędzy ponownymi użytkownikami a podmiotami, których dane dotyczą i posiadaczami danych.</w:t>
            </w:r>
          </w:p>
          <w:p w14:paraId="743CDABB" w14:textId="312B2B22" w:rsidR="00654783" w:rsidRDefault="00654783">
            <w:pPr>
              <w:widowControl/>
              <w:autoSpaceDE/>
              <w:adjustRightInd/>
              <w:spacing w:before="120" w:line="240" w:lineRule="auto"/>
              <w:jc w:val="both"/>
              <w:rPr>
                <w:rFonts w:eastAsia="Calibri" w:cs="Times New Roman"/>
                <w:color w:val="000000"/>
                <w:sz w:val="22"/>
                <w:szCs w:val="22"/>
                <w:lang w:eastAsia="en-US"/>
              </w:rPr>
            </w:pPr>
            <w:r>
              <w:rPr>
                <w:rFonts w:eastAsia="Calibri" w:cs="Times New Roman"/>
                <w:color w:val="000000"/>
                <w:sz w:val="22"/>
                <w:szCs w:val="22"/>
                <w:lang w:eastAsia="en-US"/>
              </w:rPr>
              <w:t xml:space="preserve">Dodatkowe obciążenia regulacyjne nałożone zostaną również na organ właściwy do spraw usług pośrednictwa danych oraz organ </w:t>
            </w:r>
            <w:r w:rsidR="002529AC" w:rsidRPr="002529AC">
              <w:rPr>
                <w:rFonts w:eastAsia="Calibri" w:cs="Times New Roman"/>
                <w:color w:val="000000"/>
                <w:sz w:val="22"/>
                <w:szCs w:val="22"/>
                <w:lang w:eastAsia="en-US"/>
              </w:rPr>
              <w:t xml:space="preserve">właściwy </w:t>
            </w:r>
            <w:r>
              <w:rPr>
                <w:rFonts w:eastAsia="Calibri" w:cs="Times New Roman"/>
                <w:color w:val="000000"/>
                <w:sz w:val="22"/>
                <w:szCs w:val="22"/>
                <w:lang w:eastAsia="en-US"/>
              </w:rPr>
              <w:t xml:space="preserve">do spraw rejestracji organizacji altruizmu danych. Nowe zadania obejmować </w:t>
            </w:r>
            <w:r w:rsidR="00D64FA4">
              <w:rPr>
                <w:rFonts w:eastAsia="Calibri" w:cs="Times New Roman"/>
                <w:color w:val="000000"/>
                <w:sz w:val="22"/>
                <w:szCs w:val="22"/>
                <w:lang w:eastAsia="en-US"/>
              </w:rPr>
              <w:t xml:space="preserve">będą początkowo, podobnie jak w </w:t>
            </w:r>
            <w:r>
              <w:rPr>
                <w:rFonts w:eastAsia="Calibri" w:cs="Times New Roman"/>
                <w:color w:val="000000"/>
                <w:sz w:val="22"/>
                <w:szCs w:val="22"/>
                <w:lang w:eastAsia="en-US"/>
              </w:rPr>
              <w:t>przypadku ponownego wykorzystywania chronionych danych, stworzenie systemu instytucjonalnego i regulacyjnego. W dalszej kolejności dotyczyć będą realizacji zgłoszeń i wniosków o reje</w:t>
            </w:r>
            <w:r w:rsidR="00C362B1">
              <w:rPr>
                <w:rFonts w:eastAsia="Calibri" w:cs="Times New Roman"/>
                <w:color w:val="000000"/>
                <w:sz w:val="22"/>
                <w:szCs w:val="22"/>
                <w:lang w:eastAsia="en-US"/>
              </w:rPr>
              <w:t>strację, a także nadzoru i </w:t>
            </w:r>
            <w:r>
              <w:rPr>
                <w:rFonts w:eastAsia="Calibri" w:cs="Times New Roman"/>
                <w:color w:val="000000"/>
                <w:sz w:val="22"/>
                <w:szCs w:val="22"/>
                <w:lang w:eastAsia="en-US"/>
              </w:rPr>
              <w:t>monitorowania zgodności działalności pośredników i organizacji, nakładania kar czy rozpatrywania skarg. Ważnym zadaniem będzie też współpraca organu krajowego z jego odpowiednikami w pozosta</w:t>
            </w:r>
            <w:r w:rsidR="0033276D">
              <w:rPr>
                <w:rFonts w:eastAsia="Calibri" w:cs="Times New Roman"/>
                <w:color w:val="000000"/>
                <w:sz w:val="22"/>
                <w:szCs w:val="22"/>
                <w:lang w:eastAsia="en-US"/>
              </w:rPr>
              <w:t>łych państwach członkowskich, z </w:t>
            </w:r>
            <w:r>
              <w:rPr>
                <w:rFonts w:eastAsia="Calibri" w:cs="Times New Roman"/>
                <w:color w:val="000000"/>
                <w:sz w:val="22"/>
                <w:szCs w:val="22"/>
                <w:lang w:eastAsia="en-US"/>
              </w:rPr>
              <w:t>Komisją Europejską oraz udział w pracach Europejskiej Rady do spraw Innowacyjności w zakresie Danych.</w:t>
            </w:r>
          </w:p>
          <w:p w14:paraId="5DA02B06" w14:textId="6C8E058B" w:rsidR="00654783" w:rsidRDefault="00654783">
            <w:pPr>
              <w:widowControl/>
              <w:spacing w:before="120" w:line="276" w:lineRule="auto"/>
              <w:jc w:val="both"/>
              <w:rPr>
                <w:rFonts w:eastAsia="Calibri" w:cs="Times New Roman"/>
                <w:color w:val="000000"/>
                <w:sz w:val="22"/>
                <w:szCs w:val="22"/>
              </w:rPr>
            </w:pPr>
            <w:r>
              <w:rPr>
                <w:rFonts w:eastAsia="Calibri" w:cs="Times New Roman"/>
                <w:color w:val="000000"/>
                <w:sz w:val="22"/>
                <w:szCs w:val="22"/>
              </w:rPr>
              <w:t xml:space="preserve">Stosowanie przepisów rozporządzenia może wpłynąć na zwiększenie obciążenia pracą organów pośrednio zaangażowanych. Dotyczyć to może w szczególności sądów administracyjnych jako właściwych do rozpatrywania skarg na działania </w:t>
            </w:r>
            <w:r w:rsidR="0033276D">
              <w:rPr>
                <w:rFonts w:eastAsia="Calibri" w:cs="Times New Roman"/>
                <w:color w:val="000000"/>
                <w:sz w:val="22"/>
                <w:szCs w:val="22"/>
              </w:rPr>
              <w:t>podmiotów sektora publicznego</w:t>
            </w:r>
            <w:r>
              <w:rPr>
                <w:rFonts w:eastAsia="Calibri" w:cs="Times New Roman"/>
                <w:color w:val="000000"/>
                <w:sz w:val="22"/>
                <w:szCs w:val="22"/>
              </w:rPr>
              <w:t>. Rozporządzenie przewiduje podejmowanie przez określone organy/podmioty rozstrzygnięć oraz działań względem uczestników rynku danych. W związku z tym konieczne jest zapewnienie odpowiednich procedur odwoławczych/sądowych. Rozporządzenie przewiduje w sz</w:t>
            </w:r>
            <w:r w:rsidR="0033276D">
              <w:rPr>
                <w:rFonts w:eastAsia="Calibri" w:cs="Times New Roman"/>
                <w:color w:val="000000"/>
                <w:sz w:val="22"/>
                <w:szCs w:val="22"/>
              </w:rPr>
              <w:t>czególności wydawanie decyzji w </w:t>
            </w:r>
            <w:r>
              <w:rPr>
                <w:rFonts w:eastAsia="Calibri" w:cs="Times New Roman"/>
                <w:color w:val="000000"/>
                <w:sz w:val="22"/>
                <w:szCs w:val="22"/>
              </w:rPr>
              <w:t>sprawie wniosków o ponowne wykorzystywanie chronionych danych, a także gwarantuje prawo do skutecznego środka ochrony prawnej przed sądem przeciwko prawnie wiążącym decyzjom wydanym przez organ właściw</w:t>
            </w:r>
            <w:r w:rsidR="0033276D">
              <w:rPr>
                <w:rFonts w:eastAsia="Calibri" w:cs="Times New Roman"/>
                <w:color w:val="000000"/>
                <w:sz w:val="22"/>
                <w:szCs w:val="22"/>
              </w:rPr>
              <w:t xml:space="preserve">y </w:t>
            </w:r>
            <w:r>
              <w:rPr>
                <w:rFonts w:eastAsia="Calibri" w:cs="Times New Roman"/>
                <w:color w:val="000000"/>
                <w:sz w:val="22"/>
                <w:szCs w:val="22"/>
              </w:rPr>
              <w:t>do spraw usług pośrednictwa danych oraz przez organ właściw</w:t>
            </w:r>
            <w:r w:rsidR="0033276D">
              <w:rPr>
                <w:rFonts w:eastAsia="Calibri" w:cs="Times New Roman"/>
                <w:color w:val="000000"/>
                <w:sz w:val="22"/>
                <w:szCs w:val="22"/>
              </w:rPr>
              <w:t>y</w:t>
            </w:r>
            <w:r>
              <w:rPr>
                <w:rFonts w:eastAsia="Calibri" w:cs="Times New Roman"/>
                <w:color w:val="000000"/>
                <w:sz w:val="22"/>
                <w:szCs w:val="22"/>
              </w:rPr>
              <w:t xml:space="preserve"> do spraw rejestracji organizacji altruizmu danych. Sądy administracyjne będą właściwe do rozpatrywania skarg na decyzje wydawane na podstawie przepisów rozporządzenia. Należy przy tym </w:t>
            </w:r>
            <w:r>
              <w:rPr>
                <w:rFonts w:eastAsia="Calibri" w:cs="Times New Roman"/>
                <w:color w:val="000000"/>
                <w:sz w:val="22"/>
                <w:szCs w:val="22"/>
              </w:rPr>
              <w:lastRenderedPageBreak/>
              <w:t>podkreślić, że mechanizm ponownego wykorzystywania chronionych danych, o którym mowa w DGA opiera się na rozwiązaniach znanych z regulacji dyrektywy w sprawie otwartych danych</w:t>
            </w:r>
            <w:r w:rsidR="0033276D">
              <w:rPr>
                <w:rFonts w:eastAsia="Calibri" w:cs="Times New Roman"/>
                <w:color w:val="000000"/>
                <w:sz w:val="22"/>
                <w:szCs w:val="22"/>
              </w:rPr>
              <w:t xml:space="preserve"> (ustawa o otwartych danych). W związku z </w:t>
            </w:r>
            <w:r>
              <w:rPr>
                <w:rFonts w:eastAsia="Calibri" w:cs="Times New Roman"/>
                <w:color w:val="000000"/>
                <w:sz w:val="22"/>
                <w:szCs w:val="22"/>
              </w:rPr>
              <w:t xml:space="preserve">powyższym można pomocniczo oszacować potencjalną skalę spraw dotyczących ponownego wykorzystywania na gruncie DGA </w:t>
            </w:r>
            <w:r w:rsidR="0033276D">
              <w:rPr>
                <w:rFonts w:eastAsia="Calibri" w:cs="Times New Roman"/>
                <w:color w:val="000000"/>
                <w:sz w:val="22"/>
                <w:szCs w:val="22"/>
              </w:rPr>
              <w:t>(tzw. „re-</w:t>
            </w:r>
            <w:proofErr w:type="spellStart"/>
            <w:r w:rsidR="0033276D">
              <w:rPr>
                <w:rFonts w:eastAsia="Calibri" w:cs="Times New Roman"/>
                <w:color w:val="000000"/>
                <w:sz w:val="22"/>
                <w:szCs w:val="22"/>
              </w:rPr>
              <w:t>use</w:t>
            </w:r>
            <w:proofErr w:type="spellEnd"/>
            <w:r w:rsidR="0033276D">
              <w:rPr>
                <w:rFonts w:eastAsia="Calibri" w:cs="Times New Roman"/>
                <w:color w:val="000000"/>
                <w:sz w:val="22"/>
                <w:szCs w:val="22"/>
              </w:rPr>
              <w:t xml:space="preserve"> specjalny”) </w:t>
            </w:r>
            <w:r>
              <w:rPr>
                <w:rFonts w:eastAsia="Calibri" w:cs="Times New Roman"/>
                <w:color w:val="000000"/>
                <w:sz w:val="22"/>
                <w:szCs w:val="22"/>
              </w:rPr>
              <w:t>rozpatrywanych na przez sądy administracyjne w oparciu o statystyki dotyczące liczby spraw rozpatrywanych w ostatnich latach na podstawie przepisów ustawy o otwartych danych oraz obowiązującej wcześniej ustawy z dnia 25 lutego 2016 r. o ponownym wykorzystywaniu informacji sektora publicznego (Dz. U. z 2019 r. poz. 1446,) (krajowe przepisy implementujące regulacje UE)</w:t>
            </w:r>
            <w:r w:rsidR="0033276D">
              <w:rPr>
                <w:rFonts w:eastAsia="Calibri" w:cs="Times New Roman"/>
                <w:color w:val="000000"/>
                <w:sz w:val="22"/>
                <w:szCs w:val="22"/>
              </w:rPr>
              <w:t xml:space="preserve"> (tzw. „re-</w:t>
            </w:r>
            <w:proofErr w:type="spellStart"/>
            <w:r w:rsidR="0033276D">
              <w:rPr>
                <w:rFonts w:eastAsia="Calibri" w:cs="Times New Roman"/>
                <w:color w:val="000000"/>
                <w:sz w:val="22"/>
                <w:szCs w:val="22"/>
              </w:rPr>
              <w:t>use</w:t>
            </w:r>
            <w:proofErr w:type="spellEnd"/>
            <w:r w:rsidR="0033276D">
              <w:rPr>
                <w:rFonts w:eastAsia="Calibri" w:cs="Times New Roman"/>
                <w:color w:val="000000"/>
                <w:sz w:val="22"/>
                <w:szCs w:val="22"/>
              </w:rPr>
              <w:t xml:space="preserve"> klasyczny”)</w:t>
            </w:r>
            <w:r>
              <w:rPr>
                <w:rFonts w:eastAsia="Calibri" w:cs="Times New Roman"/>
                <w:color w:val="000000"/>
                <w:sz w:val="22"/>
                <w:szCs w:val="22"/>
              </w:rPr>
              <w:t xml:space="preserve">. Z danych przedstawionych w  </w:t>
            </w:r>
            <w:hyperlink r:id="rId27" w:history="1">
              <w:r>
                <w:rPr>
                  <w:rStyle w:val="Hipercze"/>
                  <w:rFonts w:eastAsia="Calibri" w:cs="Times New Roman"/>
                  <w:sz w:val="22"/>
                  <w:szCs w:val="22"/>
                </w:rPr>
                <w:t>sprawozdaniach rocznych Naczelnego Sądu Administracyjnego za 2020 r. i 2021 r.</w:t>
              </w:r>
            </w:hyperlink>
            <w:r>
              <w:rPr>
                <w:rFonts w:eastAsia="Calibri" w:cs="Times New Roman"/>
                <w:color w:val="0563C2"/>
                <w:sz w:val="22"/>
                <w:szCs w:val="22"/>
              </w:rPr>
              <w:t xml:space="preserve"> </w:t>
            </w:r>
            <w:r w:rsidR="00D64FA4" w:rsidRPr="00D64FA4">
              <w:rPr>
                <w:rFonts w:eastAsia="Calibri" w:cs="Times New Roman"/>
                <w:sz w:val="22"/>
                <w:szCs w:val="22"/>
              </w:rPr>
              <w:t xml:space="preserve">(według rodzaju spraw) </w:t>
            </w:r>
            <w:r>
              <w:rPr>
                <w:rFonts w:eastAsia="Calibri" w:cs="Times New Roman"/>
                <w:color w:val="000000"/>
                <w:sz w:val="22"/>
                <w:szCs w:val="22"/>
              </w:rPr>
              <w:t xml:space="preserve">wynika, że w tych latach liczba skarg </w:t>
            </w:r>
            <w:r w:rsidR="00D64FA4">
              <w:rPr>
                <w:rFonts w:eastAsia="Calibri" w:cs="Times New Roman"/>
                <w:color w:val="000000"/>
                <w:sz w:val="22"/>
                <w:szCs w:val="22"/>
              </w:rPr>
              <w:t xml:space="preserve">kasacyjnych od orzeczeń sądów I </w:t>
            </w:r>
            <w:r>
              <w:rPr>
                <w:rFonts w:eastAsia="Calibri" w:cs="Times New Roman"/>
                <w:color w:val="000000"/>
                <w:sz w:val="22"/>
                <w:szCs w:val="22"/>
              </w:rPr>
              <w:t>instancji w sprawach z zakresu ponownego wykorzystania informacji sektora publicznego wynosiła odpowiednio 1 (jedna skarga)</w:t>
            </w:r>
            <w:r>
              <w:rPr>
                <w:rFonts w:eastAsia="Calibri" w:cs="Times New Roman"/>
                <w:color w:val="000000"/>
                <w:sz w:val="22"/>
                <w:szCs w:val="22"/>
                <w:vertAlign w:val="superscript"/>
              </w:rPr>
              <w:footnoteReference w:id="7"/>
            </w:r>
            <w:r>
              <w:rPr>
                <w:rFonts w:eastAsia="Calibri" w:cs="Times New Roman"/>
                <w:color w:val="000000"/>
                <w:sz w:val="22"/>
                <w:szCs w:val="22"/>
              </w:rPr>
              <w:t xml:space="preserve"> oraz 3 (trzy skargi)</w:t>
            </w:r>
            <w:r>
              <w:rPr>
                <w:rFonts w:eastAsia="Calibri" w:cs="Times New Roman"/>
                <w:color w:val="000000"/>
                <w:sz w:val="22"/>
                <w:szCs w:val="22"/>
                <w:vertAlign w:val="superscript"/>
              </w:rPr>
              <w:footnoteReference w:id="8"/>
            </w:r>
            <w:r>
              <w:rPr>
                <w:rFonts w:eastAsia="Calibri" w:cs="Times New Roman"/>
                <w:color w:val="000000"/>
                <w:sz w:val="22"/>
                <w:szCs w:val="22"/>
              </w:rPr>
              <w:t xml:space="preserve">. </w:t>
            </w:r>
            <w:r w:rsidR="0033276D">
              <w:rPr>
                <w:rFonts w:eastAsia="Calibri" w:cs="Times New Roman"/>
                <w:color w:val="000000"/>
                <w:sz w:val="22"/>
                <w:szCs w:val="22"/>
              </w:rPr>
              <w:t xml:space="preserve">Dane NSA znajdują również potwierdzenie w wynikach </w:t>
            </w:r>
            <w:r w:rsidR="00BD142A" w:rsidRPr="00BD142A">
              <w:rPr>
                <w:rFonts w:eastAsia="Calibri" w:cs="Times New Roman"/>
                <w:color w:val="000000"/>
                <w:sz w:val="22"/>
                <w:szCs w:val="22"/>
              </w:rPr>
              <w:t xml:space="preserve">przeprowadzonego od 13 lutego do 8 marca 2023 r. przez </w:t>
            </w:r>
            <w:r w:rsidR="00D64FA4">
              <w:rPr>
                <w:rFonts w:eastAsia="Calibri" w:cs="Times New Roman"/>
                <w:color w:val="000000"/>
                <w:sz w:val="22"/>
                <w:szCs w:val="22"/>
              </w:rPr>
              <w:t>Departament Zarządzania Danymi w  </w:t>
            </w:r>
            <w:r w:rsidR="00BD142A">
              <w:rPr>
                <w:rFonts w:eastAsia="Calibri" w:cs="Times New Roman"/>
                <w:color w:val="000000"/>
                <w:sz w:val="22"/>
                <w:szCs w:val="22"/>
              </w:rPr>
              <w:t xml:space="preserve">KPRM (obecnie MC) </w:t>
            </w:r>
            <w:r w:rsidR="00BD142A" w:rsidRPr="00BD142A">
              <w:rPr>
                <w:rFonts w:eastAsia="Calibri" w:cs="Times New Roman"/>
                <w:color w:val="000000"/>
                <w:sz w:val="22"/>
                <w:szCs w:val="22"/>
              </w:rPr>
              <w:t>badania „Ustawa o otwartych danyc</w:t>
            </w:r>
            <w:r w:rsidR="00BD142A">
              <w:rPr>
                <w:rFonts w:eastAsia="Calibri" w:cs="Times New Roman"/>
                <w:color w:val="000000"/>
                <w:sz w:val="22"/>
                <w:szCs w:val="22"/>
              </w:rPr>
              <w:t>h w opinii sektora publicznego”. Badanie wykazało, że od wejścia w życie ustawy o </w:t>
            </w:r>
            <w:r w:rsidR="00BD142A" w:rsidRPr="00BD142A">
              <w:rPr>
                <w:rFonts w:eastAsia="Calibri" w:cs="Times New Roman"/>
                <w:color w:val="000000"/>
                <w:sz w:val="22"/>
                <w:szCs w:val="22"/>
              </w:rPr>
              <w:t xml:space="preserve">otwartych danych (czyli od 8 grudnia 2021 r.) </w:t>
            </w:r>
            <w:r w:rsidR="00BD142A">
              <w:rPr>
                <w:rFonts w:eastAsia="Calibri" w:cs="Times New Roman"/>
                <w:color w:val="000000"/>
                <w:sz w:val="22"/>
                <w:szCs w:val="22"/>
              </w:rPr>
              <w:t>t</w:t>
            </w:r>
            <w:r w:rsidR="00BD142A" w:rsidRPr="00BD142A">
              <w:rPr>
                <w:rFonts w:eastAsia="Calibri" w:cs="Times New Roman"/>
                <w:color w:val="000000"/>
                <w:sz w:val="22"/>
                <w:szCs w:val="22"/>
              </w:rPr>
              <w:t xml:space="preserve">ylko 5,5% podmiotów </w:t>
            </w:r>
            <w:r w:rsidR="00BD142A">
              <w:rPr>
                <w:rFonts w:eastAsia="Calibri" w:cs="Times New Roman"/>
                <w:color w:val="000000"/>
                <w:sz w:val="22"/>
                <w:szCs w:val="22"/>
              </w:rPr>
              <w:t>sektora publicznego rozpatrywał</w:t>
            </w:r>
            <w:r w:rsidR="00D64FA4">
              <w:rPr>
                <w:rFonts w:eastAsia="Calibri" w:cs="Times New Roman"/>
                <w:color w:val="000000"/>
                <w:sz w:val="22"/>
                <w:szCs w:val="22"/>
              </w:rPr>
              <w:t>o</w:t>
            </w:r>
            <w:r w:rsidR="00BD142A">
              <w:rPr>
                <w:rFonts w:eastAsia="Calibri" w:cs="Times New Roman"/>
                <w:color w:val="000000"/>
                <w:sz w:val="22"/>
                <w:szCs w:val="22"/>
              </w:rPr>
              <w:t xml:space="preserve"> wnioski o </w:t>
            </w:r>
            <w:r w:rsidR="00BD142A" w:rsidRPr="00BD142A">
              <w:rPr>
                <w:rFonts w:eastAsia="Calibri" w:cs="Times New Roman"/>
                <w:color w:val="000000"/>
                <w:sz w:val="22"/>
                <w:szCs w:val="22"/>
              </w:rPr>
              <w:t>ponowne wykorzystywanie</w:t>
            </w:r>
            <w:r w:rsidR="00BD142A">
              <w:rPr>
                <w:rFonts w:eastAsia="Calibri" w:cs="Times New Roman"/>
                <w:color w:val="000000"/>
                <w:sz w:val="22"/>
                <w:szCs w:val="22"/>
              </w:rPr>
              <w:t xml:space="preserve"> informacji sektora publicznego (zob. szerzej: pkt 6 OSR). </w:t>
            </w:r>
            <w:r>
              <w:rPr>
                <w:rFonts w:eastAsia="Calibri" w:cs="Times New Roman"/>
                <w:color w:val="000000"/>
                <w:sz w:val="22"/>
                <w:szCs w:val="22"/>
              </w:rPr>
              <w:t>Mając powyższe na uwadze oraz przedstawioną statystykę spraw przewiduje się, że stosowanie przepisów rozporządzenia może pośrednio wpłynąć na pracę sądów administracyjnych. Wpływ ten można jednak oszacować jako znikomy.</w:t>
            </w:r>
          </w:p>
          <w:p w14:paraId="649F5F04" w14:textId="3BF25136" w:rsidR="00654783" w:rsidRDefault="00654783">
            <w:pPr>
              <w:widowControl/>
              <w:autoSpaceDE/>
              <w:adjustRightInd/>
              <w:spacing w:before="120" w:line="240" w:lineRule="auto"/>
              <w:jc w:val="both"/>
              <w:rPr>
                <w:rFonts w:eastAsia="Calibri" w:cs="Times New Roman"/>
                <w:color w:val="000000"/>
                <w:sz w:val="22"/>
                <w:szCs w:val="22"/>
                <w:lang w:eastAsia="en-US"/>
              </w:rPr>
            </w:pPr>
            <w:r>
              <w:rPr>
                <w:rFonts w:eastAsia="Calibri" w:cs="Times New Roman"/>
                <w:color w:val="000000"/>
                <w:sz w:val="22"/>
                <w:szCs w:val="22"/>
                <w:lang w:eastAsia="en-US"/>
              </w:rPr>
              <w:t>Obciążenia regulacyjne dotkną również obywateli, przedsiębiorców oraz inne podmioty. Będą one związane ze składaniem wniosków o ponowne wykorzystywanie chronionych danych objętych zakresem DGA</w:t>
            </w:r>
            <w:r w:rsidR="00BD142A">
              <w:rPr>
                <w:rFonts w:eastAsia="Calibri" w:cs="Times New Roman"/>
                <w:color w:val="000000"/>
                <w:sz w:val="22"/>
                <w:szCs w:val="22"/>
                <w:lang w:eastAsia="en-US"/>
              </w:rPr>
              <w:t xml:space="preserve"> oraz zgłoszeń i </w:t>
            </w:r>
            <w:r>
              <w:rPr>
                <w:rFonts w:eastAsia="Calibri" w:cs="Times New Roman"/>
                <w:color w:val="000000"/>
                <w:sz w:val="22"/>
                <w:szCs w:val="22"/>
                <w:lang w:eastAsia="en-US"/>
              </w:rPr>
              <w:t>wniosków o rejestrację składanych przez pośredników danych oraz organizacje altruizmu danych.</w:t>
            </w:r>
          </w:p>
        </w:tc>
      </w:tr>
      <w:tr w:rsidR="00654783" w14:paraId="5CA4FEB2" w14:textId="77777777" w:rsidTr="00CA6AF1">
        <w:trPr>
          <w:gridAfter w:val="1"/>
          <w:wAfter w:w="10" w:type="dxa"/>
          <w:trHeight w:val="142"/>
        </w:trPr>
        <w:tc>
          <w:tcPr>
            <w:tcW w:w="10937" w:type="dxa"/>
            <w:gridSpan w:val="28"/>
            <w:tcBorders>
              <w:top w:val="single" w:sz="4" w:space="0" w:color="auto"/>
              <w:left w:val="single" w:sz="4" w:space="0" w:color="auto"/>
              <w:bottom w:val="single" w:sz="4" w:space="0" w:color="auto"/>
              <w:right w:val="single" w:sz="4" w:space="0" w:color="auto"/>
            </w:tcBorders>
            <w:shd w:val="clear" w:color="auto" w:fill="99CCFF"/>
            <w:hideMark/>
          </w:tcPr>
          <w:p w14:paraId="7DD7D8CC" w14:textId="77777777" w:rsidR="00654783" w:rsidRDefault="00654783" w:rsidP="00654783">
            <w:pPr>
              <w:widowControl/>
              <w:numPr>
                <w:ilvl w:val="0"/>
                <w:numId w:val="18"/>
              </w:numPr>
              <w:autoSpaceDE/>
              <w:adjustRightInd/>
              <w:spacing w:before="60" w:after="60" w:line="240" w:lineRule="auto"/>
              <w:jc w:val="both"/>
              <w:rPr>
                <w:rFonts w:eastAsia="Calibri" w:cs="Times New Roman"/>
                <w:b/>
                <w:color w:val="000000"/>
                <w:sz w:val="22"/>
                <w:szCs w:val="22"/>
                <w:lang w:eastAsia="en-US"/>
              </w:rPr>
            </w:pPr>
            <w:r>
              <w:rPr>
                <w:rFonts w:eastAsia="Calibri" w:cs="Times New Roman"/>
                <w:b/>
                <w:color w:val="000000"/>
                <w:sz w:val="22"/>
                <w:szCs w:val="22"/>
                <w:lang w:eastAsia="en-US"/>
              </w:rPr>
              <w:lastRenderedPageBreak/>
              <w:t>Wpływ na rynek pracy</w:t>
            </w:r>
          </w:p>
        </w:tc>
      </w:tr>
      <w:tr w:rsidR="00654783" w14:paraId="691498A2" w14:textId="77777777" w:rsidTr="00CA6AF1">
        <w:trPr>
          <w:gridAfter w:val="1"/>
          <w:wAfter w:w="10" w:type="dxa"/>
          <w:trHeight w:val="142"/>
        </w:trPr>
        <w:tc>
          <w:tcPr>
            <w:tcW w:w="10937" w:type="dxa"/>
            <w:gridSpan w:val="28"/>
            <w:tcBorders>
              <w:top w:val="single" w:sz="4" w:space="0" w:color="auto"/>
              <w:left w:val="single" w:sz="4" w:space="0" w:color="auto"/>
              <w:bottom w:val="single" w:sz="4" w:space="0" w:color="auto"/>
              <w:right w:val="single" w:sz="4" w:space="0" w:color="auto"/>
            </w:tcBorders>
            <w:hideMark/>
          </w:tcPr>
          <w:p w14:paraId="40CBE4C8" w14:textId="4A1FCCBD" w:rsidR="00654783" w:rsidRDefault="00654783" w:rsidP="00D64FA4">
            <w:pPr>
              <w:spacing w:line="276" w:lineRule="auto"/>
              <w:jc w:val="both"/>
              <w:rPr>
                <w:rFonts w:eastAsia="Times New Roman" w:cs="Times New Roman"/>
                <w:sz w:val="22"/>
                <w:szCs w:val="22"/>
              </w:rPr>
            </w:pPr>
            <w:r>
              <w:rPr>
                <w:rFonts w:eastAsia="Times New Roman" w:cs="Times New Roman"/>
                <w:sz w:val="22"/>
                <w:szCs w:val="22"/>
              </w:rPr>
              <w:t>Regulacja może potencjalnie pozytywnie oddziaływać na podmioty chcące tworzyć nowe produkty i usługi na podstawie danych publicznych oraz przyczynić się do zwiększenia wolumenu danych dostępnych dzięki usługom pośrednictwa danych oraz udostępnianych przez organizacj</w:t>
            </w:r>
            <w:r w:rsidR="00D64FA4">
              <w:rPr>
                <w:rFonts w:eastAsia="Times New Roman" w:cs="Times New Roman"/>
                <w:sz w:val="22"/>
                <w:szCs w:val="22"/>
              </w:rPr>
              <w:t>e</w:t>
            </w:r>
            <w:r>
              <w:rPr>
                <w:rFonts w:eastAsia="Times New Roman" w:cs="Times New Roman"/>
                <w:sz w:val="22"/>
                <w:szCs w:val="22"/>
              </w:rPr>
              <w:t xml:space="preserve"> altruizmu danych. Możliwość wykorzystywania szerszego wolumenu danych publicznych i prywatnych to szansa dla przedsiębiorców, którzy chcą na ich podstawie stworzyć nowe produkty i usługi lub też wykorzystać je do prowadzenia analiz, badań lub na potrzeby rozwiązań sztucznej inteligencji, czy też modelowania kryzysowego. Rozwój przedsiębiorstw przekłada się z kolei na nowe miejsca pracy. Według szacunków, liczba polskich firm korzystających z danych wzrośnie w latach 2025-2030 o 8.4% i będzie to największy prognozowany wzrost wśród państw członkowskich UE (</w:t>
            </w:r>
            <w:proofErr w:type="spellStart"/>
            <w:r w:rsidR="00C461AB">
              <w:fldChar w:fldCharType="begin"/>
            </w:r>
            <w:r w:rsidR="00C461AB">
              <w:instrText xml:space="preserve"> HYPERLINK "https://digital-strategy.ec.europa.eu/en/library/results-new-european-data-market-study-2021-2023" </w:instrText>
            </w:r>
            <w:r w:rsidR="00C461AB">
              <w:fldChar w:fldCharType="separate"/>
            </w:r>
            <w:r>
              <w:rPr>
                <w:rStyle w:val="Hipercze"/>
                <w:rFonts w:eastAsia="Times New Roman" w:cs="Times New Roman"/>
                <w:i/>
                <w:sz w:val="22"/>
                <w:szCs w:val="22"/>
              </w:rPr>
              <w:t>European</w:t>
            </w:r>
            <w:proofErr w:type="spellEnd"/>
            <w:r>
              <w:rPr>
                <w:rStyle w:val="Hipercze"/>
                <w:rFonts w:eastAsia="Times New Roman" w:cs="Times New Roman"/>
                <w:i/>
                <w:sz w:val="22"/>
                <w:szCs w:val="22"/>
              </w:rPr>
              <w:t xml:space="preserve"> Data Market </w:t>
            </w:r>
            <w:proofErr w:type="spellStart"/>
            <w:r>
              <w:rPr>
                <w:rStyle w:val="Hipercze"/>
                <w:rFonts w:eastAsia="Times New Roman" w:cs="Times New Roman"/>
                <w:i/>
                <w:sz w:val="22"/>
                <w:szCs w:val="22"/>
              </w:rPr>
              <w:t>Study</w:t>
            </w:r>
            <w:proofErr w:type="spellEnd"/>
            <w:r>
              <w:rPr>
                <w:rStyle w:val="Hipercze"/>
                <w:rFonts w:eastAsia="Times New Roman" w:cs="Times New Roman"/>
                <w:i/>
                <w:sz w:val="22"/>
                <w:szCs w:val="22"/>
              </w:rPr>
              <w:t xml:space="preserve"> 2021-2023</w:t>
            </w:r>
            <w:r w:rsidR="00C461AB">
              <w:rPr>
                <w:rStyle w:val="Hipercze"/>
                <w:rFonts w:eastAsia="Times New Roman" w:cs="Times New Roman"/>
                <w:i/>
                <w:sz w:val="22"/>
                <w:szCs w:val="22"/>
              </w:rPr>
              <w:fldChar w:fldCharType="end"/>
            </w:r>
            <w:r>
              <w:rPr>
                <w:rFonts w:eastAsia="Times New Roman" w:cs="Times New Roman"/>
                <w:sz w:val="22"/>
                <w:szCs w:val="22"/>
              </w:rPr>
              <w:t>). Wiązać się z tym będzie tworzenie nowych miejsc pracy przede wszystkim dla pracowników z sektora ICT.</w:t>
            </w:r>
          </w:p>
        </w:tc>
      </w:tr>
      <w:tr w:rsidR="00654783" w14:paraId="18D583D2" w14:textId="77777777" w:rsidTr="00CA6AF1">
        <w:trPr>
          <w:gridAfter w:val="1"/>
          <w:wAfter w:w="10" w:type="dxa"/>
          <w:trHeight w:val="142"/>
        </w:trPr>
        <w:tc>
          <w:tcPr>
            <w:tcW w:w="10937" w:type="dxa"/>
            <w:gridSpan w:val="28"/>
            <w:tcBorders>
              <w:top w:val="single" w:sz="4" w:space="0" w:color="auto"/>
              <w:left w:val="single" w:sz="4" w:space="0" w:color="auto"/>
              <w:bottom w:val="single" w:sz="4" w:space="0" w:color="auto"/>
              <w:right w:val="single" w:sz="4" w:space="0" w:color="auto"/>
            </w:tcBorders>
            <w:shd w:val="clear" w:color="auto" w:fill="99CCFF"/>
            <w:hideMark/>
          </w:tcPr>
          <w:p w14:paraId="56305FBC" w14:textId="77777777" w:rsidR="00654783" w:rsidRDefault="00654783" w:rsidP="00654783">
            <w:pPr>
              <w:widowControl/>
              <w:numPr>
                <w:ilvl w:val="0"/>
                <w:numId w:val="18"/>
              </w:numPr>
              <w:autoSpaceDE/>
              <w:adjustRightInd/>
              <w:spacing w:before="60" w:after="60" w:line="240" w:lineRule="auto"/>
              <w:jc w:val="both"/>
              <w:rPr>
                <w:rFonts w:eastAsia="Calibri" w:cs="Times New Roman"/>
                <w:b/>
                <w:color w:val="000000"/>
                <w:sz w:val="22"/>
                <w:szCs w:val="22"/>
                <w:lang w:eastAsia="en-US"/>
              </w:rPr>
            </w:pPr>
            <w:r>
              <w:rPr>
                <w:rFonts w:eastAsia="Calibri" w:cs="Times New Roman"/>
                <w:b/>
                <w:color w:val="000000"/>
                <w:sz w:val="22"/>
                <w:szCs w:val="22"/>
                <w:lang w:eastAsia="en-US"/>
              </w:rPr>
              <w:t>Wpływ na pozostałe obszary</w:t>
            </w:r>
          </w:p>
        </w:tc>
      </w:tr>
      <w:tr w:rsidR="00654783" w14:paraId="1B6A3C12" w14:textId="77777777" w:rsidTr="00CA6AF1">
        <w:trPr>
          <w:gridAfter w:val="1"/>
          <w:wAfter w:w="10" w:type="dxa"/>
          <w:trHeight w:val="1031"/>
        </w:trPr>
        <w:tc>
          <w:tcPr>
            <w:tcW w:w="3547" w:type="dxa"/>
            <w:gridSpan w:val="5"/>
            <w:tcBorders>
              <w:top w:val="single" w:sz="4" w:space="0" w:color="auto"/>
              <w:left w:val="single" w:sz="4" w:space="0" w:color="auto"/>
              <w:bottom w:val="single" w:sz="4" w:space="0" w:color="auto"/>
              <w:right w:val="single" w:sz="4" w:space="0" w:color="auto"/>
            </w:tcBorders>
            <w:shd w:val="clear" w:color="auto" w:fill="FFFFFF"/>
          </w:tcPr>
          <w:p w14:paraId="522EBE91" w14:textId="77777777" w:rsidR="00654783" w:rsidRDefault="00654783">
            <w:pPr>
              <w:widowControl/>
              <w:autoSpaceDE/>
              <w:adjustRightInd/>
              <w:spacing w:line="240" w:lineRule="auto"/>
              <w:rPr>
                <w:rFonts w:eastAsia="Calibri" w:cs="Times New Roman"/>
                <w:color w:val="000000"/>
                <w:sz w:val="22"/>
                <w:szCs w:val="22"/>
                <w:lang w:eastAsia="en-US"/>
              </w:rPr>
            </w:pPr>
          </w:p>
          <w:p w14:paraId="6651B21D" w14:textId="77777777" w:rsidR="00654783" w:rsidRDefault="00654783">
            <w:pPr>
              <w:widowControl/>
              <w:autoSpaceDE/>
              <w:adjustRightInd/>
              <w:spacing w:line="240" w:lineRule="auto"/>
              <w:rPr>
                <w:rFonts w:eastAsia="Calibri" w:cs="Times New Roman"/>
                <w:color w:val="000000"/>
                <w:spacing w:val="-2"/>
                <w:sz w:val="22"/>
                <w:szCs w:val="22"/>
                <w:lang w:eastAsia="en-US"/>
              </w:rPr>
            </w:pPr>
            <w:r>
              <w:rPr>
                <w:rFonts w:eastAsia="Calibri" w:cs="Times New Roman"/>
                <w:color w:val="000000"/>
                <w:sz w:val="22"/>
                <w:szCs w:val="22"/>
                <w:lang w:eastAsia="en-US"/>
              </w:rPr>
              <w:fldChar w:fldCharType="begin">
                <w:ffData>
                  <w:name w:val="Wybór1"/>
                  <w:enabled/>
                  <w:calcOnExit w:val="0"/>
                  <w:checkBox>
                    <w:sizeAuto/>
                    <w:default w:val="0"/>
                  </w:checkBox>
                </w:ffData>
              </w:fldChar>
            </w:r>
            <w:r>
              <w:rPr>
                <w:rFonts w:eastAsia="Calibri" w:cs="Times New Roman"/>
                <w:color w:val="000000"/>
                <w:sz w:val="22"/>
                <w:szCs w:val="22"/>
                <w:lang w:eastAsia="en-US"/>
              </w:rPr>
              <w:instrText xml:space="preserve"> FORMCHECKBOX </w:instrText>
            </w:r>
            <w:r w:rsidR="00811AAF">
              <w:rPr>
                <w:rFonts w:eastAsia="Calibri" w:cs="Times New Roman"/>
                <w:color w:val="000000"/>
                <w:sz w:val="22"/>
                <w:szCs w:val="22"/>
                <w:lang w:eastAsia="en-US"/>
              </w:rPr>
            </w:r>
            <w:r w:rsidR="00811AAF">
              <w:rPr>
                <w:rFonts w:eastAsia="Calibri" w:cs="Times New Roman"/>
                <w:color w:val="000000"/>
                <w:sz w:val="22"/>
                <w:szCs w:val="22"/>
                <w:lang w:eastAsia="en-US"/>
              </w:rPr>
              <w:fldChar w:fldCharType="separate"/>
            </w:r>
            <w:r>
              <w:rPr>
                <w:rFonts w:eastAsia="Calibri" w:cs="Times New Roman"/>
                <w:color w:val="000000"/>
                <w:sz w:val="22"/>
                <w:szCs w:val="22"/>
                <w:lang w:eastAsia="en-US"/>
              </w:rPr>
              <w:fldChar w:fldCharType="end"/>
            </w:r>
            <w:r>
              <w:rPr>
                <w:rFonts w:eastAsia="Calibri" w:cs="Times New Roman"/>
                <w:color w:val="000000"/>
                <w:sz w:val="20"/>
                <w:lang w:eastAsia="en-US"/>
              </w:rPr>
              <w:t xml:space="preserve"> </w:t>
            </w:r>
            <w:r>
              <w:rPr>
                <w:rFonts w:eastAsia="Calibri" w:cs="Times New Roman"/>
                <w:color w:val="000000"/>
                <w:spacing w:val="-2"/>
                <w:sz w:val="22"/>
                <w:szCs w:val="22"/>
                <w:lang w:eastAsia="en-US"/>
              </w:rPr>
              <w:t>środowisko naturalne</w:t>
            </w:r>
          </w:p>
          <w:p w14:paraId="672B02E3" w14:textId="77777777" w:rsidR="00654783" w:rsidRDefault="00654783">
            <w:pPr>
              <w:widowControl/>
              <w:autoSpaceDE/>
              <w:adjustRightInd/>
              <w:spacing w:line="240" w:lineRule="auto"/>
              <w:rPr>
                <w:rFonts w:eastAsia="Calibri" w:cs="Times New Roman"/>
                <w:color w:val="000000"/>
                <w:sz w:val="22"/>
                <w:szCs w:val="22"/>
                <w:lang w:eastAsia="en-US"/>
              </w:rPr>
            </w:pPr>
            <w:r>
              <w:rPr>
                <w:rFonts w:eastAsia="Calibri" w:cs="Times New Roman"/>
                <w:color w:val="000000"/>
                <w:sz w:val="22"/>
                <w:szCs w:val="22"/>
                <w:lang w:eastAsia="en-US"/>
              </w:rPr>
              <w:fldChar w:fldCharType="begin">
                <w:ffData>
                  <w:name w:val=""/>
                  <w:enabled/>
                  <w:calcOnExit w:val="0"/>
                  <w:checkBox>
                    <w:sizeAuto/>
                    <w:default w:val="0"/>
                  </w:checkBox>
                </w:ffData>
              </w:fldChar>
            </w:r>
            <w:r>
              <w:rPr>
                <w:rFonts w:eastAsia="Calibri" w:cs="Times New Roman"/>
                <w:color w:val="000000"/>
                <w:sz w:val="22"/>
                <w:szCs w:val="22"/>
                <w:lang w:eastAsia="en-US"/>
              </w:rPr>
              <w:instrText xml:space="preserve"> FORMCHECKBOX </w:instrText>
            </w:r>
            <w:r w:rsidR="00811AAF">
              <w:rPr>
                <w:rFonts w:eastAsia="Calibri" w:cs="Times New Roman"/>
                <w:color w:val="000000"/>
                <w:sz w:val="22"/>
                <w:szCs w:val="22"/>
                <w:lang w:eastAsia="en-US"/>
              </w:rPr>
            </w:r>
            <w:r w:rsidR="00811AAF">
              <w:rPr>
                <w:rFonts w:eastAsia="Calibri" w:cs="Times New Roman"/>
                <w:color w:val="000000"/>
                <w:sz w:val="22"/>
                <w:szCs w:val="22"/>
                <w:lang w:eastAsia="en-US"/>
              </w:rPr>
              <w:fldChar w:fldCharType="separate"/>
            </w:r>
            <w:r>
              <w:rPr>
                <w:rFonts w:eastAsia="Calibri" w:cs="Times New Roman"/>
                <w:color w:val="000000"/>
                <w:sz w:val="22"/>
                <w:szCs w:val="22"/>
                <w:lang w:eastAsia="en-US"/>
              </w:rPr>
              <w:fldChar w:fldCharType="end"/>
            </w:r>
            <w:r>
              <w:rPr>
                <w:rFonts w:eastAsia="Calibri" w:cs="Times New Roman"/>
                <w:color w:val="000000"/>
                <w:sz w:val="20"/>
                <w:lang w:eastAsia="en-US"/>
              </w:rPr>
              <w:t xml:space="preserve"> </w:t>
            </w:r>
            <w:r>
              <w:rPr>
                <w:rFonts w:eastAsia="Calibri" w:cs="Times New Roman"/>
                <w:color w:val="000000"/>
                <w:sz w:val="22"/>
                <w:szCs w:val="22"/>
                <w:lang w:eastAsia="en-US"/>
              </w:rPr>
              <w:t>sytuacja i rozwój regionalny</w:t>
            </w:r>
          </w:p>
          <w:p w14:paraId="781A9E12" w14:textId="77777777" w:rsidR="00654783" w:rsidRDefault="00654783">
            <w:pPr>
              <w:widowControl/>
              <w:autoSpaceDE/>
              <w:adjustRightInd/>
              <w:spacing w:line="240" w:lineRule="auto"/>
              <w:rPr>
                <w:rFonts w:eastAsia="Calibri" w:cs="Times New Roman"/>
                <w:color w:val="000000"/>
                <w:sz w:val="22"/>
                <w:szCs w:val="22"/>
                <w:lang w:eastAsia="en-US"/>
              </w:rPr>
            </w:pPr>
            <w:r>
              <w:rPr>
                <w:rFonts w:eastAsia="Calibri" w:cs="Times New Roman"/>
                <w:color w:val="000000"/>
                <w:sz w:val="22"/>
                <w:szCs w:val="22"/>
                <w:lang w:eastAsia="en-US"/>
              </w:rPr>
              <w:fldChar w:fldCharType="begin">
                <w:ffData>
                  <w:name w:val=""/>
                  <w:enabled/>
                  <w:calcOnExit w:val="0"/>
                  <w:checkBox>
                    <w:sizeAuto/>
                    <w:default w:val="1"/>
                  </w:checkBox>
                </w:ffData>
              </w:fldChar>
            </w:r>
            <w:r>
              <w:rPr>
                <w:rFonts w:eastAsia="Calibri" w:cs="Times New Roman"/>
                <w:color w:val="000000"/>
                <w:sz w:val="22"/>
                <w:szCs w:val="22"/>
                <w:lang w:eastAsia="en-US"/>
              </w:rPr>
              <w:instrText xml:space="preserve"> FORMCHECKBOX </w:instrText>
            </w:r>
            <w:r w:rsidR="00811AAF">
              <w:rPr>
                <w:rFonts w:eastAsia="Calibri" w:cs="Times New Roman"/>
                <w:color w:val="000000"/>
                <w:sz w:val="22"/>
                <w:szCs w:val="22"/>
                <w:lang w:eastAsia="en-US"/>
              </w:rPr>
            </w:r>
            <w:r w:rsidR="00811AAF">
              <w:rPr>
                <w:rFonts w:eastAsia="Calibri" w:cs="Times New Roman"/>
                <w:color w:val="000000"/>
                <w:sz w:val="22"/>
                <w:szCs w:val="22"/>
                <w:lang w:eastAsia="en-US"/>
              </w:rPr>
              <w:fldChar w:fldCharType="separate"/>
            </w:r>
            <w:r>
              <w:rPr>
                <w:rFonts w:eastAsia="Calibri" w:cs="Times New Roman"/>
                <w:color w:val="000000"/>
                <w:sz w:val="22"/>
                <w:szCs w:val="22"/>
                <w:lang w:eastAsia="en-US"/>
              </w:rPr>
              <w:fldChar w:fldCharType="end"/>
            </w:r>
            <w:r>
              <w:rPr>
                <w:rFonts w:eastAsia="Calibri" w:cs="Times New Roman"/>
                <w:color w:val="000000"/>
                <w:sz w:val="20"/>
                <w:lang w:eastAsia="en-US"/>
              </w:rPr>
              <w:t xml:space="preserve"> </w:t>
            </w:r>
            <w:r>
              <w:rPr>
                <w:rFonts w:eastAsia="Calibri" w:cs="Times New Roman"/>
                <w:spacing w:val="-2"/>
                <w:sz w:val="22"/>
                <w:szCs w:val="22"/>
                <w:lang w:eastAsia="en-US"/>
              </w:rPr>
              <w:t>sądy powszechne, administracyjne lub wojskowe</w:t>
            </w:r>
          </w:p>
        </w:tc>
        <w:tc>
          <w:tcPr>
            <w:tcW w:w="3687" w:type="dxa"/>
            <w:gridSpan w:val="14"/>
            <w:tcBorders>
              <w:top w:val="single" w:sz="4" w:space="0" w:color="auto"/>
              <w:left w:val="single" w:sz="4" w:space="0" w:color="auto"/>
              <w:bottom w:val="single" w:sz="4" w:space="0" w:color="auto"/>
              <w:right w:val="single" w:sz="4" w:space="0" w:color="auto"/>
            </w:tcBorders>
            <w:shd w:val="clear" w:color="auto" w:fill="FFFFFF"/>
          </w:tcPr>
          <w:p w14:paraId="302F100D" w14:textId="77777777" w:rsidR="00654783" w:rsidRDefault="00654783">
            <w:pPr>
              <w:widowControl/>
              <w:autoSpaceDE/>
              <w:adjustRightInd/>
              <w:spacing w:line="240" w:lineRule="auto"/>
              <w:rPr>
                <w:rFonts w:eastAsia="Calibri" w:cs="Times New Roman"/>
                <w:color w:val="000000"/>
                <w:sz w:val="22"/>
                <w:szCs w:val="22"/>
                <w:lang w:eastAsia="en-US"/>
              </w:rPr>
            </w:pPr>
          </w:p>
          <w:p w14:paraId="188791C6" w14:textId="77777777" w:rsidR="00654783" w:rsidRDefault="00654783">
            <w:pPr>
              <w:widowControl/>
              <w:autoSpaceDE/>
              <w:adjustRightInd/>
              <w:spacing w:line="240" w:lineRule="auto"/>
              <w:rPr>
                <w:rFonts w:eastAsia="Calibri" w:cs="Times New Roman"/>
                <w:color w:val="000000"/>
                <w:spacing w:val="-2"/>
                <w:sz w:val="22"/>
                <w:szCs w:val="22"/>
                <w:lang w:eastAsia="en-US"/>
              </w:rPr>
            </w:pPr>
            <w:r>
              <w:rPr>
                <w:rFonts w:eastAsia="Calibri" w:cs="Times New Roman"/>
                <w:color w:val="000000"/>
                <w:sz w:val="22"/>
                <w:szCs w:val="22"/>
                <w:lang w:eastAsia="en-US"/>
              </w:rPr>
              <w:fldChar w:fldCharType="begin">
                <w:ffData>
                  <w:name w:val="Wybór1"/>
                  <w:enabled/>
                  <w:calcOnExit w:val="0"/>
                  <w:checkBox>
                    <w:sizeAuto/>
                    <w:default w:val="0"/>
                  </w:checkBox>
                </w:ffData>
              </w:fldChar>
            </w:r>
            <w:r>
              <w:rPr>
                <w:rFonts w:eastAsia="Calibri" w:cs="Times New Roman"/>
                <w:color w:val="000000"/>
                <w:sz w:val="22"/>
                <w:szCs w:val="22"/>
                <w:lang w:eastAsia="en-US"/>
              </w:rPr>
              <w:instrText xml:space="preserve"> FORMCHECKBOX </w:instrText>
            </w:r>
            <w:r w:rsidR="00811AAF">
              <w:rPr>
                <w:rFonts w:eastAsia="Calibri" w:cs="Times New Roman"/>
                <w:color w:val="000000"/>
                <w:sz w:val="22"/>
                <w:szCs w:val="22"/>
                <w:lang w:eastAsia="en-US"/>
              </w:rPr>
            </w:r>
            <w:r w:rsidR="00811AAF">
              <w:rPr>
                <w:rFonts w:eastAsia="Calibri" w:cs="Times New Roman"/>
                <w:color w:val="000000"/>
                <w:sz w:val="22"/>
                <w:szCs w:val="22"/>
                <w:lang w:eastAsia="en-US"/>
              </w:rPr>
              <w:fldChar w:fldCharType="separate"/>
            </w:r>
            <w:r>
              <w:rPr>
                <w:rFonts w:eastAsia="Calibri" w:cs="Times New Roman"/>
                <w:color w:val="000000"/>
                <w:sz w:val="22"/>
                <w:szCs w:val="22"/>
                <w:lang w:eastAsia="en-US"/>
              </w:rPr>
              <w:fldChar w:fldCharType="end"/>
            </w:r>
            <w:r>
              <w:rPr>
                <w:rFonts w:eastAsia="Calibri" w:cs="Times New Roman"/>
                <w:color w:val="000000"/>
                <w:sz w:val="20"/>
                <w:lang w:eastAsia="en-US"/>
              </w:rPr>
              <w:t xml:space="preserve"> </w:t>
            </w:r>
            <w:r>
              <w:rPr>
                <w:rFonts w:eastAsia="Calibri" w:cs="Times New Roman"/>
                <w:color w:val="000000"/>
                <w:spacing w:val="-2"/>
                <w:sz w:val="22"/>
                <w:szCs w:val="22"/>
                <w:lang w:eastAsia="en-US"/>
              </w:rPr>
              <w:t>demografia</w:t>
            </w:r>
          </w:p>
          <w:p w14:paraId="23F0249C" w14:textId="77777777" w:rsidR="00654783" w:rsidRDefault="00654783">
            <w:pPr>
              <w:widowControl/>
              <w:autoSpaceDE/>
              <w:adjustRightInd/>
              <w:spacing w:line="240" w:lineRule="auto"/>
              <w:rPr>
                <w:rFonts w:eastAsia="Calibri" w:cs="Times New Roman"/>
                <w:color w:val="000000"/>
                <w:sz w:val="22"/>
                <w:szCs w:val="22"/>
                <w:lang w:eastAsia="en-US"/>
              </w:rPr>
            </w:pPr>
            <w:r>
              <w:rPr>
                <w:rFonts w:eastAsia="Calibri" w:cs="Times New Roman"/>
                <w:color w:val="000000"/>
                <w:sz w:val="22"/>
                <w:szCs w:val="22"/>
                <w:lang w:eastAsia="en-US"/>
              </w:rPr>
              <w:fldChar w:fldCharType="begin">
                <w:ffData>
                  <w:name w:val=""/>
                  <w:enabled/>
                  <w:calcOnExit w:val="0"/>
                  <w:checkBox>
                    <w:sizeAuto/>
                    <w:default w:val="0"/>
                  </w:checkBox>
                </w:ffData>
              </w:fldChar>
            </w:r>
            <w:r>
              <w:rPr>
                <w:rFonts w:eastAsia="Calibri" w:cs="Times New Roman"/>
                <w:color w:val="000000"/>
                <w:sz w:val="22"/>
                <w:szCs w:val="22"/>
                <w:lang w:eastAsia="en-US"/>
              </w:rPr>
              <w:instrText xml:space="preserve"> FORMCHECKBOX </w:instrText>
            </w:r>
            <w:r w:rsidR="00811AAF">
              <w:rPr>
                <w:rFonts w:eastAsia="Calibri" w:cs="Times New Roman"/>
                <w:color w:val="000000"/>
                <w:sz w:val="22"/>
                <w:szCs w:val="22"/>
                <w:lang w:eastAsia="en-US"/>
              </w:rPr>
            </w:r>
            <w:r w:rsidR="00811AAF">
              <w:rPr>
                <w:rFonts w:eastAsia="Calibri" w:cs="Times New Roman"/>
                <w:color w:val="000000"/>
                <w:sz w:val="22"/>
                <w:szCs w:val="22"/>
                <w:lang w:eastAsia="en-US"/>
              </w:rPr>
              <w:fldChar w:fldCharType="separate"/>
            </w:r>
            <w:r>
              <w:rPr>
                <w:rFonts w:eastAsia="Calibri" w:cs="Times New Roman"/>
                <w:color w:val="000000"/>
                <w:sz w:val="22"/>
                <w:szCs w:val="22"/>
                <w:lang w:eastAsia="en-US"/>
              </w:rPr>
              <w:fldChar w:fldCharType="end"/>
            </w:r>
            <w:r>
              <w:rPr>
                <w:rFonts w:eastAsia="Calibri" w:cs="Times New Roman"/>
                <w:color w:val="000000"/>
                <w:sz w:val="20"/>
                <w:lang w:eastAsia="en-US"/>
              </w:rPr>
              <w:t xml:space="preserve"> </w:t>
            </w:r>
            <w:r>
              <w:rPr>
                <w:rFonts w:eastAsia="Calibri" w:cs="Times New Roman"/>
                <w:color w:val="000000"/>
                <w:sz w:val="22"/>
                <w:szCs w:val="22"/>
                <w:lang w:eastAsia="en-US"/>
              </w:rPr>
              <w:t>mienie państwowe</w:t>
            </w:r>
          </w:p>
          <w:p w14:paraId="4EB939AE" w14:textId="77777777" w:rsidR="00654783" w:rsidRDefault="00654783">
            <w:pPr>
              <w:widowControl/>
              <w:autoSpaceDE/>
              <w:adjustRightInd/>
              <w:spacing w:line="240" w:lineRule="auto"/>
              <w:rPr>
                <w:rFonts w:eastAsia="Calibri" w:cs="Times New Roman"/>
                <w:color w:val="000000"/>
                <w:sz w:val="22"/>
                <w:szCs w:val="22"/>
                <w:lang w:eastAsia="en-US"/>
              </w:rPr>
            </w:pPr>
            <w:r>
              <w:rPr>
                <w:rFonts w:eastAsia="Calibri" w:cs="Times New Roman"/>
                <w:color w:val="000000"/>
                <w:sz w:val="22"/>
                <w:szCs w:val="22"/>
                <w:lang w:eastAsia="en-US"/>
              </w:rPr>
              <w:fldChar w:fldCharType="begin">
                <w:ffData>
                  <w:name w:val="Wybór1"/>
                  <w:enabled/>
                  <w:calcOnExit w:val="0"/>
                  <w:checkBox>
                    <w:sizeAuto/>
                    <w:default w:val="0"/>
                  </w:checkBox>
                </w:ffData>
              </w:fldChar>
            </w:r>
            <w:r>
              <w:rPr>
                <w:rFonts w:eastAsia="Calibri" w:cs="Times New Roman"/>
                <w:color w:val="000000"/>
                <w:sz w:val="22"/>
                <w:szCs w:val="22"/>
                <w:lang w:eastAsia="en-US"/>
              </w:rPr>
              <w:instrText xml:space="preserve"> FORMCHECKBOX </w:instrText>
            </w:r>
            <w:r w:rsidR="00811AAF">
              <w:rPr>
                <w:rFonts w:eastAsia="Calibri" w:cs="Times New Roman"/>
                <w:color w:val="000000"/>
                <w:sz w:val="22"/>
                <w:szCs w:val="22"/>
                <w:lang w:eastAsia="en-US"/>
              </w:rPr>
            </w:r>
            <w:r w:rsidR="00811AAF">
              <w:rPr>
                <w:rFonts w:eastAsia="Calibri" w:cs="Times New Roman"/>
                <w:color w:val="000000"/>
                <w:sz w:val="22"/>
                <w:szCs w:val="22"/>
                <w:lang w:eastAsia="en-US"/>
              </w:rPr>
              <w:fldChar w:fldCharType="separate"/>
            </w:r>
            <w:r>
              <w:rPr>
                <w:rFonts w:eastAsia="Calibri" w:cs="Times New Roman"/>
                <w:color w:val="000000"/>
                <w:sz w:val="22"/>
                <w:szCs w:val="22"/>
                <w:lang w:eastAsia="en-US"/>
              </w:rPr>
              <w:fldChar w:fldCharType="end"/>
            </w:r>
            <w:r>
              <w:rPr>
                <w:rFonts w:eastAsia="Calibri" w:cs="Times New Roman"/>
                <w:color w:val="000000"/>
                <w:sz w:val="20"/>
                <w:lang w:eastAsia="en-US"/>
              </w:rPr>
              <w:t xml:space="preserve"> </w:t>
            </w:r>
            <w:r>
              <w:rPr>
                <w:rFonts w:eastAsia="Calibri" w:cs="Times New Roman"/>
                <w:color w:val="000000"/>
                <w:spacing w:val="-2"/>
                <w:sz w:val="22"/>
                <w:szCs w:val="22"/>
                <w:lang w:eastAsia="en-US"/>
              </w:rPr>
              <w:t xml:space="preserve">inne: </w:t>
            </w:r>
            <w:r>
              <w:rPr>
                <w:rFonts w:eastAsia="Calibri" w:cs="Times New Roman"/>
                <w:color w:val="000000"/>
                <w:sz w:val="22"/>
                <w:szCs w:val="22"/>
                <w:lang w:eastAsia="en-US"/>
              </w:rPr>
              <w:fldChar w:fldCharType="begin">
                <w:ffData>
                  <w:name w:val=""/>
                  <w:enabled/>
                  <w:calcOnExit w:val="0"/>
                  <w:helpText w:type="text" w:val="W przypadku wyboru Upoważnienie ustawowe, Strategia lub Inne wpisz dokładnie źródła tj. jaka ustawa, tytuł strategii i jaki inny dokument"/>
                  <w:statusText w:type="text" w:val="W przypadku wyboru Upoważnienie ustawowe, Strategia lub Inne wpisz dokładnie źródła tj. jaka ustawa, tytuł strategii i jaki inny dokument"/>
                  <w:textInput/>
                </w:ffData>
              </w:fldChar>
            </w:r>
            <w:r>
              <w:rPr>
                <w:rFonts w:eastAsia="Calibri" w:cs="Times New Roman"/>
                <w:color w:val="000000"/>
                <w:sz w:val="22"/>
                <w:szCs w:val="22"/>
                <w:lang w:eastAsia="en-US"/>
              </w:rPr>
              <w:instrText xml:space="preserve"> FORMTEXT </w:instrText>
            </w:r>
            <w:r>
              <w:rPr>
                <w:rFonts w:eastAsia="Calibri" w:cs="Times New Roman"/>
                <w:color w:val="000000"/>
                <w:sz w:val="22"/>
                <w:szCs w:val="22"/>
                <w:lang w:eastAsia="en-US"/>
              </w:rPr>
            </w:r>
            <w:r>
              <w:rPr>
                <w:rFonts w:eastAsia="Calibri" w:cs="Times New Roman"/>
                <w:color w:val="000000"/>
                <w:sz w:val="22"/>
                <w:szCs w:val="22"/>
                <w:lang w:eastAsia="en-US"/>
              </w:rPr>
              <w:fldChar w:fldCharType="separate"/>
            </w:r>
            <w:r>
              <w:rPr>
                <w:rFonts w:eastAsia="Calibri" w:hAnsi="Calibri" w:cs="Times New Roman"/>
                <w:noProof/>
                <w:color w:val="000000"/>
                <w:sz w:val="22"/>
                <w:szCs w:val="22"/>
                <w:lang w:eastAsia="en-US"/>
              </w:rPr>
              <w:t> </w:t>
            </w:r>
            <w:r>
              <w:rPr>
                <w:rFonts w:eastAsia="Calibri" w:hAnsi="Calibri" w:cs="Times New Roman"/>
                <w:noProof/>
                <w:color w:val="000000"/>
                <w:sz w:val="22"/>
                <w:szCs w:val="22"/>
                <w:lang w:eastAsia="en-US"/>
              </w:rPr>
              <w:t> </w:t>
            </w:r>
            <w:r>
              <w:rPr>
                <w:rFonts w:eastAsia="Calibri" w:hAnsi="Calibri" w:cs="Times New Roman"/>
                <w:noProof/>
                <w:color w:val="000000"/>
                <w:sz w:val="22"/>
                <w:szCs w:val="22"/>
                <w:lang w:eastAsia="en-US"/>
              </w:rPr>
              <w:t> </w:t>
            </w:r>
            <w:r>
              <w:rPr>
                <w:rFonts w:eastAsia="Calibri" w:hAnsi="Calibri" w:cs="Times New Roman"/>
                <w:noProof/>
                <w:color w:val="000000"/>
                <w:sz w:val="22"/>
                <w:szCs w:val="22"/>
                <w:lang w:eastAsia="en-US"/>
              </w:rPr>
              <w:t> </w:t>
            </w:r>
            <w:r>
              <w:rPr>
                <w:rFonts w:eastAsia="Calibri" w:hAnsi="Calibri" w:cs="Times New Roman"/>
                <w:noProof/>
                <w:color w:val="000000"/>
                <w:sz w:val="22"/>
                <w:szCs w:val="22"/>
                <w:lang w:eastAsia="en-US"/>
              </w:rPr>
              <w:t> </w:t>
            </w:r>
            <w:r>
              <w:rPr>
                <w:rFonts w:eastAsia="Calibri" w:cs="Times New Roman"/>
                <w:color w:val="000000"/>
                <w:sz w:val="22"/>
                <w:szCs w:val="22"/>
                <w:lang w:eastAsia="en-US"/>
              </w:rPr>
              <w:fldChar w:fldCharType="end"/>
            </w:r>
          </w:p>
        </w:tc>
        <w:tc>
          <w:tcPr>
            <w:tcW w:w="3703" w:type="dxa"/>
            <w:gridSpan w:val="9"/>
            <w:tcBorders>
              <w:top w:val="single" w:sz="4" w:space="0" w:color="auto"/>
              <w:left w:val="single" w:sz="4" w:space="0" w:color="auto"/>
              <w:bottom w:val="single" w:sz="4" w:space="0" w:color="auto"/>
              <w:right w:val="single" w:sz="4" w:space="0" w:color="auto"/>
            </w:tcBorders>
            <w:shd w:val="clear" w:color="auto" w:fill="FFFFFF"/>
          </w:tcPr>
          <w:p w14:paraId="32E6AD37" w14:textId="77777777" w:rsidR="00654783" w:rsidRDefault="00654783">
            <w:pPr>
              <w:widowControl/>
              <w:autoSpaceDE/>
              <w:adjustRightInd/>
              <w:spacing w:line="240" w:lineRule="auto"/>
              <w:rPr>
                <w:rFonts w:eastAsia="Calibri" w:cs="Times New Roman"/>
                <w:color w:val="000000"/>
                <w:sz w:val="22"/>
                <w:szCs w:val="22"/>
                <w:lang w:eastAsia="en-US"/>
              </w:rPr>
            </w:pPr>
          </w:p>
          <w:p w14:paraId="568FEB20" w14:textId="77777777" w:rsidR="00654783" w:rsidRDefault="00654783">
            <w:pPr>
              <w:widowControl/>
              <w:autoSpaceDE/>
              <w:adjustRightInd/>
              <w:spacing w:line="240" w:lineRule="auto"/>
              <w:rPr>
                <w:rFonts w:eastAsia="Calibri" w:cs="Times New Roman"/>
                <w:color w:val="000000"/>
                <w:spacing w:val="-2"/>
                <w:sz w:val="22"/>
                <w:szCs w:val="22"/>
                <w:lang w:eastAsia="en-US"/>
              </w:rPr>
            </w:pPr>
            <w:r>
              <w:rPr>
                <w:rFonts w:eastAsia="Calibri" w:cs="Times New Roman"/>
                <w:color w:val="000000"/>
                <w:sz w:val="22"/>
                <w:szCs w:val="22"/>
                <w:lang w:eastAsia="en-US"/>
              </w:rPr>
              <w:fldChar w:fldCharType="begin">
                <w:ffData>
                  <w:name w:val=""/>
                  <w:enabled/>
                  <w:calcOnExit w:val="0"/>
                  <w:checkBox>
                    <w:sizeAuto/>
                    <w:default w:val="1"/>
                  </w:checkBox>
                </w:ffData>
              </w:fldChar>
            </w:r>
            <w:r>
              <w:rPr>
                <w:rFonts w:eastAsia="Calibri" w:cs="Times New Roman"/>
                <w:color w:val="000000"/>
                <w:sz w:val="22"/>
                <w:szCs w:val="22"/>
                <w:lang w:eastAsia="en-US"/>
              </w:rPr>
              <w:instrText xml:space="preserve"> FORMCHECKBOX </w:instrText>
            </w:r>
            <w:r w:rsidR="00811AAF">
              <w:rPr>
                <w:rFonts w:eastAsia="Calibri" w:cs="Times New Roman"/>
                <w:color w:val="000000"/>
                <w:sz w:val="22"/>
                <w:szCs w:val="22"/>
                <w:lang w:eastAsia="en-US"/>
              </w:rPr>
            </w:r>
            <w:r w:rsidR="00811AAF">
              <w:rPr>
                <w:rFonts w:eastAsia="Calibri" w:cs="Times New Roman"/>
                <w:color w:val="000000"/>
                <w:sz w:val="22"/>
                <w:szCs w:val="22"/>
                <w:lang w:eastAsia="en-US"/>
              </w:rPr>
              <w:fldChar w:fldCharType="separate"/>
            </w:r>
            <w:r>
              <w:rPr>
                <w:rFonts w:eastAsia="Calibri" w:cs="Times New Roman"/>
                <w:color w:val="000000"/>
                <w:sz w:val="22"/>
                <w:szCs w:val="22"/>
                <w:lang w:eastAsia="en-US"/>
              </w:rPr>
              <w:fldChar w:fldCharType="end"/>
            </w:r>
            <w:r>
              <w:rPr>
                <w:rFonts w:eastAsia="Calibri" w:cs="Times New Roman"/>
                <w:color w:val="000000"/>
                <w:sz w:val="20"/>
                <w:lang w:eastAsia="en-US"/>
              </w:rPr>
              <w:t xml:space="preserve"> </w:t>
            </w:r>
            <w:r>
              <w:rPr>
                <w:rFonts w:eastAsia="Calibri" w:cs="Times New Roman"/>
                <w:color w:val="000000"/>
                <w:spacing w:val="-2"/>
                <w:sz w:val="22"/>
                <w:szCs w:val="22"/>
                <w:lang w:eastAsia="en-US"/>
              </w:rPr>
              <w:t>informatyzacja</w:t>
            </w:r>
          </w:p>
          <w:p w14:paraId="6A3C03CA" w14:textId="77777777" w:rsidR="00654783" w:rsidRDefault="00654783">
            <w:pPr>
              <w:widowControl/>
              <w:autoSpaceDE/>
              <w:adjustRightInd/>
              <w:spacing w:line="240" w:lineRule="auto"/>
              <w:rPr>
                <w:rFonts w:eastAsia="Calibri" w:cs="Times New Roman"/>
                <w:color w:val="000000"/>
                <w:sz w:val="22"/>
                <w:szCs w:val="22"/>
                <w:lang w:eastAsia="en-US"/>
              </w:rPr>
            </w:pPr>
            <w:r>
              <w:rPr>
                <w:rFonts w:eastAsia="Calibri" w:cs="Times New Roman"/>
                <w:color w:val="000000"/>
                <w:sz w:val="22"/>
                <w:szCs w:val="22"/>
                <w:lang w:eastAsia="en-US"/>
              </w:rPr>
              <w:fldChar w:fldCharType="begin">
                <w:ffData>
                  <w:name w:val="Wybór1"/>
                  <w:enabled/>
                  <w:calcOnExit w:val="0"/>
                  <w:checkBox>
                    <w:sizeAuto/>
                    <w:default w:val="0"/>
                  </w:checkBox>
                </w:ffData>
              </w:fldChar>
            </w:r>
            <w:r>
              <w:rPr>
                <w:rFonts w:eastAsia="Calibri" w:cs="Times New Roman"/>
                <w:color w:val="000000"/>
                <w:sz w:val="22"/>
                <w:szCs w:val="22"/>
                <w:lang w:eastAsia="en-US"/>
              </w:rPr>
              <w:instrText xml:space="preserve"> FORMCHECKBOX </w:instrText>
            </w:r>
            <w:r w:rsidR="00811AAF">
              <w:rPr>
                <w:rFonts w:eastAsia="Calibri" w:cs="Times New Roman"/>
                <w:color w:val="000000"/>
                <w:sz w:val="22"/>
                <w:szCs w:val="22"/>
                <w:lang w:eastAsia="en-US"/>
              </w:rPr>
            </w:r>
            <w:r w:rsidR="00811AAF">
              <w:rPr>
                <w:rFonts w:eastAsia="Calibri" w:cs="Times New Roman"/>
                <w:color w:val="000000"/>
                <w:sz w:val="22"/>
                <w:szCs w:val="22"/>
                <w:lang w:eastAsia="en-US"/>
              </w:rPr>
              <w:fldChar w:fldCharType="separate"/>
            </w:r>
            <w:r>
              <w:rPr>
                <w:rFonts w:eastAsia="Calibri" w:cs="Times New Roman"/>
                <w:color w:val="000000"/>
                <w:sz w:val="22"/>
                <w:szCs w:val="22"/>
                <w:lang w:eastAsia="en-US"/>
              </w:rPr>
              <w:fldChar w:fldCharType="end"/>
            </w:r>
            <w:r>
              <w:rPr>
                <w:rFonts w:eastAsia="Calibri" w:cs="Times New Roman"/>
                <w:color w:val="000000"/>
                <w:sz w:val="20"/>
                <w:lang w:eastAsia="en-US"/>
              </w:rPr>
              <w:t xml:space="preserve"> </w:t>
            </w:r>
            <w:r>
              <w:rPr>
                <w:rFonts w:eastAsia="Calibri" w:cs="Times New Roman"/>
                <w:color w:val="000000"/>
                <w:spacing w:val="-2"/>
                <w:sz w:val="22"/>
                <w:szCs w:val="22"/>
                <w:lang w:eastAsia="en-US"/>
              </w:rPr>
              <w:t>zdrowie</w:t>
            </w:r>
          </w:p>
        </w:tc>
      </w:tr>
      <w:tr w:rsidR="00654783" w14:paraId="37D84288" w14:textId="77777777" w:rsidTr="00CA6AF1">
        <w:trPr>
          <w:gridAfter w:val="1"/>
          <w:wAfter w:w="10" w:type="dxa"/>
          <w:trHeight w:val="712"/>
        </w:trPr>
        <w:tc>
          <w:tcPr>
            <w:tcW w:w="224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58F304A" w14:textId="77777777" w:rsidR="00654783" w:rsidRDefault="00654783">
            <w:pPr>
              <w:widowControl/>
              <w:autoSpaceDE/>
              <w:adjustRightInd/>
              <w:spacing w:line="240" w:lineRule="auto"/>
              <w:rPr>
                <w:rFonts w:eastAsia="Calibri" w:cs="Times New Roman"/>
                <w:color w:val="000000"/>
                <w:sz w:val="22"/>
                <w:szCs w:val="22"/>
                <w:lang w:eastAsia="en-US"/>
              </w:rPr>
            </w:pPr>
            <w:r>
              <w:rPr>
                <w:rFonts w:eastAsia="Calibri" w:cs="Times New Roman"/>
                <w:color w:val="000000"/>
                <w:sz w:val="22"/>
                <w:szCs w:val="22"/>
                <w:lang w:eastAsia="en-US"/>
              </w:rPr>
              <w:t>Omówienie wpływu</w:t>
            </w:r>
          </w:p>
        </w:tc>
        <w:tc>
          <w:tcPr>
            <w:tcW w:w="8694" w:type="dxa"/>
            <w:gridSpan w:val="26"/>
            <w:tcBorders>
              <w:top w:val="single" w:sz="4" w:space="0" w:color="auto"/>
              <w:left w:val="single" w:sz="4" w:space="0" w:color="auto"/>
              <w:bottom w:val="single" w:sz="4" w:space="0" w:color="auto"/>
              <w:right w:val="single" w:sz="4" w:space="0" w:color="auto"/>
            </w:tcBorders>
            <w:shd w:val="clear" w:color="auto" w:fill="FFFFFF"/>
            <w:vAlign w:val="center"/>
            <w:hideMark/>
          </w:tcPr>
          <w:p w14:paraId="713C7819" w14:textId="77777777" w:rsidR="00654783" w:rsidRDefault="00654783">
            <w:pPr>
              <w:widowControl/>
              <w:autoSpaceDE/>
              <w:adjustRightInd/>
              <w:spacing w:line="240" w:lineRule="auto"/>
              <w:jc w:val="both"/>
              <w:rPr>
                <w:rFonts w:eastAsia="Calibri" w:cs="Times New Roman"/>
                <w:color w:val="000000"/>
                <w:spacing w:val="-2"/>
                <w:sz w:val="22"/>
                <w:szCs w:val="22"/>
                <w:lang w:eastAsia="en-US"/>
              </w:rPr>
            </w:pPr>
            <w:r>
              <w:rPr>
                <w:rFonts w:eastAsia="Calibri" w:cs="Times New Roman"/>
                <w:color w:val="000000"/>
                <w:spacing w:val="-2"/>
                <w:sz w:val="22"/>
                <w:szCs w:val="22"/>
                <w:lang w:eastAsia="en-US"/>
              </w:rPr>
              <w:t>Projekt ustawy będzie pozytywnie wpływał na elektronizację świadczenia usług publicznych bowiem przewidziane w nim procedury związane z ponownym wykorzystywaniem chronionych danych, rejestracją dostawców usług pośrednictwa danych oraz organizacji altruizmu danych realizowane będą elektronicznie. Taki sam wymóg pełnej elektronizacji dotyczyć będzie działalności pojedynczego punktu informacyjnego oraz rejestrów tworzonych na podstawie DGA (zasobów danych publicznych udostępnianych do ponownego wykorzystywania oraz rejestrów pośredników danych i organizacji altruizmu danych).</w:t>
            </w:r>
            <w:r>
              <w:rPr>
                <w:rFonts w:ascii="Calibri" w:eastAsia="Calibri" w:hAnsi="Calibri" w:cs="Times New Roman"/>
                <w:sz w:val="22"/>
                <w:szCs w:val="22"/>
                <w:lang w:eastAsia="en-US"/>
              </w:rPr>
              <w:t xml:space="preserve"> </w:t>
            </w:r>
            <w:r>
              <w:rPr>
                <w:rFonts w:eastAsia="Calibri" w:cs="Times New Roman"/>
                <w:sz w:val="22"/>
                <w:szCs w:val="22"/>
                <w:lang w:eastAsia="en-US"/>
              </w:rPr>
              <w:t>Projektowana</w:t>
            </w:r>
            <w:r>
              <w:rPr>
                <w:rFonts w:ascii="Calibri" w:eastAsia="Calibri" w:hAnsi="Calibri" w:cs="Times New Roman"/>
                <w:sz w:val="22"/>
                <w:szCs w:val="22"/>
                <w:lang w:eastAsia="en-US"/>
              </w:rPr>
              <w:t xml:space="preserve"> </w:t>
            </w:r>
            <w:r>
              <w:rPr>
                <w:rFonts w:eastAsia="Calibri" w:cs="Times New Roman"/>
                <w:color w:val="000000"/>
                <w:spacing w:val="-2"/>
                <w:sz w:val="22"/>
                <w:szCs w:val="22"/>
                <w:lang w:eastAsia="en-US"/>
              </w:rPr>
              <w:t>regulacja będzie również pozytywnie oddziaływać na zwiększenie ilości danych dostępnych dla użytkowników (np. programistów, firm z branży IT) poprzez stworzenie otoczenia instytucjonalnego i regulacyjnego dla wykonania w prawie krajowym przepisów DGA. Więcej danych publicznych i prywatnych dostępnych za pomocą mechanizmów uregulowanych w rozporządzeniu (w tym takich danych, do których dostęp był dotychczas utrudniony lub niemożliwy) oznacza więcej możliwości na ich wykorzystywanie w aplikacjach i produktach, a także do prowadzenia analiz, badań lub na potrzeby rozwiązań sztucznej inteligencji, w tym także dla biznesu i przemysłu, czy też modelowania kryzysowego.</w:t>
            </w:r>
          </w:p>
        </w:tc>
      </w:tr>
      <w:tr w:rsidR="00654783" w14:paraId="216E2638" w14:textId="77777777" w:rsidTr="00CA6AF1">
        <w:trPr>
          <w:gridAfter w:val="1"/>
          <w:wAfter w:w="10" w:type="dxa"/>
          <w:trHeight w:val="142"/>
        </w:trPr>
        <w:tc>
          <w:tcPr>
            <w:tcW w:w="10937" w:type="dxa"/>
            <w:gridSpan w:val="28"/>
            <w:tcBorders>
              <w:top w:val="single" w:sz="4" w:space="0" w:color="auto"/>
              <w:left w:val="single" w:sz="4" w:space="0" w:color="auto"/>
              <w:bottom w:val="single" w:sz="4" w:space="0" w:color="auto"/>
              <w:right w:val="single" w:sz="4" w:space="0" w:color="auto"/>
            </w:tcBorders>
            <w:shd w:val="clear" w:color="auto" w:fill="99CCFF"/>
            <w:hideMark/>
          </w:tcPr>
          <w:p w14:paraId="7E7D2129" w14:textId="77777777" w:rsidR="00654783" w:rsidRDefault="00654783" w:rsidP="00654783">
            <w:pPr>
              <w:widowControl/>
              <w:numPr>
                <w:ilvl w:val="0"/>
                <w:numId w:val="18"/>
              </w:numPr>
              <w:autoSpaceDE/>
              <w:adjustRightInd/>
              <w:spacing w:before="60" w:after="60" w:line="240" w:lineRule="auto"/>
              <w:ind w:left="318" w:hanging="284"/>
              <w:jc w:val="both"/>
              <w:rPr>
                <w:rFonts w:eastAsia="Calibri" w:cs="Times New Roman"/>
                <w:b/>
                <w:sz w:val="22"/>
                <w:szCs w:val="22"/>
                <w:lang w:eastAsia="en-US"/>
              </w:rPr>
            </w:pPr>
            <w:r>
              <w:rPr>
                <w:rFonts w:eastAsia="Calibri" w:cs="Times New Roman"/>
                <w:b/>
                <w:spacing w:val="-2"/>
                <w:sz w:val="21"/>
                <w:szCs w:val="21"/>
                <w:lang w:eastAsia="en-US"/>
              </w:rPr>
              <w:lastRenderedPageBreak/>
              <w:t>Planowane wykonanie przepisów aktu prawnego</w:t>
            </w:r>
          </w:p>
        </w:tc>
      </w:tr>
      <w:tr w:rsidR="00654783" w14:paraId="57CBD2FB" w14:textId="77777777" w:rsidTr="00CA6AF1">
        <w:trPr>
          <w:gridAfter w:val="1"/>
          <w:wAfter w:w="10" w:type="dxa"/>
          <w:trHeight w:val="142"/>
        </w:trPr>
        <w:tc>
          <w:tcPr>
            <w:tcW w:w="10937" w:type="dxa"/>
            <w:gridSpan w:val="28"/>
            <w:tcBorders>
              <w:top w:val="single" w:sz="4" w:space="0" w:color="auto"/>
              <w:left w:val="single" w:sz="4" w:space="0" w:color="auto"/>
              <w:bottom w:val="single" w:sz="4" w:space="0" w:color="auto"/>
              <w:right w:val="single" w:sz="4" w:space="0" w:color="auto"/>
            </w:tcBorders>
            <w:shd w:val="clear" w:color="auto" w:fill="FFFFFF"/>
            <w:hideMark/>
          </w:tcPr>
          <w:p w14:paraId="19BD03CB" w14:textId="77777777" w:rsidR="00654783" w:rsidRDefault="00654783">
            <w:pPr>
              <w:widowControl/>
              <w:autoSpaceDE/>
              <w:adjustRightInd/>
              <w:spacing w:line="240" w:lineRule="auto"/>
              <w:jc w:val="both"/>
              <w:rPr>
                <w:rFonts w:eastAsia="Calibri" w:cs="Times New Roman"/>
                <w:spacing w:val="-2"/>
                <w:sz w:val="22"/>
                <w:szCs w:val="22"/>
                <w:lang w:eastAsia="en-US"/>
              </w:rPr>
            </w:pPr>
            <w:r>
              <w:rPr>
                <w:rFonts w:eastAsia="Calibri" w:cs="Times New Roman"/>
                <w:spacing w:val="-2"/>
                <w:sz w:val="22"/>
                <w:szCs w:val="22"/>
                <w:lang w:eastAsia="en-US"/>
              </w:rPr>
              <w:t>Nie jest planowane wydawanie aktów wykonawczych do projektowanej ustawy. Jednak DGA zawiera przepisy nakazujące KE przyjęcie:</w:t>
            </w:r>
          </w:p>
          <w:p w14:paraId="0347473C" w14:textId="67B3E49A" w:rsidR="00654783" w:rsidRDefault="009B7EA2" w:rsidP="00654783">
            <w:pPr>
              <w:widowControl/>
              <w:numPr>
                <w:ilvl w:val="0"/>
                <w:numId w:val="33"/>
              </w:numPr>
              <w:autoSpaceDE/>
              <w:adjustRightInd/>
              <w:spacing w:line="240" w:lineRule="auto"/>
              <w:jc w:val="both"/>
              <w:rPr>
                <w:rFonts w:eastAsia="Calibri" w:cs="Times New Roman"/>
                <w:spacing w:val="-2"/>
                <w:sz w:val="22"/>
                <w:szCs w:val="22"/>
                <w:lang w:eastAsia="en-US"/>
              </w:rPr>
            </w:pPr>
            <w:r>
              <w:rPr>
                <w:rFonts w:eastAsia="Calibri" w:cs="Times New Roman"/>
                <w:spacing w:val="-2"/>
                <w:sz w:val="22"/>
                <w:szCs w:val="22"/>
                <w:lang w:eastAsia="en-US"/>
              </w:rPr>
              <w:t>A</w:t>
            </w:r>
            <w:r w:rsidR="00654783">
              <w:rPr>
                <w:rFonts w:eastAsia="Calibri" w:cs="Times New Roman"/>
                <w:spacing w:val="-2"/>
                <w:sz w:val="22"/>
                <w:szCs w:val="22"/>
                <w:lang w:eastAsia="en-US"/>
              </w:rPr>
              <w:t>któw delegowanych uzupełniających rozporządzenie poprzez ustanowienie warunków szczególnych mających zastosowanie do przekazywania do państw trzecich danych nieosobowych posiadanych przed podmioty publiczne, które to dane, na podstawie szczególnych aktów ustawodawczych Unii, uznano za szczególnie chronione w najwyższym stopniu (art. 5 ust. 13</w:t>
            </w:r>
            <w:r>
              <w:rPr>
                <w:rFonts w:eastAsia="Calibri" w:cs="Times New Roman"/>
                <w:spacing w:val="-2"/>
                <w:sz w:val="22"/>
                <w:szCs w:val="22"/>
                <w:lang w:eastAsia="en-US"/>
              </w:rPr>
              <w:t xml:space="preserve"> DGA</w:t>
            </w:r>
            <w:r w:rsidR="00654783">
              <w:rPr>
                <w:rFonts w:eastAsia="Calibri" w:cs="Times New Roman"/>
                <w:spacing w:val="-2"/>
                <w:sz w:val="22"/>
                <w:szCs w:val="22"/>
                <w:lang w:eastAsia="en-US"/>
              </w:rPr>
              <w:t>)</w:t>
            </w:r>
            <w:r>
              <w:rPr>
                <w:rFonts w:eastAsia="Calibri" w:cs="Times New Roman"/>
                <w:spacing w:val="-2"/>
                <w:sz w:val="22"/>
                <w:szCs w:val="22"/>
                <w:lang w:eastAsia="en-US"/>
              </w:rPr>
              <w:t>.</w:t>
            </w:r>
          </w:p>
          <w:p w14:paraId="60847D05" w14:textId="2686004F" w:rsidR="00654783" w:rsidRDefault="009B7EA2" w:rsidP="00654783">
            <w:pPr>
              <w:widowControl/>
              <w:numPr>
                <w:ilvl w:val="0"/>
                <w:numId w:val="33"/>
              </w:numPr>
              <w:autoSpaceDE/>
              <w:adjustRightInd/>
              <w:spacing w:line="240" w:lineRule="auto"/>
              <w:jc w:val="both"/>
              <w:rPr>
                <w:rFonts w:eastAsia="Calibri" w:cs="Times New Roman"/>
                <w:spacing w:val="-2"/>
                <w:sz w:val="22"/>
                <w:szCs w:val="22"/>
                <w:lang w:eastAsia="en-US"/>
              </w:rPr>
            </w:pPr>
            <w:r>
              <w:rPr>
                <w:rFonts w:eastAsia="Calibri" w:cs="Times New Roman"/>
                <w:spacing w:val="-2"/>
                <w:sz w:val="22"/>
                <w:szCs w:val="22"/>
                <w:lang w:eastAsia="en-US"/>
              </w:rPr>
              <w:t>A</w:t>
            </w:r>
            <w:r w:rsidR="00654783">
              <w:rPr>
                <w:rFonts w:eastAsia="Calibri" w:cs="Times New Roman"/>
                <w:spacing w:val="-2"/>
                <w:sz w:val="22"/>
                <w:szCs w:val="22"/>
                <w:lang w:eastAsia="en-US"/>
              </w:rPr>
              <w:t>któw wykonawczych ustanawiających wspólne logo dla dostawców usług pośrednictwa danych (art. 11 ust. 9) i organizacji altruizmu danych (art. 17 ust. 2</w:t>
            </w:r>
            <w:r>
              <w:rPr>
                <w:rFonts w:eastAsia="Calibri" w:cs="Times New Roman"/>
                <w:spacing w:val="-2"/>
                <w:sz w:val="22"/>
                <w:szCs w:val="22"/>
                <w:lang w:eastAsia="en-US"/>
              </w:rPr>
              <w:t xml:space="preserve"> DGA</w:t>
            </w:r>
            <w:r w:rsidR="00654783">
              <w:rPr>
                <w:rFonts w:eastAsia="Calibri" w:cs="Times New Roman"/>
                <w:spacing w:val="-2"/>
                <w:sz w:val="22"/>
                <w:szCs w:val="22"/>
                <w:lang w:eastAsia="en-US"/>
              </w:rPr>
              <w:t>)</w:t>
            </w:r>
            <w:r>
              <w:rPr>
                <w:rFonts w:eastAsia="Calibri" w:cs="Times New Roman"/>
                <w:spacing w:val="-2"/>
                <w:sz w:val="22"/>
                <w:szCs w:val="22"/>
                <w:lang w:eastAsia="en-US"/>
              </w:rPr>
              <w:t>.</w:t>
            </w:r>
          </w:p>
          <w:p w14:paraId="55BD19CF" w14:textId="485E879A" w:rsidR="00654783" w:rsidRDefault="009B7EA2" w:rsidP="00654783">
            <w:pPr>
              <w:widowControl/>
              <w:numPr>
                <w:ilvl w:val="0"/>
                <w:numId w:val="33"/>
              </w:numPr>
              <w:autoSpaceDE/>
              <w:adjustRightInd/>
              <w:spacing w:line="240" w:lineRule="auto"/>
              <w:jc w:val="both"/>
              <w:rPr>
                <w:rFonts w:eastAsia="Calibri" w:cs="Times New Roman"/>
                <w:spacing w:val="-2"/>
                <w:sz w:val="22"/>
                <w:szCs w:val="22"/>
                <w:lang w:eastAsia="en-US"/>
              </w:rPr>
            </w:pPr>
            <w:r>
              <w:rPr>
                <w:rFonts w:eastAsia="Calibri" w:cs="Times New Roman"/>
                <w:spacing w:val="-2"/>
                <w:sz w:val="22"/>
                <w:szCs w:val="22"/>
                <w:lang w:eastAsia="en-US"/>
              </w:rPr>
              <w:t>A</w:t>
            </w:r>
            <w:r w:rsidR="00654783">
              <w:rPr>
                <w:rFonts w:eastAsia="Calibri" w:cs="Times New Roman"/>
                <w:spacing w:val="-2"/>
                <w:sz w:val="22"/>
                <w:szCs w:val="22"/>
                <w:lang w:eastAsia="en-US"/>
              </w:rPr>
              <w:t>któw delegowanych uzupełniających rozporządzenie przez ustanowienie zbioru zasad dla organizacji altruizmu danych (art. 22 ust. 1</w:t>
            </w:r>
            <w:r>
              <w:rPr>
                <w:rFonts w:eastAsia="Calibri" w:cs="Times New Roman"/>
                <w:spacing w:val="-2"/>
                <w:sz w:val="22"/>
                <w:szCs w:val="22"/>
                <w:lang w:eastAsia="en-US"/>
              </w:rPr>
              <w:t xml:space="preserve"> DGA</w:t>
            </w:r>
            <w:r w:rsidR="00654783">
              <w:rPr>
                <w:rFonts w:eastAsia="Calibri" w:cs="Times New Roman"/>
                <w:spacing w:val="-2"/>
                <w:sz w:val="22"/>
                <w:szCs w:val="22"/>
                <w:lang w:eastAsia="en-US"/>
              </w:rPr>
              <w:t>)</w:t>
            </w:r>
            <w:r>
              <w:rPr>
                <w:rFonts w:eastAsia="Calibri" w:cs="Times New Roman"/>
                <w:spacing w:val="-2"/>
                <w:sz w:val="22"/>
                <w:szCs w:val="22"/>
                <w:lang w:eastAsia="en-US"/>
              </w:rPr>
              <w:t>.</w:t>
            </w:r>
          </w:p>
          <w:p w14:paraId="529407BE" w14:textId="35B76E6A" w:rsidR="00654783" w:rsidRDefault="009B7EA2" w:rsidP="00654783">
            <w:pPr>
              <w:widowControl/>
              <w:numPr>
                <w:ilvl w:val="0"/>
                <w:numId w:val="33"/>
              </w:numPr>
              <w:autoSpaceDE/>
              <w:adjustRightInd/>
              <w:spacing w:line="240" w:lineRule="auto"/>
              <w:jc w:val="both"/>
              <w:rPr>
                <w:rFonts w:eastAsia="Calibri" w:cs="Times New Roman"/>
                <w:spacing w:val="-2"/>
                <w:sz w:val="22"/>
                <w:szCs w:val="22"/>
                <w:lang w:eastAsia="en-US"/>
              </w:rPr>
            </w:pPr>
            <w:r>
              <w:rPr>
                <w:rFonts w:eastAsia="Calibri" w:cs="Times New Roman"/>
                <w:spacing w:val="-2"/>
                <w:sz w:val="22"/>
                <w:szCs w:val="22"/>
                <w:lang w:eastAsia="en-US"/>
              </w:rPr>
              <w:t>A</w:t>
            </w:r>
            <w:r w:rsidR="00654783">
              <w:rPr>
                <w:rFonts w:eastAsia="Calibri" w:cs="Times New Roman"/>
                <w:spacing w:val="-2"/>
                <w:sz w:val="22"/>
                <w:szCs w:val="22"/>
                <w:lang w:eastAsia="en-US"/>
              </w:rPr>
              <w:t>któw wykonawczych w celu ustanowienia i opracowania europejskiego formularza zgody do celów altruizmu danych (art. 25 ust. 1</w:t>
            </w:r>
            <w:r>
              <w:rPr>
                <w:rFonts w:eastAsia="Calibri" w:cs="Times New Roman"/>
                <w:spacing w:val="-2"/>
                <w:sz w:val="22"/>
                <w:szCs w:val="22"/>
                <w:lang w:eastAsia="en-US"/>
              </w:rPr>
              <w:t xml:space="preserve"> DGA</w:t>
            </w:r>
            <w:r w:rsidR="00654783">
              <w:rPr>
                <w:rFonts w:eastAsia="Calibri" w:cs="Times New Roman"/>
                <w:spacing w:val="-2"/>
                <w:sz w:val="22"/>
                <w:szCs w:val="22"/>
                <w:lang w:eastAsia="en-US"/>
              </w:rPr>
              <w:t>).</w:t>
            </w:r>
          </w:p>
          <w:p w14:paraId="13F9F34C" w14:textId="77777777" w:rsidR="00654783" w:rsidRDefault="00654783">
            <w:pPr>
              <w:widowControl/>
              <w:autoSpaceDE/>
              <w:adjustRightInd/>
              <w:spacing w:line="240" w:lineRule="auto"/>
              <w:jc w:val="both"/>
              <w:rPr>
                <w:rFonts w:eastAsia="Calibri" w:cs="Times New Roman"/>
                <w:spacing w:val="-2"/>
                <w:sz w:val="22"/>
                <w:szCs w:val="22"/>
                <w:lang w:eastAsia="en-US"/>
              </w:rPr>
            </w:pPr>
            <w:r>
              <w:rPr>
                <w:rFonts w:eastAsia="Calibri" w:cs="Times New Roman"/>
                <w:spacing w:val="-2"/>
                <w:sz w:val="22"/>
                <w:szCs w:val="22"/>
                <w:lang w:eastAsia="en-US"/>
              </w:rPr>
              <w:t>Dodatkowo Komisja może przyjąć akty wykonawcze:</w:t>
            </w:r>
          </w:p>
          <w:p w14:paraId="76F753F7" w14:textId="0D1FA9ED" w:rsidR="00654783" w:rsidRDefault="009B7EA2" w:rsidP="00654783">
            <w:pPr>
              <w:widowControl/>
              <w:numPr>
                <w:ilvl w:val="0"/>
                <w:numId w:val="34"/>
              </w:numPr>
              <w:autoSpaceDE/>
              <w:adjustRightInd/>
              <w:spacing w:line="240" w:lineRule="auto"/>
              <w:jc w:val="both"/>
              <w:rPr>
                <w:rFonts w:eastAsia="Calibri" w:cs="Times New Roman"/>
                <w:spacing w:val="-2"/>
                <w:sz w:val="22"/>
                <w:szCs w:val="22"/>
                <w:lang w:eastAsia="en-US"/>
              </w:rPr>
            </w:pPr>
            <w:r>
              <w:rPr>
                <w:rFonts w:eastAsia="Calibri" w:cs="Times New Roman"/>
                <w:spacing w:val="-2"/>
                <w:sz w:val="22"/>
                <w:szCs w:val="22"/>
                <w:lang w:eastAsia="en-US"/>
              </w:rPr>
              <w:t>O</w:t>
            </w:r>
            <w:r w:rsidR="00654783">
              <w:rPr>
                <w:rFonts w:eastAsia="Calibri" w:cs="Times New Roman"/>
                <w:spacing w:val="-2"/>
                <w:sz w:val="22"/>
                <w:szCs w:val="22"/>
                <w:lang w:eastAsia="en-US"/>
              </w:rPr>
              <w:t>kreślające wzory klauzul umownych dotyczących wypełniania obowiązków związanych z przekazywaniem do państw trzecich danych udostępnionych do ponownego wykorzystywania (art. 5 ust. 11</w:t>
            </w:r>
            <w:r>
              <w:rPr>
                <w:rFonts w:eastAsia="Calibri" w:cs="Times New Roman"/>
                <w:spacing w:val="-2"/>
                <w:sz w:val="22"/>
                <w:szCs w:val="22"/>
                <w:lang w:eastAsia="en-US"/>
              </w:rPr>
              <w:t xml:space="preserve"> DGA</w:t>
            </w:r>
            <w:r w:rsidR="00654783">
              <w:rPr>
                <w:rFonts w:eastAsia="Calibri" w:cs="Times New Roman"/>
                <w:spacing w:val="-2"/>
                <w:sz w:val="22"/>
                <w:szCs w:val="22"/>
                <w:lang w:eastAsia="en-US"/>
              </w:rPr>
              <w:t>)</w:t>
            </w:r>
            <w:r>
              <w:rPr>
                <w:rFonts w:eastAsia="Calibri" w:cs="Times New Roman"/>
                <w:spacing w:val="-2"/>
                <w:sz w:val="22"/>
                <w:szCs w:val="22"/>
                <w:lang w:eastAsia="en-US"/>
              </w:rPr>
              <w:t>.</w:t>
            </w:r>
          </w:p>
          <w:p w14:paraId="095D3520" w14:textId="1FE498BB" w:rsidR="00654783" w:rsidRDefault="009B7EA2" w:rsidP="00654783">
            <w:pPr>
              <w:widowControl/>
              <w:numPr>
                <w:ilvl w:val="0"/>
                <w:numId w:val="34"/>
              </w:numPr>
              <w:autoSpaceDE/>
              <w:adjustRightInd/>
              <w:spacing w:line="240" w:lineRule="auto"/>
              <w:jc w:val="both"/>
              <w:rPr>
                <w:rFonts w:eastAsia="Calibri" w:cs="Times New Roman"/>
                <w:spacing w:val="-2"/>
                <w:sz w:val="22"/>
                <w:szCs w:val="22"/>
                <w:lang w:eastAsia="en-US"/>
              </w:rPr>
            </w:pPr>
            <w:r>
              <w:rPr>
                <w:rFonts w:eastAsia="Calibri" w:cs="Times New Roman"/>
                <w:spacing w:val="-2"/>
                <w:sz w:val="22"/>
                <w:szCs w:val="22"/>
                <w:lang w:eastAsia="en-US"/>
              </w:rPr>
              <w:t>S</w:t>
            </w:r>
            <w:r w:rsidR="00654783">
              <w:rPr>
                <w:rFonts w:eastAsia="Calibri" w:cs="Times New Roman"/>
                <w:spacing w:val="-2"/>
                <w:sz w:val="22"/>
                <w:szCs w:val="22"/>
                <w:lang w:eastAsia="en-US"/>
              </w:rPr>
              <w:t>twierdzające, że rozwiązania prawne dotyczące nadzoru i egzekwowania przepisów stosowane przez państwo trzecie, w którym ponownie wykorzystuje się publiczne dane nieosobowe objęte DGA, są adekwatne do tych obowiązujących w UE (art. 5 ust. 12</w:t>
            </w:r>
            <w:r>
              <w:rPr>
                <w:rFonts w:eastAsia="Calibri" w:cs="Times New Roman"/>
                <w:spacing w:val="-2"/>
                <w:sz w:val="22"/>
                <w:szCs w:val="22"/>
                <w:lang w:eastAsia="en-US"/>
              </w:rPr>
              <w:t xml:space="preserve"> DGA</w:t>
            </w:r>
            <w:r w:rsidR="00654783">
              <w:rPr>
                <w:rFonts w:eastAsia="Calibri" w:cs="Times New Roman"/>
                <w:spacing w:val="-2"/>
                <w:sz w:val="22"/>
                <w:szCs w:val="22"/>
                <w:lang w:eastAsia="en-US"/>
              </w:rPr>
              <w:t>).</w:t>
            </w:r>
          </w:p>
        </w:tc>
      </w:tr>
      <w:tr w:rsidR="00654783" w14:paraId="1457CFBD" w14:textId="77777777" w:rsidTr="00CA6AF1">
        <w:trPr>
          <w:gridAfter w:val="1"/>
          <w:wAfter w:w="10" w:type="dxa"/>
          <w:trHeight w:val="142"/>
        </w:trPr>
        <w:tc>
          <w:tcPr>
            <w:tcW w:w="10937" w:type="dxa"/>
            <w:gridSpan w:val="28"/>
            <w:tcBorders>
              <w:top w:val="single" w:sz="4" w:space="0" w:color="auto"/>
              <w:left w:val="single" w:sz="4" w:space="0" w:color="auto"/>
              <w:bottom w:val="single" w:sz="4" w:space="0" w:color="auto"/>
              <w:right w:val="single" w:sz="4" w:space="0" w:color="auto"/>
            </w:tcBorders>
            <w:shd w:val="clear" w:color="auto" w:fill="99CCFF"/>
            <w:hideMark/>
          </w:tcPr>
          <w:p w14:paraId="4169D687" w14:textId="77777777" w:rsidR="00654783" w:rsidRDefault="00654783" w:rsidP="00654783">
            <w:pPr>
              <w:widowControl/>
              <w:numPr>
                <w:ilvl w:val="0"/>
                <w:numId w:val="18"/>
              </w:numPr>
              <w:autoSpaceDE/>
              <w:adjustRightInd/>
              <w:spacing w:before="60" w:after="60" w:line="240" w:lineRule="auto"/>
              <w:ind w:left="318" w:hanging="284"/>
              <w:jc w:val="both"/>
              <w:rPr>
                <w:rFonts w:eastAsia="Calibri" w:cs="Times New Roman"/>
                <w:b/>
                <w:color w:val="000000"/>
                <w:sz w:val="22"/>
                <w:szCs w:val="22"/>
                <w:lang w:eastAsia="en-US"/>
              </w:rPr>
            </w:pPr>
            <w:r>
              <w:rPr>
                <w:rFonts w:eastAsia="Calibri" w:cs="Times New Roman"/>
                <w:b/>
                <w:spacing w:val="-2"/>
                <w:sz w:val="21"/>
                <w:szCs w:val="21"/>
                <w:lang w:eastAsia="en-US"/>
              </w:rPr>
              <w:t>W jaki sposób i kiedy nastąpi ewaluacja efektów projektu oraz jakie mierniki zostaną zastosowane?</w:t>
            </w:r>
          </w:p>
        </w:tc>
      </w:tr>
      <w:tr w:rsidR="00654783" w14:paraId="085D2E2A" w14:textId="77777777" w:rsidTr="00CA6AF1">
        <w:trPr>
          <w:gridAfter w:val="1"/>
          <w:wAfter w:w="10" w:type="dxa"/>
          <w:trHeight w:val="142"/>
        </w:trPr>
        <w:tc>
          <w:tcPr>
            <w:tcW w:w="10937" w:type="dxa"/>
            <w:gridSpan w:val="28"/>
            <w:tcBorders>
              <w:top w:val="single" w:sz="4" w:space="0" w:color="auto"/>
              <w:left w:val="single" w:sz="4" w:space="0" w:color="auto"/>
              <w:bottom w:val="single" w:sz="4" w:space="0" w:color="auto"/>
              <w:right w:val="single" w:sz="4" w:space="0" w:color="auto"/>
            </w:tcBorders>
            <w:shd w:val="clear" w:color="auto" w:fill="FFFFFF"/>
            <w:hideMark/>
          </w:tcPr>
          <w:p w14:paraId="07C93F35" w14:textId="77777777" w:rsidR="00654783" w:rsidRDefault="00654783">
            <w:pPr>
              <w:widowControl/>
              <w:autoSpaceDE/>
              <w:adjustRightInd/>
              <w:spacing w:line="240" w:lineRule="auto"/>
              <w:jc w:val="both"/>
              <w:rPr>
                <w:rFonts w:eastAsia="Calibri" w:cs="Times New Roman"/>
                <w:spacing w:val="-2"/>
                <w:sz w:val="22"/>
                <w:szCs w:val="22"/>
                <w:lang w:eastAsia="en-US"/>
              </w:rPr>
            </w:pPr>
            <w:r>
              <w:rPr>
                <w:rFonts w:eastAsia="Calibri" w:cs="Times New Roman"/>
                <w:spacing w:val="-2"/>
                <w:sz w:val="22"/>
                <w:szCs w:val="22"/>
                <w:lang w:eastAsia="en-US"/>
              </w:rPr>
              <w:t>Projektowana ustawa nie przewiduje ewaluacji efektów, obowiązek taki wynika jednak z art. 35 DGA, gdzie mowa o dokonaniu oceny rozporządzenia do 24 września 2025 r. Sprawozdanie z oceny przygotowane przez KE na podstawie informacji państw członkowskich obejmuje w szczególności:</w:t>
            </w:r>
          </w:p>
          <w:p w14:paraId="4E8A9AE9" w14:textId="47681040" w:rsidR="00654783" w:rsidRDefault="00932953" w:rsidP="00654783">
            <w:pPr>
              <w:widowControl/>
              <w:numPr>
                <w:ilvl w:val="0"/>
                <w:numId w:val="35"/>
              </w:numPr>
              <w:autoSpaceDE/>
              <w:adjustRightInd/>
              <w:spacing w:line="240" w:lineRule="auto"/>
              <w:jc w:val="both"/>
              <w:rPr>
                <w:rFonts w:eastAsia="Calibri" w:cs="Times New Roman"/>
                <w:spacing w:val="-2"/>
                <w:sz w:val="22"/>
                <w:szCs w:val="22"/>
                <w:lang w:eastAsia="en-US"/>
              </w:rPr>
            </w:pPr>
            <w:r>
              <w:rPr>
                <w:rFonts w:eastAsia="Calibri" w:cs="Times New Roman"/>
                <w:spacing w:val="-2"/>
                <w:sz w:val="22"/>
                <w:szCs w:val="22"/>
                <w:lang w:eastAsia="en-US"/>
              </w:rPr>
              <w:t>S</w:t>
            </w:r>
            <w:r w:rsidR="00654783">
              <w:rPr>
                <w:rFonts w:eastAsia="Calibri" w:cs="Times New Roman"/>
                <w:spacing w:val="-2"/>
                <w:sz w:val="22"/>
                <w:szCs w:val="22"/>
                <w:lang w:eastAsia="en-US"/>
              </w:rPr>
              <w:t>tosowanie i funkcjonowanie przepisów dotyczących kar ustanowionych przez państwa członkowskie zgodnie z art. 34</w:t>
            </w:r>
            <w:r>
              <w:rPr>
                <w:rFonts w:eastAsia="Calibri" w:cs="Times New Roman"/>
                <w:spacing w:val="-2"/>
                <w:sz w:val="22"/>
                <w:szCs w:val="22"/>
                <w:lang w:eastAsia="en-US"/>
              </w:rPr>
              <w:t>.</w:t>
            </w:r>
          </w:p>
          <w:p w14:paraId="3665C180" w14:textId="7C92CAA1" w:rsidR="00654783" w:rsidRDefault="00932953" w:rsidP="00654783">
            <w:pPr>
              <w:widowControl/>
              <w:numPr>
                <w:ilvl w:val="0"/>
                <w:numId w:val="35"/>
              </w:numPr>
              <w:autoSpaceDE/>
              <w:adjustRightInd/>
              <w:spacing w:line="240" w:lineRule="auto"/>
              <w:jc w:val="both"/>
              <w:rPr>
                <w:rFonts w:eastAsia="Calibri" w:cs="Times New Roman"/>
                <w:spacing w:val="-2"/>
                <w:sz w:val="22"/>
                <w:szCs w:val="22"/>
                <w:lang w:eastAsia="en-US"/>
              </w:rPr>
            </w:pPr>
            <w:r>
              <w:rPr>
                <w:rFonts w:eastAsia="Calibri" w:cs="Times New Roman"/>
                <w:spacing w:val="-2"/>
                <w:sz w:val="22"/>
                <w:szCs w:val="22"/>
                <w:lang w:eastAsia="en-US"/>
              </w:rPr>
              <w:t>P</w:t>
            </w:r>
            <w:r w:rsidR="00654783">
              <w:rPr>
                <w:rFonts w:eastAsia="Calibri" w:cs="Times New Roman"/>
                <w:spacing w:val="-2"/>
                <w:sz w:val="22"/>
                <w:szCs w:val="22"/>
                <w:lang w:eastAsia="en-US"/>
              </w:rPr>
              <w:t>oziom przestrzegania DGA przez przedstawicieli prawnych dostawców usług pośrednictwa danych lub uznanych organizacji altruizmu danych niemających jednostki organizacyjnej w Unii oraz poziom egzekwowania kar nałożonych na tych dostawców i te organizacje</w:t>
            </w:r>
            <w:r>
              <w:rPr>
                <w:rFonts w:eastAsia="Calibri" w:cs="Times New Roman"/>
                <w:spacing w:val="-2"/>
                <w:sz w:val="22"/>
                <w:szCs w:val="22"/>
                <w:lang w:eastAsia="en-US"/>
              </w:rPr>
              <w:t>.</w:t>
            </w:r>
          </w:p>
          <w:p w14:paraId="78BD11B4" w14:textId="60BABB8B" w:rsidR="00654783" w:rsidRDefault="00932953" w:rsidP="00654783">
            <w:pPr>
              <w:widowControl/>
              <w:numPr>
                <w:ilvl w:val="0"/>
                <w:numId w:val="35"/>
              </w:numPr>
              <w:autoSpaceDE/>
              <w:adjustRightInd/>
              <w:spacing w:line="240" w:lineRule="auto"/>
              <w:jc w:val="both"/>
              <w:rPr>
                <w:rFonts w:eastAsia="Calibri" w:cs="Times New Roman"/>
                <w:spacing w:val="-2"/>
                <w:sz w:val="22"/>
                <w:szCs w:val="22"/>
                <w:lang w:eastAsia="en-US"/>
              </w:rPr>
            </w:pPr>
            <w:r>
              <w:rPr>
                <w:rFonts w:eastAsia="Calibri" w:cs="Times New Roman"/>
                <w:spacing w:val="-2"/>
                <w:sz w:val="22"/>
                <w:szCs w:val="22"/>
                <w:lang w:eastAsia="en-US"/>
              </w:rPr>
              <w:t>R</w:t>
            </w:r>
            <w:r w:rsidR="00654783">
              <w:rPr>
                <w:rFonts w:eastAsia="Calibri" w:cs="Times New Roman"/>
                <w:spacing w:val="-2"/>
                <w:sz w:val="22"/>
                <w:szCs w:val="22"/>
                <w:lang w:eastAsia="en-US"/>
              </w:rPr>
              <w:t>odzaj organizacji altruizmu danych zarejestrowanych jako uznane w Unii oraz przegląd celów leżących w interesie ogólnym, którym służy dzielenie się danymi, z myślą o ustanowieniu jasnych kryteriów w tym zakresie.</w:t>
            </w:r>
          </w:p>
        </w:tc>
      </w:tr>
      <w:tr w:rsidR="00654783" w14:paraId="71A5D92C" w14:textId="77777777" w:rsidTr="00CA6AF1">
        <w:trPr>
          <w:gridAfter w:val="1"/>
          <w:wAfter w:w="10" w:type="dxa"/>
          <w:trHeight w:val="142"/>
        </w:trPr>
        <w:tc>
          <w:tcPr>
            <w:tcW w:w="10937" w:type="dxa"/>
            <w:gridSpan w:val="28"/>
            <w:tcBorders>
              <w:top w:val="single" w:sz="4" w:space="0" w:color="auto"/>
              <w:left w:val="single" w:sz="4" w:space="0" w:color="auto"/>
              <w:bottom w:val="single" w:sz="4" w:space="0" w:color="auto"/>
              <w:right w:val="single" w:sz="4" w:space="0" w:color="auto"/>
            </w:tcBorders>
            <w:shd w:val="clear" w:color="auto" w:fill="99CCFF"/>
            <w:hideMark/>
          </w:tcPr>
          <w:p w14:paraId="79C0B9D3" w14:textId="77777777" w:rsidR="00654783" w:rsidRDefault="00654783" w:rsidP="00654783">
            <w:pPr>
              <w:widowControl/>
              <w:numPr>
                <w:ilvl w:val="0"/>
                <w:numId w:val="18"/>
              </w:numPr>
              <w:autoSpaceDE/>
              <w:adjustRightInd/>
              <w:spacing w:before="60" w:after="60" w:line="240" w:lineRule="auto"/>
              <w:ind w:left="318" w:hanging="284"/>
              <w:jc w:val="both"/>
              <w:rPr>
                <w:rFonts w:eastAsia="Calibri" w:cs="Times New Roman"/>
                <w:b/>
                <w:color w:val="000000"/>
                <w:spacing w:val="-2"/>
                <w:sz w:val="22"/>
                <w:szCs w:val="22"/>
                <w:lang w:eastAsia="en-US"/>
              </w:rPr>
            </w:pPr>
            <w:r>
              <w:rPr>
                <w:rFonts w:eastAsia="Calibri" w:cs="Times New Roman"/>
                <w:b/>
                <w:color w:val="000000"/>
                <w:spacing w:val="-2"/>
                <w:sz w:val="22"/>
                <w:szCs w:val="22"/>
                <w:lang w:eastAsia="en-US"/>
              </w:rPr>
              <w:t xml:space="preserve">Załączniki </w:t>
            </w:r>
            <w:r>
              <w:rPr>
                <w:rFonts w:eastAsia="Calibri" w:cs="Times New Roman"/>
                <w:b/>
                <w:spacing w:val="-2"/>
                <w:sz w:val="21"/>
                <w:szCs w:val="21"/>
                <w:lang w:eastAsia="en-US"/>
              </w:rPr>
              <w:t>(istotne dokumenty źródłowe, badania, analizy itp.</w:t>
            </w:r>
            <w:r>
              <w:rPr>
                <w:rFonts w:eastAsia="Calibri" w:cs="Times New Roman"/>
                <w:b/>
                <w:color w:val="000000"/>
                <w:spacing w:val="-2"/>
                <w:sz w:val="22"/>
                <w:szCs w:val="22"/>
                <w:lang w:eastAsia="en-US"/>
              </w:rPr>
              <w:t>)</w:t>
            </w:r>
          </w:p>
        </w:tc>
      </w:tr>
      <w:tr w:rsidR="00654783" w14:paraId="6C573BCE" w14:textId="77777777" w:rsidTr="00CA6AF1">
        <w:trPr>
          <w:gridAfter w:val="1"/>
          <w:wAfter w:w="10" w:type="dxa"/>
          <w:trHeight w:val="142"/>
        </w:trPr>
        <w:tc>
          <w:tcPr>
            <w:tcW w:w="10937" w:type="dxa"/>
            <w:gridSpan w:val="28"/>
            <w:tcBorders>
              <w:top w:val="single" w:sz="4" w:space="0" w:color="auto"/>
              <w:left w:val="single" w:sz="4" w:space="0" w:color="auto"/>
              <w:bottom w:val="single" w:sz="4" w:space="0" w:color="auto"/>
              <w:right w:val="single" w:sz="4" w:space="0" w:color="auto"/>
            </w:tcBorders>
            <w:shd w:val="clear" w:color="auto" w:fill="FFFFFF"/>
            <w:hideMark/>
          </w:tcPr>
          <w:p w14:paraId="02896134" w14:textId="77777777" w:rsidR="00654783" w:rsidRDefault="00811AAF" w:rsidP="00654783">
            <w:pPr>
              <w:widowControl/>
              <w:numPr>
                <w:ilvl w:val="0"/>
                <w:numId w:val="36"/>
              </w:numPr>
              <w:autoSpaceDE/>
              <w:adjustRightInd/>
              <w:spacing w:line="240" w:lineRule="auto"/>
              <w:jc w:val="both"/>
              <w:rPr>
                <w:rFonts w:eastAsia="Calibri" w:cs="Times New Roman"/>
                <w:color w:val="000000"/>
                <w:spacing w:val="-2"/>
                <w:sz w:val="18"/>
                <w:szCs w:val="18"/>
                <w:lang w:val="en-GB" w:eastAsia="en-US"/>
              </w:rPr>
            </w:pPr>
            <w:hyperlink r:id="rId28" w:history="1">
              <w:r w:rsidR="00654783">
                <w:rPr>
                  <w:rStyle w:val="Hipercze"/>
                  <w:rFonts w:eastAsia="Calibri" w:cs="Times New Roman"/>
                  <w:spacing w:val="-2"/>
                  <w:sz w:val="18"/>
                  <w:szCs w:val="18"/>
                  <w:lang w:val="en-GB" w:eastAsia="en-US"/>
                </w:rPr>
                <w:t>Commission Staff Working Document Impact Assessment Report Accompanying the document Proposal for a Regulation of the European Parliament and of the Council on European data governance</w:t>
              </w:r>
            </w:hyperlink>
            <w:r w:rsidR="00654783">
              <w:rPr>
                <w:rFonts w:eastAsia="Calibri" w:cs="Times New Roman"/>
                <w:color w:val="000000"/>
                <w:spacing w:val="-2"/>
                <w:sz w:val="18"/>
                <w:szCs w:val="18"/>
                <w:lang w:val="en-GB" w:eastAsia="en-US"/>
              </w:rPr>
              <w:t xml:space="preserve">. </w:t>
            </w:r>
          </w:p>
          <w:p w14:paraId="6B62B0E0" w14:textId="2AC22EBF" w:rsidR="00654783" w:rsidRPr="00D65EBF" w:rsidRDefault="00654783" w:rsidP="00654783">
            <w:pPr>
              <w:widowControl/>
              <w:numPr>
                <w:ilvl w:val="0"/>
                <w:numId w:val="36"/>
              </w:numPr>
              <w:autoSpaceDE/>
              <w:adjustRightInd/>
              <w:spacing w:line="240" w:lineRule="auto"/>
              <w:jc w:val="both"/>
              <w:rPr>
                <w:rFonts w:eastAsia="Calibri" w:cs="Times New Roman"/>
                <w:spacing w:val="-2"/>
                <w:sz w:val="18"/>
                <w:szCs w:val="18"/>
                <w:lang w:val="en-GB" w:eastAsia="en-US"/>
              </w:rPr>
            </w:pPr>
            <w:r w:rsidRPr="00D65EBF">
              <w:rPr>
                <w:rFonts w:eastAsia="Calibri" w:cs="Times New Roman"/>
                <w:spacing w:val="-2"/>
                <w:sz w:val="18"/>
                <w:szCs w:val="18"/>
                <w:lang w:val="en-GB" w:eastAsia="en-US"/>
              </w:rPr>
              <w:t xml:space="preserve">European Data Market </w:t>
            </w:r>
            <w:proofErr w:type="spellStart"/>
            <w:r w:rsidRPr="00D65EBF">
              <w:rPr>
                <w:rFonts w:eastAsia="Calibri" w:cs="Times New Roman"/>
                <w:spacing w:val="-2"/>
                <w:sz w:val="18"/>
                <w:szCs w:val="18"/>
                <w:lang w:val="en-GB" w:eastAsia="en-US"/>
              </w:rPr>
              <w:t>Monotoring</w:t>
            </w:r>
            <w:proofErr w:type="spellEnd"/>
            <w:r w:rsidRPr="00D65EBF">
              <w:rPr>
                <w:rFonts w:eastAsia="Calibri" w:cs="Times New Roman"/>
                <w:spacing w:val="-2"/>
                <w:sz w:val="18"/>
                <w:szCs w:val="18"/>
                <w:lang w:val="en-GB" w:eastAsia="en-US"/>
              </w:rPr>
              <w:t xml:space="preserve"> Tool 2021.</w:t>
            </w:r>
          </w:p>
          <w:p w14:paraId="442868EE" w14:textId="77777777" w:rsidR="00654783" w:rsidRDefault="00654783" w:rsidP="00654783">
            <w:pPr>
              <w:widowControl/>
              <w:numPr>
                <w:ilvl w:val="0"/>
                <w:numId w:val="36"/>
              </w:numPr>
              <w:autoSpaceDE/>
              <w:adjustRightInd/>
              <w:spacing w:line="240" w:lineRule="auto"/>
              <w:jc w:val="both"/>
              <w:rPr>
                <w:rFonts w:eastAsia="Calibri" w:cs="Times New Roman"/>
                <w:color w:val="000000"/>
                <w:spacing w:val="-2"/>
                <w:sz w:val="18"/>
                <w:szCs w:val="18"/>
                <w:lang w:eastAsia="en-US"/>
              </w:rPr>
            </w:pPr>
            <w:r>
              <w:rPr>
                <w:rFonts w:eastAsia="Calibri" w:cs="Times New Roman"/>
                <w:color w:val="000000"/>
                <w:spacing w:val="-2"/>
                <w:sz w:val="18"/>
                <w:szCs w:val="18"/>
                <w:lang w:eastAsia="en-US"/>
              </w:rPr>
              <w:t>Intensywność wykorzystania danych w gospodarce a jej rozwój. Analiza diagnostyczna, red. Grzegorz Koloch i in., Warszawa, 2017.</w:t>
            </w:r>
          </w:p>
          <w:p w14:paraId="5D4E3E10" w14:textId="77777777" w:rsidR="00654783" w:rsidRDefault="00811AAF" w:rsidP="00654783">
            <w:pPr>
              <w:widowControl/>
              <w:numPr>
                <w:ilvl w:val="0"/>
                <w:numId w:val="36"/>
              </w:numPr>
              <w:autoSpaceDE/>
              <w:adjustRightInd/>
              <w:spacing w:line="240" w:lineRule="auto"/>
              <w:jc w:val="both"/>
              <w:rPr>
                <w:rFonts w:eastAsia="Calibri" w:cs="Times New Roman"/>
                <w:color w:val="000000"/>
                <w:spacing w:val="-2"/>
                <w:sz w:val="18"/>
                <w:szCs w:val="18"/>
                <w:lang w:eastAsia="en-US"/>
              </w:rPr>
            </w:pPr>
            <w:hyperlink r:id="rId29" w:history="1">
              <w:r w:rsidR="00654783">
                <w:rPr>
                  <w:rStyle w:val="Hipercze"/>
                  <w:rFonts w:eastAsia="Calibri" w:cs="Times New Roman"/>
                  <w:spacing w:val="-2"/>
                  <w:sz w:val="18"/>
                  <w:szCs w:val="18"/>
                  <w:lang w:eastAsia="en-US"/>
                </w:rPr>
                <w:t>Przemysł +. Gospodarka oparta o dane, Ministerstwo Cyfryzacji</w:t>
              </w:r>
            </w:hyperlink>
            <w:r w:rsidR="00654783">
              <w:rPr>
                <w:rFonts w:eastAsia="Calibri" w:cs="Times New Roman"/>
                <w:color w:val="000000"/>
                <w:spacing w:val="-2"/>
                <w:sz w:val="18"/>
                <w:szCs w:val="18"/>
                <w:lang w:eastAsia="en-US"/>
              </w:rPr>
              <w:t xml:space="preserve">. </w:t>
            </w:r>
          </w:p>
          <w:p w14:paraId="1DAFD038" w14:textId="77777777" w:rsidR="00654783" w:rsidRDefault="00811AAF" w:rsidP="00654783">
            <w:pPr>
              <w:widowControl/>
              <w:numPr>
                <w:ilvl w:val="0"/>
                <w:numId w:val="36"/>
              </w:numPr>
              <w:autoSpaceDE/>
              <w:adjustRightInd/>
              <w:spacing w:line="240" w:lineRule="auto"/>
              <w:jc w:val="both"/>
              <w:rPr>
                <w:rFonts w:eastAsia="Calibri" w:cs="Times New Roman"/>
                <w:color w:val="000000"/>
                <w:spacing w:val="-2"/>
                <w:sz w:val="18"/>
                <w:szCs w:val="18"/>
                <w:lang w:eastAsia="en-US"/>
              </w:rPr>
            </w:pPr>
            <w:hyperlink r:id="rId30" w:history="1">
              <w:r w:rsidR="00654783">
                <w:rPr>
                  <w:rStyle w:val="Hipercze"/>
                  <w:rFonts w:eastAsia="Calibri" w:cs="Times New Roman"/>
                  <w:spacing w:val="-2"/>
                  <w:sz w:val="18"/>
                  <w:szCs w:val="18"/>
                  <w:lang w:eastAsia="en-US"/>
                </w:rPr>
                <w:t>Działalność przedsiębiorstw niefinansowych w 2020 r., GUS, 30.12.2021.</w:t>
              </w:r>
            </w:hyperlink>
          </w:p>
          <w:p w14:paraId="7CD3B71A" w14:textId="78B37531" w:rsidR="00654783" w:rsidRDefault="00811AAF" w:rsidP="00654783">
            <w:pPr>
              <w:widowControl/>
              <w:numPr>
                <w:ilvl w:val="0"/>
                <w:numId w:val="36"/>
              </w:numPr>
              <w:autoSpaceDE/>
              <w:adjustRightInd/>
              <w:spacing w:line="240" w:lineRule="auto"/>
              <w:jc w:val="both"/>
              <w:rPr>
                <w:rFonts w:eastAsia="Calibri" w:cs="Times New Roman"/>
                <w:color w:val="000000"/>
                <w:spacing w:val="-2"/>
                <w:sz w:val="18"/>
                <w:szCs w:val="18"/>
                <w:lang w:eastAsia="en-US"/>
              </w:rPr>
            </w:pPr>
            <w:hyperlink r:id="rId31" w:history="1">
              <w:r w:rsidR="00654783">
                <w:rPr>
                  <w:rStyle w:val="Hipercze"/>
                  <w:rFonts w:eastAsia="Calibri" w:cs="Times New Roman"/>
                  <w:sz w:val="18"/>
                  <w:szCs w:val="18"/>
                </w:rPr>
                <w:t>Sprawozdania</w:t>
              </w:r>
              <w:r w:rsidR="002579E4">
                <w:rPr>
                  <w:rStyle w:val="Hipercze"/>
                  <w:rFonts w:eastAsia="Calibri" w:cs="Times New Roman"/>
                  <w:sz w:val="18"/>
                  <w:szCs w:val="18"/>
                </w:rPr>
                <w:t xml:space="preserve"> roczne</w:t>
              </w:r>
              <w:r w:rsidR="00654783">
                <w:rPr>
                  <w:rStyle w:val="Hipercze"/>
                  <w:rFonts w:eastAsia="Calibri" w:cs="Times New Roman"/>
                  <w:sz w:val="18"/>
                  <w:szCs w:val="18"/>
                </w:rPr>
                <w:t xml:space="preserve"> Naczelnego Sądu Administracyjnego za 2020 r. i 2021 r.</w:t>
              </w:r>
            </w:hyperlink>
          </w:p>
          <w:p w14:paraId="19BDFC36" w14:textId="17E6DAC1" w:rsidR="000E065A" w:rsidRDefault="00811AAF" w:rsidP="000E065A">
            <w:pPr>
              <w:widowControl/>
              <w:numPr>
                <w:ilvl w:val="0"/>
                <w:numId w:val="36"/>
              </w:numPr>
              <w:autoSpaceDE/>
              <w:adjustRightInd/>
              <w:spacing w:line="240" w:lineRule="auto"/>
              <w:jc w:val="both"/>
              <w:rPr>
                <w:rStyle w:val="Hipercze"/>
                <w:rFonts w:eastAsia="Calibri" w:cs="Times New Roman"/>
                <w:spacing w:val="-2"/>
                <w:sz w:val="18"/>
                <w:szCs w:val="18"/>
                <w:lang w:eastAsia="en-US"/>
              </w:rPr>
            </w:pPr>
            <w:hyperlink r:id="rId32" w:history="1">
              <w:proofErr w:type="spellStart"/>
              <w:r w:rsidR="000E065A" w:rsidRPr="000E065A">
                <w:rPr>
                  <w:rStyle w:val="Hipercze"/>
                  <w:rFonts w:eastAsia="Calibri" w:cs="Times New Roman"/>
                  <w:spacing w:val="-2"/>
                  <w:sz w:val="18"/>
                  <w:szCs w:val="18"/>
                  <w:lang w:eastAsia="en-US"/>
                </w:rPr>
                <w:t>Grzeszak</w:t>
              </w:r>
              <w:proofErr w:type="spellEnd"/>
              <w:r w:rsidR="000E065A" w:rsidRPr="000E065A">
                <w:rPr>
                  <w:rStyle w:val="Hipercze"/>
                  <w:rFonts w:eastAsia="Calibri" w:cs="Times New Roman"/>
                  <w:spacing w:val="-2"/>
                  <w:sz w:val="18"/>
                  <w:szCs w:val="18"/>
                  <w:lang w:eastAsia="en-US"/>
                </w:rPr>
                <w:t xml:space="preserve">, J., Śliwowski, P., Święcicki, I., </w:t>
              </w:r>
              <w:proofErr w:type="spellStart"/>
              <w:r w:rsidR="000E065A" w:rsidRPr="000E065A">
                <w:rPr>
                  <w:rStyle w:val="Hipercze"/>
                  <w:rFonts w:eastAsia="Calibri" w:cs="Times New Roman"/>
                  <w:spacing w:val="-2"/>
                  <w:sz w:val="18"/>
                  <w:szCs w:val="18"/>
                  <w:lang w:eastAsia="en-US"/>
                </w:rPr>
                <w:t>Wincewicz-Price</w:t>
              </w:r>
              <w:proofErr w:type="spellEnd"/>
              <w:r w:rsidR="000E065A" w:rsidRPr="000E065A">
                <w:rPr>
                  <w:rStyle w:val="Hipercze"/>
                  <w:rFonts w:eastAsia="Calibri" w:cs="Times New Roman"/>
                  <w:spacing w:val="-2"/>
                  <w:sz w:val="18"/>
                  <w:szCs w:val="18"/>
                  <w:lang w:eastAsia="en-US"/>
                </w:rPr>
                <w:t>, A. (2020), Czy chcemy dzielić się prywatnymi danymi?, Tarkowski, A., Trojanowska, M., Zygmuntowski, J.J. (współpr.), Polski Instytut Ekonomiczny, Warszawa</w:t>
              </w:r>
            </w:hyperlink>
            <w:r w:rsidR="000E065A" w:rsidRPr="000E065A">
              <w:rPr>
                <w:rStyle w:val="Hipercze"/>
                <w:rFonts w:eastAsia="Calibri" w:cs="Times New Roman"/>
                <w:spacing w:val="-2"/>
                <w:sz w:val="18"/>
                <w:szCs w:val="18"/>
                <w:lang w:eastAsia="en-US"/>
              </w:rPr>
              <w:t xml:space="preserve">. </w:t>
            </w:r>
          </w:p>
          <w:p w14:paraId="63FDAC4F" w14:textId="77777777" w:rsidR="00DD5C50" w:rsidRDefault="00811AAF" w:rsidP="000E065A">
            <w:pPr>
              <w:widowControl/>
              <w:numPr>
                <w:ilvl w:val="0"/>
                <w:numId w:val="36"/>
              </w:numPr>
              <w:autoSpaceDE/>
              <w:adjustRightInd/>
              <w:spacing w:line="240" w:lineRule="auto"/>
              <w:jc w:val="both"/>
              <w:rPr>
                <w:rStyle w:val="Hipercze"/>
                <w:rFonts w:eastAsia="Calibri" w:cs="Times New Roman"/>
                <w:spacing w:val="-2"/>
                <w:sz w:val="18"/>
                <w:szCs w:val="18"/>
                <w:lang w:eastAsia="en-US"/>
              </w:rPr>
            </w:pPr>
            <w:hyperlink r:id="rId33" w:history="1">
              <w:r w:rsidR="00654783" w:rsidRPr="000E065A">
                <w:rPr>
                  <w:rStyle w:val="Hipercze"/>
                  <w:rFonts w:eastAsia="Calibri" w:cs="Times New Roman"/>
                  <w:spacing w:val="-2"/>
                  <w:sz w:val="18"/>
                  <w:szCs w:val="18"/>
                  <w:lang w:eastAsia="en-US"/>
                </w:rPr>
                <w:t>Ustawa o otwartych danych w opinii sektora publicznego.</w:t>
              </w:r>
            </w:hyperlink>
          </w:p>
          <w:p w14:paraId="4AB3BC9A" w14:textId="3EBE4880" w:rsidR="000E065A" w:rsidRPr="000E065A" w:rsidRDefault="00811AAF" w:rsidP="000E065A">
            <w:pPr>
              <w:widowControl/>
              <w:numPr>
                <w:ilvl w:val="0"/>
                <w:numId w:val="36"/>
              </w:numPr>
              <w:autoSpaceDE/>
              <w:adjustRightInd/>
              <w:spacing w:line="240" w:lineRule="auto"/>
              <w:jc w:val="both"/>
              <w:rPr>
                <w:rFonts w:eastAsia="Calibri" w:cs="Times New Roman"/>
                <w:color w:val="0000FF"/>
                <w:spacing w:val="-2"/>
                <w:sz w:val="18"/>
                <w:szCs w:val="18"/>
                <w:u w:val="single"/>
                <w:lang w:eastAsia="en-US"/>
              </w:rPr>
            </w:pPr>
            <w:hyperlink r:id="rId34" w:history="1">
              <w:r w:rsidR="000E065A" w:rsidRPr="000E065A">
                <w:rPr>
                  <w:rStyle w:val="Hipercze"/>
                  <w:rFonts w:eastAsia="Calibri" w:cs="Times New Roman"/>
                  <w:spacing w:val="-2"/>
                  <w:sz w:val="18"/>
                  <w:szCs w:val="18"/>
                  <w:lang w:eastAsia="en-US"/>
                </w:rPr>
                <w:t>Nowakowski, W, Święcicki, I. (2023), Czy Polacy chętnie dzielą się prywatnymi danymi?, Polski Instytut Ekonomiczny, Warszawa</w:t>
              </w:r>
            </w:hyperlink>
          </w:p>
        </w:tc>
      </w:tr>
    </w:tbl>
    <w:p w14:paraId="648D32CE" w14:textId="7A616BE6" w:rsidR="00261A16" w:rsidRPr="00F5466D" w:rsidRDefault="00261A16" w:rsidP="00F5466D">
      <w:pPr>
        <w:keepNext/>
        <w:widowControl/>
        <w:autoSpaceDE/>
        <w:autoSpaceDN/>
        <w:adjustRightInd/>
        <w:spacing w:before="240" w:after="60" w:line="240" w:lineRule="auto"/>
        <w:ind w:right="414"/>
        <w:outlineLvl w:val="0"/>
        <w:rPr>
          <w:b/>
          <w:kern w:val="32"/>
          <w:sz w:val="20"/>
        </w:rPr>
      </w:pPr>
    </w:p>
    <w:sectPr w:rsidR="00261A16" w:rsidRPr="00F5466D" w:rsidSect="00C60F22">
      <w:pgSz w:w="11906" w:h="16838"/>
      <w:pgMar w:top="568" w:right="707" w:bottom="568" w:left="720" w:header="708" w:footer="2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D475A9" w14:textId="77777777" w:rsidR="00811AAF" w:rsidRDefault="00811AAF">
      <w:r>
        <w:separator/>
      </w:r>
    </w:p>
  </w:endnote>
  <w:endnote w:type="continuationSeparator" w:id="0">
    <w:p w14:paraId="52C29FCB" w14:textId="77777777" w:rsidR="00811AAF" w:rsidRDefault="00811AAF">
      <w:r>
        <w:continuationSeparator/>
      </w:r>
    </w:p>
  </w:endnote>
  <w:endnote w:type="continuationNotice" w:id="1">
    <w:p w14:paraId="33CF1732" w14:textId="77777777" w:rsidR="00811AAF" w:rsidRDefault="00811AA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Cambria"/>
    <w:panose1 w:val="00000000000000000000"/>
    <w:charset w:val="EE"/>
    <w:family w:val="swiss"/>
    <w:notTrueType/>
    <w:pitch w:val="default"/>
    <w:sig w:usb0="00000001"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C0C789" w14:textId="77777777" w:rsidR="00C461AB" w:rsidRDefault="00C461A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7A77B8" w14:textId="77777777" w:rsidR="00C461AB" w:rsidRDefault="00C461AB">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C85E62" w14:textId="77777777" w:rsidR="00C461AB" w:rsidRDefault="00C461A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DB88CB" w14:textId="77777777" w:rsidR="00811AAF" w:rsidRDefault="00811AAF">
      <w:r>
        <w:separator/>
      </w:r>
    </w:p>
  </w:footnote>
  <w:footnote w:type="continuationSeparator" w:id="0">
    <w:p w14:paraId="4AAD9952" w14:textId="77777777" w:rsidR="00811AAF" w:rsidRDefault="00811AAF">
      <w:r>
        <w:continuationSeparator/>
      </w:r>
    </w:p>
  </w:footnote>
  <w:footnote w:type="continuationNotice" w:id="1">
    <w:p w14:paraId="25050445" w14:textId="77777777" w:rsidR="00811AAF" w:rsidRDefault="00811AAF">
      <w:pPr>
        <w:spacing w:line="240" w:lineRule="auto"/>
      </w:pPr>
    </w:p>
  </w:footnote>
  <w:footnote w:id="2">
    <w:p w14:paraId="6820D7C1" w14:textId="03BFB64E" w:rsidR="00C461AB" w:rsidRPr="00A25596" w:rsidRDefault="00C461AB" w:rsidP="002D4237">
      <w:pPr>
        <w:pStyle w:val="ODNONIKtreodnonika"/>
      </w:pPr>
      <w:r>
        <w:rPr>
          <w:rStyle w:val="Odwoanieprzypisudolnego"/>
        </w:rPr>
        <w:footnoteRef/>
      </w:r>
      <w:r>
        <w:rPr>
          <w:rStyle w:val="IGindeksgrny"/>
        </w:rPr>
        <w:t>)</w:t>
      </w:r>
      <w:r>
        <w:tab/>
      </w:r>
      <w:r w:rsidRPr="00190A1A">
        <w:t>Niniejsza ustawa służy stosowaniu rozporządzenia Parlamentu Europejskiego i Rady (UE) 2022/868 z dnia 30 maja 2022 r. w sprawie europejskiego zarządzania danymi i zmieniającego rozporządzenie (UE) 2018/1724 (akt w sprawie zarządzania danymi) (Dz. Urz. UE L 152 z 03.06.2022, str. 1</w:t>
      </w:r>
      <w:r w:rsidR="00BC03EF">
        <w:t xml:space="preserve"> oraz Dz. Urz. UE L 132 z 17.05.2023, str. 89</w:t>
      </w:r>
      <w:r w:rsidRPr="00190A1A">
        <w:t>).</w:t>
      </w:r>
    </w:p>
  </w:footnote>
  <w:footnote w:id="3">
    <w:p w14:paraId="4F01E586" w14:textId="3EDF87FD" w:rsidR="00C461AB" w:rsidRPr="00863E03" w:rsidRDefault="00C461AB" w:rsidP="002D4237">
      <w:pPr>
        <w:spacing w:line="276" w:lineRule="auto"/>
        <w:ind w:left="340" w:hanging="340"/>
        <w:jc w:val="both"/>
        <w:rPr>
          <w:sz w:val="20"/>
        </w:rPr>
      </w:pPr>
      <w:r w:rsidRPr="00863E03">
        <w:rPr>
          <w:rStyle w:val="Odwoanieprzypisudolnego"/>
          <w:sz w:val="20"/>
        </w:rPr>
        <w:footnoteRef/>
      </w:r>
      <w:r w:rsidRPr="00863E03">
        <w:rPr>
          <w:sz w:val="20"/>
          <w:vertAlign w:val="superscript"/>
        </w:rPr>
        <w:t>)</w:t>
      </w:r>
      <w:r>
        <w:rPr>
          <w:sz w:val="20"/>
        </w:rPr>
        <w:tab/>
      </w:r>
      <w:r w:rsidRPr="00863E03">
        <w:rPr>
          <w:sz w:val="20"/>
        </w:rPr>
        <w:t>Zmiany wymienionego rozporządzenia zostały ogłoszone w Dz. Urz. UE L 127 z 23.05.2018, str. 2</w:t>
      </w:r>
      <w:r>
        <w:rPr>
          <w:sz w:val="20"/>
        </w:rPr>
        <w:t xml:space="preserve"> oraz w Dz. </w:t>
      </w:r>
      <w:r w:rsidRPr="00863E03">
        <w:rPr>
          <w:sz w:val="20"/>
        </w:rPr>
        <w:t>Urz. UE L 74 z 04.03.2021, str. 35.</w:t>
      </w:r>
    </w:p>
  </w:footnote>
  <w:footnote w:id="4">
    <w:p w14:paraId="7B405CBB" w14:textId="77777777" w:rsidR="00C461AB" w:rsidRDefault="00C461AB" w:rsidP="00645955">
      <w:pPr>
        <w:pStyle w:val="ODNONIKtreodnonika"/>
      </w:pPr>
      <w:r>
        <w:rPr>
          <w:rStyle w:val="Odwoanieprzypisudolnego"/>
        </w:rPr>
        <w:footnoteRef/>
      </w:r>
      <w:r>
        <w:rPr>
          <w:rStyle w:val="IGindeksgrny"/>
        </w:rPr>
        <w:t>)</w:t>
      </w:r>
      <w:r>
        <w:t xml:space="preserve"> </w:t>
      </w:r>
      <w:r w:rsidRPr="000868BB">
        <w:t xml:space="preserve">Zmiany wymienionego rozporządzenia zostały </w:t>
      </w:r>
      <w:r>
        <w:t>ogłoszone w Dz. Urz. UE L 305 z 25.11.2022, str. 12.</w:t>
      </w:r>
    </w:p>
  </w:footnote>
  <w:footnote w:id="5">
    <w:p w14:paraId="6F327368" w14:textId="729008A8" w:rsidR="00C461AB" w:rsidRPr="001A371E" w:rsidRDefault="00C461AB" w:rsidP="0060435B">
      <w:pPr>
        <w:pStyle w:val="ODNONIKtreodnonika"/>
      </w:pPr>
      <w:r w:rsidRPr="001A371E">
        <w:rPr>
          <w:rStyle w:val="Odwoanieprzypisudolnego"/>
        </w:rPr>
        <w:footnoteRef/>
      </w:r>
      <w:r w:rsidRPr="001A371E">
        <w:rPr>
          <w:vertAlign w:val="superscript"/>
        </w:rPr>
        <w:t>)</w:t>
      </w:r>
      <w:r w:rsidRPr="001A371E">
        <w:t xml:space="preserve"> </w:t>
      </w:r>
      <w:r>
        <w:tab/>
      </w:r>
      <w:r w:rsidRPr="001A371E">
        <w:t xml:space="preserve">Komunikat Komisji do Parlamentu Europejskiego, Rady, Europejskiego Komitetu Ekonomiczno-Społecznego i Komitetu Regionów z dnia 19 lutego 2020 r. „Europejska strategia w zakresie danych”; </w:t>
      </w:r>
      <w:hyperlink r:id="rId1" w:history="1">
        <w:r w:rsidRPr="001A371E">
          <w:rPr>
            <w:rStyle w:val="Hipercze"/>
          </w:rPr>
          <w:t xml:space="preserve">COM/2020/66 </w:t>
        </w:r>
        <w:proofErr w:type="spellStart"/>
        <w:r w:rsidRPr="001A371E">
          <w:rPr>
            <w:rStyle w:val="Hipercze"/>
          </w:rPr>
          <w:t>final</w:t>
        </w:r>
        <w:proofErr w:type="spellEnd"/>
      </w:hyperlink>
      <w:r w:rsidRPr="001A371E">
        <w:t>.</w:t>
      </w:r>
    </w:p>
  </w:footnote>
  <w:footnote w:id="6">
    <w:p w14:paraId="7D82582F" w14:textId="1AA91AA2" w:rsidR="00C461AB" w:rsidRPr="00632FCA" w:rsidRDefault="00C461AB" w:rsidP="0060435B">
      <w:pPr>
        <w:pStyle w:val="ODNONIKtreodnonika"/>
      </w:pPr>
      <w:r w:rsidRPr="001A371E">
        <w:rPr>
          <w:rStyle w:val="Odwoanieprzypisudolnego"/>
        </w:rPr>
        <w:footnoteRef/>
      </w:r>
      <w:r>
        <w:rPr>
          <w:vertAlign w:val="superscript"/>
        </w:rPr>
        <w:t xml:space="preserve">) </w:t>
      </w:r>
      <w:r>
        <w:rPr>
          <w:vertAlign w:val="superscript"/>
        </w:rPr>
        <w:tab/>
      </w:r>
      <w:r w:rsidRPr="001A371E">
        <w:t xml:space="preserve">Wniosek rozporządzenie Parlamentu Europejskiego i Rady w sprawie zharmonizowanych przepisów dotyczących sprawiedliwego dostępu dodanych i ich wykorzystywania (akt w sprawie danych); </w:t>
      </w:r>
      <w:hyperlink r:id="rId2" w:history="1">
        <w:r w:rsidRPr="001A371E">
          <w:rPr>
            <w:rStyle w:val="Hipercze"/>
          </w:rPr>
          <w:t>procedura 2022/0047/COD</w:t>
        </w:r>
      </w:hyperlink>
      <w:r w:rsidRPr="001A371E">
        <w:t>.</w:t>
      </w:r>
    </w:p>
  </w:footnote>
  <w:footnote w:id="7">
    <w:p w14:paraId="42A77BA6" w14:textId="77777777" w:rsidR="00C461AB" w:rsidRDefault="00C461AB" w:rsidP="00654783">
      <w:pPr>
        <w:pStyle w:val="ODNONIKtreodnonika"/>
      </w:pPr>
      <w:r>
        <w:rPr>
          <w:rStyle w:val="Odwoanieprzypisudolnego"/>
        </w:rPr>
        <w:footnoteRef/>
      </w:r>
      <w:r>
        <w:t xml:space="preserve"> Zob. Załącznik do sprawozdania. Tabela XIII. Skargi kasacyjne od orzeczeń sądu I instancji według rodzaju spraw (lp. 305).</w:t>
      </w:r>
    </w:p>
  </w:footnote>
  <w:footnote w:id="8">
    <w:p w14:paraId="2E3F6ED7" w14:textId="77777777" w:rsidR="00C461AB" w:rsidRDefault="00C461AB" w:rsidP="00654783">
      <w:pPr>
        <w:pStyle w:val="ODNONIKtreodnonika"/>
      </w:pPr>
      <w:r>
        <w:rPr>
          <w:rStyle w:val="Odwoanieprzypisudolnego"/>
        </w:rPr>
        <w:footnoteRef/>
      </w:r>
      <w:r>
        <w:t xml:space="preserve"> Zob. Załącznik do sprawozdania. Tabela XIII. Skargi kasacyjne od orzeczeń sądu I instancji według rodzaju spraw (lp. 305).</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1BF560" w14:textId="77777777" w:rsidR="00C461AB" w:rsidRDefault="00C461AB">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26E371" w14:textId="7322066C" w:rsidR="00C461AB" w:rsidRPr="00B371CC" w:rsidRDefault="00C461AB" w:rsidP="00B371CC">
    <w:pPr>
      <w:pStyle w:val="Nagwek"/>
      <w:jc w:val="center"/>
    </w:pPr>
    <w:r>
      <w:t xml:space="preserve">– </w:t>
    </w:r>
    <w:r>
      <w:fldChar w:fldCharType="begin"/>
    </w:r>
    <w:r>
      <w:instrText xml:space="preserve"> PAGE  \* MERGEFORMAT </w:instrText>
    </w:r>
    <w:r>
      <w:fldChar w:fldCharType="separate"/>
    </w:r>
    <w:r w:rsidR="004C4931">
      <w:rPr>
        <w:noProof/>
      </w:rPr>
      <w:t>21</w:t>
    </w:r>
    <w:r>
      <w:rPr>
        <w:noProof/>
      </w:rPr>
      <w:fldChar w:fldCharType="end"/>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B0867D" w14:textId="77777777" w:rsidR="00C461AB" w:rsidRDefault="00C461A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27E89"/>
    <w:multiLevelType w:val="hybridMultilevel"/>
    <w:tmpl w:val="FCA4E412"/>
    <w:lvl w:ilvl="0" w:tplc="22FC9EB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 w15:restartNumberingAfterBreak="0">
    <w:nsid w:val="09261783"/>
    <w:multiLevelType w:val="hybridMultilevel"/>
    <w:tmpl w:val="400A12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E075028"/>
    <w:multiLevelType w:val="hybridMultilevel"/>
    <w:tmpl w:val="A0CEA32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E6018DB"/>
    <w:multiLevelType w:val="hybridMultilevel"/>
    <w:tmpl w:val="68004814"/>
    <w:lvl w:ilvl="0" w:tplc="96CE0AF8">
      <w:start w:val="1"/>
      <w:numFmt w:val="bullet"/>
      <w:lvlText w:val=""/>
      <w:lvlJc w:val="left"/>
      <w:pPr>
        <w:ind w:left="1230" w:hanging="360"/>
      </w:pPr>
      <w:rPr>
        <w:rFonts w:ascii="Symbol" w:hAnsi="Symbol" w:hint="default"/>
      </w:rPr>
    </w:lvl>
    <w:lvl w:ilvl="1" w:tplc="04150003" w:tentative="1">
      <w:start w:val="1"/>
      <w:numFmt w:val="bullet"/>
      <w:lvlText w:val="o"/>
      <w:lvlJc w:val="left"/>
      <w:pPr>
        <w:ind w:left="1950" w:hanging="360"/>
      </w:pPr>
      <w:rPr>
        <w:rFonts w:ascii="Courier New" w:hAnsi="Courier New" w:cs="Courier New" w:hint="default"/>
      </w:rPr>
    </w:lvl>
    <w:lvl w:ilvl="2" w:tplc="04150005" w:tentative="1">
      <w:start w:val="1"/>
      <w:numFmt w:val="bullet"/>
      <w:lvlText w:val=""/>
      <w:lvlJc w:val="left"/>
      <w:pPr>
        <w:ind w:left="2670" w:hanging="360"/>
      </w:pPr>
      <w:rPr>
        <w:rFonts w:ascii="Wingdings" w:hAnsi="Wingdings" w:hint="default"/>
      </w:rPr>
    </w:lvl>
    <w:lvl w:ilvl="3" w:tplc="04150001" w:tentative="1">
      <w:start w:val="1"/>
      <w:numFmt w:val="bullet"/>
      <w:lvlText w:val=""/>
      <w:lvlJc w:val="left"/>
      <w:pPr>
        <w:ind w:left="3390" w:hanging="360"/>
      </w:pPr>
      <w:rPr>
        <w:rFonts w:ascii="Symbol" w:hAnsi="Symbol" w:hint="default"/>
      </w:rPr>
    </w:lvl>
    <w:lvl w:ilvl="4" w:tplc="04150003" w:tentative="1">
      <w:start w:val="1"/>
      <w:numFmt w:val="bullet"/>
      <w:lvlText w:val="o"/>
      <w:lvlJc w:val="left"/>
      <w:pPr>
        <w:ind w:left="4110" w:hanging="360"/>
      </w:pPr>
      <w:rPr>
        <w:rFonts w:ascii="Courier New" w:hAnsi="Courier New" w:cs="Courier New" w:hint="default"/>
      </w:rPr>
    </w:lvl>
    <w:lvl w:ilvl="5" w:tplc="04150005" w:tentative="1">
      <w:start w:val="1"/>
      <w:numFmt w:val="bullet"/>
      <w:lvlText w:val=""/>
      <w:lvlJc w:val="left"/>
      <w:pPr>
        <w:ind w:left="4830" w:hanging="360"/>
      </w:pPr>
      <w:rPr>
        <w:rFonts w:ascii="Wingdings" w:hAnsi="Wingdings" w:hint="default"/>
      </w:rPr>
    </w:lvl>
    <w:lvl w:ilvl="6" w:tplc="04150001" w:tentative="1">
      <w:start w:val="1"/>
      <w:numFmt w:val="bullet"/>
      <w:lvlText w:val=""/>
      <w:lvlJc w:val="left"/>
      <w:pPr>
        <w:ind w:left="5550" w:hanging="360"/>
      </w:pPr>
      <w:rPr>
        <w:rFonts w:ascii="Symbol" w:hAnsi="Symbol" w:hint="default"/>
      </w:rPr>
    </w:lvl>
    <w:lvl w:ilvl="7" w:tplc="04150003" w:tentative="1">
      <w:start w:val="1"/>
      <w:numFmt w:val="bullet"/>
      <w:lvlText w:val="o"/>
      <w:lvlJc w:val="left"/>
      <w:pPr>
        <w:ind w:left="6270" w:hanging="360"/>
      </w:pPr>
      <w:rPr>
        <w:rFonts w:ascii="Courier New" w:hAnsi="Courier New" w:cs="Courier New" w:hint="default"/>
      </w:rPr>
    </w:lvl>
    <w:lvl w:ilvl="8" w:tplc="04150005" w:tentative="1">
      <w:start w:val="1"/>
      <w:numFmt w:val="bullet"/>
      <w:lvlText w:val=""/>
      <w:lvlJc w:val="left"/>
      <w:pPr>
        <w:ind w:left="6990" w:hanging="360"/>
      </w:pPr>
      <w:rPr>
        <w:rFonts w:ascii="Wingdings" w:hAnsi="Wingdings" w:hint="default"/>
      </w:rPr>
    </w:lvl>
  </w:abstractNum>
  <w:abstractNum w:abstractNumId="4" w15:restartNumberingAfterBreak="0">
    <w:nsid w:val="0E62010C"/>
    <w:multiLevelType w:val="hybridMultilevel"/>
    <w:tmpl w:val="AE30096A"/>
    <w:lvl w:ilvl="0" w:tplc="04150013">
      <w:start w:val="1"/>
      <w:numFmt w:val="upperRoman"/>
      <w:lvlText w:val="%1."/>
      <w:lvlJc w:val="righ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15482D4C"/>
    <w:multiLevelType w:val="hybridMultilevel"/>
    <w:tmpl w:val="E5A215F8"/>
    <w:lvl w:ilvl="0" w:tplc="22FC9EB6">
      <w:start w:val="1"/>
      <w:numFmt w:val="bullet"/>
      <w:lvlText w:val=""/>
      <w:lvlJc w:val="left"/>
      <w:pPr>
        <w:ind w:left="1230" w:hanging="360"/>
      </w:pPr>
      <w:rPr>
        <w:rFonts w:ascii="Symbol" w:hAnsi="Symbol" w:hint="default"/>
      </w:rPr>
    </w:lvl>
    <w:lvl w:ilvl="1" w:tplc="04150003" w:tentative="1">
      <w:start w:val="1"/>
      <w:numFmt w:val="bullet"/>
      <w:lvlText w:val="o"/>
      <w:lvlJc w:val="left"/>
      <w:pPr>
        <w:ind w:left="1950" w:hanging="360"/>
      </w:pPr>
      <w:rPr>
        <w:rFonts w:ascii="Courier New" w:hAnsi="Courier New" w:cs="Courier New" w:hint="default"/>
      </w:rPr>
    </w:lvl>
    <w:lvl w:ilvl="2" w:tplc="04150005" w:tentative="1">
      <w:start w:val="1"/>
      <w:numFmt w:val="bullet"/>
      <w:lvlText w:val=""/>
      <w:lvlJc w:val="left"/>
      <w:pPr>
        <w:ind w:left="2670" w:hanging="360"/>
      </w:pPr>
      <w:rPr>
        <w:rFonts w:ascii="Wingdings" w:hAnsi="Wingdings" w:hint="default"/>
      </w:rPr>
    </w:lvl>
    <w:lvl w:ilvl="3" w:tplc="04150001" w:tentative="1">
      <w:start w:val="1"/>
      <w:numFmt w:val="bullet"/>
      <w:lvlText w:val=""/>
      <w:lvlJc w:val="left"/>
      <w:pPr>
        <w:ind w:left="3390" w:hanging="360"/>
      </w:pPr>
      <w:rPr>
        <w:rFonts w:ascii="Symbol" w:hAnsi="Symbol" w:hint="default"/>
      </w:rPr>
    </w:lvl>
    <w:lvl w:ilvl="4" w:tplc="04150003" w:tentative="1">
      <w:start w:val="1"/>
      <w:numFmt w:val="bullet"/>
      <w:lvlText w:val="o"/>
      <w:lvlJc w:val="left"/>
      <w:pPr>
        <w:ind w:left="4110" w:hanging="360"/>
      </w:pPr>
      <w:rPr>
        <w:rFonts w:ascii="Courier New" w:hAnsi="Courier New" w:cs="Courier New" w:hint="default"/>
      </w:rPr>
    </w:lvl>
    <w:lvl w:ilvl="5" w:tplc="04150005" w:tentative="1">
      <w:start w:val="1"/>
      <w:numFmt w:val="bullet"/>
      <w:lvlText w:val=""/>
      <w:lvlJc w:val="left"/>
      <w:pPr>
        <w:ind w:left="4830" w:hanging="360"/>
      </w:pPr>
      <w:rPr>
        <w:rFonts w:ascii="Wingdings" w:hAnsi="Wingdings" w:hint="default"/>
      </w:rPr>
    </w:lvl>
    <w:lvl w:ilvl="6" w:tplc="04150001" w:tentative="1">
      <w:start w:val="1"/>
      <w:numFmt w:val="bullet"/>
      <w:lvlText w:val=""/>
      <w:lvlJc w:val="left"/>
      <w:pPr>
        <w:ind w:left="5550" w:hanging="360"/>
      </w:pPr>
      <w:rPr>
        <w:rFonts w:ascii="Symbol" w:hAnsi="Symbol" w:hint="default"/>
      </w:rPr>
    </w:lvl>
    <w:lvl w:ilvl="7" w:tplc="04150003" w:tentative="1">
      <w:start w:val="1"/>
      <w:numFmt w:val="bullet"/>
      <w:lvlText w:val="o"/>
      <w:lvlJc w:val="left"/>
      <w:pPr>
        <w:ind w:left="6270" w:hanging="360"/>
      </w:pPr>
      <w:rPr>
        <w:rFonts w:ascii="Courier New" w:hAnsi="Courier New" w:cs="Courier New" w:hint="default"/>
      </w:rPr>
    </w:lvl>
    <w:lvl w:ilvl="8" w:tplc="04150005" w:tentative="1">
      <w:start w:val="1"/>
      <w:numFmt w:val="bullet"/>
      <w:lvlText w:val=""/>
      <w:lvlJc w:val="left"/>
      <w:pPr>
        <w:ind w:left="6990" w:hanging="360"/>
      </w:pPr>
      <w:rPr>
        <w:rFonts w:ascii="Wingdings" w:hAnsi="Wingdings" w:hint="default"/>
      </w:rPr>
    </w:lvl>
  </w:abstractNum>
  <w:abstractNum w:abstractNumId="6" w15:restartNumberingAfterBreak="0">
    <w:nsid w:val="182871DC"/>
    <w:multiLevelType w:val="hybridMultilevel"/>
    <w:tmpl w:val="3D9CE23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18576ED6"/>
    <w:multiLevelType w:val="hybridMultilevel"/>
    <w:tmpl w:val="CF629D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92B2DB1"/>
    <w:multiLevelType w:val="hybridMultilevel"/>
    <w:tmpl w:val="41F4A8EA"/>
    <w:lvl w:ilvl="0" w:tplc="04150013">
      <w:start w:val="1"/>
      <w:numFmt w:val="upperRoman"/>
      <w:lvlText w:val="%1."/>
      <w:lvlJc w:val="righ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9" w15:restartNumberingAfterBreak="0">
    <w:nsid w:val="1AD51436"/>
    <w:multiLevelType w:val="hybridMultilevel"/>
    <w:tmpl w:val="85CED4DA"/>
    <w:lvl w:ilvl="0" w:tplc="0415000F">
      <w:start w:val="1"/>
      <w:numFmt w:val="decimal"/>
      <w:lvlText w:val="%1."/>
      <w:lvlJc w:val="left"/>
      <w:pPr>
        <w:ind w:left="751" w:hanging="360"/>
      </w:pPr>
    </w:lvl>
    <w:lvl w:ilvl="1" w:tplc="04150019">
      <w:start w:val="1"/>
      <w:numFmt w:val="lowerLetter"/>
      <w:lvlText w:val="%2."/>
      <w:lvlJc w:val="left"/>
      <w:pPr>
        <w:ind w:left="1498" w:hanging="360"/>
      </w:pPr>
    </w:lvl>
    <w:lvl w:ilvl="2" w:tplc="0415001B">
      <w:start w:val="1"/>
      <w:numFmt w:val="lowerRoman"/>
      <w:lvlText w:val="%3."/>
      <w:lvlJc w:val="right"/>
      <w:pPr>
        <w:ind w:left="2218" w:hanging="180"/>
      </w:pPr>
    </w:lvl>
    <w:lvl w:ilvl="3" w:tplc="0415000F">
      <w:start w:val="1"/>
      <w:numFmt w:val="decimal"/>
      <w:lvlText w:val="%4."/>
      <w:lvlJc w:val="left"/>
      <w:pPr>
        <w:ind w:left="2938" w:hanging="360"/>
      </w:pPr>
    </w:lvl>
    <w:lvl w:ilvl="4" w:tplc="04150019">
      <w:start w:val="1"/>
      <w:numFmt w:val="lowerLetter"/>
      <w:lvlText w:val="%5."/>
      <w:lvlJc w:val="left"/>
      <w:pPr>
        <w:ind w:left="3658" w:hanging="360"/>
      </w:pPr>
    </w:lvl>
    <w:lvl w:ilvl="5" w:tplc="0415001B">
      <w:start w:val="1"/>
      <w:numFmt w:val="lowerRoman"/>
      <w:lvlText w:val="%6."/>
      <w:lvlJc w:val="right"/>
      <w:pPr>
        <w:ind w:left="4378" w:hanging="180"/>
      </w:pPr>
    </w:lvl>
    <w:lvl w:ilvl="6" w:tplc="0415000F">
      <w:start w:val="1"/>
      <w:numFmt w:val="decimal"/>
      <w:lvlText w:val="%7."/>
      <w:lvlJc w:val="left"/>
      <w:pPr>
        <w:ind w:left="5098" w:hanging="360"/>
      </w:pPr>
    </w:lvl>
    <w:lvl w:ilvl="7" w:tplc="04150019">
      <w:start w:val="1"/>
      <w:numFmt w:val="lowerLetter"/>
      <w:lvlText w:val="%8."/>
      <w:lvlJc w:val="left"/>
      <w:pPr>
        <w:ind w:left="5818" w:hanging="360"/>
      </w:pPr>
    </w:lvl>
    <w:lvl w:ilvl="8" w:tplc="0415001B">
      <w:start w:val="1"/>
      <w:numFmt w:val="lowerRoman"/>
      <w:lvlText w:val="%9."/>
      <w:lvlJc w:val="right"/>
      <w:pPr>
        <w:ind w:left="6538" w:hanging="180"/>
      </w:pPr>
    </w:lvl>
  </w:abstractNum>
  <w:abstractNum w:abstractNumId="10" w15:restartNumberingAfterBreak="0">
    <w:nsid w:val="1B3740C9"/>
    <w:multiLevelType w:val="hybridMultilevel"/>
    <w:tmpl w:val="1F34824C"/>
    <w:lvl w:ilvl="0" w:tplc="04150017">
      <w:start w:val="1"/>
      <w:numFmt w:val="lowerLetter"/>
      <w:lvlText w:val="%1)"/>
      <w:lvlJc w:val="left"/>
      <w:pPr>
        <w:ind w:left="1230" w:hanging="360"/>
      </w:pPr>
    </w:lvl>
    <w:lvl w:ilvl="1" w:tplc="04150019" w:tentative="1">
      <w:start w:val="1"/>
      <w:numFmt w:val="lowerLetter"/>
      <w:lvlText w:val="%2."/>
      <w:lvlJc w:val="left"/>
      <w:pPr>
        <w:ind w:left="1950" w:hanging="360"/>
      </w:pPr>
    </w:lvl>
    <w:lvl w:ilvl="2" w:tplc="0415001B" w:tentative="1">
      <w:start w:val="1"/>
      <w:numFmt w:val="lowerRoman"/>
      <w:lvlText w:val="%3."/>
      <w:lvlJc w:val="right"/>
      <w:pPr>
        <w:ind w:left="2670" w:hanging="180"/>
      </w:pPr>
    </w:lvl>
    <w:lvl w:ilvl="3" w:tplc="0415000F" w:tentative="1">
      <w:start w:val="1"/>
      <w:numFmt w:val="decimal"/>
      <w:lvlText w:val="%4."/>
      <w:lvlJc w:val="left"/>
      <w:pPr>
        <w:ind w:left="3390" w:hanging="360"/>
      </w:pPr>
    </w:lvl>
    <w:lvl w:ilvl="4" w:tplc="04150019" w:tentative="1">
      <w:start w:val="1"/>
      <w:numFmt w:val="lowerLetter"/>
      <w:lvlText w:val="%5."/>
      <w:lvlJc w:val="left"/>
      <w:pPr>
        <w:ind w:left="4110" w:hanging="360"/>
      </w:pPr>
    </w:lvl>
    <w:lvl w:ilvl="5" w:tplc="0415001B" w:tentative="1">
      <w:start w:val="1"/>
      <w:numFmt w:val="lowerRoman"/>
      <w:lvlText w:val="%6."/>
      <w:lvlJc w:val="right"/>
      <w:pPr>
        <w:ind w:left="4830" w:hanging="180"/>
      </w:pPr>
    </w:lvl>
    <w:lvl w:ilvl="6" w:tplc="0415000F" w:tentative="1">
      <w:start w:val="1"/>
      <w:numFmt w:val="decimal"/>
      <w:lvlText w:val="%7."/>
      <w:lvlJc w:val="left"/>
      <w:pPr>
        <w:ind w:left="5550" w:hanging="360"/>
      </w:pPr>
    </w:lvl>
    <w:lvl w:ilvl="7" w:tplc="04150019" w:tentative="1">
      <w:start w:val="1"/>
      <w:numFmt w:val="lowerLetter"/>
      <w:lvlText w:val="%8."/>
      <w:lvlJc w:val="left"/>
      <w:pPr>
        <w:ind w:left="6270" w:hanging="360"/>
      </w:pPr>
    </w:lvl>
    <w:lvl w:ilvl="8" w:tplc="0415001B" w:tentative="1">
      <w:start w:val="1"/>
      <w:numFmt w:val="lowerRoman"/>
      <w:lvlText w:val="%9."/>
      <w:lvlJc w:val="right"/>
      <w:pPr>
        <w:ind w:left="6990" w:hanging="180"/>
      </w:pPr>
    </w:lvl>
  </w:abstractNum>
  <w:abstractNum w:abstractNumId="11" w15:restartNumberingAfterBreak="0">
    <w:nsid w:val="1B5F3B2F"/>
    <w:multiLevelType w:val="hybridMultilevel"/>
    <w:tmpl w:val="3D9CE23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1E304F1F"/>
    <w:multiLevelType w:val="hybridMultilevel"/>
    <w:tmpl w:val="3D9CE23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262A4DC8"/>
    <w:multiLevelType w:val="hybridMultilevel"/>
    <w:tmpl w:val="3FC2873E"/>
    <w:lvl w:ilvl="0" w:tplc="22FC9EB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 w15:restartNumberingAfterBreak="0">
    <w:nsid w:val="2677571C"/>
    <w:multiLevelType w:val="hybridMultilevel"/>
    <w:tmpl w:val="A2F2C6CE"/>
    <w:lvl w:ilvl="0" w:tplc="96CE0AF8">
      <w:start w:val="1"/>
      <w:numFmt w:val="bullet"/>
      <w:lvlText w:val=""/>
      <w:lvlJc w:val="left"/>
      <w:pPr>
        <w:ind w:left="1950" w:hanging="360"/>
      </w:pPr>
      <w:rPr>
        <w:rFonts w:ascii="Symbol" w:hAnsi="Symbol" w:hint="default"/>
      </w:rPr>
    </w:lvl>
    <w:lvl w:ilvl="1" w:tplc="04150003" w:tentative="1">
      <w:start w:val="1"/>
      <w:numFmt w:val="bullet"/>
      <w:lvlText w:val="o"/>
      <w:lvlJc w:val="left"/>
      <w:pPr>
        <w:ind w:left="2670" w:hanging="360"/>
      </w:pPr>
      <w:rPr>
        <w:rFonts w:ascii="Courier New" w:hAnsi="Courier New" w:cs="Courier New" w:hint="default"/>
      </w:rPr>
    </w:lvl>
    <w:lvl w:ilvl="2" w:tplc="04150005" w:tentative="1">
      <w:start w:val="1"/>
      <w:numFmt w:val="bullet"/>
      <w:lvlText w:val=""/>
      <w:lvlJc w:val="left"/>
      <w:pPr>
        <w:ind w:left="3390" w:hanging="360"/>
      </w:pPr>
      <w:rPr>
        <w:rFonts w:ascii="Wingdings" w:hAnsi="Wingdings" w:hint="default"/>
      </w:rPr>
    </w:lvl>
    <w:lvl w:ilvl="3" w:tplc="04150001" w:tentative="1">
      <w:start w:val="1"/>
      <w:numFmt w:val="bullet"/>
      <w:lvlText w:val=""/>
      <w:lvlJc w:val="left"/>
      <w:pPr>
        <w:ind w:left="4110" w:hanging="360"/>
      </w:pPr>
      <w:rPr>
        <w:rFonts w:ascii="Symbol" w:hAnsi="Symbol" w:hint="default"/>
      </w:rPr>
    </w:lvl>
    <w:lvl w:ilvl="4" w:tplc="04150003" w:tentative="1">
      <w:start w:val="1"/>
      <w:numFmt w:val="bullet"/>
      <w:lvlText w:val="o"/>
      <w:lvlJc w:val="left"/>
      <w:pPr>
        <w:ind w:left="4830" w:hanging="360"/>
      </w:pPr>
      <w:rPr>
        <w:rFonts w:ascii="Courier New" w:hAnsi="Courier New" w:cs="Courier New" w:hint="default"/>
      </w:rPr>
    </w:lvl>
    <w:lvl w:ilvl="5" w:tplc="04150005" w:tentative="1">
      <w:start w:val="1"/>
      <w:numFmt w:val="bullet"/>
      <w:lvlText w:val=""/>
      <w:lvlJc w:val="left"/>
      <w:pPr>
        <w:ind w:left="5550" w:hanging="360"/>
      </w:pPr>
      <w:rPr>
        <w:rFonts w:ascii="Wingdings" w:hAnsi="Wingdings" w:hint="default"/>
      </w:rPr>
    </w:lvl>
    <w:lvl w:ilvl="6" w:tplc="04150001" w:tentative="1">
      <w:start w:val="1"/>
      <w:numFmt w:val="bullet"/>
      <w:lvlText w:val=""/>
      <w:lvlJc w:val="left"/>
      <w:pPr>
        <w:ind w:left="6270" w:hanging="360"/>
      </w:pPr>
      <w:rPr>
        <w:rFonts w:ascii="Symbol" w:hAnsi="Symbol" w:hint="default"/>
      </w:rPr>
    </w:lvl>
    <w:lvl w:ilvl="7" w:tplc="04150003" w:tentative="1">
      <w:start w:val="1"/>
      <w:numFmt w:val="bullet"/>
      <w:lvlText w:val="o"/>
      <w:lvlJc w:val="left"/>
      <w:pPr>
        <w:ind w:left="6990" w:hanging="360"/>
      </w:pPr>
      <w:rPr>
        <w:rFonts w:ascii="Courier New" w:hAnsi="Courier New" w:cs="Courier New" w:hint="default"/>
      </w:rPr>
    </w:lvl>
    <w:lvl w:ilvl="8" w:tplc="04150005" w:tentative="1">
      <w:start w:val="1"/>
      <w:numFmt w:val="bullet"/>
      <w:lvlText w:val=""/>
      <w:lvlJc w:val="left"/>
      <w:pPr>
        <w:ind w:left="7710" w:hanging="360"/>
      </w:pPr>
      <w:rPr>
        <w:rFonts w:ascii="Wingdings" w:hAnsi="Wingdings" w:hint="default"/>
      </w:rPr>
    </w:lvl>
  </w:abstractNum>
  <w:abstractNum w:abstractNumId="15" w15:restartNumberingAfterBreak="0">
    <w:nsid w:val="2A9E32A2"/>
    <w:multiLevelType w:val="hybridMultilevel"/>
    <w:tmpl w:val="59265FBC"/>
    <w:lvl w:ilvl="0" w:tplc="22FC9EB6">
      <w:start w:val="1"/>
      <w:numFmt w:val="bullet"/>
      <w:lvlText w:val=""/>
      <w:lvlJc w:val="left"/>
      <w:pPr>
        <w:ind w:left="1230" w:hanging="360"/>
      </w:pPr>
      <w:rPr>
        <w:rFonts w:ascii="Symbol" w:hAnsi="Symbol" w:hint="default"/>
      </w:rPr>
    </w:lvl>
    <w:lvl w:ilvl="1" w:tplc="04150003" w:tentative="1">
      <w:start w:val="1"/>
      <w:numFmt w:val="bullet"/>
      <w:lvlText w:val="o"/>
      <w:lvlJc w:val="left"/>
      <w:pPr>
        <w:ind w:left="1950" w:hanging="360"/>
      </w:pPr>
      <w:rPr>
        <w:rFonts w:ascii="Courier New" w:hAnsi="Courier New" w:cs="Courier New" w:hint="default"/>
      </w:rPr>
    </w:lvl>
    <w:lvl w:ilvl="2" w:tplc="04150005" w:tentative="1">
      <w:start w:val="1"/>
      <w:numFmt w:val="bullet"/>
      <w:lvlText w:val=""/>
      <w:lvlJc w:val="left"/>
      <w:pPr>
        <w:ind w:left="2670" w:hanging="360"/>
      </w:pPr>
      <w:rPr>
        <w:rFonts w:ascii="Wingdings" w:hAnsi="Wingdings" w:hint="default"/>
      </w:rPr>
    </w:lvl>
    <w:lvl w:ilvl="3" w:tplc="04150001" w:tentative="1">
      <w:start w:val="1"/>
      <w:numFmt w:val="bullet"/>
      <w:lvlText w:val=""/>
      <w:lvlJc w:val="left"/>
      <w:pPr>
        <w:ind w:left="3390" w:hanging="360"/>
      </w:pPr>
      <w:rPr>
        <w:rFonts w:ascii="Symbol" w:hAnsi="Symbol" w:hint="default"/>
      </w:rPr>
    </w:lvl>
    <w:lvl w:ilvl="4" w:tplc="04150003" w:tentative="1">
      <w:start w:val="1"/>
      <w:numFmt w:val="bullet"/>
      <w:lvlText w:val="o"/>
      <w:lvlJc w:val="left"/>
      <w:pPr>
        <w:ind w:left="4110" w:hanging="360"/>
      </w:pPr>
      <w:rPr>
        <w:rFonts w:ascii="Courier New" w:hAnsi="Courier New" w:cs="Courier New" w:hint="default"/>
      </w:rPr>
    </w:lvl>
    <w:lvl w:ilvl="5" w:tplc="04150005" w:tentative="1">
      <w:start w:val="1"/>
      <w:numFmt w:val="bullet"/>
      <w:lvlText w:val=""/>
      <w:lvlJc w:val="left"/>
      <w:pPr>
        <w:ind w:left="4830" w:hanging="360"/>
      </w:pPr>
      <w:rPr>
        <w:rFonts w:ascii="Wingdings" w:hAnsi="Wingdings" w:hint="default"/>
      </w:rPr>
    </w:lvl>
    <w:lvl w:ilvl="6" w:tplc="04150001" w:tentative="1">
      <w:start w:val="1"/>
      <w:numFmt w:val="bullet"/>
      <w:lvlText w:val=""/>
      <w:lvlJc w:val="left"/>
      <w:pPr>
        <w:ind w:left="5550" w:hanging="360"/>
      </w:pPr>
      <w:rPr>
        <w:rFonts w:ascii="Symbol" w:hAnsi="Symbol" w:hint="default"/>
      </w:rPr>
    </w:lvl>
    <w:lvl w:ilvl="7" w:tplc="04150003" w:tentative="1">
      <w:start w:val="1"/>
      <w:numFmt w:val="bullet"/>
      <w:lvlText w:val="o"/>
      <w:lvlJc w:val="left"/>
      <w:pPr>
        <w:ind w:left="6270" w:hanging="360"/>
      </w:pPr>
      <w:rPr>
        <w:rFonts w:ascii="Courier New" w:hAnsi="Courier New" w:cs="Courier New" w:hint="default"/>
      </w:rPr>
    </w:lvl>
    <w:lvl w:ilvl="8" w:tplc="04150005" w:tentative="1">
      <w:start w:val="1"/>
      <w:numFmt w:val="bullet"/>
      <w:lvlText w:val=""/>
      <w:lvlJc w:val="left"/>
      <w:pPr>
        <w:ind w:left="6990" w:hanging="360"/>
      </w:pPr>
      <w:rPr>
        <w:rFonts w:ascii="Wingdings" w:hAnsi="Wingdings" w:hint="default"/>
      </w:rPr>
    </w:lvl>
  </w:abstractNum>
  <w:abstractNum w:abstractNumId="16" w15:restartNumberingAfterBreak="0">
    <w:nsid w:val="2BB21056"/>
    <w:multiLevelType w:val="hybridMultilevel"/>
    <w:tmpl w:val="D780F712"/>
    <w:lvl w:ilvl="0" w:tplc="0415000F">
      <w:start w:val="1"/>
      <w:numFmt w:val="decimal"/>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 w15:restartNumberingAfterBreak="0">
    <w:nsid w:val="303D5002"/>
    <w:multiLevelType w:val="hybridMultilevel"/>
    <w:tmpl w:val="56903F2E"/>
    <w:lvl w:ilvl="0" w:tplc="04150017">
      <w:start w:val="1"/>
      <w:numFmt w:val="lowerLetter"/>
      <w:lvlText w:val="%1)"/>
      <w:lvlJc w:val="left"/>
      <w:pPr>
        <w:ind w:left="1230" w:hanging="360"/>
      </w:pPr>
    </w:lvl>
    <w:lvl w:ilvl="1" w:tplc="04150019" w:tentative="1">
      <w:start w:val="1"/>
      <w:numFmt w:val="lowerLetter"/>
      <w:lvlText w:val="%2."/>
      <w:lvlJc w:val="left"/>
      <w:pPr>
        <w:ind w:left="1950" w:hanging="360"/>
      </w:pPr>
    </w:lvl>
    <w:lvl w:ilvl="2" w:tplc="0415001B" w:tentative="1">
      <w:start w:val="1"/>
      <w:numFmt w:val="lowerRoman"/>
      <w:lvlText w:val="%3."/>
      <w:lvlJc w:val="right"/>
      <w:pPr>
        <w:ind w:left="2670" w:hanging="180"/>
      </w:pPr>
    </w:lvl>
    <w:lvl w:ilvl="3" w:tplc="0415000F" w:tentative="1">
      <w:start w:val="1"/>
      <w:numFmt w:val="decimal"/>
      <w:lvlText w:val="%4."/>
      <w:lvlJc w:val="left"/>
      <w:pPr>
        <w:ind w:left="3390" w:hanging="360"/>
      </w:pPr>
    </w:lvl>
    <w:lvl w:ilvl="4" w:tplc="04150019" w:tentative="1">
      <w:start w:val="1"/>
      <w:numFmt w:val="lowerLetter"/>
      <w:lvlText w:val="%5."/>
      <w:lvlJc w:val="left"/>
      <w:pPr>
        <w:ind w:left="4110" w:hanging="360"/>
      </w:pPr>
    </w:lvl>
    <w:lvl w:ilvl="5" w:tplc="0415001B" w:tentative="1">
      <w:start w:val="1"/>
      <w:numFmt w:val="lowerRoman"/>
      <w:lvlText w:val="%6."/>
      <w:lvlJc w:val="right"/>
      <w:pPr>
        <w:ind w:left="4830" w:hanging="180"/>
      </w:pPr>
    </w:lvl>
    <w:lvl w:ilvl="6" w:tplc="0415000F" w:tentative="1">
      <w:start w:val="1"/>
      <w:numFmt w:val="decimal"/>
      <w:lvlText w:val="%7."/>
      <w:lvlJc w:val="left"/>
      <w:pPr>
        <w:ind w:left="5550" w:hanging="360"/>
      </w:pPr>
    </w:lvl>
    <w:lvl w:ilvl="7" w:tplc="04150019" w:tentative="1">
      <w:start w:val="1"/>
      <w:numFmt w:val="lowerLetter"/>
      <w:lvlText w:val="%8."/>
      <w:lvlJc w:val="left"/>
      <w:pPr>
        <w:ind w:left="6270" w:hanging="360"/>
      </w:pPr>
    </w:lvl>
    <w:lvl w:ilvl="8" w:tplc="0415001B" w:tentative="1">
      <w:start w:val="1"/>
      <w:numFmt w:val="lowerRoman"/>
      <w:lvlText w:val="%9."/>
      <w:lvlJc w:val="right"/>
      <w:pPr>
        <w:ind w:left="6990" w:hanging="180"/>
      </w:pPr>
    </w:lvl>
  </w:abstractNum>
  <w:abstractNum w:abstractNumId="18" w15:restartNumberingAfterBreak="0">
    <w:nsid w:val="33272D7B"/>
    <w:multiLevelType w:val="hybridMultilevel"/>
    <w:tmpl w:val="CC8CCCE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360108E3"/>
    <w:multiLevelType w:val="hybridMultilevel"/>
    <w:tmpl w:val="06AEAAA6"/>
    <w:lvl w:ilvl="0" w:tplc="04150017">
      <w:start w:val="1"/>
      <w:numFmt w:val="lowerLetter"/>
      <w:lvlText w:val="%1)"/>
      <w:lvlJc w:val="left"/>
      <w:pPr>
        <w:ind w:left="1230" w:hanging="360"/>
      </w:pPr>
    </w:lvl>
    <w:lvl w:ilvl="1" w:tplc="04150019" w:tentative="1">
      <w:start w:val="1"/>
      <w:numFmt w:val="lowerLetter"/>
      <w:lvlText w:val="%2."/>
      <w:lvlJc w:val="left"/>
      <w:pPr>
        <w:ind w:left="1950" w:hanging="360"/>
      </w:pPr>
    </w:lvl>
    <w:lvl w:ilvl="2" w:tplc="0415001B" w:tentative="1">
      <w:start w:val="1"/>
      <w:numFmt w:val="lowerRoman"/>
      <w:lvlText w:val="%3."/>
      <w:lvlJc w:val="right"/>
      <w:pPr>
        <w:ind w:left="2670" w:hanging="180"/>
      </w:pPr>
    </w:lvl>
    <w:lvl w:ilvl="3" w:tplc="0415000F" w:tentative="1">
      <w:start w:val="1"/>
      <w:numFmt w:val="decimal"/>
      <w:lvlText w:val="%4."/>
      <w:lvlJc w:val="left"/>
      <w:pPr>
        <w:ind w:left="3390" w:hanging="360"/>
      </w:pPr>
    </w:lvl>
    <w:lvl w:ilvl="4" w:tplc="04150019" w:tentative="1">
      <w:start w:val="1"/>
      <w:numFmt w:val="lowerLetter"/>
      <w:lvlText w:val="%5."/>
      <w:lvlJc w:val="left"/>
      <w:pPr>
        <w:ind w:left="4110" w:hanging="360"/>
      </w:pPr>
    </w:lvl>
    <w:lvl w:ilvl="5" w:tplc="0415001B" w:tentative="1">
      <w:start w:val="1"/>
      <w:numFmt w:val="lowerRoman"/>
      <w:lvlText w:val="%6."/>
      <w:lvlJc w:val="right"/>
      <w:pPr>
        <w:ind w:left="4830" w:hanging="180"/>
      </w:pPr>
    </w:lvl>
    <w:lvl w:ilvl="6" w:tplc="0415000F" w:tentative="1">
      <w:start w:val="1"/>
      <w:numFmt w:val="decimal"/>
      <w:lvlText w:val="%7."/>
      <w:lvlJc w:val="left"/>
      <w:pPr>
        <w:ind w:left="5550" w:hanging="360"/>
      </w:pPr>
    </w:lvl>
    <w:lvl w:ilvl="7" w:tplc="04150019" w:tentative="1">
      <w:start w:val="1"/>
      <w:numFmt w:val="lowerLetter"/>
      <w:lvlText w:val="%8."/>
      <w:lvlJc w:val="left"/>
      <w:pPr>
        <w:ind w:left="6270" w:hanging="360"/>
      </w:pPr>
    </w:lvl>
    <w:lvl w:ilvl="8" w:tplc="0415001B" w:tentative="1">
      <w:start w:val="1"/>
      <w:numFmt w:val="lowerRoman"/>
      <w:lvlText w:val="%9."/>
      <w:lvlJc w:val="right"/>
      <w:pPr>
        <w:ind w:left="6990" w:hanging="180"/>
      </w:pPr>
    </w:lvl>
  </w:abstractNum>
  <w:abstractNum w:abstractNumId="20" w15:restartNumberingAfterBreak="0">
    <w:nsid w:val="392A41E7"/>
    <w:multiLevelType w:val="hybridMultilevel"/>
    <w:tmpl w:val="815405A2"/>
    <w:lvl w:ilvl="0" w:tplc="680E46FE">
      <w:start w:val="1"/>
      <w:numFmt w:val="decimal"/>
      <w:lvlText w:val="%1."/>
      <w:lvlJc w:val="left"/>
      <w:pPr>
        <w:tabs>
          <w:tab w:val="num" w:pos="360"/>
        </w:tabs>
        <w:ind w:left="36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39467524"/>
    <w:multiLevelType w:val="hybridMultilevel"/>
    <w:tmpl w:val="E976F55C"/>
    <w:lvl w:ilvl="0" w:tplc="0415000F">
      <w:start w:val="1"/>
      <w:numFmt w:val="decimal"/>
      <w:lvlText w:val="%1."/>
      <w:lvlJc w:val="left"/>
      <w:pPr>
        <w:ind w:left="1230" w:hanging="360"/>
      </w:pPr>
      <w:rPr>
        <w:rFonts w:hint="default"/>
      </w:rPr>
    </w:lvl>
    <w:lvl w:ilvl="1" w:tplc="04150003">
      <w:start w:val="1"/>
      <w:numFmt w:val="bullet"/>
      <w:lvlText w:val="o"/>
      <w:lvlJc w:val="left"/>
      <w:pPr>
        <w:ind w:left="1950" w:hanging="360"/>
      </w:pPr>
      <w:rPr>
        <w:rFonts w:ascii="Courier New" w:hAnsi="Courier New" w:cs="Courier New" w:hint="default"/>
      </w:rPr>
    </w:lvl>
    <w:lvl w:ilvl="2" w:tplc="04150005" w:tentative="1">
      <w:start w:val="1"/>
      <w:numFmt w:val="bullet"/>
      <w:lvlText w:val=""/>
      <w:lvlJc w:val="left"/>
      <w:pPr>
        <w:ind w:left="2670" w:hanging="360"/>
      </w:pPr>
      <w:rPr>
        <w:rFonts w:ascii="Wingdings" w:hAnsi="Wingdings" w:hint="default"/>
      </w:rPr>
    </w:lvl>
    <w:lvl w:ilvl="3" w:tplc="04150001" w:tentative="1">
      <w:start w:val="1"/>
      <w:numFmt w:val="bullet"/>
      <w:lvlText w:val=""/>
      <w:lvlJc w:val="left"/>
      <w:pPr>
        <w:ind w:left="3390" w:hanging="360"/>
      </w:pPr>
      <w:rPr>
        <w:rFonts w:ascii="Symbol" w:hAnsi="Symbol" w:hint="default"/>
      </w:rPr>
    </w:lvl>
    <w:lvl w:ilvl="4" w:tplc="04150003" w:tentative="1">
      <w:start w:val="1"/>
      <w:numFmt w:val="bullet"/>
      <w:lvlText w:val="o"/>
      <w:lvlJc w:val="left"/>
      <w:pPr>
        <w:ind w:left="4110" w:hanging="360"/>
      </w:pPr>
      <w:rPr>
        <w:rFonts w:ascii="Courier New" w:hAnsi="Courier New" w:cs="Courier New" w:hint="default"/>
      </w:rPr>
    </w:lvl>
    <w:lvl w:ilvl="5" w:tplc="04150005" w:tentative="1">
      <w:start w:val="1"/>
      <w:numFmt w:val="bullet"/>
      <w:lvlText w:val=""/>
      <w:lvlJc w:val="left"/>
      <w:pPr>
        <w:ind w:left="4830" w:hanging="360"/>
      </w:pPr>
      <w:rPr>
        <w:rFonts w:ascii="Wingdings" w:hAnsi="Wingdings" w:hint="default"/>
      </w:rPr>
    </w:lvl>
    <w:lvl w:ilvl="6" w:tplc="04150001" w:tentative="1">
      <w:start w:val="1"/>
      <w:numFmt w:val="bullet"/>
      <w:lvlText w:val=""/>
      <w:lvlJc w:val="left"/>
      <w:pPr>
        <w:ind w:left="5550" w:hanging="360"/>
      </w:pPr>
      <w:rPr>
        <w:rFonts w:ascii="Symbol" w:hAnsi="Symbol" w:hint="default"/>
      </w:rPr>
    </w:lvl>
    <w:lvl w:ilvl="7" w:tplc="04150003" w:tentative="1">
      <w:start w:val="1"/>
      <w:numFmt w:val="bullet"/>
      <w:lvlText w:val="o"/>
      <w:lvlJc w:val="left"/>
      <w:pPr>
        <w:ind w:left="6270" w:hanging="360"/>
      </w:pPr>
      <w:rPr>
        <w:rFonts w:ascii="Courier New" w:hAnsi="Courier New" w:cs="Courier New" w:hint="default"/>
      </w:rPr>
    </w:lvl>
    <w:lvl w:ilvl="8" w:tplc="04150005" w:tentative="1">
      <w:start w:val="1"/>
      <w:numFmt w:val="bullet"/>
      <w:lvlText w:val=""/>
      <w:lvlJc w:val="left"/>
      <w:pPr>
        <w:ind w:left="6990" w:hanging="360"/>
      </w:pPr>
      <w:rPr>
        <w:rFonts w:ascii="Wingdings" w:hAnsi="Wingdings" w:hint="default"/>
      </w:rPr>
    </w:lvl>
  </w:abstractNum>
  <w:abstractNum w:abstractNumId="22" w15:restartNumberingAfterBreak="0">
    <w:nsid w:val="39DC67F7"/>
    <w:multiLevelType w:val="hybridMultilevel"/>
    <w:tmpl w:val="6ADE22E4"/>
    <w:lvl w:ilvl="0" w:tplc="04150013">
      <w:start w:val="1"/>
      <w:numFmt w:val="upperRoman"/>
      <w:lvlText w:val="%1."/>
      <w:lvlJc w:val="right"/>
      <w:pPr>
        <w:ind w:left="1230" w:hanging="360"/>
      </w:pPr>
    </w:lvl>
    <w:lvl w:ilvl="1" w:tplc="04150019" w:tentative="1">
      <w:start w:val="1"/>
      <w:numFmt w:val="lowerLetter"/>
      <w:lvlText w:val="%2."/>
      <w:lvlJc w:val="left"/>
      <w:pPr>
        <w:ind w:left="1950" w:hanging="360"/>
      </w:pPr>
    </w:lvl>
    <w:lvl w:ilvl="2" w:tplc="0415001B" w:tentative="1">
      <w:start w:val="1"/>
      <w:numFmt w:val="lowerRoman"/>
      <w:lvlText w:val="%3."/>
      <w:lvlJc w:val="right"/>
      <w:pPr>
        <w:ind w:left="2670" w:hanging="180"/>
      </w:pPr>
    </w:lvl>
    <w:lvl w:ilvl="3" w:tplc="0415000F" w:tentative="1">
      <w:start w:val="1"/>
      <w:numFmt w:val="decimal"/>
      <w:lvlText w:val="%4."/>
      <w:lvlJc w:val="left"/>
      <w:pPr>
        <w:ind w:left="3390" w:hanging="360"/>
      </w:pPr>
    </w:lvl>
    <w:lvl w:ilvl="4" w:tplc="04150019" w:tentative="1">
      <w:start w:val="1"/>
      <w:numFmt w:val="lowerLetter"/>
      <w:lvlText w:val="%5."/>
      <w:lvlJc w:val="left"/>
      <w:pPr>
        <w:ind w:left="4110" w:hanging="360"/>
      </w:pPr>
    </w:lvl>
    <w:lvl w:ilvl="5" w:tplc="0415001B" w:tentative="1">
      <w:start w:val="1"/>
      <w:numFmt w:val="lowerRoman"/>
      <w:lvlText w:val="%6."/>
      <w:lvlJc w:val="right"/>
      <w:pPr>
        <w:ind w:left="4830" w:hanging="180"/>
      </w:pPr>
    </w:lvl>
    <w:lvl w:ilvl="6" w:tplc="0415000F" w:tentative="1">
      <w:start w:val="1"/>
      <w:numFmt w:val="decimal"/>
      <w:lvlText w:val="%7."/>
      <w:lvlJc w:val="left"/>
      <w:pPr>
        <w:ind w:left="5550" w:hanging="360"/>
      </w:pPr>
    </w:lvl>
    <w:lvl w:ilvl="7" w:tplc="04150019" w:tentative="1">
      <w:start w:val="1"/>
      <w:numFmt w:val="lowerLetter"/>
      <w:lvlText w:val="%8."/>
      <w:lvlJc w:val="left"/>
      <w:pPr>
        <w:ind w:left="6270" w:hanging="360"/>
      </w:pPr>
    </w:lvl>
    <w:lvl w:ilvl="8" w:tplc="0415001B" w:tentative="1">
      <w:start w:val="1"/>
      <w:numFmt w:val="lowerRoman"/>
      <w:lvlText w:val="%9."/>
      <w:lvlJc w:val="right"/>
      <w:pPr>
        <w:ind w:left="6990" w:hanging="180"/>
      </w:pPr>
    </w:lvl>
  </w:abstractNum>
  <w:abstractNum w:abstractNumId="23" w15:restartNumberingAfterBreak="0">
    <w:nsid w:val="3A156C1F"/>
    <w:multiLevelType w:val="hybridMultilevel"/>
    <w:tmpl w:val="662E4E78"/>
    <w:lvl w:ilvl="0" w:tplc="96CE0AF8">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4" w15:restartNumberingAfterBreak="0">
    <w:nsid w:val="46625D50"/>
    <w:multiLevelType w:val="hybridMultilevel"/>
    <w:tmpl w:val="8E3644D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5" w15:restartNumberingAfterBreak="0">
    <w:nsid w:val="47A24F8C"/>
    <w:multiLevelType w:val="hybridMultilevel"/>
    <w:tmpl w:val="E0CC7D4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493964A1"/>
    <w:multiLevelType w:val="hybridMultilevel"/>
    <w:tmpl w:val="A426CB00"/>
    <w:lvl w:ilvl="0" w:tplc="04150015">
      <w:start w:val="1"/>
      <w:numFmt w:val="upperLetter"/>
      <w:lvlText w:val="%1."/>
      <w:lvlJc w:val="left"/>
      <w:pPr>
        <w:ind w:left="1230" w:hanging="360"/>
      </w:pPr>
    </w:lvl>
    <w:lvl w:ilvl="1" w:tplc="04150019" w:tentative="1">
      <w:start w:val="1"/>
      <w:numFmt w:val="lowerLetter"/>
      <w:lvlText w:val="%2."/>
      <w:lvlJc w:val="left"/>
      <w:pPr>
        <w:ind w:left="1950" w:hanging="360"/>
      </w:pPr>
    </w:lvl>
    <w:lvl w:ilvl="2" w:tplc="0415001B" w:tentative="1">
      <w:start w:val="1"/>
      <w:numFmt w:val="lowerRoman"/>
      <w:lvlText w:val="%3."/>
      <w:lvlJc w:val="right"/>
      <w:pPr>
        <w:ind w:left="2670" w:hanging="180"/>
      </w:pPr>
    </w:lvl>
    <w:lvl w:ilvl="3" w:tplc="0415000F" w:tentative="1">
      <w:start w:val="1"/>
      <w:numFmt w:val="decimal"/>
      <w:lvlText w:val="%4."/>
      <w:lvlJc w:val="left"/>
      <w:pPr>
        <w:ind w:left="3390" w:hanging="360"/>
      </w:pPr>
    </w:lvl>
    <w:lvl w:ilvl="4" w:tplc="04150019" w:tentative="1">
      <w:start w:val="1"/>
      <w:numFmt w:val="lowerLetter"/>
      <w:lvlText w:val="%5."/>
      <w:lvlJc w:val="left"/>
      <w:pPr>
        <w:ind w:left="4110" w:hanging="360"/>
      </w:pPr>
    </w:lvl>
    <w:lvl w:ilvl="5" w:tplc="0415001B" w:tentative="1">
      <w:start w:val="1"/>
      <w:numFmt w:val="lowerRoman"/>
      <w:lvlText w:val="%6."/>
      <w:lvlJc w:val="right"/>
      <w:pPr>
        <w:ind w:left="4830" w:hanging="180"/>
      </w:pPr>
    </w:lvl>
    <w:lvl w:ilvl="6" w:tplc="0415000F" w:tentative="1">
      <w:start w:val="1"/>
      <w:numFmt w:val="decimal"/>
      <w:lvlText w:val="%7."/>
      <w:lvlJc w:val="left"/>
      <w:pPr>
        <w:ind w:left="5550" w:hanging="360"/>
      </w:pPr>
    </w:lvl>
    <w:lvl w:ilvl="7" w:tplc="04150019" w:tentative="1">
      <w:start w:val="1"/>
      <w:numFmt w:val="lowerLetter"/>
      <w:lvlText w:val="%8."/>
      <w:lvlJc w:val="left"/>
      <w:pPr>
        <w:ind w:left="6270" w:hanging="360"/>
      </w:pPr>
    </w:lvl>
    <w:lvl w:ilvl="8" w:tplc="0415001B" w:tentative="1">
      <w:start w:val="1"/>
      <w:numFmt w:val="lowerRoman"/>
      <w:lvlText w:val="%9."/>
      <w:lvlJc w:val="right"/>
      <w:pPr>
        <w:ind w:left="6990" w:hanging="180"/>
      </w:pPr>
    </w:lvl>
  </w:abstractNum>
  <w:abstractNum w:abstractNumId="27" w15:restartNumberingAfterBreak="0">
    <w:nsid w:val="497D7D26"/>
    <w:multiLevelType w:val="hybridMultilevel"/>
    <w:tmpl w:val="D05619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6A960E4"/>
    <w:multiLevelType w:val="hybridMultilevel"/>
    <w:tmpl w:val="10A61976"/>
    <w:lvl w:ilvl="0" w:tplc="04150011">
      <w:start w:val="1"/>
      <w:numFmt w:val="decimal"/>
      <w:lvlText w:val="%1)"/>
      <w:lvlJc w:val="left"/>
      <w:pPr>
        <w:ind w:left="1230" w:hanging="360"/>
      </w:pPr>
    </w:lvl>
    <w:lvl w:ilvl="1" w:tplc="04150019" w:tentative="1">
      <w:start w:val="1"/>
      <w:numFmt w:val="lowerLetter"/>
      <w:lvlText w:val="%2."/>
      <w:lvlJc w:val="left"/>
      <w:pPr>
        <w:ind w:left="1950" w:hanging="360"/>
      </w:pPr>
    </w:lvl>
    <w:lvl w:ilvl="2" w:tplc="0415001B" w:tentative="1">
      <w:start w:val="1"/>
      <w:numFmt w:val="lowerRoman"/>
      <w:lvlText w:val="%3."/>
      <w:lvlJc w:val="right"/>
      <w:pPr>
        <w:ind w:left="2670" w:hanging="180"/>
      </w:pPr>
    </w:lvl>
    <w:lvl w:ilvl="3" w:tplc="0415000F" w:tentative="1">
      <w:start w:val="1"/>
      <w:numFmt w:val="decimal"/>
      <w:lvlText w:val="%4."/>
      <w:lvlJc w:val="left"/>
      <w:pPr>
        <w:ind w:left="3390" w:hanging="360"/>
      </w:pPr>
    </w:lvl>
    <w:lvl w:ilvl="4" w:tplc="04150019" w:tentative="1">
      <w:start w:val="1"/>
      <w:numFmt w:val="lowerLetter"/>
      <w:lvlText w:val="%5."/>
      <w:lvlJc w:val="left"/>
      <w:pPr>
        <w:ind w:left="4110" w:hanging="360"/>
      </w:pPr>
    </w:lvl>
    <w:lvl w:ilvl="5" w:tplc="0415001B" w:tentative="1">
      <w:start w:val="1"/>
      <w:numFmt w:val="lowerRoman"/>
      <w:lvlText w:val="%6."/>
      <w:lvlJc w:val="right"/>
      <w:pPr>
        <w:ind w:left="4830" w:hanging="180"/>
      </w:pPr>
    </w:lvl>
    <w:lvl w:ilvl="6" w:tplc="0415000F" w:tentative="1">
      <w:start w:val="1"/>
      <w:numFmt w:val="decimal"/>
      <w:lvlText w:val="%7."/>
      <w:lvlJc w:val="left"/>
      <w:pPr>
        <w:ind w:left="5550" w:hanging="360"/>
      </w:pPr>
    </w:lvl>
    <w:lvl w:ilvl="7" w:tplc="04150019" w:tentative="1">
      <w:start w:val="1"/>
      <w:numFmt w:val="lowerLetter"/>
      <w:lvlText w:val="%8."/>
      <w:lvlJc w:val="left"/>
      <w:pPr>
        <w:ind w:left="6270" w:hanging="360"/>
      </w:pPr>
    </w:lvl>
    <w:lvl w:ilvl="8" w:tplc="0415001B" w:tentative="1">
      <w:start w:val="1"/>
      <w:numFmt w:val="lowerRoman"/>
      <w:lvlText w:val="%9."/>
      <w:lvlJc w:val="right"/>
      <w:pPr>
        <w:ind w:left="6990" w:hanging="180"/>
      </w:pPr>
    </w:lvl>
  </w:abstractNum>
  <w:abstractNum w:abstractNumId="29" w15:restartNumberingAfterBreak="0">
    <w:nsid w:val="59F016B8"/>
    <w:multiLevelType w:val="hybridMultilevel"/>
    <w:tmpl w:val="CE868E9C"/>
    <w:lvl w:ilvl="0" w:tplc="0415000F">
      <w:start w:val="1"/>
      <w:numFmt w:val="decimal"/>
      <w:lvlText w:val="%1."/>
      <w:lvlJc w:val="left"/>
      <w:pPr>
        <w:ind w:left="1230" w:hanging="360"/>
      </w:pPr>
    </w:lvl>
    <w:lvl w:ilvl="1" w:tplc="04150019" w:tentative="1">
      <w:start w:val="1"/>
      <w:numFmt w:val="lowerLetter"/>
      <w:lvlText w:val="%2."/>
      <w:lvlJc w:val="left"/>
      <w:pPr>
        <w:ind w:left="1950" w:hanging="360"/>
      </w:pPr>
    </w:lvl>
    <w:lvl w:ilvl="2" w:tplc="0415001B" w:tentative="1">
      <w:start w:val="1"/>
      <w:numFmt w:val="lowerRoman"/>
      <w:lvlText w:val="%3."/>
      <w:lvlJc w:val="right"/>
      <w:pPr>
        <w:ind w:left="2670" w:hanging="180"/>
      </w:pPr>
    </w:lvl>
    <w:lvl w:ilvl="3" w:tplc="0415000F" w:tentative="1">
      <w:start w:val="1"/>
      <w:numFmt w:val="decimal"/>
      <w:lvlText w:val="%4."/>
      <w:lvlJc w:val="left"/>
      <w:pPr>
        <w:ind w:left="3390" w:hanging="360"/>
      </w:pPr>
    </w:lvl>
    <w:lvl w:ilvl="4" w:tplc="04150019" w:tentative="1">
      <w:start w:val="1"/>
      <w:numFmt w:val="lowerLetter"/>
      <w:lvlText w:val="%5."/>
      <w:lvlJc w:val="left"/>
      <w:pPr>
        <w:ind w:left="4110" w:hanging="360"/>
      </w:pPr>
    </w:lvl>
    <w:lvl w:ilvl="5" w:tplc="0415001B" w:tentative="1">
      <w:start w:val="1"/>
      <w:numFmt w:val="lowerRoman"/>
      <w:lvlText w:val="%6."/>
      <w:lvlJc w:val="right"/>
      <w:pPr>
        <w:ind w:left="4830" w:hanging="180"/>
      </w:pPr>
    </w:lvl>
    <w:lvl w:ilvl="6" w:tplc="0415000F" w:tentative="1">
      <w:start w:val="1"/>
      <w:numFmt w:val="decimal"/>
      <w:lvlText w:val="%7."/>
      <w:lvlJc w:val="left"/>
      <w:pPr>
        <w:ind w:left="5550" w:hanging="360"/>
      </w:pPr>
    </w:lvl>
    <w:lvl w:ilvl="7" w:tplc="04150019" w:tentative="1">
      <w:start w:val="1"/>
      <w:numFmt w:val="lowerLetter"/>
      <w:lvlText w:val="%8."/>
      <w:lvlJc w:val="left"/>
      <w:pPr>
        <w:ind w:left="6270" w:hanging="360"/>
      </w:pPr>
    </w:lvl>
    <w:lvl w:ilvl="8" w:tplc="0415001B" w:tentative="1">
      <w:start w:val="1"/>
      <w:numFmt w:val="lowerRoman"/>
      <w:lvlText w:val="%9."/>
      <w:lvlJc w:val="right"/>
      <w:pPr>
        <w:ind w:left="6990" w:hanging="180"/>
      </w:pPr>
    </w:lvl>
  </w:abstractNum>
  <w:abstractNum w:abstractNumId="30" w15:restartNumberingAfterBreak="0">
    <w:nsid w:val="5E8605F5"/>
    <w:multiLevelType w:val="hybridMultilevel"/>
    <w:tmpl w:val="94B4688C"/>
    <w:lvl w:ilvl="0" w:tplc="04150013">
      <w:start w:val="1"/>
      <w:numFmt w:val="upperRoman"/>
      <w:lvlText w:val="%1."/>
      <w:lvlJc w:val="righ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60A035D5"/>
    <w:multiLevelType w:val="hybridMultilevel"/>
    <w:tmpl w:val="AA224574"/>
    <w:lvl w:ilvl="0" w:tplc="FFE46E48">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619A1029"/>
    <w:multiLevelType w:val="hybridMultilevel"/>
    <w:tmpl w:val="375E7C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7B66D5A"/>
    <w:multiLevelType w:val="hybridMultilevel"/>
    <w:tmpl w:val="C0DAF88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6B294BCE"/>
    <w:multiLevelType w:val="hybridMultilevel"/>
    <w:tmpl w:val="1A76937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6C0F467B"/>
    <w:multiLevelType w:val="hybridMultilevel"/>
    <w:tmpl w:val="4FCA5FA4"/>
    <w:lvl w:ilvl="0" w:tplc="04150013">
      <w:start w:val="1"/>
      <w:numFmt w:val="upperRoman"/>
      <w:lvlText w:val="%1."/>
      <w:lvlJc w:val="right"/>
      <w:pPr>
        <w:ind w:left="1230" w:hanging="360"/>
      </w:pPr>
    </w:lvl>
    <w:lvl w:ilvl="1" w:tplc="04150019" w:tentative="1">
      <w:start w:val="1"/>
      <w:numFmt w:val="lowerLetter"/>
      <w:lvlText w:val="%2."/>
      <w:lvlJc w:val="left"/>
      <w:pPr>
        <w:ind w:left="1950" w:hanging="360"/>
      </w:pPr>
    </w:lvl>
    <w:lvl w:ilvl="2" w:tplc="0415001B" w:tentative="1">
      <w:start w:val="1"/>
      <w:numFmt w:val="lowerRoman"/>
      <w:lvlText w:val="%3."/>
      <w:lvlJc w:val="right"/>
      <w:pPr>
        <w:ind w:left="2670" w:hanging="180"/>
      </w:pPr>
    </w:lvl>
    <w:lvl w:ilvl="3" w:tplc="0415000F" w:tentative="1">
      <w:start w:val="1"/>
      <w:numFmt w:val="decimal"/>
      <w:lvlText w:val="%4."/>
      <w:lvlJc w:val="left"/>
      <w:pPr>
        <w:ind w:left="3390" w:hanging="360"/>
      </w:pPr>
    </w:lvl>
    <w:lvl w:ilvl="4" w:tplc="04150019" w:tentative="1">
      <w:start w:val="1"/>
      <w:numFmt w:val="lowerLetter"/>
      <w:lvlText w:val="%5."/>
      <w:lvlJc w:val="left"/>
      <w:pPr>
        <w:ind w:left="4110" w:hanging="360"/>
      </w:pPr>
    </w:lvl>
    <w:lvl w:ilvl="5" w:tplc="0415001B" w:tentative="1">
      <w:start w:val="1"/>
      <w:numFmt w:val="lowerRoman"/>
      <w:lvlText w:val="%6."/>
      <w:lvlJc w:val="right"/>
      <w:pPr>
        <w:ind w:left="4830" w:hanging="180"/>
      </w:pPr>
    </w:lvl>
    <w:lvl w:ilvl="6" w:tplc="0415000F" w:tentative="1">
      <w:start w:val="1"/>
      <w:numFmt w:val="decimal"/>
      <w:lvlText w:val="%7."/>
      <w:lvlJc w:val="left"/>
      <w:pPr>
        <w:ind w:left="5550" w:hanging="360"/>
      </w:pPr>
    </w:lvl>
    <w:lvl w:ilvl="7" w:tplc="04150019" w:tentative="1">
      <w:start w:val="1"/>
      <w:numFmt w:val="lowerLetter"/>
      <w:lvlText w:val="%8."/>
      <w:lvlJc w:val="left"/>
      <w:pPr>
        <w:ind w:left="6270" w:hanging="360"/>
      </w:pPr>
    </w:lvl>
    <w:lvl w:ilvl="8" w:tplc="0415001B" w:tentative="1">
      <w:start w:val="1"/>
      <w:numFmt w:val="lowerRoman"/>
      <w:lvlText w:val="%9."/>
      <w:lvlJc w:val="right"/>
      <w:pPr>
        <w:ind w:left="6990" w:hanging="180"/>
      </w:pPr>
    </w:lvl>
  </w:abstractNum>
  <w:abstractNum w:abstractNumId="36" w15:restartNumberingAfterBreak="0">
    <w:nsid w:val="6D1801BC"/>
    <w:multiLevelType w:val="hybridMultilevel"/>
    <w:tmpl w:val="98905056"/>
    <w:lvl w:ilvl="0" w:tplc="0415000F">
      <w:start w:val="1"/>
      <w:numFmt w:val="decimal"/>
      <w:lvlText w:val="%1."/>
      <w:lvlJc w:val="left"/>
      <w:pPr>
        <w:ind w:left="1230" w:hanging="360"/>
      </w:pPr>
    </w:lvl>
    <w:lvl w:ilvl="1" w:tplc="04150019" w:tentative="1">
      <w:start w:val="1"/>
      <w:numFmt w:val="lowerLetter"/>
      <w:lvlText w:val="%2."/>
      <w:lvlJc w:val="left"/>
      <w:pPr>
        <w:ind w:left="1950" w:hanging="360"/>
      </w:pPr>
    </w:lvl>
    <w:lvl w:ilvl="2" w:tplc="0415001B" w:tentative="1">
      <w:start w:val="1"/>
      <w:numFmt w:val="lowerRoman"/>
      <w:lvlText w:val="%3."/>
      <w:lvlJc w:val="right"/>
      <w:pPr>
        <w:ind w:left="2670" w:hanging="180"/>
      </w:pPr>
    </w:lvl>
    <w:lvl w:ilvl="3" w:tplc="0415000F" w:tentative="1">
      <w:start w:val="1"/>
      <w:numFmt w:val="decimal"/>
      <w:lvlText w:val="%4."/>
      <w:lvlJc w:val="left"/>
      <w:pPr>
        <w:ind w:left="3390" w:hanging="360"/>
      </w:pPr>
    </w:lvl>
    <w:lvl w:ilvl="4" w:tplc="04150019" w:tentative="1">
      <w:start w:val="1"/>
      <w:numFmt w:val="lowerLetter"/>
      <w:lvlText w:val="%5."/>
      <w:lvlJc w:val="left"/>
      <w:pPr>
        <w:ind w:left="4110" w:hanging="360"/>
      </w:pPr>
    </w:lvl>
    <w:lvl w:ilvl="5" w:tplc="0415001B" w:tentative="1">
      <w:start w:val="1"/>
      <w:numFmt w:val="lowerRoman"/>
      <w:lvlText w:val="%6."/>
      <w:lvlJc w:val="right"/>
      <w:pPr>
        <w:ind w:left="4830" w:hanging="180"/>
      </w:pPr>
    </w:lvl>
    <w:lvl w:ilvl="6" w:tplc="0415000F" w:tentative="1">
      <w:start w:val="1"/>
      <w:numFmt w:val="decimal"/>
      <w:lvlText w:val="%7."/>
      <w:lvlJc w:val="left"/>
      <w:pPr>
        <w:ind w:left="5550" w:hanging="360"/>
      </w:pPr>
    </w:lvl>
    <w:lvl w:ilvl="7" w:tplc="04150019" w:tentative="1">
      <w:start w:val="1"/>
      <w:numFmt w:val="lowerLetter"/>
      <w:lvlText w:val="%8."/>
      <w:lvlJc w:val="left"/>
      <w:pPr>
        <w:ind w:left="6270" w:hanging="360"/>
      </w:pPr>
    </w:lvl>
    <w:lvl w:ilvl="8" w:tplc="0415001B" w:tentative="1">
      <w:start w:val="1"/>
      <w:numFmt w:val="lowerRoman"/>
      <w:lvlText w:val="%9."/>
      <w:lvlJc w:val="right"/>
      <w:pPr>
        <w:ind w:left="6990" w:hanging="180"/>
      </w:pPr>
    </w:lvl>
  </w:abstractNum>
  <w:abstractNum w:abstractNumId="37" w15:restartNumberingAfterBreak="0">
    <w:nsid w:val="6F88053C"/>
    <w:multiLevelType w:val="hybridMultilevel"/>
    <w:tmpl w:val="42D8E038"/>
    <w:lvl w:ilvl="0" w:tplc="0415000F">
      <w:start w:val="1"/>
      <w:numFmt w:val="decimal"/>
      <w:lvlText w:val="%1."/>
      <w:lvlJc w:val="left"/>
      <w:pPr>
        <w:ind w:left="1230" w:hanging="360"/>
      </w:pPr>
      <w:rPr>
        <w:rFonts w:hint="default"/>
      </w:rPr>
    </w:lvl>
    <w:lvl w:ilvl="1" w:tplc="04150003">
      <w:start w:val="1"/>
      <w:numFmt w:val="bullet"/>
      <w:lvlText w:val="o"/>
      <w:lvlJc w:val="left"/>
      <w:pPr>
        <w:ind w:left="1950" w:hanging="360"/>
      </w:pPr>
      <w:rPr>
        <w:rFonts w:ascii="Courier New" w:hAnsi="Courier New" w:cs="Courier New" w:hint="default"/>
      </w:rPr>
    </w:lvl>
    <w:lvl w:ilvl="2" w:tplc="04150005" w:tentative="1">
      <w:start w:val="1"/>
      <w:numFmt w:val="bullet"/>
      <w:lvlText w:val=""/>
      <w:lvlJc w:val="left"/>
      <w:pPr>
        <w:ind w:left="2670" w:hanging="360"/>
      </w:pPr>
      <w:rPr>
        <w:rFonts w:ascii="Wingdings" w:hAnsi="Wingdings" w:hint="default"/>
      </w:rPr>
    </w:lvl>
    <w:lvl w:ilvl="3" w:tplc="04150001" w:tentative="1">
      <w:start w:val="1"/>
      <w:numFmt w:val="bullet"/>
      <w:lvlText w:val=""/>
      <w:lvlJc w:val="left"/>
      <w:pPr>
        <w:ind w:left="3390" w:hanging="360"/>
      </w:pPr>
      <w:rPr>
        <w:rFonts w:ascii="Symbol" w:hAnsi="Symbol" w:hint="default"/>
      </w:rPr>
    </w:lvl>
    <w:lvl w:ilvl="4" w:tplc="04150003" w:tentative="1">
      <w:start w:val="1"/>
      <w:numFmt w:val="bullet"/>
      <w:lvlText w:val="o"/>
      <w:lvlJc w:val="left"/>
      <w:pPr>
        <w:ind w:left="4110" w:hanging="360"/>
      </w:pPr>
      <w:rPr>
        <w:rFonts w:ascii="Courier New" w:hAnsi="Courier New" w:cs="Courier New" w:hint="default"/>
      </w:rPr>
    </w:lvl>
    <w:lvl w:ilvl="5" w:tplc="04150005" w:tentative="1">
      <w:start w:val="1"/>
      <w:numFmt w:val="bullet"/>
      <w:lvlText w:val=""/>
      <w:lvlJc w:val="left"/>
      <w:pPr>
        <w:ind w:left="4830" w:hanging="360"/>
      </w:pPr>
      <w:rPr>
        <w:rFonts w:ascii="Wingdings" w:hAnsi="Wingdings" w:hint="default"/>
      </w:rPr>
    </w:lvl>
    <w:lvl w:ilvl="6" w:tplc="04150001" w:tentative="1">
      <w:start w:val="1"/>
      <w:numFmt w:val="bullet"/>
      <w:lvlText w:val=""/>
      <w:lvlJc w:val="left"/>
      <w:pPr>
        <w:ind w:left="5550" w:hanging="360"/>
      </w:pPr>
      <w:rPr>
        <w:rFonts w:ascii="Symbol" w:hAnsi="Symbol" w:hint="default"/>
      </w:rPr>
    </w:lvl>
    <w:lvl w:ilvl="7" w:tplc="04150003" w:tentative="1">
      <w:start w:val="1"/>
      <w:numFmt w:val="bullet"/>
      <w:lvlText w:val="o"/>
      <w:lvlJc w:val="left"/>
      <w:pPr>
        <w:ind w:left="6270" w:hanging="360"/>
      </w:pPr>
      <w:rPr>
        <w:rFonts w:ascii="Courier New" w:hAnsi="Courier New" w:cs="Courier New" w:hint="default"/>
      </w:rPr>
    </w:lvl>
    <w:lvl w:ilvl="8" w:tplc="04150005" w:tentative="1">
      <w:start w:val="1"/>
      <w:numFmt w:val="bullet"/>
      <w:lvlText w:val=""/>
      <w:lvlJc w:val="left"/>
      <w:pPr>
        <w:ind w:left="6990" w:hanging="360"/>
      </w:pPr>
      <w:rPr>
        <w:rFonts w:ascii="Wingdings" w:hAnsi="Wingdings" w:hint="default"/>
      </w:rPr>
    </w:lvl>
  </w:abstractNum>
  <w:abstractNum w:abstractNumId="38" w15:restartNumberingAfterBreak="0">
    <w:nsid w:val="7C3F4AF6"/>
    <w:multiLevelType w:val="hybridMultilevel"/>
    <w:tmpl w:val="3D9CE23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29"/>
  </w:num>
  <w:num w:numId="2">
    <w:abstractNumId w:val="15"/>
  </w:num>
  <w:num w:numId="3">
    <w:abstractNumId w:val="5"/>
  </w:num>
  <w:num w:numId="4">
    <w:abstractNumId w:val="17"/>
  </w:num>
  <w:num w:numId="5">
    <w:abstractNumId w:val="19"/>
  </w:num>
  <w:num w:numId="6">
    <w:abstractNumId w:val="28"/>
  </w:num>
  <w:num w:numId="7">
    <w:abstractNumId w:val="10"/>
  </w:num>
  <w:num w:numId="8">
    <w:abstractNumId w:val="37"/>
  </w:num>
  <w:num w:numId="9">
    <w:abstractNumId w:val="23"/>
  </w:num>
  <w:num w:numId="10">
    <w:abstractNumId w:val="14"/>
  </w:num>
  <w:num w:numId="11">
    <w:abstractNumId w:val="35"/>
  </w:num>
  <w:num w:numId="12">
    <w:abstractNumId w:val="26"/>
  </w:num>
  <w:num w:numId="13">
    <w:abstractNumId w:val="36"/>
  </w:num>
  <w:num w:numId="14">
    <w:abstractNumId w:val="22"/>
  </w:num>
  <w:num w:numId="15">
    <w:abstractNumId w:val="3"/>
  </w:num>
  <w:num w:numId="16">
    <w:abstractNumId w:val="21"/>
  </w:num>
  <w:num w:numId="17">
    <w:abstractNumId w:val="32"/>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num>
  <w:num w:numId="2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lvlOverride w:ilvl="0">
      <w:startOverride w:val="1"/>
    </w:lvlOverride>
    <w:lvlOverride w:ilvl="1"/>
    <w:lvlOverride w:ilvl="2"/>
    <w:lvlOverride w:ilvl="3"/>
    <w:lvlOverride w:ilvl="4"/>
    <w:lvlOverride w:ilvl="5"/>
    <w:lvlOverride w:ilvl="6"/>
    <w:lvlOverride w:ilvl="7"/>
    <w:lvlOverride w:ilvl="8"/>
  </w:num>
  <w:num w:numId="3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num>
  <w:num w:numId="38">
    <w:abstractNumId w:val="2"/>
  </w:num>
  <w:num w:numId="39">
    <w:abstractNumId w:val="27"/>
  </w:num>
  <w:num w:numId="40">
    <w:abstractNumId w:val="7"/>
  </w:num>
  <w:num w:numId="41">
    <w:abstractNumId w:val="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removePersonalInformation/>
  <w:removeDateAndTime/>
  <w:proofState w:spelling="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formatting="1" w:enforcement="0"/>
  <w:styleLockTheme/>
  <w:styleLockQFSet/>
  <w:defaultTabStop w:val="170"/>
  <w:hyphenationZone w:val="425"/>
  <w:drawingGridHorizontalSpacing w:val="187"/>
  <w:displayHorizontalDrawingGridEvery w:val="0"/>
  <w:displayVerticalDrawingGridEvery w:val="0"/>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237"/>
    <w:rsid w:val="000012DA"/>
    <w:rsid w:val="00001E0A"/>
    <w:rsid w:val="0000246E"/>
    <w:rsid w:val="00003862"/>
    <w:rsid w:val="00006371"/>
    <w:rsid w:val="0000698B"/>
    <w:rsid w:val="000115E9"/>
    <w:rsid w:val="00011669"/>
    <w:rsid w:val="00012A35"/>
    <w:rsid w:val="00016099"/>
    <w:rsid w:val="00017DC2"/>
    <w:rsid w:val="00021522"/>
    <w:rsid w:val="00023471"/>
    <w:rsid w:val="00023F13"/>
    <w:rsid w:val="000301BF"/>
    <w:rsid w:val="00030634"/>
    <w:rsid w:val="000319C1"/>
    <w:rsid w:val="00031A8B"/>
    <w:rsid w:val="00031BCA"/>
    <w:rsid w:val="000330FA"/>
    <w:rsid w:val="0003362F"/>
    <w:rsid w:val="0003692F"/>
    <w:rsid w:val="00036B63"/>
    <w:rsid w:val="00037E1A"/>
    <w:rsid w:val="00040B3E"/>
    <w:rsid w:val="0004108F"/>
    <w:rsid w:val="00041B39"/>
    <w:rsid w:val="00043495"/>
    <w:rsid w:val="00043A20"/>
    <w:rsid w:val="00046A75"/>
    <w:rsid w:val="00047312"/>
    <w:rsid w:val="00047CFA"/>
    <w:rsid w:val="000508BD"/>
    <w:rsid w:val="000517AB"/>
    <w:rsid w:val="0005339C"/>
    <w:rsid w:val="000540CD"/>
    <w:rsid w:val="0005571B"/>
    <w:rsid w:val="00055C0C"/>
    <w:rsid w:val="00057AB3"/>
    <w:rsid w:val="00060076"/>
    <w:rsid w:val="000600F8"/>
    <w:rsid w:val="00060432"/>
    <w:rsid w:val="00060D87"/>
    <w:rsid w:val="000615A5"/>
    <w:rsid w:val="00064E4C"/>
    <w:rsid w:val="00066901"/>
    <w:rsid w:val="00071BEE"/>
    <w:rsid w:val="000736CD"/>
    <w:rsid w:val="00074635"/>
    <w:rsid w:val="0007533B"/>
    <w:rsid w:val="0007545D"/>
    <w:rsid w:val="000760BF"/>
    <w:rsid w:val="0007613E"/>
    <w:rsid w:val="00076BFC"/>
    <w:rsid w:val="00076CE7"/>
    <w:rsid w:val="000814A7"/>
    <w:rsid w:val="00083932"/>
    <w:rsid w:val="00084AFD"/>
    <w:rsid w:val="0008557B"/>
    <w:rsid w:val="00085CE7"/>
    <w:rsid w:val="0008616B"/>
    <w:rsid w:val="000868BB"/>
    <w:rsid w:val="00087B77"/>
    <w:rsid w:val="000906EE"/>
    <w:rsid w:val="00091BA2"/>
    <w:rsid w:val="0009258D"/>
    <w:rsid w:val="000944EF"/>
    <w:rsid w:val="000948A6"/>
    <w:rsid w:val="000955F5"/>
    <w:rsid w:val="0009732D"/>
    <w:rsid w:val="000973F0"/>
    <w:rsid w:val="000A0C79"/>
    <w:rsid w:val="000A1296"/>
    <w:rsid w:val="000A1C27"/>
    <w:rsid w:val="000A1DAD"/>
    <w:rsid w:val="000A2649"/>
    <w:rsid w:val="000A2F1C"/>
    <w:rsid w:val="000A323B"/>
    <w:rsid w:val="000A3627"/>
    <w:rsid w:val="000A3BC7"/>
    <w:rsid w:val="000A5943"/>
    <w:rsid w:val="000A6D3B"/>
    <w:rsid w:val="000B1C2F"/>
    <w:rsid w:val="000B2552"/>
    <w:rsid w:val="000B298D"/>
    <w:rsid w:val="000B5ADE"/>
    <w:rsid w:val="000B5B2D"/>
    <w:rsid w:val="000B5DCE"/>
    <w:rsid w:val="000B70E0"/>
    <w:rsid w:val="000C05BA"/>
    <w:rsid w:val="000C0E8F"/>
    <w:rsid w:val="000C278B"/>
    <w:rsid w:val="000C40AC"/>
    <w:rsid w:val="000C4BC4"/>
    <w:rsid w:val="000C78A2"/>
    <w:rsid w:val="000C7F69"/>
    <w:rsid w:val="000D0110"/>
    <w:rsid w:val="000D16A3"/>
    <w:rsid w:val="000D1C3B"/>
    <w:rsid w:val="000D1F1E"/>
    <w:rsid w:val="000D2468"/>
    <w:rsid w:val="000D318A"/>
    <w:rsid w:val="000D3252"/>
    <w:rsid w:val="000D6173"/>
    <w:rsid w:val="000D6F83"/>
    <w:rsid w:val="000D7C79"/>
    <w:rsid w:val="000E065A"/>
    <w:rsid w:val="000E25CC"/>
    <w:rsid w:val="000E286F"/>
    <w:rsid w:val="000E2D6B"/>
    <w:rsid w:val="000E3694"/>
    <w:rsid w:val="000E490F"/>
    <w:rsid w:val="000E4AFE"/>
    <w:rsid w:val="000E6241"/>
    <w:rsid w:val="000F2BE3"/>
    <w:rsid w:val="000F3D0D"/>
    <w:rsid w:val="000F6ED4"/>
    <w:rsid w:val="000F7A6E"/>
    <w:rsid w:val="001007F4"/>
    <w:rsid w:val="001035A3"/>
    <w:rsid w:val="001042BA"/>
    <w:rsid w:val="00105E82"/>
    <w:rsid w:val="00106D03"/>
    <w:rsid w:val="00110465"/>
    <w:rsid w:val="00110628"/>
    <w:rsid w:val="0011245A"/>
    <w:rsid w:val="0011493E"/>
    <w:rsid w:val="00114CE5"/>
    <w:rsid w:val="00115B72"/>
    <w:rsid w:val="001200AD"/>
    <w:rsid w:val="001209EC"/>
    <w:rsid w:val="00120A9E"/>
    <w:rsid w:val="001236E5"/>
    <w:rsid w:val="00123736"/>
    <w:rsid w:val="001257F2"/>
    <w:rsid w:val="00125A9C"/>
    <w:rsid w:val="001270A2"/>
    <w:rsid w:val="001301B4"/>
    <w:rsid w:val="00131237"/>
    <w:rsid w:val="001329AC"/>
    <w:rsid w:val="00134CA0"/>
    <w:rsid w:val="0014026F"/>
    <w:rsid w:val="00146F61"/>
    <w:rsid w:val="00147A47"/>
    <w:rsid w:val="00147AA1"/>
    <w:rsid w:val="00151E4C"/>
    <w:rsid w:val="001520CF"/>
    <w:rsid w:val="001561C9"/>
    <w:rsid w:val="0015667C"/>
    <w:rsid w:val="00157110"/>
    <w:rsid w:val="0015742A"/>
    <w:rsid w:val="00157DA1"/>
    <w:rsid w:val="00163147"/>
    <w:rsid w:val="00164C57"/>
    <w:rsid w:val="00164C9D"/>
    <w:rsid w:val="00172F7A"/>
    <w:rsid w:val="00173150"/>
    <w:rsid w:val="00173390"/>
    <w:rsid w:val="001736F0"/>
    <w:rsid w:val="00173BB3"/>
    <w:rsid w:val="001740D0"/>
    <w:rsid w:val="00174F2C"/>
    <w:rsid w:val="0017728F"/>
    <w:rsid w:val="00177A3C"/>
    <w:rsid w:val="00180897"/>
    <w:rsid w:val="00180F2A"/>
    <w:rsid w:val="00184701"/>
    <w:rsid w:val="00184B91"/>
    <w:rsid w:val="00184D4A"/>
    <w:rsid w:val="00186EC1"/>
    <w:rsid w:val="00191E1F"/>
    <w:rsid w:val="0019473B"/>
    <w:rsid w:val="001952B1"/>
    <w:rsid w:val="00196E39"/>
    <w:rsid w:val="00197649"/>
    <w:rsid w:val="001A01FB"/>
    <w:rsid w:val="001A10E9"/>
    <w:rsid w:val="001A12D1"/>
    <w:rsid w:val="001A183D"/>
    <w:rsid w:val="001A2B65"/>
    <w:rsid w:val="001A3CD3"/>
    <w:rsid w:val="001A5BEF"/>
    <w:rsid w:val="001A7F15"/>
    <w:rsid w:val="001B3063"/>
    <w:rsid w:val="001B342E"/>
    <w:rsid w:val="001B44A9"/>
    <w:rsid w:val="001B5305"/>
    <w:rsid w:val="001C1832"/>
    <w:rsid w:val="001C188C"/>
    <w:rsid w:val="001C4FBE"/>
    <w:rsid w:val="001D1783"/>
    <w:rsid w:val="001D53CD"/>
    <w:rsid w:val="001D55A3"/>
    <w:rsid w:val="001D5AF5"/>
    <w:rsid w:val="001D6D07"/>
    <w:rsid w:val="001E1E73"/>
    <w:rsid w:val="001E4E0C"/>
    <w:rsid w:val="001E526D"/>
    <w:rsid w:val="001E5655"/>
    <w:rsid w:val="001E5D6A"/>
    <w:rsid w:val="001F1832"/>
    <w:rsid w:val="001F220F"/>
    <w:rsid w:val="001F25B3"/>
    <w:rsid w:val="001F29F6"/>
    <w:rsid w:val="001F5043"/>
    <w:rsid w:val="001F5462"/>
    <w:rsid w:val="001F6616"/>
    <w:rsid w:val="00202BD4"/>
    <w:rsid w:val="002049EE"/>
    <w:rsid w:val="00204A97"/>
    <w:rsid w:val="002114EF"/>
    <w:rsid w:val="002166AD"/>
    <w:rsid w:val="00217871"/>
    <w:rsid w:val="002213B1"/>
    <w:rsid w:val="00221ED8"/>
    <w:rsid w:val="002231EA"/>
    <w:rsid w:val="00223FDF"/>
    <w:rsid w:val="002279C0"/>
    <w:rsid w:val="0023727E"/>
    <w:rsid w:val="00242081"/>
    <w:rsid w:val="00242856"/>
    <w:rsid w:val="0024352A"/>
    <w:rsid w:val="00243777"/>
    <w:rsid w:val="002441CD"/>
    <w:rsid w:val="002501A3"/>
    <w:rsid w:val="00251439"/>
    <w:rsid w:val="0025166C"/>
    <w:rsid w:val="002517E3"/>
    <w:rsid w:val="002529AC"/>
    <w:rsid w:val="00253138"/>
    <w:rsid w:val="002550E9"/>
    <w:rsid w:val="002555D4"/>
    <w:rsid w:val="00256C94"/>
    <w:rsid w:val="002579E4"/>
    <w:rsid w:val="002610E6"/>
    <w:rsid w:val="002617C2"/>
    <w:rsid w:val="00261A16"/>
    <w:rsid w:val="00262954"/>
    <w:rsid w:val="00263522"/>
    <w:rsid w:val="00264EC6"/>
    <w:rsid w:val="002653E3"/>
    <w:rsid w:val="002668C4"/>
    <w:rsid w:val="00271013"/>
    <w:rsid w:val="00273FE4"/>
    <w:rsid w:val="00274359"/>
    <w:rsid w:val="002765B4"/>
    <w:rsid w:val="00276A94"/>
    <w:rsid w:val="002803CF"/>
    <w:rsid w:val="00283607"/>
    <w:rsid w:val="00287E65"/>
    <w:rsid w:val="00291E53"/>
    <w:rsid w:val="0029405D"/>
    <w:rsid w:val="00294737"/>
    <w:rsid w:val="00294FA6"/>
    <w:rsid w:val="00295A6F"/>
    <w:rsid w:val="002960A3"/>
    <w:rsid w:val="00297C4A"/>
    <w:rsid w:val="002A20C4"/>
    <w:rsid w:val="002A4C12"/>
    <w:rsid w:val="002A570F"/>
    <w:rsid w:val="002A7292"/>
    <w:rsid w:val="002A7358"/>
    <w:rsid w:val="002A7902"/>
    <w:rsid w:val="002B0F6B"/>
    <w:rsid w:val="002B147C"/>
    <w:rsid w:val="002B23B8"/>
    <w:rsid w:val="002B4429"/>
    <w:rsid w:val="002B68A6"/>
    <w:rsid w:val="002B770F"/>
    <w:rsid w:val="002B7FAF"/>
    <w:rsid w:val="002C0C0F"/>
    <w:rsid w:val="002D0C4F"/>
    <w:rsid w:val="002D1364"/>
    <w:rsid w:val="002D4237"/>
    <w:rsid w:val="002D4D30"/>
    <w:rsid w:val="002D5000"/>
    <w:rsid w:val="002D598D"/>
    <w:rsid w:val="002D7188"/>
    <w:rsid w:val="002E1DE3"/>
    <w:rsid w:val="002E2AB6"/>
    <w:rsid w:val="002E2E7A"/>
    <w:rsid w:val="002E3F34"/>
    <w:rsid w:val="002E5AA8"/>
    <w:rsid w:val="002E5F79"/>
    <w:rsid w:val="002E64FA"/>
    <w:rsid w:val="002E722F"/>
    <w:rsid w:val="002F0A00"/>
    <w:rsid w:val="002F0B33"/>
    <w:rsid w:val="002F0CFA"/>
    <w:rsid w:val="002F19EA"/>
    <w:rsid w:val="002F5254"/>
    <w:rsid w:val="002F669F"/>
    <w:rsid w:val="00301C97"/>
    <w:rsid w:val="0031004C"/>
    <w:rsid w:val="003105F6"/>
    <w:rsid w:val="00311297"/>
    <w:rsid w:val="003113BE"/>
    <w:rsid w:val="003122CA"/>
    <w:rsid w:val="003148FD"/>
    <w:rsid w:val="00314B2C"/>
    <w:rsid w:val="0031550D"/>
    <w:rsid w:val="00315CA5"/>
    <w:rsid w:val="00317F4D"/>
    <w:rsid w:val="003203A8"/>
    <w:rsid w:val="00321080"/>
    <w:rsid w:val="00322D45"/>
    <w:rsid w:val="0032569A"/>
    <w:rsid w:val="00325A1F"/>
    <w:rsid w:val="003268F9"/>
    <w:rsid w:val="00326A1E"/>
    <w:rsid w:val="00330BAF"/>
    <w:rsid w:val="0033276D"/>
    <w:rsid w:val="00334E3A"/>
    <w:rsid w:val="003361DD"/>
    <w:rsid w:val="00341A6A"/>
    <w:rsid w:val="00341DE6"/>
    <w:rsid w:val="00345B9C"/>
    <w:rsid w:val="003462C5"/>
    <w:rsid w:val="00351FA7"/>
    <w:rsid w:val="00352DAE"/>
    <w:rsid w:val="00354EB9"/>
    <w:rsid w:val="0035610E"/>
    <w:rsid w:val="003602AE"/>
    <w:rsid w:val="0036044B"/>
    <w:rsid w:val="00360929"/>
    <w:rsid w:val="003641FA"/>
    <w:rsid w:val="003647D5"/>
    <w:rsid w:val="00367361"/>
    <w:rsid w:val="003674B0"/>
    <w:rsid w:val="0037145C"/>
    <w:rsid w:val="003726F4"/>
    <w:rsid w:val="003739F7"/>
    <w:rsid w:val="0037727C"/>
    <w:rsid w:val="00377E70"/>
    <w:rsid w:val="00380904"/>
    <w:rsid w:val="003823EE"/>
    <w:rsid w:val="00382960"/>
    <w:rsid w:val="00383561"/>
    <w:rsid w:val="00383581"/>
    <w:rsid w:val="00384373"/>
    <w:rsid w:val="003846F7"/>
    <w:rsid w:val="003851ED"/>
    <w:rsid w:val="003855F2"/>
    <w:rsid w:val="00385905"/>
    <w:rsid w:val="00385B39"/>
    <w:rsid w:val="00386785"/>
    <w:rsid w:val="0039034E"/>
    <w:rsid w:val="00390E89"/>
    <w:rsid w:val="00391B1A"/>
    <w:rsid w:val="00393FB0"/>
    <w:rsid w:val="00394423"/>
    <w:rsid w:val="00396942"/>
    <w:rsid w:val="00396B49"/>
    <w:rsid w:val="00396E3E"/>
    <w:rsid w:val="003A02AA"/>
    <w:rsid w:val="003A306E"/>
    <w:rsid w:val="003A60DC"/>
    <w:rsid w:val="003A6A46"/>
    <w:rsid w:val="003A6A69"/>
    <w:rsid w:val="003A7A63"/>
    <w:rsid w:val="003B000C"/>
    <w:rsid w:val="003B0F1D"/>
    <w:rsid w:val="003B2D6F"/>
    <w:rsid w:val="003B2F10"/>
    <w:rsid w:val="003B4A57"/>
    <w:rsid w:val="003B7462"/>
    <w:rsid w:val="003C0AD9"/>
    <w:rsid w:val="003C0ED0"/>
    <w:rsid w:val="003C1D49"/>
    <w:rsid w:val="003C1E92"/>
    <w:rsid w:val="003C35C4"/>
    <w:rsid w:val="003C36C3"/>
    <w:rsid w:val="003C5721"/>
    <w:rsid w:val="003C6EA9"/>
    <w:rsid w:val="003D12C2"/>
    <w:rsid w:val="003D1367"/>
    <w:rsid w:val="003D182B"/>
    <w:rsid w:val="003D31B9"/>
    <w:rsid w:val="003D3867"/>
    <w:rsid w:val="003D6E3C"/>
    <w:rsid w:val="003D7665"/>
    <w:rsid w:val="003E0D1A"/>
    <w:rsid w:val="003E2DA3"/>
    <w:rsid w:val="003E47DA"/>
    <w:rsid w:val="003F020D"/>
    <w:rsid w:val="003F03D9"/>
    <w:rsid w:val="003F161D"/>
    <w:rsid w:val="003F2DD9"/>
    <w:rsid w:val="003F2FBE"/>
    <w:rsid w:val="003F318D"/>
    <w:rsid w:val="003F4981"/>
    <w:rsid w:val="003F4B26"/>
    <w:rsid w:val="003F5BAE"/>
    <w:rsid w:val="003F6ED7"/>
    <w:rsid w:val="00401C84"/>
    <w:rsid w:val="00402AE2"/>
    <w:rsid w:val="00403210"/>
    <w:rsid w:val="004035BB"/>
    <w:rsid w:val="004035EB"/>
    <w:rsid w:val="00406C9B"/>
    <w:rsid w:val="00407332"/>
    <w:rsid w:val="00407828"/>
    <w:rsid w:val="00407ED7"/>
    <w:rsid w:val="00410000"/>
    <w:rsid w:val="00413D8E"/>
    <w:rsid w:val="004140F2"/>
    <w:rsid w:val="00417B22"/>
    <w:rsid w:val="00421085"/>
    <w:rsid w:val="00421931"/>
    <w:rsid w:val="00421E4D"/>
    <w:rsid w:val="0042465E"/>
    <w:rsid w:val="00424DF7"/>
    <w:rsid w:val="004258BD"/>
    <w:rsid w:val="0042722C"/>
    <w:rsid w:val="004310CD"/>
    <w:rsid w:val="00432B76"/>
    <w:rsid w:val="00434D01"/>
    <w:rsid w:val="00435D26"/>
    <w:rsid w:val="00440C99"/>
    <w:rsid w:val="0044175C"/>
    <w:rsid w:val="0044213A"/>
    <w:rsid w:val="00443315"/>
    <w:rsid w:val="00445F4D"/>
    <w:rsid w:val="0045019C"/>
    <w:rsid w:val="004504C0"/>
    <w:rsid w:val="00451CD1"/>
    <w:rsid w:val="00452F04"/>
    <w:rsid w:val="004537AF"/>
    <w:rsid w:val="004545EA"/>
    <w:rsid w:val="004550FB"/>
    <w:rsid w:val="004608A6"/>
    <w:rsid w:val="00460A1D"/>
    <w:rsid w:val="0046111A"/>
    <w:rsid w:val="00462946"/>
    <w:rsid w:val="00463F43"/>
    <w:rsid w:val="00464B94"/>
    <w:rsid w:val="004653A8"/>
    <w:rsid w:val="00465A0B"/>
    <w:rsid w:val="0047077C"/>
    <w:rsid w:val="00470B05"/>
    <w:rsid w:val="0047207C"/>
    <w:rsid w:val="004729DA"/>
    <w:rsid w:val="00472CD6"/>
    <w:rsid w:val="0047478B"/>
    <w:rsid w:val="00474E3C"/>
    <w:rsid w:val="00475F07"/>
    <w:rsid w:val="00480A58"/>
    <w:rsid w:val="00482151"/>
    <w:rsid w:val="00482677"/>
    <w:rsid w:val="00485FAD"/>
    <w:rsid w:val="00486978"/>
    <w:rsid w:val="00487AED"/>
    <w:rsid w:val="00491EDF"/>
    <w:rsid w:val="00492A3F"/>
    <w:rsid w:val="00494F62"/>
    <w:rsid w:val="004A2001"/>
    <w:rsid w:val="004A3590"/>
    <w:rsid w:val="004A6DEC"/>
    <w:rsid w:val="004A6F91"/>
    <w:rsid w:val="004A7632"/>
    <w:rsid w:val="004B00A7"/>
    <w:rsid w:val="004B2269"/>
    <w:rsid w:val="004B25E2"/>
    <w:rsid w:val="004B34D7"/>
    <w:rsid w:val="004B4FC2"/>
    <w:rsid w:val="004B5037"/>
    <w:rsid w:val="004B5B2F"/>
    <w:rsid w:val="004B626A"/>
    <w:rsid w:val="004B660E"/>
    <w:rsid w:val="004C05BD"/>
    <w:rsid w:val="004C3B06"/>
    <w:rsid w:val="004C3F97"/>
    <w:rsid w:val="004C4931"/>
    <w:rsid w:val="004C4F82"/>
    <w:rsid w:val="004C5AF8"/>
    <w:rsid w:val="004C5C07"/>
    <w:rsid w:val="004C5FE6"/>
    <w:rsid w:val="004C6FCB"/>
    <w:rsid w:val="004C7D88"/>
    <w:rsid w:val="004C7EE7"/>
    <w:rsid w:val="004D0A8A"/>
    <w:rsid w:val="004D0B5C"/>
    <w:rsid w:val="004D2DEE"/>
    <w:rsid w:val="004D2E1F"/>
    <w:rsid w:val="004D7131"/>
    <w:rsid w:val="004D7E83"/>
    <w:rsid w:val="004D7FD9"/>
    <w:rsid w:val="004E1324"/>
    <w:rsid w:val="004E19A5"/>
    <w:rsid w:val="004E37E5"/>
    <w:rsid w:val="004E3FDB"/>
    <w:rsid w:val="004F1F4A"/>
    <w:rsid w:val="004F296D"/>
    <w:rsid w:val="004F508B"/>
    <w:rsid w:val="004F695F"/>
    <w:rsid w:val="004F6CA4"/>
    <w:rsid w:val="00500752"/>
    <w:rsid w:val="00501443"/>
    <w:rsid w:val="00501A50"/>
    <w:rsid w:val="0050222D"/>
    <w:rsid w:val="00503AF3"/>
    <w:rsid w:val="0050696D"/>
    <w:rsid w:val="0051094B"/>
    <w:rsid w:val="005110D7"/>
    <w:rsid w:val="00511D99"/>
    <w:rsid w:val="00512184"/>
    <w:rsid w:val="005128D3"/>
    <w:rsid w:val="00514401"/>
    <w:rsid w:val="005147E8"/>
    <w:rsid w:val="005158F2"/>
    <w:rsid w:val="00517D29"/>
    <w:rsid w:val="00523F3A"/>
    <w:rsid w:val="00526DFC"/>
    <w:rsid w:val="00526F43"/>
    <w:rsid w:val="00527651"/>
    <w:rsid w:val="00532C7C"/>
    <w:rsid w:val="005363AB"/>
    <w:rsid w:val="0054070B"/>
    <w:rsid w:val="00540F6F"/>
    <w:rsid w:val="00542AB5"/>
    <w:rsid w:val="00544EF4"/>
    <w:rsid w:val="00545E53"/>
    <w:rsid w:val="005479D9"/>
    <w:rsid w:val="005515F5"/>
    <w:rsid w:val="005554A6"/>
    <w:rsid w:val="005563C8"/>
    <w:rsid w:val="005572BD"/>
    <w:rsid w:val="00557A12"/>
    <w:rsid w:val="00560AC7"/>
    <w:rsid w:val="00561AFB"/>
    <w:rsid w:val="00561FA8"/>
    <w:rsid w:val="005629DF"/>
    <w:rsid w:val="00562E0E"/>
    <w:rsid w:val="005635ED"/>
    <w:rsid w:val="00565253"/>
    <w:rsid w:val="00570037"/>
    <w:rsid w:val="00570191"/>
    <w:rsid w:val="00570570"/>
    <w:rsid w:val="00572512"/>
    <w:rsid w:val="00573EE6"/>
    <w:rsid w:val="0057547F"/>
    <w:rsid w:val="005754EE"/>
    <w:rsid w:val="00575DE5"/>
    <w:rsid w:val="0057617E"/>
    <w:rsid w:val="00576497"/>
    <w:rsid w:val="005835E7"/>
    <w:rsid w:val="0058397F"/>
    <w:rsid w:val="00583BF8"/>
    <w:rsid w:val="00585F33"/>
    <w:rsid w:val="00591124"/>
    <w:rsid w:val="00597024"/>
    <w:rsid w:val="00597318"/>
    <w:rsid w:val="00597D60"/>
    <w:rsid w:val="005A0274"/>
    <w:rsid w:val="005A0312"/>
    <w:rsid w:val="005A095C"/>
    <w:rsid w:val="005A35E9"/>
    <w:rsid w:val="005A4812"/>
    <w:rsid w:val="005A669D"/>
    <w:rsid w:val="005A75D8"/>
    <w:rsid w:val="005B1A8F"/>
    <w:rsid w:val="005B5F34"/>
    <w:rsid w:val="005B653A"/>
    <w:rsid w:val="005B713E"/>
    <w:rsid w:val="005B796C"/>
    <w:rsid w:val="005C03B6"/>
    <w:rsid w:val="005C348E"/>
    <w:rsid w:val="005C48E8"/>
    <w:rsid w:val="005C68E1"/>
    <w:rsid w:val="005D3763"/>
    <w:rsid w:val="005D3A3D"/>
    <w:rsid w:val="005D55E1"/>
    <w:rsid w:val="005D6E07"/>
    <w:rsid w:val="005E19F7"/>
    <w:rsid w:val="005E26EA"/>
    <w:rsid w:val="005E4F04"/>
    <w:rsid w:val="005E62C2"/>
    <w:rsid w:val="005E6C71"/>
    <w:rsid w:val="005F0963"/>
    <w:rsid w:val="005F2824"/>
    <w:rsid w:val="005F2EBA"/>
    <w:rsid w:val="005F2F1C"/>
    <w:rsid w:val="005F35ED"/>
    <w:rsid w:val="005F43FA"/>
    <w:rsid w:val="005F7812"/>
    <w:rsid w:val="005F7A88"/>
    <w:rsid w:val="00601B59"/>
    <w:rsid w:val="00603A1A"/>
    <w:rsid w:val="0060435B"/>
    <w:rsid w:val="006046D5"/>
    <w:rsid w:val="00605EF9"/>
    <w:rsid w:val="00607A93"/>
    <w:rsid w:val="00610C08"/>
    <w:rsid w:val="00611F74"/>
    <w:rsid w:val="00614AD1"/>
    <w:rsid w:val="00615772"/>
    <w:rsid w:val="00617639"/>
    <w:rsid w:val="00620442"/>
    <w:rsid w:val="00621256"/>
    <w:rsid w:val="00621FCC"/>
    <w:rsid w:val="00622E4B"/>
    <w:rsid w:val="00632F75"/>
    <w:rsid w:val="006333DA"/>
    <w:rsid w:val="00635134"/>
    <w:rsid w:val="006354E1"/>
    <w:rsid w:val="006356E2"/>
    <w:rsid w:val="00636859"/>
    <w:rsid w:val="006376E2"/>
    <w:rsid w:val="00641A5C"/>
    <w:rsid w:val="00642A65"/>
    <w:rsid w:val="00645955"/>
    <w:rsid w:val="00645DCE"/>
    <w:rsid w:val="006465AC"/>
    <w:rsid w:val="006465BF"/>
    <w:rsid w:val="0065109D"/>
    <w:rsid w:val="00653B22"/>
    <w:rsid w:val="00654783"/>
    <w:rsid w:val="00657BF4"/>
    <w:rsid w:val="006603FB"/>
    <w:rsid w:val="006608DF"/>
    <w:rsid w:val="00661FA9"/>
    <w:rsid w:val="006623AC"/>
    <w:rsid w:val="006675FB"/>
    <w:rsid w:val="006678AF"/>
    <w:rsid w:val="006701EF"/>
    <w:rsid w:val="0067354F"/>
    <w:rsid w:val="00673BA5"/>
    <w:rsid w:val="00674921"/>
    <w:rsid w:val="0067591D"/>
    <w:rsid w:val="00680058"/>
    <w:rsid w:val="00681F9F"/>
    <w:rsid w:val="006837B0"/>
    <w:rsid w:val="006840EA"/>
    <w:rsid w:val="006844E2"/>
    <w:rsid w:val="00685267"/>
    <w:rsid w:val="006855B8"/>
    <w:rsid w:val="00685AC1"/>
    <w:rsid w:val="006872AE"/>
    <w:rsid w:val="00690082"/>
    <w:rsid w:val="00690252"/>
    <w:rsid w:val="006946BB"/>
    <w:rsid w:val="0069640F"/>
    <w:rsid w:val="006969FA"/>
    <w:rsid w:val="006A35D5"/>
    <w:rsid w:val="006A748A"/>
    <w:rsid w:val="006C2D25"/>
    <w:rsid w:val="006C419E"/>
    <w:rsid w:val="006C4A31"/>
    <w:rsid w:val="006C5AC2"/>
    <w:rsid w:val="006C6AFB"/>
    <w:rsid w:val="006D2735"/>
    <w:rsid w:val="006D365D"/>
    <w:rsid w:val="006D3E2C"/>
    <w:rsid w:val="006D45B2"/>
    <w:rsid w:val="006D597A"/>
    <w:rsid w:val="006E0FCC"/>
    <w:rsid w:val="006E1200"/>
    <w:rsid w:val="006E1E96"/>
    <w:rsid w:val="006E5E21"/>
    <w:rsid w:val="006F0050"/>
    <w:rsid w:val="006F184E"/>
    <w:rsid w:val="006F2648"/>
    <w:rsid w:val="006F2F10"/>
    <w:rsid w:val="006F475E"/>
    <w:rsid w:val="006F482B"/>
    <w:rsid w:val="006F51D1"/>
    <w:rsid w:val="006F5DB8"/>
    <w:rsid w:val="006F6311"/>
    <w:rsid w:val="00700EE9"/>
    <w:rsid w:val="00701952"/>
    <w:rsid w:val="00702556"/>
    <w:rsid w:val="0070277E"/>
    <w:rsid w:val="00703C00"/>
    <w:rsid w:val="00704156"/>
    <w:rsid w:val="00706381"/>
    <w:rsid w:val="007069FC"/>
    <w:rsid w:val="007070B0"/>
    <w:rsid w:val="00707FA5"/>
    <w:rsid w:val="00711221"/>
    <w:rsid w:val="00711739"/>
    <w:rsid w:val="00711FD1"/>
    <w:rsid w:val="00712675"/>
    <w:rsid w:val="00713808"/>
    <w:rsid w:val="00714825"/>
    <w:rsid w:val="007151B6"/>
    <w:rsid w:val="0071520D"/>
    <w:rsid w:val="00715EDB"/>
    <w:rsid w:val="007160D5"/>
    <w:rsid w:val="007163FB"/>
    <w:rsid w:val="00717C2E"/>
    <w:rsid w:val="007204FA"/>
    <w:rsid w:val="007213B3"/>
    <w:rsid w:val="00723BF3"/>
    <w:rsid w:val="0072457F"/>
    <w:rsid w:val="00725406"/>
    <w:rsid w:val="0072621B"/>
    <w:rsid w:val="00730555"/>
    <w:rsid w:val="007312CC"/>
    <w:rsid w:val="00731D3F"/>
    <w:rsid w:val="007335C9"/>
    <w:rsid w:val="00736A64"/>
    <w:rsid w:val="00737F6A"/>
    <w:rsid w:val="007410B6"/>
    <w:rsid w:val="00744C6F"/>
    <w:rsid w:val="007457F6"/>
    <w:rsid w:val="00745ABB"/>
    <w:rsid w:val="00746E38"/>
    <w:rsid w:val="00747CD5"/>
    <w:rsid w:val="00753B51"/>
    <w:rsid w:val="00754782"/>
    <w:rsid w:val="00756629"/>
    <w:rsid w:val="007575D2"/>
    <w:rsid w:val="00757B4F"/>
    <w:rsid w:val="00757B6A"/>
    <w:rsid w:val="007610E0"/>
    <w:rsid w:val="007621AA"/>
    <w:rsid w:val="007625DB"/>
    <w:rsid w:val="0076260A"/>
    <w:rsid w:val="00764A67"/>
    <w:rsid w:val="00765514"/>
    <w:rsid w:val="00767804"/>
    <w:rsid w:val="00770CE3"/>
    <w:rsid w:val="00770F6B"/>
    <w:rsid w:val="00771883"/>
    <w:rsid w:val="0077359D"/>
    <w:rsid w:val="00773D4B"/>
    <w:rsid w:val="00776DC2"/>
    <w:rsid w:val="00780122"/>
    <w:rsid w:val="0078214B"/>
    <w:rsid w:val="00783A85"/>
    <w:rsid w:val="0078498A"/>
    <w:rsid w:val="007878FE"/>
    <w:rsid w:val="00792128"/>
    <w:rsid w:val="00792207"/>
    <w:rsid w:val="007925F9"/>
    <w:rsid w:val="00792B64"/>
    <w:rsid w:val="00792E29"/>
    <w:rsid w:val="0079379A"/>
    <w:rsid w:val="00794953"/>
    <w:rsid w:val="007A0723"/>
    <w:rsid w:val="007A1F2F"/>
    <w:rsid w:val="007A2A5C"/>
    <w:rsid w:val="007A4970"/>
    <w:rsid w:val="007A5048"/>
    <w:rsid w:val="007A5150"/>
    <w:rsid w:val="007A5373"/>
    <w:rsid w:val="007A7698"/>
    <w:rsid w:val="007A789F"/>
    <w:rsid w:val="007B03CD"/>
    <w:rsid w:val="007B2FC8"/>
    <w:rsid w:val="007B5B86"/>
    <w:rsid w:val="007B75BC"/>
    <w:rsid w:val="007B7966"/>
    <w:rsid w:val="007C0BD6"/>
    <w:rsid w:val="007C3806"/>
    <w:rsid w:val="007C5B11"/>
    <w:rsid w:val="007C5BB7"/>
    <w:rsid w:val="007D07D5"/>
    <w:rsid w:val="007D1C64"/>
    <w:rsid w:val="007D2B90"/>
    <w:rsid w:val="007D32DD"/>
    <w:rsid w:val="007D6DCE"/>
    <w:rsid w:val="007D72C4"/>
    <w:rsid w:val="007E1EAF"/>
    <w:rsid w:val="007E2CB6"/>
    <w:rsid w:val="007E2CFE"/>
    <w:rsid w:val="007E47FB"/>
    <w:rsid w:val="007E4A3A"/>
    <w:rsid w:val="007E4DCB"/>
    <w:rsid w:val="007E59C9"/>
    <w:rsid w:val="007E5F2D"/>
    <w:rsid w:val="007F0072"/>
    <w:rsid w:val="007F1694"/>
    <w:rsid w:val="007F1C85"/>
    <w:rsid w:val="007F2EB6"/>
    <w:rsid w:val="007F54C3"/>
    <w:rsid w:val="00802949"/>
    <w:rsid w:val="0080301E"/>
    <w:rsid w:val="0080365F"/>
    <w:rsid w:val="00806997"/>
    <w:rsid w:val="008069EB"/>
    <w:rsid w:val="00806B3B"/>
    <w:rsid w:val="00811AAF"/>
    <w:rsid w:val="00812BE5"/>
    <w:rsid w:val="00817429"/>
    <w:rsid w:val="008174F1"/>
    <w:rsid w:val="00821514"/>
    <w:rsid w:val="00821E35"/>
    <w:rsid w:val="00822EAB"/>
    <w:rsid w:val="00824591"/>
    <w:rsid w:val="00824AED"/>
    <w:rsid w:val="00826F05"/>
    <w:rsid w:val="00827820"/>
    <w:rsid w:val="00831B8B"/>
    <w:rsid w:val="0083405D"/>
    <w:rsid w:val="008352D4"/>
    <w:rsid w:val="00836DB9"/>
    <w:rsid w:val="00837510"/>
    <w:rsid w:val="00837C67"/>
    <w:rsid w:val="008415B0"/>
    <w:rsid w:val="008417C0"/>
    <w:rsid w:val="00842028"/>
    <w:rsid w:val="008436B8"/>
    <w:rsid w:val="00844AA1"/>
    <w:rsid w:val="00845505"/>
    <w:rsid w:val="00845BD9"/>
    <w:rsid w:val="008460B6"/>
    <w:rsid w:val="008478C3"/>
    <w:rsid w:val="00850C9D"/>
    <w:rsid w:val="00852B59"/>
    <w:rsid w:val="00852F77"/>
    <w:rsid w:val="00856272"/>
    <w:rsid w:val="008563FF"/>
    <w:rsid w:val="0086018B"/>
    <w:rsid w:val="008611DD"/>
    <w:rsid w:val="008620DE"/>
    <w:rsid w:val="00864678"/>
    <w:rsid w:val="00866867"/>
    <w:rsid w:val="008711F2"/>
    <w:rsid w:val="00871612"/>
    <w:rsid w:val="00872257"/>
    <w:rsid w:val="00873504"/>
    <w:rsid w:val="008753E6"/>
    <w:rsid w:val="0087738C"/>
    <w:rsid w:val="008802AF"/>
    <w:rsid w:val="0088097B"/>
    <w:rsid w:val="00881926"/>
    <w:rsid w:val="00881B04"/>
    <w:rsid w:val="0088318F"/>
    <w:rsid w:val="0088331D"/>
    <w:rsid w:val="008852B0"/>
    <w:rsid w:val="00885AE7"/>
    <w:rsid w:val="0088665B"/>
    <w:rsid w:val="00886B60"/>
    <w:rsid w:val="00887889"/>
    <w:rsid w:val="00890429"/>
    <w:rsid w:val="00890F05"/>
    <w:rsid w:val="008920FF"/>
    <w:rsid w:val="008926E8"/>
    <w:rsid w:val="00893B11"/>
    <w:rsid w:val="00894F19"/>
    <w:rsid w:val="00895134"/>
    <w:rsid w:val="008968A3"/>
    <w:rsid w:val="00896A10"/>
    <w:rsid w:val="008971B5"/>
    <w:rsid w:val="00897E08"/>
    <w:rsid w:val="00897F5E"/>
    <w:rsid w:val="008A2602"/>
    <w:rsid w:val="008A32F6"/>
    <w:rsid w:val="008A5D26"/>
    <w:rsid w:val="008A6B13"/>
    <w:rsid w:val="008A6ECB"/>
    <w:rsid w:val="008B0BF9"/>
    <w:rsid w:val="008B2866"/>
    <w:rsid w:val="008B3859"/>
    <w:rsid w:val="008B3E38"/>
    <w:rsid w:val="008B436D"/>
    <w:rsid w:val="008B45AF"/>
    <w:rsid w:val="008B4E49"/>
    <w:rsid w:val="008B7712"/>
    <w:rsid w:val="008B7B26"/>
    <w:rsid w:val="008C3524"/>
    <w:rsid w:val="008C4061"/>
    <w:rsid w:val="008C4229"/>
    <w:rsid w:val="008C5BE0"/>
    <w:rsid w:val="008C5D99"/>
    <w:rsid w:val="008C7233"/>
    <w:rsid w:val="008D2434"/>
    <w:rsid w:val="008D2C95"/>
    <w:rsid w:val="008D368A"/>
    <w:rsid w:val="008E171D"/>
    <w:rsid w:val="008E2785"/>
    <w:rsid w:val="008E296A"/>
    <w:rsid w:val="008E3490"/>
    <w:rsid w:val="008E6C37"/>
    <w:rsid w:val="008E78A3"/>
    <w:rsid w:val="008E7A60"/>
    <w:rsid w:val="008F0654"/>
    <w:rsid w:val="008F06CB"/>
    <w:rsid w:val="008F2E83"/>
    <w:rsid w:val="008F612A"/>
    <w:rsid w:val="008F72D8"/>
    <w:rsid w:val="009014E5"/>
    <w:rsid w:val="0090293D"/>
    <w:rsid w:val="009034DE"/>
    <w:rsid w:val="00905396"/>
    <w:rsid w:val="0090605D"/>
    <w:rsid w:val="00906419"/>
    <w:rsid w:val="00912889"/>
    <w:rsid w:val="00913A42"/>
    <w:rsid w:val="00914167"/>
    <w:rsid w:val="009143DB"/>
    <w:rsid w:val="00915065"/>
    <w:rsid w:val="00915618"/>
    <w:rsid w:val="00917CE5"/>
    <w:rsid w:val="009217C0"/>
    <w:rsid w:val="009223B8"/>
    <w:rsid w:val="009229E4"/>
    <w:rsid w:val="00925241"/>
    <w:rsid w:val="00925CEC"/>
    <w:rsid w:val="00925F2F"/>
    <w:rsid w:val="00926A3F"/>
    <w:rsid w:val="00927587"/>
    <w:rsid w:val="0092794E"/>
    <w:rsid w:val="00930D30"/>
    <w:rsid w:val="00930F71"/>
    <w:rsid w:val="00932953"/>
    <w:rsid w:val="009332A2"/>
    <w:rsid w:val="009338B1"/>
    <w:rsid w:val="00937598"/>
    <w:rsid w:val="0093790B"/>
    <w:rsid w:val="0094266F"/>
    <w:rsid w:val="00942A93"/>
    <w:rsid w:val="00943751"/>
    <w:rsid w:val="00945514"/>
    <w:rsid w:val="00946DD0"/>
    <w:rsid w:val="009509E6"/>
    <w:rsid w:val="00951C1C"/>
    <w:rsid w:val="00952018"/>
    <w:rsid w:val="00952800"/>
    <w:rsid w:val="00952ADD"/>
    <w:rsid w:val="0095300D"/>
    <w:rsid w:val="00956812"/>
    <w:rsid w:val="00956FFA"/>
    <w:rsid w:val="0095719A"/>
    <w:rsid w:val="0096059A"/>
    <w:rsid w:val="009623E9"/>
    <w:rsid w:val="00963EEB"/>
    <w:rsid w:val="009642F6"/>
    <w:rsid w:val="009648BC"/>
    <w:rsid w:val="00964C2F"/>
    <w:rsid w:val="00965F88"/>
    <w:rsid w:val="00966FB5"/>
    <w:rsid w:val="00972AAA"/>
    <w:rsid w:val="009824CE"/>
    <w:rsid w:val="00982B9C"/>
    <w:rsid w:val="00982C84"/>
    <w:rsid w:val="00984E03"/>
    <w:rsid w:val="00987E85"/>
    <w:rsid w:val="00990DAE"/>
    <w:rsid w:val="00993C5A"/>
    <w:rsid w:val="009A0D12"/>
    <w:rsid w:val="009A1987"/>
    <w:rsid w:val="009A2BEE"/>
    <w:rsid w:val="009A4D93"/>
    <w:rsid w:val="009A5289"/>
    <w:rsid w:val="009A702B"/>
    <w:rsid w:val="009A7A53"/>
    <w:rsid w:val="009B0402"/>
    <w:rsid w:val="009B0B75"/>
    <w:rsid w:val="009B16DF"/>
    <w:rsid w:val="009B4CB2"/>
    <w:rsid w:val="009B6701"/>
    <w:rsid w:val="009B6EF7"/>
    <w:rsid w:val="009B7000"/>
    <w:rsid w:val="009B739C"/>
    <w:rsid w:val="009B775E"/>
    <w:rsid w:val="009B7EA2"/>
    <w:rsid w:val="009C04EC"/>
    <w:rsid w:val="009C1878"/>
    <w:rsid w:val="009C328C"/>
    <w:rsid w:val="009C4444"/>
    <w:rsid w:val="009C6BC8"/>
    <w:rsid w:val="009C79AD"/>
    <w:rsid w:val="009C7CA6"/>
    <w:rsid w:val="009C7DA2"/>
    <w:rsid w:val="009D1BBC"/>
    <w:rsid w:val="009D3316"/>
    <w:rsid w:val="009D55AA"/>
    <w:rsid w:val="009E1ADD"/>
    <w:rsid w:val="009E3E77"/>
    <w:rsid w:val="009E3FAB"/>
    <w:rsid w:val="009E5B3F"/>
    <w:rsid w:val="009E7D90"/>
    <w:rsid w:val="009F1AB0"/>
    <w:rsid w:val="009F29F0"/>
    <w:rsid w:val="009F501D"/>
    <w:rsid w:val="00A00A8B"/>
    <w:rsid w:val="00A02949"/>
    <w:rsid w:val="00A039D5"/>
    <w:rsid w:val="00A046AD"/>
    <w:rsid w:val="00A05EAC"/>
    <w:rsid w:val="00A079C1"/>
    <w:rsid w:val="00A1099C"/>
    <w:rsid w:val="00A10EF7"/>
    <w:rsid w:val="00A12520"/>
    <w:rsid w:val="00A130FD"/>
    <w:rsid w:val="00A13D6D"/>
    <w:rsid w:val="00A14769"/>
    <w:rsid w:val="00A16151"/>
    <w:rsid w:val="00A16EC6"/>
    <w:rsid w:val="00A17C06"/>
    <w:rsid w:val="00A2126E"/>
    <w:rsid w:val="00A21706"/>
    <w:rsid w:val="00A24FCC"/>
    <w:rsid w:val="00A26A90"/>
    <w:rsid w:val="00A26B27"/>
    <w:rsid w:val="00A2753F"/>
    <w:rsid w:val="00A2764F"/>
    <w:rsid w:val="00A30E4F"/>
    <w:rsid w:val="00A3199B"/>
    <w:rsid w:val="00A32253"/>
    <w:rsid w:val="00A3310E"/>
    <w:rsid w:val="00A333A0"/>
    <w:rsid w:val="00A35922"/>
    <w:rsid w:val="00A37E70"/>
    <w:rsid w:val="00A423B1"/>
    <w:rsid w:val="00A437E1"/>
    <w:rsid w:val="00A4685E"/>
    <w:rsid w:val="00A50CD4"/>
    <w:rsid w:val="00A51191"/>
    <w:rsid w:val="00A563F8"/>
    <w:rsid w:val="00A56D62"/>
    <w:rsid w:val="00A56F07"/>
    <w:rsid w:val="00A5762C"/>
    <w:rsid w:val="00A600FC"/>
    <w:rsid w:val="00A60BCA"/>
    <w:rsid w:val="00A6250E"/>
    <w:rsid w:val="00A638DA"/>
    <w:rsid w:val="00A65B41"/>
    <w:rsid w:val="00A65E00"/>
    <w:rsid w:val="00A66A78"/>
    <w:rsid w:val="00A66C49"/>
    <w:rsid w:val="00A67E7A"/>
    <w:rsid w:val="00A7436E"/>
    <w:rsid w:val="00A74E96"/>
    <w:rsid w:val="00A750F0"/>
    <w:rsid w:val="00A7561D"/>
    <w:rsid w:val="00A75A8E"/>
    <w:rsid w:val="00A763E8"/>
    <w:rsid w:val="00A7732B"/>
    <w:rsid w:val="00A77782"/>
    <w:rsid w:val="00A824DD"/>
    <w:rsid w:val="00A83676"/>
    <w:rsid w:val="00A83B7B"/>
    <w:rsid w:val="00A83F9F"/>
    <w:rsid w:val="00A84274"/>
    <w:rsid w:val="00A850F3"/>
    <w:rsid w:val="00A864E3"/>
    <w:rsid w:val="00A86880"/>
    <w:rsid w:val="00A94574"/>
    <w:rsid w:val="00A95936"/>
    <w:rsid w:val="00A96265"/>
    <w:rsid w:val="00A97084"/>
    <w:rsid w:val="00AA1C2C"/>
    <w:rsid w:val="00AA2AA2"/>
    <w:rsid w:val="00AA35F6"/>
    <w:rsid w:val="00AA667C"/>
    <w:rsid w:val="00AA6978"/>
    <w:rsid w:val="00AA6E91"/>
    <w:rsid w:val="00AA7439"/>
    <w:rsid w:val="00AB047E"/>
    <w:rsid w:val="00AB0B0A"/>
    <w:rsid w:val="00AB0BB7"/>
    <w:rsid w:val="00AB1111"/>
    <w:rsid w:val="00AB22C6"/>
    <w:rsid w:val="00AB2AD0"/>
    <w:rsid w:val="00AB49DF"/>
    <w:rsid w:val="00AB67FC"/>
    <w:rsid w:val="00AC00F2"/>
    <w:rsid w:val="00AC0B1E"/>
    <w:rsid w:val="00AC31B5"/>
    <w:rsid w:val="00AC4EA1"/>
    <w:rsid w:val="00AC5381"/>
    <w:rsid w:val="00AC5920"/>
    <w:rsid w:val="00AD0E65"/>
    <w:rsid w:val="00AD2BF2"/>
    <w:rsid w:val="00AD4E90"/>
    <w:rsid w:val="00AD5422"/>
    <w:rsid w:val="00AD6CA7"/>
    <w:rsid w:val="00AE01BB"/>
    <w:rsid w:val="00AE3036"/>
    <w:rsid w:val="00AE3DF1"/>
    <w:rsid w:val="00AE4179"/>
    <w:rsid w:val="00AE4425"/>
    <w:rsid w:val="00AE4FBE"/>
    <w:rsid w:val="00AE5154"/>
    <w:rsid w:val="00AE650F"/>
    <w:rsid w:val="00AE6555"/>
    <w:rsid w:val="00AE7D16"/>
    <w:rsid w:val="00AF0F1A"/>
    <w:rsid w:val="00AF10B0"/>
    <w:rsid w:val="00AF4CAA"/>
    <w:rsid w:val="00AF571A"/>
    <w:rsid w:val="00AF5865"/>
    <w:rsid w:val="00AF60A0"/>
    <w:rsid w:val="00AF67FC"/>
    <w:rsid w:val="00AF7DF5"/>
    <w:rsid w:val="00B00130"/>
    <w:rsid w:val="00B006E5"/>
    <w:rsid w:val="00B024C2"/>
    <w:rsid w:val="00B07700"/>
    <w:rsid w:val="00B13921"/>
    <w:rsid w:val="00B139CE"/>
    <w:rsid w:val="00B1528C"/>
    <w:rsid w:val="00B16ACD"/>
    <w:rsid w:val="00B21487"/>
    <w:rsid w:val="00B232D1"/>
    <w:rsid w:val="00B24DB5"/>
    <w:rsid w:val="00B306BF"/>
    <w:rsid w:val="00B31F9E"/>
    <w:rsid w:val="00B3268F"/>
    <w:rsid w:val="00B32AAF"/>
    <w:rsid w:val="00B32BEC"/>
    <w:rsid w:val="00B32C2C"/>
    <w:rsid w:val="00B33A1A"/>
    <w:rsid w:val="00B33E6C"/>
    <w:rsid w:val="00B371CC"/>
    <w:rsid w:val="00B41CD9"/>
    <w:rsid w:val="00B427E6"/>
    <w:rsid w:val="00B428A6"/>
    <w:rsid w:val="00B435DC"/>
    <w:rsid w:val="00B4394F"/>
    <w:rsid w:val="00B43E1F"/>
    <w:rsid w:val="00B45FBC"/>
    <w:rsid w:val="00B5063E"/>
    <w:rsid w:val="00B51A7D"/>
    <w:rsid w:val="00B535C2"/>
    <w:rsid w:val="00B55544"/>
    <w:rsid w:val="00B562C5"/>
    <w:rsid w:val="00B642FC"/>
    <w:rsid w:val="00B64D26"/>
    <w:rsid w:val="00B64FBB"/>
    <w:rsid w:val="00B70E22"/>
    <w:rsid w:val="00B71006"/>
    <w:rsid w:val="00B73FE3"/>
    <w:rsid w:val="00B75A39"/>
    <w:rsid w:val="00B76A44"/>
    <w:rsid w:val="00B774CB"/>
    <w:rsid w:val="00B80402"/>
    <w:rsid w:val="00B80B9A"/>
    <w:rsid w:val="00B830B7"/>
    <w:rsid w:val="00B83BAA"/>
    <w:rsid w:val="00B83E62"/>
    <w:rsid w:val="00B841E7"/>
    <w:rsid w:val="00B848EA"/>
    <w:rsid w:val="00B84B2B"/>
    <w:rsid w:val="00B90500"/>
    <w:rsid w:val="00B9158A"/>
    <w:rsid w:val="00B9176C"/>
    <w:rsid w:val="00B935A4"/>
    <w:rsid w:val="00B940CD"/>
    <w:rsid w:val="00B978A9"/>
    <w:rsid w:val="00BA44E7"/>
    <w:rsid w:val="00BA561A"/>
    <w:rsid w:val="00BA652A"/>
    <w:rsid w:val="00BB0DC6"/>
    <w:rsid w:val="00BB15E4"/>
    <w:rsid w:val="00BB1E19"/>
    <w:rsid w:val="00BB21D1"/>
    <w:rsid w:val="00BB2476"/>
    <w:rsid w:val="00BB2FEE"/>
    <w:rsid w:val="00BB32F2"/>
    <w:rsid w:val="00BB4338"/>
    <w:rsid w:val="00BB653D"/>
    <w:rsid w:val="00BB6C0E"/>
    <w:rsid w:val="00BB7B38"/>
    <w:rsid w:val="00BC03EF"/>
    <w:rsid w:val="00BC11E5"/>
    <w:rsid w:val="00BC4BC6"/>
    <w:rsid w:val="00BC5237"/>
    <w:rsid w:val="00BC52FD"/>
    <w:rsid w:val="00BC6E62"/>
    <w:rsid w:val="00BC7443"/>
    <w:rsid w:val="00BD0648"/>
    <w:rsid w:val="00BD1040"/>
    <w:rsid w:val="00BD142A"/>
    <w:rsid w:val="00BD34AA"/>
    <w:rsid w:val="00BE0C44"/>
    <w:rsid w:val="00BE1B8B"/>
    <w:rsid w:val="00BE2A18"/>
    <w:rsid w:val="00BE2C01"/>
    <w:rsid w:val="00BE2DA4"/>
    <w:rsid w:val="00BE2DCA"/>
    <w:rsid w:val="00BE41EC"/>
    <w:rsid w:val="00BE47E5"/>
    <w:rsid w:val="00BE56FB"/>
    <w:rsid w:val="00BF3DDE"/>
    <w:rsid w:val="00BF6589"/>
    <w:rsid w:val="00BF6F7F"/>
    <w:rsid w:val="00C00647"/>
    <w:rsid w:val="00C00D35"/>
    <w:rsid w:val="00C02764"/>
    <w:rsid w:val="00C04745"/>
    <w:rsid w:val="00C04CEF"/>
    <w:rsid w:val="00C0662F"/>
    <w:rsid w:val="00C11943"/>
    <w:rsid w:val="00C1247D"/>
    <w:rsid w:val="00C12E96"/>
    <w:rsid w:val="00C14763"/>
    <w:rsid w:val="00C16141"/>
    <w:rsid w:val="00C2363F"/>
    <w:rsid w:val="00C236C8"/>
    <w:rsid w:val="00C260B1"/>
    <w:rsid w:val="00C26E56"/>
    <w:rsid w:val="00C31406"/>
    <w:rsid w:val="00C362B1"/>
    <w:rsid w:val="00C37194"/>
    <w:rsid w:val="00C40637"/>
    <w:rsid w:val="00C40F6C"/>
    <w:rsid w:val="00C44426"/>
    <w:rsid w:val="00C445F3"/>
    <w:rsid w:val="00C451F4"/>
    <w:rsid w:val="00C453AF"/>
    <w:rsid w:val="00C45EB1"/>
    <w:rsid w:val="00C461AB"/>
    <w:rsid w:val="00C468E6"/>
    <w:rsid w:val="00C54A3A"/>
    <w:rsid w:val="00C55566"/>
    <w:rsid w:val="00C56448"/>
    <w:rsid w:val="00C60F22"/>
    <w:rsid w:val="00C667BE"/>
    <w:rsid w:val="00C6766B"/>
    <w:rsid w:val="00C715E5"/>
    <w:rsid w:val="00C72223"/>
    <w:rsid w:val="00C76417"/>
    <w:rsid w:val="00C767BB"/>
    <w:rsid w:val="00C7702C"/>
    <w:rsid w:val="00C7726F"/>
    <w:rsid w:val="00C823DA"/>
    <w:rsid w:val="00C8259F"/>
    <w:rsid w:val="00C82746"/>
    <w:rsid w:val="00C8312F"/>
    <w:rsid w:val="00C84C47"/>
    <w:rsid w:val="00C858A4"/>
    <w:rsid w:val="00C86AFA"/>
    <w:rsid w:val="00C923A3"/>
    <w:rsid w:val="00CA6AF1"/>
    <w:rsid w:val="00CB18D0"/>
    <w:rsid w:val="00CB1C8A"/>
    <w:rsid w:val="00CB24F5"/>
    <w:rsid w:val="00CB2663"/>
    <w:rsid w:val="00CB3BBE"/>
    <w:rsid w:val="00CB59E9"/>
    <w:rsid w:val="00CC0D6A"/>
    <w:rsid w:val="00CC2B00"/>
    <w:rsid w:val="00CC30AC"/>
    <w:rsid w:val="00CC3831"/>
    <w:rsid w:val="00CC3E3D"/>
    <w:rsid w:val="00CC519B"/>
    <w:rsid w:val="00CC589B"/>
    <w:rsid w:val="00CC7B22"/>
    <w:rsid w:val="00CC7EDC"/>
    <w:rsid w:val="00CD12C1"/>
    <w:rsid w:val="00CD214E"/>
    <w:rsid w:val="00CD46FA"/>
    <w:rsid w:val="00CD5973"/>
    <w:rsid w:val="00CD5C77"/>
    <w:rsid w:val="00CE1EAA"/>
    <w:rsid w:val="00CE31A6"/>
    <w:rsid w:val="00CF09AA"/>
    <w:rsid w:val="00CF4164"/>
    <w:rsid w:val="00CF4813"/>
    <w:rsid w:val="00CF5233"/>
    <w:rsid w:val="00CF669D"/>
    <w:rsid w:val="00D029B8"/>
    <w:rsid w:val="00D02F60"/>
    <w:rsid w:val="00D0464E"/>
    <w:rsid w:val="00D04A96"/>
    <w:rsid w:val="00D07A7B"/>
    <w:rsid w:val="00D10E06"/>
    <w:rsid w:val="00D14CD1"/>
    <w:rsid w:val="00D15197"/>
    <w:rsid w:val="00D16820"/>
    <w:rsid w:val="00D169C8"/>
    <w:rsid w:val="00D1793F"/>
    <w:rsid w:val="00D22AF5"/>
    <w:rsid w:val="00D235EA"/>
    <w:rsid w:val="00D247A9"/>
    <w:rsid w:val="00D27EA1"/>
    <w:rsid w:val="00D30C0A"/>
    <w:rsid w:val="00D32029"/>
    <w:rsid w:val="00D32721"/>
    <w:rsid w:val="00D328DC"/>
    <w:rsid w:val="00D33387"/>
    <w:rsid w:val="00D351A2"/>
    <w:rsid w:val="00D402FB"/>
    <w:rsid w:val="00D4055E"/>
    <w:rsid w:val="00D421BA"/>
    <w:rsid w:val="00D47D7A"/>
    <w:rsid w:val="00D50ABD"/>
    <w:rsid w:val="00D52A86"/>
    <w:rsid w:val="00D5434A"/>
    <w:rsid w:val="00D55290"/>
    <w:rsid w:val="00D57791"/>
    <w:rsid w:val="00D6046A"/>
    <w:rsid w:val="00D61EA2"/>
    <w:rsid w:val="00D62870"/>
    <w:rsid w:val="00D639A7"/>
    <w:rsid w:val="00D64068"/>
    <w:rsid w:val="00D64FA4"/>
    <w:rsid w:val="00D655D9"/>
    <w:rsid w:val="00D65872"/>
    <w:rsid w:val="00D65EBF"/>
    <w:rsid w:val="00D676F3"/>
    <w:rsid w:val="00D67D3F"/>
    <w:rsid w:val="00D70EF5"/>
    <w:rsid w:val="00D71024"/>
    <w:rsid w:val="00D71A25"/>
    <w:rsid w:val="00D71FCF"/>
    <w:rsid w:val="00D72A54"/>
    <w:rsid w:val="00D72CC1"/>
    <w:rsid w:val="00D76EC9"/>
    <w:rsid w:val="00D777AE"/>
    <w:rsid w:val="00D77A9B"/>
    <w:rsid w:val="00D80E7D"/>
    <w:rsid w:val="00D81397"/>
    <w:rsid w:val="00D8374D"/>
    <w:rsid w:val="00D848B9"/>
    <w:rsid w:val="00D90E69"/>
    <w:rsid w:val="00D91368"/>
    <w:rsid w:val="00D93106"/>
    <w:rsid w:val="00D933E9"/>
    <w:rsid w:val="00D94904"/>
    <w:rsid w:val="00D9505D"/>
    <w:rsid w:val="00D953D0"/>
    <w:rsid w:val="00D959F5"/>
    <w:rsid w:val="00D96884"/>
    <w:rsid w:val="00DA0FC0"/>
    <w:rsid w:val="00DA3FDD"/>
    <w:rsid w:val="00DA4868"/>
    <w:rsid w:val="00DA53B1"/>
    <w:rsid w:val="00DA64A2"/>
    <w:rsid w:val="00DA7017"/>
    <w:rsid w:val="00DA7028"/>
    <w:rsid w:val="00DB0AD1"/>
    <w:rsid w:val="00DB1AD2"/>
    <w:rsid w:val="00DB2B58"/>
    <w:rsid w:val="00DB362C"/>
    <w:rsid w:val="00DB5206"/>
    <w:rsid w:val="00DB6276"/>
    <w:rsid w:val="00DB63F5"/>
    <w:rsid w:val="00DC1C6B"/>
    <w:rsid w:val="00DC2C2E"/>
    <w:rsid w:val="00DC4AF0"/>
    <w:rsid w:val="00DC7886"/>
    <w:rsid w:val="00DD051F"/>
    <w:rsid w:val="00DD0CF2"/>
    <w:rsid w:val="00DD11AB"/>
    <w:rsid w:val="00DD4B2B"/>
    <w:rsid w:val="00DD4D51"/>
    <w:rsid w:val="00DD5C50"/>
    <w:rsid w:val="00DE1018"/>
    <w:rsid w:val="00DE1554"/>
    <w:rsid w:val="00DE2901"/>
    <w:rsid w:val="00DE590F"/>
    <w:rsid w:val="00DE65FE"/>
    <w:rsid w:val="00DE7DC1"/>
    <w:rsid w:val="00DF3F7E"/>
    <w:rsid w:val="00DF7648"/>
    <w:rsid w:val="00DF7D1E"/>
    <w:rsid w:val="00E00E29"/>
    <w:rsid w:val="00E01A76"/>
    <w:rsid w:val="00E02BAB"/>
    <w:rsid w:val="00E04CEB"/>
    <w:rsid w:val="00E05C6B"/>
    <w:rsid w:val="00E060BC"/>
    <w:rsid w:val="00E11420"/>
    <w:rsid w:val="00E12562"/>
    <w:rsid w:val="00E132FB"/>
    <w:rsid w:val="00E13D43"/>
    <w:rsid w:val="00E1447B"/>
    <w:rsid w:val="00E15605"/>
    <w:rsid w:val="00E170B7"/>
    <w:rsid w:val="00E177DD"/>
    <w:rsid w:val="00E20900"/>
    <w:rsid w:val="00E20C7F"/>
    <w:rsid w:val="00E2396E"/>
    <w:rsid w:val="00E24728"/>
    <w:rsid w:val="00E276AC"/>
    <w:rsid w:val="00E314B3"/>
    <w:rsid w:val="00E32591"/>
    <w:rsid w:val="00E32650"/>
    <w:rsid w:val="00E34A35"/>
    <w:rsid w:val="00E37C2F"/>
    <w:rsid w:val="00E41C28"/>
    <w:rsid w:val="00E423CB"/>
    <w:rsid w:val="00E449B9"/>
    <w:rsid w:val="00E462BA"/>
    <w:rsid w:val="00E46308"/>
    <w:rsid w:val="00E51E17"/>
    <w:rsid w:val="00E52DAB"/>
    <w:rsid w:val="00E539B0"/>
    <w:rsid w:val="00E53A98"/>
    <w:rsid w:val="00E55994"/>
    <w:rsid w:val="00E56188"/>
    <w:rsid w:val="00E57CE2"/>
    <w:rsid w:val="00E60606"/>
    <w:rsid w:val="00E60C66"/>
    <w:rsid w:val="00E6164D"/>
    <w:rsid w:val="00E618C9"/>
    <w:rsid w:val="00E62774"/>
    <w:rsid w:val="00E6307C"/>
    <w:rsid w:val="00E636FA"/>
    <w:rsid w:val="00E66C50"/>
    <w:rsid w:val="00E679D3"/>
    <w:rsid w:val="00E67CC8"/>
    <w:rsid w:val="00E71208"/>
    <w:rsid w:val="00E71444"/>
    <w:rsid w:val="00E71C91"/>
    <w:rsid w:val="00E720A1"/>
    <w:rsid w:val="00E74DEB"/>
    <w:rsid w:val="00E75DDA"/>
    <w:rsid w:val="00E773E8"/>
    <w:rsid w:val="00E83ADD"/>
    <w:rsid w:val="00E84F38"/>
    <w:rsid w:val="00E85623"/>
    <w:rsid w:val="00E87441"/>
    <w:rsid w:val="00E91FAE"/>
    <w:rsid w:val="00E94BEF"/>
    <w:rsid w:val="00E9617F"/>
    <w:rsid w:val="00E96E3F"/>
    <w:rsid w:val="00EA270C"/>
    <w:rsid w:val="00EA4974"/>
    <w:rsid w:val="00EA532E"/>
    <w:rsid w:val="00EA537B"/>
    <w:rsid w:val="00EA5B47"/>
    <w:rsid w:val="00EA7E84"/>
    <w:rsid w:val="00EB06D9"/>
    <w:rsid w:val="00EB192B"/>
    <w:rsid w:val="00EB19ED"/>
    <w:rsid w:val="00EB1CAB"/>
    <w:rsid w:val="00EB6C2C"/>
    <w:rsid w:val="00EB6DAC"/>
    <w:rsid w:val="00EC0F5A"/>
    <w:rsid w:val="00EC4265"/>
    <w:rsid w:val="00EC4CEB"/>
    <w:rsid w:val="00EC5611"/>
    <w:rsid w:val="00EC5D49"/>
    <w:rsid w:val="00EC5D7D"/>
    <w:rsid w:val="00EC659E"/>
    <w:rsid w:val="00EC7BB9"/>
    <w:rsid w:val="00EC7F04"/>
    <w:rsid w:val="00ED2072"/>
    <w:rsid w:val="00ED2AE0"/>
    <w:rsid w:val="00ED457D"/>
    <w:rsid w:val="00ED5553"/>
    <w:rsid w:val="00ED5E36"/>
    <w:rsid w:val="00ED6456"/>
    <w:rsid w:val="00ED6961"/>
    <w:rsid w:val="00EF0B96"/>
    <w:rsid w:val="00EF3486"/>
    <w:rsid w:val="00EF47AF"/>
    <w:rsid w:val="00EF4974"/>
    <w:rsid w:val="00EF5089"/>
    <w:rsid w:val="00EF53B6"/>
    <w:rsid w:val="00EF5A2F"/>
    <w:rsid w:val="00F00B73"/>
    <w:rsid w:val="00F037C4"/>
    <w:rsid w:val="00F06E06"/>
    <w:rsid w:val="00F10555"/>
    <w:rsid w:val="00F10A94"/>
    <w:rsid w:val="00F11475"/>
    <w:rsid w:val="00F115CA"/>
    <w:rsid w:val="00F14817"/>
    <w:rsid w:val="00F14EBA"/>
    <w:rsid w:val="00F1510F"/>
    <w:rsid w:val="00F1533A"/>
    <w:rsid w:val="00F15E5A"/>
    <w:rsid w:val="00F1749F"/>
    <w:rsid w:val="00F176D4"/>
    <w:rsid w:val="00F17F0A"/>
    <w:rsid w:val="00F2013F"/>
    <w:rsid w:val="00F2668F"/>
    <w:rsid w:val="00F2742F"/>
    <w:rsid w:val="00F2753B"/>
    <w:rsid w:val="00F316AA"/>
    <w:rsid w:val="00F33E71"/>
    <w:rsid w:val="00F33F8B"/>
    <w:rsid w:val="00F340B2"/>
    <w:rsid w:val="00F36038"/>
    <w:rsid w:val="00F36134"/>
    <w:rsid w:val="00F42D53"/>
    <w:rsid w:val="00F43390"/>
    <w:rsid w:val="00F433F9"/>
    <w:rsid w:val="00F443B2"/>
    <w:rsid w:val="00F458D8"/>
    <w:rsid w:val="00F501EC"/>
    <w:rsid w:val="00F50237"/>
    <w:rsid w:val="00F53596"/>
    <w:rsid w:val="00F5466D"/>
    <w:rsid w:val="00F55BA8"/>
    <w:rsid w:val="00F55DB1"/>
    <w:rsid w:val="00F56ACA"/>
    <w:rsid w:val="00F600FE"/>
    <w:rsid w:val="00F60243"/>
    <w:rsid w:val="00F619CE"/>
    <w:rsid w:val="00F62E4D"/>
    <w:rsid w:val="00F66B34"/>
    <w:rsid w:val="00F675B9"/>
    <w:rsid w:val="00F711C9"/>
    <w:rsid w:val="00F74C59"/>
    <w:rsid w:val="00F75C3A"/>
    <w:rsid w:val="00F82848"/>
    <w:rsid w:val="00F82E30"/>
    <w:rsid w:val="00F831CB"/>
    <w:rsid w:val="00F83C5A"/>
    <w:rsid w:val="00F845FA"/>
    <w:rsid w:val="00F848A3"/>
    <w:rsid w:val="00F84ACF"/>
    <w:rsid w:val="00F85742"/>
    <w:rsid w:val="00F85BF8"/>
    <w:rsid w:val="00F871CE"/>
    <w:rsid w:val="00F87802"/>
    <w:rsid w:val="00F920F7"/>
    <w:rsid w:val="00F92B3A"/>
    <w:rsid w:val="00F92C0A"/>
    <w:rsid w:val="00F9415B"/>
    <w:rsid w:val="00F94165"/>
    <w:rsid w:val="00F96F76"/>
    <w:rsid w:val="00F97715"/>
    <w:rsid w:val="00FA1161"/>
    <w:rsid w:val="00FA13C2"/>
    <w:rsid w:val="00FA4960"/>
    <w:rsid w:val="00FA7043"/>
    <w:rsid w:val="00FA7F91"/>
    <w:rsid w:val="00FB121C"/>
    <w:rsid w:val="00FB1CDD"/>
    <w:rsid w:val="00FB1FBF"/>
    <w:rsid w:val="00FB2C2F"/>
    <w:rsid w:val="00FB305C"/>
    <w:rsid w:val="00FC2E3D"/>
    <w:rsid w:val="00FC3BDE"/>
    <w:rsid w:val="00FD1DBE"/>
    <w:rsid w:val="00FD25A7"/>
    <w:rsid w:val="00FD27B6"/>
    <w:rsid w:val="00FD32BF"/>
    <w:rsid w:val="00FD3448"/>
    <w:rsid w:val="00FD3689"/>
    <w:rsid w:val="00FD42A3"/>
    <w:rsid w:val="00FD7468"/>
    <w:rsid w:val="00FD7CE0"/>
    <w:rsid w:val="00FD7D92"/>
    <w:rsid w:val="00FE093F"/>
    <w:rsid w:val="00FE0B3B"/>
    <w:rsid w:val="00FE1BE2"/>
    <w:rsid w:val="00FE475C"/>
    <w:rsid w:val="00FE730A"/>
    <w:rsid w:val="00FF1DD7"/>
    <w:rsid w:val="00FF43B9"/>
    <w:rsid w:val="00FF445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AF98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sz w:val="24"/>
        <w:szCs w:val="24"/>
        <w:lang w:val="pl-PL" w:eastAsia="pl-PL"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1"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locked="1" w:semiHidden="1" w:uiPriority="0" w:unhideWhenUsed="1"/>
    <w:lsdException w:name="Outline List 2" w:locked="1" w:semiHidden="1" w:uiPriority="0" w:unhideWhenUsed="1"/>
    <w:lsdException w:name="Outline List 3" w:semiHidden="1" w:uiPriority="0"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semiHidden="1" w:unhideWhenUsed="1"/>
    <w:lsdException w:name="Table Grid" w:locked="1" w:uiPriority="39"/>
    <w:lsdException w:name="Table Theme" w:locked="1" w:semiHidden="1" w:uiPriority="0" w:unhideWhenUsed="1"/>
    <w:lsdException w:name="Placeholder Text" w:semiHidden="1"/>
    <w:lsdException w:name="No Spacing"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semiHidden="1" w:uiPriority="34" w:qFormat="1"/>
    <w:lsdException w:name="Quote" w:semiHidden="1" w:qFormat="1"/>
    <w:lsdException w:name="Intense Quote" w:semiHidden="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62E0E"/>
    <w:pPr>
      <w:widowControl w:val="0"/>
      <w:autoSpaceDE w:val="0"/>
      <w:autoSpaceDN w:val="0"/>
      <w:adjustRightInd w:val="0"/>
    </w:pPr>
    <w:rPr>
      <w:rFonts w:ascii="Times New Roman" w:eastAsiaTheme="minorEastAsia" w:hAnsi="Times New Roman" w:cs="Arial"/>
      <w:szCs w:val="20"/>
    </w:rPr>
  </w:style>
  <w:style w:type="paragraph" w:styleId="Nagwek1">
    <w:name w:val="heading 1"/>
    <w:basedOn w:val="Normalny"/>
    <w:next w:val="Normalny"/>
    <w:link w:val="Nagwek1Znak"/>
    <w:qFormat/>
    <w:rsid w:val="001E1E73"/>
    <w:pPr>
      <w:keepNext/>
      <w:keepLines/>
      <w:suppressAutoHyphens/>
      <w:autoSpaceDE/>
      <w:autoSpaceDN/>
      <w:adjustRightInd/>
      <w:spacing w:before="480"/>
      <w:outlineLvl w:val="0"/>
    </w:pPr>
    <w:rPr>
      <w:rFonts w:asciiTheme="majorHAnsi" w:eastAsiaTheme="majorEastAsia" w:hAnsiTheme="majorHAnsi" w:cstheme="majorBidi"/>
      <w:b/>
      <w:bCs/>
      <w:color w:val="365F91" w:themeColor="accent1" w:themeShade="BF"/>
      <w:kern w:val="1"/>
      <w:sz w:val="28"/>
      <w:szCs w:val="28"/>
      <w:lang w:eastAsia="ar-SA"/>
    </w:rPr>
  </w:style>
  <w:style w:type="paragraph" w:styleId="Nagwek2">
    <w:name w:val="heading 2"/>
    <w:basedOn w:val="Normalny"/>
    <w:next w:val="Normalny"/>
    <w:link w:val="Nagwek2Znak"/>
    <w:uiPriority w:val="99"/>
    <w:semiHidden/>
    <w:unhideWhenUsed/>
    <w:qFormat/>
    <w:rsid w:val="002D423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qFormat/>
    <w:rsid w:val="002D4237"/>
    <w:pPr>
      <w:keepNext/>
      <w:widowControl/>
      <w:autoSpaceDE/>
      <w:autoSpaceDN/>
      <w:adjustRightInd/>
      <w:spacing w:before="240" w:after="60" w:line="240" w:lineRule="auto"/>
      <w:outlineLvl w:val="2"/>
    </w:pPr>
    <w:rPr>
      <w:rFonts w:ascii="Arial" w:eastAsia="Times New Roman" w:hAnsi="Arial"/>
      <w:b/>
      <w:bCs/>
      <w:sz w:val="26"/>
      <w:szCs w:val="26"/>
    </w:rPr>
  </w:style>
  <w:style w:type="paragraph" w:styleId="Nagwek5">
    <w:name w:val="heading 5"/>
    <w:basedOn w:val="Normalny"/>
    <w:next w:val="Normalny"/>
    <w:link w:val="Nagwek5Znak"/>
    <w:semiHidden/>
    <w:unhideWhenUsed/>
    <w:qFormat/>
    <w:rsid w:val="0042722C"/>
    <w:pPr>
      <w:widowControl/>
      <w:autoSpaceDE/>
      <w:autoSpaceDN/>
      <w:adjustRightInd/>
      <w:spacing w:before="240" w:after="60" w:line="276" w:lineRule="auto"/>
      <w:outlineLvl w:val="4"/>
    </w:pPr>
    <w:rPr>
      <w:rFonts w:ascii="Calibri" w:eastAsia="Times New Roman" w:hAnsi="Calibri" w:cs="Times New Roman"/>
      <w:b/>
      <w:bCs/>
      <w:i/>
      <w:iCs/>
      <w:sz w:val="26"/>
      <w:szCs w:val="26"/>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LITwPKTzmlitwpktartykuempunktem">
    <w:name w:val="Z/LIT_w_PKT – zm. lit. w pkt artykułem (punktem)"/>
    <w:basedOn w:val="LITlitera"/>
    <w:uiPriority w:val="32"/>
    <w:qFormat/>
    <w:rsid w:val="006A748A"/>
    <w:pPr>
      <w:ind w:left="1497"/>
    </w:pPr>
  </w:style>
  <w:style w:type="paragraph" w:customStyle="1" w:styleId="ZTIRwPKTzmtirwpktartykuempunktem">
    <w:name w:val="Z/TIR_w_PKT – zm. tir. w pkt artykułem (punktem)"/>
    <w:basedOn w:val="TIRtiret"/>
    <w:uiPriority w:val="33"/>
    <w:qFormat/>
    <w:rsid w:val="006A748A"/>
    <w:pPr>
      <w:ind w:left="1894"/>
    </w:pPr>
  </w:style>
  <w:style w:type="paragraph" w:customStyle="1" w:styleId="ZCZWSPLITwPKTzmczciwsplitwpktartykuempunktem">
    <w:name w:val="Z/CZ_WSP_LIT_w_PKT – zm. części wsp. lit. w pkt artykułem (punktem)"/>
    <w:basedOn w:val="CZWSPLITczwsplnaliter"/>
    <w:next w:val="ZARTzmartartykuempunktem"/>
    <w:uiPriority w:val="35"/>
    <w:qFormat/>
    <w:rsid w:val="006A748A"/>
    <w:pPr>
      <w:ind w:left="1021"/>
    </w:pPr>
  </w:style>
  <w:style w:type="paragraph" w:customStyle="1" w:styleId="2TIRpodwjnytiret">
    <w:name w:val="2TIR – podwójny tiret"/>
    <w:basedOn w:val="TIRtiret"/>
    <w:qFormat/>
    <w:rsid w:val="006A748A"/>
    <w:pPr>
      <w:ind w:left="1780"/>
    </w:pPr>
  </w:style>
  <w:style w:type="character" w:styleId="Odwoanieprzypisudolnego">
    <w:name w:val="footnote reference"/>
    <w:uiPriority w:val="99"/>
    <w:semiHidden/>
    <w:rsid w:val="004C3F97"/>
    <w:rPr>
      <w:rFonts w:cs="Times New Roman"/>
      <w:vertAlign w:val="superscript"/>
    </w:rPr>
  </w:style>
  <w:style w:type="paragraph" w:styleId="Nagwek">
    <w:name w:val="header"/>
    <w:basedOn w:val="Normalny"/>
    <w:link w:val="NagwekZnak"/>
    <w:uiPriority w:val="99"/>
    <w:rsid w:val="004C3F97"/>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NagwekZnak">
    <w:name w:val="Nagłówek Znak"/>
    <w:link w:val="Nagwek"/>
    <w:uiPriority w:val="99"/>
    <w:rsid w:val="00060076"/>
    <w:rPr>
      <w:rFonts w:eastAsiaTheme="minorEastAsia" w:cs="Arial"/>
      <w:kern w:val="1"/>
      <w:sz w:val="20"/>
      <w:szCs w:val="20"/>
      <w:lang w:eastAsia="ar-SA"/>
    </w:rPr>
  </w:style>
  <w:style w:type="paragraph" w:styleId="Stopka">
    <w:name w:val="footer"/>
    <w:basedOn w:val="Normalny"/>
    <w:link w:val="StopkaZnak"/>
    <w:uiPriority w:val="99"/>
    <w:rsid w:val="004C3F97"/>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StopkaZnak">
    <w:name w:val="Stopka Znak"/>
    <w:link w:val="Stopka"/>
    <w:uiPriority w:val="99"/>
    <w:rsid w:val="00060076"/>
    <w:rPr>
      <w:rFonts w:eastAsiaTheme="minorEastAsia" w:cs="Arial"/>
      <w:kern w:val="1"/>
      <w:sz w:val="20"/>
      <w:szCs w:val="20"/>
      <w:lang w:eastAsia="ar-SA"/>
    </w:rPr>
  </w:style>
  <w:style w:type="paragraph" w:styleId="Tekstdymka">
    <w:name w:val="Balloon Text"/>
    <w:basedOn w:val="Normalny"/>
    <w:link w:val="TekstdymkaZnak"/>
    <w:uiPriority w:val="99"/>
    <w:semiHidden/>
    <w:rsid w:val="004C3F97"/>
    <w:pPr>
      <w:suppressAutoHyphens/>
      <w:autoSpaceDE/>
      <w:autoSpaceDN/>
      <w:adjustRightInd/>
    </w:pPr>
    <w:rPr>
      <w:rFonts w:ascii="Tahoma" w:eastAsia="Times New Roman" w:hAnsi="Tahoma" w:cs="Tahoma"/>
      <w:kern w:val="1"/>
      <w:szCs w:val="16"/>
      <w:lang w:eastAsia="ar-SA"/>
    </w:rPr>
  </w:style>
  <w:style w:type="character" w:customStyle="1" w:styleId="TekstdymkaZnak">
    <w:name w:val="Tekst dymka Znak"/>
    <w:link w:val="Tekstdymka"/>
    <w:uiPriority w:val="99"/>
    <w:semiHidden/>
    <w:rsid w:val="004C3F97"/>
    <w:rPr>
      <w:rFonts w:ascii="Tahoma" w:eastAsiaTheme="minorEastAsia" w:hAnsi="Tahoma" w:cs="Tahoma"/>
      <w:kern w:val="1"/>
      <w:sz w:val="16"/>
      <w:szCs w:val="16"/>
      <w:lang w:eastAsia="ar-SA"/>
    </w:rPr>
  </w:style>
  <w:style w:type="paragraph" w:customStyle="1" w:styleId="ARTartustawynprozporzdzenia">
    <w:name w:val="ART(§) – art. ustawy (§ np. rozporządzenia)"/>
    <w:uiPriority w:val="11"/>
    <w:qFormat/>
    <w:rsid w:val="006A748A"/>
    <w:pPr>
      <w:suppressAutoHyphens/>
      <w:autoSpaceDE w:val="0"/>
      <w:autoSpaceDN w:val="0"/>
      <w:adjustRightInd w:val="0"/>
      <w:spacing w:before="120"/>
      <w:ind w:firstLine="510"/>
      <w:jc w:val="both"/>
    </w:pPr>
    <w:rPr>
      <w:rFonts w:eastAsiaTheme="minorEastAsia" w:cs="Arial"/>
      <w:szCs w:val="20"/>
    </w:rPr>
  </w:style>
  <w:style w:type="paragraph" w:customStyle="1" w:styleId="ZCZWSPTIRwPKTzmczciwsptirwpktartykuempunktem">
    <w:name w:val="Z/CZ_WSP_TIR_w_PKT – zm. części wsp. tir. w pkt artykułem (punktem)"/>
    <w:basedOn w:val="CZWSPTIRczwsplnatiret"/>
    <w:next w:val="ZPKTzmpktartykuempunktem"/>
    <w:uiPriority w:val="36"/>
    <w:qFormat/>
    <w:rsid w:val="006A748A"/>
    <w:pPr>
      <w:ind w:left="1497"/>
    </w:pPr>
  </w:style>
  <w:style w:type="paragraph" w:customStyle="1" w:styleId="ZTIRwLITzmtirwlitartykuempunktem">
    <w:name w:val="Z/TIR_w_LIT – zm. tir. w lit. artykułem (punktem)"/>
    <w:basedOn w:val="TIRtiret"/>
    <w:uiPriority w:val="33"/>
    <w:qFormat/>
    <w:rsid w:val="006A748A"/>
  </w:style>
  <w:style w:type="paragraph" w:customStyle="1" w:styleId="ZCZWSPTIRwLITzmczciwsptirwlitartykuempunktem">
    <w:name w:val="Z/CZ_WSP_TIR_w_LIT – zm. części wsp. tir. w lit. artykułem (punktem)"/>
    <w:basedOn w:val="CZWSPTIRczwsplnatiret"/>
    <w:next w:val="ZLITzmlitartykuempunktem"/>
    <w:uiPriority w:val="36"/>
    <w:qFormat/>
    <w:rsid w:val="006A748A"/>
  </w:style>
  <w:style w:type="character" w:customStyle="1" w:styleId="Nagwek1Znak">
    <w:name w:val="Nagłówek 1 Znak"/>
    <w:basedOn w:val="Domylnaczcionkaakapitu"/>
    <w:link w:val="Nagwek1"/>
    <w:rsid w:val="004504C0"/>
    <w:rPr>
      <w:rFonts w:asciiTheme="majorHAnsi" w:eastAsiaTheme="majorEastAsia" w:hAnsiTheme="majorHAnsi" w:cstheme="majorBidi"/>
      <w:b/>
      <w:bCs/>
      <w:color w:val="365F91" w:themeColor="accent1" w:themeShade="BF"/>
      <w:kern w:val="1"/>
      <w:sz w:val="28"/>
      <w:szCs w:val="28"/>
      <w:lang w:eastAsia="ar-SA"/>
    </w:rPr>
  </w:style>
  <w:style w:type="paragraph" w:styleId="Bezodstpw">
    <w:name w:val="No Spacing"/>
    <w:uiPriority w:val="99"/>
    <w:qFormat/>
    <w:rsid w:val="004C3F97"/>
    <w:pPr>
      <w:widowControl w:val="0"/>
      <w:suppressAutoHyphens/>
    </w:pPr>
    <w:rPr>
      <w:kern w:val="1"/>
      <w:lang w:eastAsia="ar-SA"/>
    </w:rPr>
  </w:style>
  <w:style w:type="paragraph" w:customStyle="1" w:styleId="ZPKTzmpktartykuempunktem">
    <w:name w:val="Z/PKT – zm. pkt artykułem (punktem)"/>
    <w:basedOn w:val="PKTpunkt"/>
    <w:qFormat/>
    <w:rsid w:val="006A748A"/>
    <w:pPr>
      <w:ind w:left="1020"/>
    </w:pPr>
  </w:style>
  <w:style w:type="paragraph" w:customStyle="1" w:styleId="ZARTzmartartykuempunktem">
    <w:name w:val="Z/ART(§) – zm. art. (§) artykułem (punktem)"/>
    <w:basedOn w:val="ARTartustawynprozporzdzenia"/>
    <w:uiPriority w:val="30"/>
    <w:qFormat/>
    <w:rsid w:val="006A748A"/>
    <w:pPr>
      <w:spacing w:before="0"/>
      <w:ind w:left="510"/>
    </w:pPr>
  </w:style>
  <w:style w:type="paragraph" w:customStyle="1" w:styleId="DATAAKTUdatauchwalenialubwydaniaaktu">
    <w:name w:val="DATA_AKTU – data uchwalenia lub wydania aktu"/>
    <w:next w:val="TYTUAKTUprzedmiotregulacjiustawylubrozporzdzenia"/>
    <w:uiPriority w:val="6"/>
    <w:qFormat/>
    <w:rsid w:val="006A748A"/>
    <w:pPr>
      <w:keepNext/>
      <w:suppressAutoHyphens/>
      <w:spacing w:before="120" w:after="120"/>
      <w:jc w:val="center"/>
    </w:pPr>
    <w:rPr>
      <w:rFonts w:eastAsiaTheme="minorEastAsia" w:cs="Arial"/>
      <w:bCs/>
    </w:rPr>
  </w:style>
  <w:style w:type="paragraph" w:customStyle="1" w:styleId="TYTUAKTUprzedmiotregulacjiustawylubrozporzdzenia">
    <w:name w:val="TYTUŁ_AKTU – przedmiot regulacji ustawy lub rozporządzenia"/>
    <w:next w:val="ARTartustawynprozporzdzenia"/>
    <w:uiPriority w:val="6"/>
    <w:qFormat/>
    <w:rsid w:val="006A748A"/>
    <w:pPr>
      <w:keepNext/>
      <w:suppressAutoHyphens/>
      <w:spacing w:before="120" w:after="360"/>
      <w:jc w:val="center"/>
    </w:pPr>
    <w:rPr>
      <w:rFonts w:eastAsiaTheme="minorEastAsia" w:cs="Arial"/>
      <w:b/>
      <w:bCs/>
    </w:rPr>
  </w:style>
  <w:style w:type="paragraph" w:customStyle="1" w:styleId="CZKSIGAoznaczenieiprzedmiotczcilubksigi">
    <w:name w:val="CZĘŚĆ(KSIĘGA) – oznaczenie i przedmiot części lub księgi"/>
    <w:next w:val="ARTartustawynprozporzdzenia"/>
    <w:uiPriority w:val="8"/>
    <w:qFormat/>
    <w:rsid w:val="006A748A"/>
    <w:pPr>
      <w:keepNext/>
      <w:suppressAutoHyphens/>
      <w:spacing w:before="120"/>
      <w:jc w:val="center"/>
    </w:pPr>
    <w:rPr>
      <w:b/>
      <w:bCs/>
      <w:caps/>
      <w:kern w:val="24"/>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6A748A"/>
    <w:rPr>
      <w:bCs/>
    </w:rPr>
  </w:style>
  <w:style w:type="paragraph" w:customStyle="1" w:styleId="OZNRODZAKTUtznustawalubrozporzdzenieiorganwydajcy">
    <w:name w:val="OZN_RODZ_AKTU – tzn. ustawa lub rozporządzenie i organ wydający"/>
    <w:next w:val="DATAAKTUdatauchwalenialubwydaniaaktu"/>
    <w:uiPriority w:val="5"/>
    <w:qFormat/>
    <w:rsid w:val="006A748A"/>
    <w:pPr>
      <w:keepNext/>
      <w:suppressAutoHyphens/>
      <w:spacing w:after="120"/>
      <w:jc w:val="center"/>
    </w:pPr>
    <w:rPr>
      <w:b/>
      <w:bCs/>
      <w:caps/>
      <w:spacing w:val="54"/>
      <w:kern w:val="24"/>
    </w:rPr>
  </w:style>
  <w:style w:type="paragraph" w:customStyle="1" w:styleId="USTustnpkodeksu">
    <w:name w:val="UST(§) – ust. (§ np. kodeksu)"/>
    <w:basedOn w:val="ARTartustawynprozporzdzenia"/>
    <w:uiPriority w:val="12"/>
    <w:qFormat/>
    <w:rsid w:val="006A748A"/>
    <w:pPr>
      <w:spacing w:before="0"/>
    </w:pPr>
    <w:rPr>
      <w:bCs/>
    </w:rPr>
  </w:style>
  <w:style w:type="paragraph" w:customStyle="1" w:styleId="PKTpunkt">
    <w:name w:val="PKT – punkt"/>
    <w:uiPriority w:val="13"/>
    <w:qFormat/>
    <w:rsid w:val="005147E8"/>
    <w:pPr>
      <w:ind w:left="510" w:hanging="510"/>
      <w:jc w:val="both"/>
    </w:pPr>
    <w:rPr>
      <w:rFonts w:eastAsiaTheme="minorEastAsia" w:cs="Arial"/>
      <w:bCs/>
      <w:szCs w:val="20"/>
    </w:rPr>
  </w:style>
  <w:style w:type="paragraph" w:customStyle="1" w:styleId="CZWSPPKTczwsplnapunktw">
    <w:name w:val="CZ_WSP_PKT – część wspólna punktów"/>
    <w:basedOn w:val="PKTpunkt"/>
    <w:next w:val="USTustnpkodeksu"/>
    <w:uiPriority w:val="16"/>
    <w:qFormat/>
    <w:rsid w:val="006A748A"/>
    <w:pPr>
      <w:ind w:left="0" w:firstLine="0"/>
    </w:pPr>
  </w:style>
  <w:style w:type="paragraph" w:customStyle="1" w:styleId="LITlitera">
    <w:name w:val="LIT – litera"/>
    <w:basedOn w:val="PKTpunkt"/>
    <w:uiPriority w:val="14"/>
    <w:qFormat/>
    <w:rsid w:val="005147E8"/>
    <w:pPr>
      <w:ind w:left="986" w:hanging="476"/>
    </w:pPr>
  </w:style>
  <w:style w:type="paragraph" w:customStyle="1" w:styleId="CZWSPLITczwsplnaliter">
    <w:name w:val="CZ_WSP_LIT – część wspólna liter"/>
    <w:basedOn w:val="LITlitera"/>
    <w:next w:val="USTustnpkodeksu"/>
    <w:uiPriority w:val="17"/>
    <w:qFormat/>
    <w:rsid w:val="006A748A"/>
    <w:pPr>
      <w:ind w:left="510" w:firstLine="0"/>
    </w:pPr>
    <w:rPr>
      <w:szCs w:val="24"/>
    </w:rPr>
  </w:style>
  <w:style w:type="paragraph" w:customStyle="1" w:styleId="TIRtiret">
    <w:name w:val="TIR – tiret"/>
    <w:basedOn w:val="LITlitera"/>
    <w:uiPriority w:val="15"/>
    <w:qFormat/>
    <w:rsid w:val="005147E8"/>
    <w:pPr>
      <w:ind w:left="1384" w:hanging="397"/>
    </w:pPr>
  </w:style>
  <w:style w:type="paragraph" w:customStyle="1" w:styleId="CZWSPTIRczwsplnatiret">
    <w:name w:val="CZ_WSP_TIR – część wspólna tiret"/>
    <w:basedOn w:val="TIRtiret"/>
    <w:next w:val="USTustnpkodeksu"/>
    <w:uiPriority w:val="17"/>
    <w:qFormat/>
    <w:rsid w:val="006A748A"/>
    <w:pPr>
      <w:ind w:left="987" w:firstLine="0"/>
    </w:pPr>
  </w:style>
  <w:style w:type="paragraph" w:customStyle="1" w:styleId="CYTcytatnpprzysigi">
    <w:name w:val="CYT – cytat np. przysięgi"/>
    <w:basedOn w:val="USTustnpkodeksu"/>
    <w:next w:val="USTustnpkodeksu"/>
    <w:uiPriority w:val="18"/>
    <w:qFormat/>
    <w:rsid w:val="006A748A"/>
    <w:pPr>
      <w:ind w:left="510" w:right="510" w:firstLine="0"/>
      <w:mirrorIndents/>
    </w:pPr>
  </w:style>
  <w:style w:type="paragraph" w:customStyle="1" w:styleId="ROZDZODDZPRZEDMprzedmiotregulacjirozdziauluboddziau">
    <w:name w:val="ROZDZ(ODDZ)_PRZEDM – przedmiot regulacji rozdziału lub oddziału"/>
    <w:next w:val="ARTartustawynprozporzdzenia"/>
    <w:uiPriority w:val="10"/>
    <w:qFormat/>
    <w:rsid w:val="006A748A"/>
    <w:pPr>
      <w:keepNext/>
      <w:suppressAutoHyphens/>
      <w:spacing w:before="120"/>
      <w:jc w:val="center"/>
    </w:pPr>
    <w:rPr>
      <w:rFonts w:eastAsiaTheme="minorEastAsia"/>
      <w:b/>
      <w:bCs/>
    </w:rPr>
  </w:style>
  <w:style w:type="paragraph" w:customStyle="1" w:styleId="ZLITzmlitartykuempunktem">
    <w:name w:val="Z/LIT – zm. lit. artykułem (punktem)"/>
    <w:basedOn w:val="LITlitera"/>
    <w:uiPriority w:val="32"/>
    <w:qFormat/>
    <w:rsid w:val="006A748A"/>
  </w:style>
  <w:style w:type="paragraph" w:customStyle="1" w:styleId="ZLITCZWSPTIRwLITzmczciwsptirwlitliter">
    <w:name w:val="Z_LIT/CZ_WSP_TIR_w_LIT – zm. części wsp. tir. w lit. literą"/>
    <w:basedOn w:val="CZWSPTIRczwsplnatiret"/>
    <w:next w:val="LITlitera"/>
    <w:uiPriority w:val="51"/>
    <w:qFormat/>
    <w:rsid w:val="006A748A"/>
    <w:pPr>
      <w:ind w:left="1463"/>
    </w:pPr>
  </w:style>
  <w:style w:type="paragraph" w:customStyle="1" w:styleId="ZLITTIRwLITzmtirwlitliter">
    <w:name w:val="Z_LIT/TIR_w_LIT – zm. tir. w lit. literą"/>
    <w:basedOn w:val="TIRtiret"/>
    <w:uiPriority w:val="49"/>
    <w:qFormat/>
    <w:rsid w:val="006A748A"/>
    <w:pPr>
      <w:ind w:left="1860"/>
    </w:pPr>
  </w:style>
  <w:style w:type="paragraph" w:customStyle="1" w:styleId="TYTDZOZNoznaczenietytuulubdziau">
    <w:name w:val="TYT(DZ)_OZN – oznaczenie tytułu lub działu"/>
    <w:next w:val="Normalny"/>
    <w:uiPriority w:val="9"/>
    <w:qFormat/>
    <w:rsid w:val="006A748A"/>
    <w:pPr>
      <w:keepNext/>
      <w:spacing w:before="120"/>
      <w:jc w:val="center"/>
    </w:pPr>
    <w:rPr>
      <w:rFonts w:eastAsiaTheme="minorEastAsia" w:cs="Arial"/>
      <w:bCs/>
      <w:caps/>
      <w:kern w:val="24"/>
    </w:rPr>
  </w:style>
  <w:style w:type="paragraph" w:customStyle="1" w:styleId="ZWMATFIZCHEMzmwzorumatfizlubchemartykuempunktem">
    <w:name w:val="Z/W_MAT(FIZ|CHEM) – zm. wzoru mat. (fiz. lub chem.) artykułem (punktem)"/>
    <w:basedOn w:val="WMATFIZCHEMwzrmatfizlubchem"/>
    <w:uiPriority w:val="38"/>
    <w:qFormat/>
    <w:rsid w:val="001270A2"/>
    <w:pPr>
      <w:ind w:left="510"/>
    </w:pPr>
  </w:style>
  <w:style w:type="paragraph" w:customStyle="1" w:styleId="ZTYTDZOZNzmozntytuudziauartykuempunktem">
    <w:name w:val="Z/TYT(DZ)_OZN – zm. ozn. tytułu (działu) artykułem (punktem)"/>
    <w:basedOn w:val="TYTDZOZNoznaczenietytuulubdziau"/>
    <w:next w:val="ZTYTDZPRZEDMzmprzedmtytuulubdziauartykuempunktem"/>
    <w:uiPriority w:val="28"/>
    <w:qFormat/>
    <w:rsid w:val="006A748A"/>
    <w:pPr>
      <w:spacing w:before="0"/>
      <w:ind w:left="510"/>
    </w:pPr>
  </w:style>
  <w:style w:type="paragraph" w:customStyle="1" w:styleId="ZTYTDZPRZEDMzmprzedmtytuulubdziauartykuempunktem">
    <w:name w:val="Z/TYT(DZ)_PRZEDM – zm. przedm. tytułu lub działu artykułem (punktem)"/>
    <w:next w:val="ZARTzmartartykuempunktem"/>
    <w:uiPriority w:val="28"/>
    <w:qFormat/>
    <w:rsid w:val="006A748A"/>
    <w:pPr>
      <w:keepNext/>
      <w:suppressAutoHyphens/>
      <w:ind w:left="510"/>
      <w:jc w:val="center"/>
    </w:pPr>
    <w:rPr>
      <w:szCs w:val="26"/>
    </w:rPr>
  </w:style>
  <w:style w:type="paragraph" w:customStyle="1" w:styleId="ZTIRzmtirartykuempunktem">
    <w:name w:val="Z/TIR – zm. tir. artykułem (punktem)"/>
    <w:basedOn w:val="TIRtiret"/>
    <w:next w:val="PKTpunkt"/>
    <w:uiPriority w:val="33"/>
    <w:qFormat/>
    <w:rsid w:val="006A748A"/>
    <w:pPr>
      <w:ind w:left="907"/>
    </w:pPr>
  </w:style>
  <w:style w:type="paragraph" w:customStyle="1" w:styleId="ZCZWSPPKTzmczciwsppktartykuempunktem">
    <w:name w:val="Z/CZ_WSP_PKT – zm. części wsp. pkt artykułem (punktem)"/>
    <w:basedOn w:val="CZWSPPKTczwsplnapunktw"/>
    <w:next w:val="ZARTzmartartykuempunktem"/>
    <w:uiPriority w:val="34"/>
    <w:qFormat/>
    <w:rsid w:val="006A748A"/>
    <w:pPr>
      <w:ind w:left="510"/>
    </w:pPr>
  </w:style>
  <w:style w:type="paragraph" w:customStyle="1" w:styleId="ZZLITzmianazmlit">
    <w:name w:val="ZZ/LIT – zmiana zm. lit."/>
    <w:basedOn w:val="ZZPKTzmianazmpkt"/>
    <w:uiPriority w:val="67"/>
    <w:qFormat/>
    <w:rsid w:val="006A748A"/>
    <w:pPr>
      <w:ind w:left="2370" w:hanging="476"/>
    </w:pPr>
  </w:style>
  <w:style w:type="paragraph" w:customStyle="1" w:styleId="ZZTIRzmianazmtir">
    <w:name w:val="ZZ/TIR – zmiana zm. tir."/>
    <w:basedOn w:val="ZZLITzmianazmlit"/>
    <w:uiPriority w:val="67"/>
    <w:qFormat/>
    <w:rsid w:val="006A748A"/>
    <w:pPr>
      <w:ind w:left="2291" w:hanging="397"/>
    </w:pPr>
  </w:style>
  <w:style w:type="paragraph" w:customStyle="1" w:styleId="ZROZDZODDZOZNzmoznrozdzoddzartykuempunktem">
    <w:name w:val="Z/ROZDZ(ODDZ)_OZN – zm. ozn. rozdz. (oddz.) artykułem (punktem)"/>
    <w:next w:val="ZROZDZODDZPRZEDMzmprzedmrozdzoddzartykuempunktem"/>
    <w:uiPriority w:val="29"/>
    <w:qFormat/>
    <w:rsid w:val="006A748A"/>
    <w:pPr>
      <w:keepNext/>
      <w:suppressAutoHyphens/>
      <w:ind w:left="510"/>
      <w:jc w:val="center"/>
    </w:pPr>
    <w:rPr>
      <w:rFonts w:eastAsiaTheme="minorEastAsia" w:cs="Arial"/>
      <w:bCs/>
      <w:kern w:val="24"/>
    </w:rPr>
  </w:style>
  <w:style w:type="paragraph" w:customStyle="1" w:styleId="ZLITUSTzmustliter">
    <w:name w:val="Z_LIT/UST(§) – zm. ust. (§) literą"/>
    <w:basedOn w:val="USTustnpkodeksu"/>
    <w:uiPriority w:val="46"/>
    <w:qFormat/>
    <w:rsid w:val="006A748A"/>
    <w:pPr>
      <w:ind w:left="987"/>
    </w:pPr>
  </w:style>
  <w:style w:type="paragraph" w:customStyle="1" w:styleId="ZLITPKTzmpktliter">
    <w:name w:val="Z_LIT/PKT – zm. pkt literą"/>
    <w:basedOn w:val="PKTpunkt"/>
    <w:uiPriority w:val="47"/>
    <w:qFormat/>
    <w:rsid w:val="006A748A"/>
    <w:pPr>
      <w:ind w:left="1497"/>
    </w:pPr>
  </w:style>
  <w:style w:type="paragraph" w:customStyle="1" w:styleId="ZZCZWSPPKTzmianazmczciwsppkt">
    <w:name w:val="ZZ/CZ_WSP_PKT – zmiana. zm. części wsp. pkt"/>
    <w:basedOn w:val="ZZARTzmianazmart"/>
    <w:next w:val="ZPKTzmpktartykuempunktem"/>
    <w:uiPriority w:val="68"/>
    <w:qFormat/>
    <w:rsid w:val="006A748A"/>
    <w:pPr>
      <w:ind w:firstLine="0"/>
    </w:pPr>
  </w:style>
  <w:style w:type="paragraph" w:customStyle="1" w:styleId="ZLITLITzmlitliter">
    <w:name w:val="Z_LIT/LIT – zm. lit. literą"/>
    <w:basedOn w:val="LITlitera"/>
    <w:uiPriority w:val="48"/>
    <w:qFormat/>
    <w:rsid w:val="006A748A"/>
    <w:pPr>
      <w:ind w:left="1463"/>
    </w:pPr>
  </w:style>
  <w:style w:type="paragraph" w:customStyle="1" w:styleId="ZLITCZWSPPKTzmczciwsppktliter">
    <w:name w:val="Z_LIT/CZ_WSP_PKT – zm. części wsp. pkt literą"/>
    <w:basedOn w:val="CZWSPLITczwsplnaliter"/>
    <w:next w:val="LITlitera"/>
    <w:uiPriority w:val="50"/>
    <w:qFormat/>
    <w:rsid w:val="006A748A"/>
    <w:pPr>
      <w:ind w:left="987"/>
    </w:pPr>
  </w:style>
  <w:style w:type="paragraph" w:customStyle="1" w:styleId="ZLITTIRzmtirliter">
    <w:name w:val="Z_LIT/TIR – zm. tir. literą"/>
    <w:basedOn w:val="TIRtiret"/>
    <w:uiPriority w:val="49"/>
    <w:qFormat/>
    <w:rsid w:val="006A748A"/>
  </w:style>
  <w:style w:type="paragraph" w:customStyle="1" w:styleId="ZZCZWSPLITwPKTzmianazmczciwsplitwpkt">
    <w:name w:val="ZZ/CZ_WSP_LIT_w_PKT – zmiana zm. części wsp. lit. w pkt"/>
    <w:basedOn w:val="ZZLITwPKTzmianazmlitwpkt"/>
    <w:uiPriority w:val="69"/>
    <w:qFormat/>
    <w:rsid w:val="006A748A"/>
    <w:pPr>
      <w:ind w:left="2404" w:firstLine="0"/>
    </w:pPr>
  </w:style>
  <w:style w:type="paragraph" w:customStyle="1" w:styleId="ZLITLITwPKTzmlitwpktliter">
    <w:name w:val="Z_LIT/LIT_w_PKT – zm. lit. w pkt literą"/>
    <w:basedOn w:val="LITlitera"/>
    <w:uiPriority w:val="48"/>
    <w:qFormat/>
    <w:rsid w:val="006A748A"/>
    <w:pPr>
      <w:ind w:left="1973"/>
    </w:pPr>
  </w:style>
  <w:style w:type="paragraph" w:customStyle="1" w:styleId="ZLITCZWSPLITwPKTzmczciwsplitwpktliter">
    <w:name w:val="Z_LIT/CZ_WSP_LIT_w_PKT – zm. części wsp. lit. w pkt literą"/>
    <w:basedOn w:val="CZWSPLITczwsplnaliter"/>
    <w:next w:val="LITlitera"/>
    <w:uiPriority w:val="51"/>
    <w:qFormat/>
    <w:rsid w:val="006A748A"/>
    <w:pPr>
      <w:ind w:left="1497"/>
    </w:pPr>
  </w:style>
  <w:style w:type="paragraph" w:customStyle="1" w:styleId="ZLITTIRwPKTzmtirwpktliter">
    <w:name w:val="Z_LIT/TIR_w_PKT – zm. tir. w pkt literą"/>
    <w:basedOn w:val="TIRtiret"/>
    <w:uiPriority w:val="49"/>
    <w:qFormat/>
    <w:rsid w:val="006A748A"/>
    <w:pPr>
      <w:ind w:left="2370"/>
    </w:pPr>
  </w:style>
  <w:style w:type="paragraph" w:customStyle="1" w:styleId="ZLITCZWSPTIRwPKTzmczciwsptirwpktliter">
    <w:name w:val="Z_LIT/CZ_WSP_TIR_w_PKT – zm. części wsp. tir. w pkt literą"/>
    <w:basedOn w:val="CZWSPTIRczwsplnatiret"/>
    <w:next w:val="LITlitera"/>
    <w:uiPriority w:val="51"/>
    <w:qFormat/>
    <w:rsid w:val="006A748A"/>
    <w:pPr>
      <w:ind w:left="1973"/>
    </w:pPr>
  </w:style>
  <w:style w:type="paragraph" w:styleId="Tekstprzypisudolnego">
    <w:name w:val="footnote text"/>
    <w:basedOn w:val="Normalny"/>
    <w:link w:val="TekstprzypisudolnegoZnak"/>
    <w:uiPriority w:val="99"/>
    <w:semiHidden/>
    <w:qFormat/>
    <w:locked/>
    <w:rsid w:val="00295A6F"/>
    <w:rPr>
      <w:rFonts w:ascii="Times" w:eastAsia="Times New Roman" w:hAnsi="Times" w:cs="Times New Roman"/>
      <w:szCs w:val="24"/>
    </w:rPr>
  </w:style>
  <w:style w:type="character" w:customStyle="1" w:styleId="TekstprzypisudolnegoZnak">
    <w:name w:val="Tekst przypisu dolnego Znak"/>
    <w:basedOn w:val="Domylnaczcionkaakapitu"/>
    <w:link w:val="Tekstprzypisudolnego"/>
    <w:uiPriority w:val="99"/>
    <w:semiHidden/>
    <w:rsid w:val="006E0FCC"/>
    <w:rPr>
      <w:sz w:val="20"/>
    </w:rPr>
  </w:style>
  <w:style w:type="paragraph" w:customStyle="1" w:styleId="ZTIRLITzmlittiret">
    <w:name w:val="Z_TIR/LIT – zm. lit. tiret"/>
    <w:basedOn w:val="LITlitera"/>
    <w:uiPriority w:val="57"/>
    <w:qFormat/>
    <w:rsid w:val="006A748A"/>
    <w:pPr>
      <w:ind w:left="1859"/>
    </w:pPr>
  </w:style>
  <w:style w:type="paragraph" w:customStyle="1" w:styleId="ZTIRCZWSPPKTzmczciwsppkttiret">
    <w:name w:val="Z_TIR/CZ_WSP_PKT – zm. części wsp. pkt tiret"/>
    <w:basedOn w:val="CZWSPLITczwsplnaliter"/>
    <w:next w:val="TIRtiret"/>
    <w:uiPriority w:val="58"/>
    <w:qFormat/>
    <w:rsid w:val="006A748A"/>
    <w:pPr>
      <w:ind w:left="1383"/>
    </w:pPr>
  </w:style>
  <w:style w:type="paragraph" w:customStyle="1" w:styleId="ZTIRTIRzmtirtiret">
    <w:name w:val="Z_TIR/TIR – zm. tir. tiret"/>
    <w:basedOn w:val="TIRtiret"/>
    <w:uiPriority w:val="57"/>
    <w:qFormat/>
    <w:rsid w:val="006A748A"/>
    <w:pPr>
      <w:ind w:left="1780"/>
    </w:pPr>
  </w:style>
  <w:style w:type="paragraph" w:customStyle="1" w:styleId="ZZCZWSPTIRwPKTzmianazmczciwsptirwpkt">
    <w:name w:val="ZZ/CZ_WSP_TIR_w_PKT – zmiana zm. części wsp. tir. w pkt"/>
    <w:basedOn w:val="ZZTIRwPKTzmianazmtirwpkt"/>
    <w:uiPriority w:val="70"/>
    <w:qFormat/>
    <w:rsid w:val="006A748A"/>
    <w:pPr>
      <w:ind w:left="2880" w:firstLine="0"/>
    </w:pPr>
  </w:style>
  <w:style w:type="paragraph" w:customStyle="1" w:styleId="ZZTIRwLITzmianazmtirwlit">
    <w:name w:val="ZZ/TIR_w_LIT – zmiana zm. tir. w lit."/>
    <w:basedOn w:val="ZZTIRzmianazmtir"/>
    <w:uiPriority w:val="67"/>
    <w:qFormat/>
    <w:rsid w:val="006A748A"/>
    <w:pPr>
      <w:ind w:left="2767"/>
    </w:pPr>
  </w:style>
  <w:style w:type="paragraph" w:customStyle="1" w:styleId="ZTIRTIRwLITzmtirwlittiret">
    <w:name w:val="Z_TIR/TIR_w_LIT – zm. tir. w lit. tiret"/>
    <w:basedOn w:val="TIRtiret"/>
    <w:uiPriority w:val="57"/>
    <w:qFormat/>
    <w:rsid w:val="006A748A"/>
    <w:pPr>
      <w:ind w:left="2257"/>
    </w:pPr>
  </w:style>
  <w:style w:type="paragraph" w:customStyle="1" w:styleId="ZTIRCZWSPTIRwLITzmczciwsptirwlittiret">
    <w:name w:val="Z_TIR/CZ_WSP_TIR_w_LIT – zm. części wsp. tir. w lit. tiret"/>
    <w:basedOn w:val="CZWSPTIRczwsplnatiret"/>
    <w:next w:val="TIRtiret"/>
    <w:uiPriority w:val="60"/>
    <w:qFormat/>
    <w:rsid w:val="006A748A"/>
    <w:pPr>
      <w:ind w:left="1860"/>
    </w:pPr>
  </w:style>
  <w:style w:type="paragraph" w:customStyle="1" w:styleId="CZWSP2TIRczwsplnapodwjnychtiret">
    <w:name w:val="CZ_WSP_2TIR – część wspólna podwójnych tiret"/>
    <w:basedOn w:val="CZWSPTIRczwsplnatiret"/>
    <w:next w:val="TIRtiret"/>
    <w:uiPriority w:val="73"/>
    <w:qFormat/>
    <w:rsid w:val="006A748A"/>
    <w:pPr>
      <w:ind w:left="1780"/>
    </w:pPr>
  </w:style>
  <w:style w:type="paragraph" w:customStyle="1" w:styleId="Z2TIRzmpodwtirartykuempunktem">
    <w:name w:val="Z/2TIR – zm. podw. tir. artykułem (punktem)"/>
    <w:basedOn w:val="TIRtiret"/>
    <w:uiPriority w:val="73"/>
    <w:qFormat/>
    <w:rsid w:val="006A748A"/>
    <w:pPr>
      <w:ind w:left="907"/>
    </w:pPr>
  </w:style>
  <w:style w:type="paragraph" w:customStyle="1" w:styleId="ZZCZWSPTIRwLITzmianazmczciwsptirwlit">
    <w:name w:val="ZZ/CZ_WSP_TIR_w_LIT – zmiana zm. części wsp. tir. w lit."/>
    <w:basedOn w:val="ZZTIRwLITzmianazmtirwlit"/>
    <w:uiPriority w:val="70"/>
    <w:qFormat/>
    <w:rsid w:val="006A748A"/>
    <w:pPr>
      <w:ind w:left="2370" w:firstLine="0"/>
    </w:pPr>
  </w:style>
  <w:style w:type="paragraph" w:customStyle="1" w:styleId="ZLIT2TIRzmpodwtirliter">
    <w:name w:val="Z_LIT/2TIR – zm. podw. tir. literą"/>
    <w:basedOn w:val="TIRtiret"/>
    <w:uiPriority w:val="75"/>
    <w:qFormat/>
    <w:rsid w:val="006A748A"/>
  </w:style>
  <w:style w:type="paragraph" w:customStyle="1" w:styleId="ZTIR2TIRzmpodwtirtiret">
    <w:name w:val="Z_TIR/2TIR – zm. podw. tir. tiret"/>
    <w:basedOn w:val="TIRtiret"/>
    <w:uiPriority w:val="78"/>
    <w:qFormat/>
    <w:rsid w:val="006A748A"/>
    <w:pPr>
      <w:ind w:left="1780"/>
    </w:pPr>
  </w:style>
  <w:style w:type="paragraph" w:customStyle="1" w:styleId="Z2TIRCZWSPLITzmczciwsplitpodwjnymtiret">
    <w:name w:val="Z_2TIR/CZ_WSP_LIT – zm. części wsp. lit. podwójnym tiret"/>
    <w:basedOn w:val="CZWSPTIRczwsplnatiret"/>
    <w:next w:val="2TIRpodwjnytiret"/>
    <w:uiPriority w:val="87"/>
    <w:qFormat/>
    <w:rsid w:val="006A748A"/>
    <w:pPr>
      <w:ind w:left="1780"/>
    </w:pPr>
  </w:style>
  <w:style w:type="paragraph" w:customStyle="1" w:styleId="Z2TIRwPKTzmpodwtirwpktartykuempunktem">
    <w:name w:val="Z/2TIR_w_PKT – zm. podw. tir. w pkt artykułem (punktem)"/>
    <w:basedOn w:val="TIRtiret"/>
    <w:next w:val="ZPKTzmpktartykuempunktem"/>
    <w:uiPriority w:val="74"/>
    <w:qFormat/>
    <w:rsid w:val="006A748A"/>
    <w:pPr>
      <w:ind w:left="2291"/>
    </w:pPr>
  </w:style>
  <w:style w:type="paragraph" w:customStyle="1" w:styleId="ZTIRPKTzmpkttiret">
    <w:name w:val="Z_TIR/PKT – zm. pkt tiret"/>
    <w:basedOn w:val="PKTpunkt"/>
    <w:uiPriority w:val="56"/>
    <w:qFormat/>
    <w:rsid w:val="006A748A"/>
    <w:pPr>
      <w:ind w:left="1893"/>
    </w:pPr>
  </w:style>
  <w:style w:type="paragraph" w:customStyle="1" w:styleId="ZTIRLITwPKTzmlitwpkttiret">
    <w:name w:val="Z_TIR/LIT_w_PKT – zm. lit. w pkt tiret"/>
    <w:basedOn w:val="LITlitera"/>
    <w:uiPriority w:val="57"/>
    <w:qFormat/>
    <w:rsid w:val="006A748A"/>
    <w:pPr>
      <w:ind w:left="2336"/>
    </w:pPr>
  </w:style>
  <w:style w:type="paragraph" w:customStyle="1" w:styleId="ZTIRCZWSPLITwPKTzmczciwsplitwpkttiret">
    <w:name w:val="Z_TIR/CZ_WSP_LIT_w_PKT – zm. części wsp. lit. w pkt tiret"/>
    <w:basedOn w:val="CZWSPLITczwsplnaliter"/>
    <w:uiPriority w:val="59"/>
    <w:qFormat/>
    <w:rsid w:val="006A748A"/>
    <w:pPr>
      <w:ind w:left="1860"/>
    </w:pPr>
  </w:style>
  <w:style w:type="paragraph" w:customStyle="1" w:styleId="ZTIR2TIRwLITzmpodwtirwlittiret">
    <w:name w:val="Z_TIR/2TIR_w_LIT – zm. podw. tir. w lit. tiret"/>
    <w:basedOn w:val="TIRtiret"/>
    <w:uiPriority w:val="79"/>
    <w:qFormat/>
    <w:rsid w:val="006A748A"/>
    <w:pPr>
      <w:ind w:left="2654"/>
    </w:pPr>
  </w:style>
  <w:style w:type="paragraph" w:customStyle="1" w:styleId="ZTIRCZWSP2TIRwLITzmczciwsppodwtirwlittiret">
    <w:name w:val="Z_TIR/CZ_WSP_2TIR_w_LIT – zm. części wsp. podw. tir. w lit. tiret"/>
    <w:basedOn w:val="CZWSPTIRczwsplnatiret"/>
    <w:next w:val="TIRtiret"/>
    <w:uiPriority w:val="80"/>
    <w:qFormat/>
    <w:rsid w:val="006A748A"/>
    <w:pPr>
      <w:ind w:left="2257"/>
    </w:pPr>
  </w:style>
  <w:style w:type="paragraph" w:customStyle="1" w:styleId="ZTIR2TIRwTIRzmpodwtirwtirtiret">
    <w:name w:val="Z_TIR/2TIR_w_TIR – zm. podw. tir. w tir. tiret"/>
    <w:basedOn w:val="TIRtiret"/>
    <w:uiPriority w:val="78"/>
    <w:qFormat/>
    <w:rsid w:val="006A748A"/>
    <w:pPr>
      <w:ind w:left="2177"/>
    </w:pPr>
  </w:style>
  <w:style w:type="paragraph" w:customStyle="1" w:styleId="ZTIRCZWSP2TIRwTIRzmczciwsppodwtirwtirtiret">
    <w:name w:val="Z_TIR/CZ_WSP_2TIR_w_TIR – zm. części wsp. podw. tir. w tir. tiret"/>
    <w:basedOn w:val="CZWSPTIRczwsplnatiret"/>
    <w:uiPriority w:val="79"/>
    <w:qFormat/>
    <w:rsid w:val="006A748A"/>
    <w:pPr>
      <w:ind w:left="1780"/>
    </w:pPr>
  </w:style>
  <w:style w:type="paragraph" w:customStyle="1" w:styleId="Z2TIRLITzmlitpodwjnymtiret">
    <w:name w:val="Z_2TIR/LIT – zm. lit. podwójnym tiret"/>
    <w:basedOn w:val="LITlitera"/>
    <w:uiPriority w:val="84"/>
    <w:qFormat/>
    <w:rsid w:val="006A748A"/>
    <w:pPr>
      <w:ind w:left="2256"/>
    </w:pPr>
  </w:style>
  <w:style w:type="paragraph" w:customStyle="1" w:styleId="ZZ2TIRwTIRzmianazmpodwtirwtir">
    <w:name w:val="ZZ/2TIR_w_TIR – zmiana zm. podw. tir. w tir."/>
    <w:basedOn w:val="ZZCZWSP2TIRzmianazmczciwsppodwtir"/>
    <w:uiPriority w:val="93"/>
    <w:qFormat/>
    <w:rsid w:val="006A748A"/>
    <w:pPr>
      <w:ind w:left="2688" w:hanging="397"/>
    </w:pPr>
  </w:style>
  <w:style w:type="paragraph" w:customStyle="1" w:styleId="ZZ2TIRwLITzmianazmpodwtirwlit">
    <w:name w:val="ZZ/2TIR_w_LIT – zmiana zm. podw. tir. w lit."/>
    <w:basedOn w:val="ZZ2TIRwTIRzmianazmpodwtirwtir"/>
    <w:uiPriority w:val="94"/>
    <w:qFormat/>
    <w:rsid w:val="006A748A"/>
    <w:pPr>
      <w:ind w:left="3164"/>
    </w:pPr>
  </w:style>
  <w:style w:type="paragraph" w:customStyle="1" w:styleId="Z2TIRTIRwLITzmtirwlitpodwjnymtiret">
    <w:name w:val="Z_2TIR/TIR_w_LIT – zm. tir. w lit. podwójnym tiret"/>
    <w:basedOn w:val="TIRtiret"/>
    <w:uiPriority w:val="84"/>
    <w:qFormat/>
    <w:rsid w:val="006A748A"/>
    <w:pPr>
      <w:ind w:left="2654"/>
    </w:pPr>
  </w:style>
  <w:style w:type="paragraph" w:customStyle="1" w:styleId="Z2TIRCZWSPTIRwLITzmczciwsptirwlitpodwjnymtiret">
    <w:name w:val="Z_2TIR/CZ_WSP_TIR_w_LIT – zm. części wsp. tir. w lit. podwójnym tiret"/>
    <w:basedOn w:val="CZWSPTIRczwsplnatiret"/>
    <w:next w:val="2TIRpodwjnytiret"/>
    <w:uiPriority w:val="87"/>
    <w:qFormat/>
    <w:rsid w:val="006A748A"/>
    <w:pPr>
      <w:ind w:left="2257"/>
    </w:pPr>
  </w:style>
  <w:style w:type="paragraph" w:customStyle="1" w:styleId="ZZ2TIRwPKTzmianazmpodwtirwpkt">
    <w:name w:val="ZZ/2TIR_w_PKT – zmiana zm. podw. tir. w pkt"/>
    <w:basedOn w:val="ZZ2TIRwLITzmianazmpodwtirwlit"/>
    <w:uiPriority w:val="94"/>
    <w:qFormat/>
    <w:rsid w:val="006A748A"/>
    <w:pPr>
      <w:ind w:left="3674"/>
    </w:pPr>
  </w:style>
  <w:style w:type="paragraph" w:customStyle="1" w:styleId="ZZCZWSP2TIRwTIRzmianazmczciwsppodwtirwtir">
    <w:name w:val="ZZ/CZ_WSP_2TIR_w_TIR – zmiana zm. części wsp. podw. tir. w tir."/>
    <w:basedOn w:val="ZZ2TIRwLITzmianazmpodwtirwlit"/>
    <w:uiPriority w:val="94"/>
    <w:qFormat/>
    <w:rsid w:val="006A748A"/>
    <w:pPr>
      <w:ind w:left="2291" w:firstLine="0"/>
    </w:pPr>
  </w:style>
  <w:style w:type="paragraph" w:customStyle="1" w:styleId="Z2TIR2TIRwTIRzmpodwtirwtirpodwjnymtiret">
    <w:name w:val="Z_2TIR/2TIR_w_TIR – zm. podw. tir. w tir. podwójnym tiret"/>
    <w:basedOn w:val="TIRtiret"/>
    <w:uiPriority w:val="85"/>
    <w:qFormat/>
    <w:rsid w:val="006A748A"/>
    <w:pPr>
      <w:ind w:left="2574"/>
    </w:pPr>
  </w:style>
  <w:style w:type="paragraph" w:customStyle="1" w:styleId="Z2TIRCZWSP2TIRwTIRzmczciwsppodwtirwtiretpodwjnymtiret">
    <w:name w:val="Z_2TIR/CZ_WSP_2TIR_w_TIR – zm. części wsp. podw. tir. w tiret podwójnym tiret"/>
    <w:basedOn w:val="CZWSPTIRczwsplnatiret"/>
    <w:next w:val="2TIRpodwjnytiret"/>
    <w:uiPriority w:val="88"/>
    <w:qFormat/>
    <w:rsid w:val="006A748A"/>
    <w:pPr>
      <w:ind w:left="2177"/>
    </w:pPr>
  </w:style>
  <w:style w:type="paragraph" w:customStyle="1" w:styleId="Z2TIR2TIRwLITzmpodwtirwlitpodwjnymtiret">
    <w:name w:val="Z_2TIR/2TIR_w_LIT – zm. podw. tir. w lit. podwójnym tiret"/>
    <w:basedOn w:val="TIRtiret"/>
    <w:uiPriority w:val="86"/>
    <w:qFormat/>
    <w:rsid w:val="006A748A"/>
    <w:pPr>
      <w:ind w:left="3051"/>
    </w:pPr>
  </w:style>
  <w:style w:type="paragraph" w:customStyle="1" w:styleId="Z2TIRCZWSP2TIRwLITzmczciwsppodwtirwlitpodwjnymtiret">
    <w:name w:val="Z_2TIR/CZ_WSP_2TIR_w_LIT – zm. części wsp. podw. tir. w lit. podwójnym tiret"/>
    <w:basedOn w:val="CZWSPTIRczwsplnatiret"/>
    <w:next w:val="2TIRpodwjnytiret"/>
    <w:uiPriority w:val="89"/>
    <w:qFormat/>
    <w:rsid w:val="006A748A"/>
    <w:pPr>
      <w:ind w:left="2654"/>
    </w:pPr>
  </w:style>
  <w:style w:type="paragraph" w:customStyle="1" w:styleId="ZCZCIKSIGIzmozniprzedmczciksigiartykuempunktem">
    <w:name w:val="Z/CZĘŚCI(KSIĘGI) – zm. ozn. i przedm. części (księgi) artykułem (punktem)"/>
    <w:basedOn w:val="CZKSIGAoznaczenieiprzedmiotczcilubksigi"/>
    <w:uiPriority w:val="28"/>
    <w:qFormat/>
    <w:rsid w:val="006A748A"/>
    <w:pPr>
      <w:ind w:left="510"/>
    </w:pPr>
    <w:rPr>
      <w:b w:val="0"/>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29"/>
    <w:qFormat/>
    <w:rsid w:val="00BB7B38"/>
    <w:pPr>
      <w:spacing w:after="120"/>
      <w:ind w:left="510"/>
    </w:pPr>
    <w:rPr>
      <w:b w:val="0"/>
    </w:rPr>
  </w:style>
  <w:style w:type="character" w:styleId="Odwoaniedokomentarza">
    <w:name w:val="annotation reference"/>
    <w:basedOn w:val="Domylnaczcionkaakapitu"/>
    <w:uiPriority w:val="99"/>
    <w:semiHidden/>
    <w:rsid w:val="00023F13"/>
    <w:rPr>
      <w:sz w:val="16"/>
      <w:szCs w:val="16"/>
    </w:rPr>
  </w:style>
  <w:style w:type="paragraph" w:styleId="Tekstkomentarza">
    <w:name w:val="annotation text"/>
    <w:basedOn w:val="Normalny"/>
    <w:link w:val="TekstkomentarzaZnak"/>
    <w:uiPriority w:val="99"/>
    <w:rsid w:val="00023F13"/>
    <w:rPr>
      <w:rFonts w:ascii="Times" w:eastAsia="Times New Roman" w:hAnsi="Times" w:cs="Times New Roman"/>
      <w:szCs w:val="24"/>
    </w:rPr>
  </w:style>
  <w:style w:type="character" w:customStyle="1" w:styleId="TekstkomentarzaZnak">
    <w:name w:val="Tekst komentarza Znak"/>
    <w:basedOn w:val="Domylnaczcionkaakapitu"/>
    <w:link w:val="Tekstkomentarza"/>
    <w:uiPriority w:val="99"/>
    <w:rsid w:val="004504C0"/>
    <w:rPr>
      <w:sz w:val="20"/>
    </w:rPr>
  </w:style>
  <w:style w:type="paragraph" w:styleId="Tematkomentarza">
    <w:name w:val="annotation subject"/>
    <w:basedOn w:val="Tekstkomentarza"/>
    <w:next w:val="Tekstkomentarza"/>
    <w:link w:val="TematkomentarzaZnak"/>
    <w:uiPriority w:val="99"/>
    <w:semiHidden/>
    <w:rsid w:val="00023F13"/>
    <w:rPr>
      <w:b/>
      <w:bCs/>
    </w:rPr>
  </w:style>
  <w:style w:type="character" w:customStyle="1" w:styleId="TematkomentarzaZnak">
    <w:name w:val="Temat komentarza Znak"/>
    <w:basedOn w:val="TekstkomentarzaZnak"/>
    <w:link w:val="Tematkomentarza"/>
    <w:uiPriority w:val="99"/>
    <w:semiHidden/>
    <w:rsid w:val="004504C0"/>
    <w:rPr>
      <w:b/>
      <w:bCs/>
      <w:sz w:val="20"/>
    </w:rPr>
  </w:style>
  <w:style w:type="paragraph" w:customStyle="1" w:styleId="ZZARTzmianazmart">
    <w:name w:val="ZZ/ART(§) – zmiana zm. art. (§)"/>
    <w:basedOn w:val="ZARTzmartartykuempunktem"/>
    <w:uiPriority w:val="65"/>
    <w:qFormat/>
    <w:rsid w:val="006A748A"/>
    <w:pPr>
      <w:ind w:left="1894"/>
    </w:pPr>
  </w:style>
  <w:style w:type="paragraph" w:customStyle="1" w:styleId="ZZPKTzmianazmpkt">
    <w:name w:val="ZZ/PKT – zmiana zm. pkt"/>
    <w:basedOn w:val="ZPKTzmpktartykuempunktem"/>
    <w:uiPriority w:val="66"/>
    <w:qFormat/>
    <w:rsid w:val="006A748A"/>
    <w:pPr>
      <w:ind w:left="2404"/>
    </w:pPr>
  </w:style>
  <w:style w:type="paragraph" w:customStyle="1" w:styleId="ZZLITwPKTzmianazmlitwpkt">
    <w:name w:val="ZZ/LIT_w_PKT – zmiana zm. lit. w pkt"/>
    <w:basedOn w:val="ZLITwPKTzmlitwpktartykuempunktem"/>
    <w:uiPriority w:val="67"/>
    <w:qFormat/>
    <w:rsid w:val="006A748A"/>
    <w:pPr>
      <w:ind w:left="2880"/>
    </w:pPr>
  </w:style>
  <w:style w:type="paragraph" w:customStyle="1" w:styleId="ZZTIRwPKTzmianazmtirwpkt">
    <w:name w:val="ZZ/TIR_w_PKT – zmiana zm. tir. w pkt"/>
    <w:basedOn w:val="ZTIRwPKTzmtirwpktartykuempunktem"/>
    <w:uiPriority w:val="67"/>
    <w:qFormat/>
    <w:rsid w:val="006A748A"/>
    <w:pPr>
      <w:ind w:left="3277"/>
    </w:pPr>
  </w:style>
  <w:style w:type="paragraph" w:customStyle="1" w:styleId="ZZWMATFIZCHEMzmwzorumatfizlubchem">
    <w:name w:val="ZZ/W_MAT(FIZ|CHEM) – zm. wzoru mat. (fiz. lub chem.)"/>
    <w:basedOn w:val="ZWMATFIZCHEMzmwzorumatfizlubchemartykuempunktem"/>
    <w:uiPriority w:val="71"/>
    <w:qFormat/>
    <w:rsid w:val="001270A2"/>
    <w:pPr>
      <w:ind w:left="2404"/>
    </w:pPr>
  </w:style>
  <w:style w:type="paragraph" w:customStyle="1" w:styleId="ODNONIKtreodnonika">
    <w:name w:val="ODNOŚNIK – treść odnośnika"/>
    <w:uiPriority w:val="19"/>
    <w:qFormat/>
    <w:rsid w:val="006A748A"/>
    <w:pPr>
      <w:spacing w:line="240" w:lineRule="auto"/>
      <w:ind w:left="284" w:hanging="284"/>
      <w:jc w:val="both"/>
    </w:pPr>
    <w:rPr>
      <w:rFonts w:ascii="Times New Roman" w:eastAsiaTheme="minorEastAsia" w:hAnsi="Times New Roman" w:cs="Arial"/>
      <w:sz w:val="20"/>
      <w:szCs w:val="20"/>
    </w:rPr>
  </w:style>
  <w:style w:type="paragraph" w:customStyle="1" w:styleId="ZFRAGzmfragmentunpzdaniaartykuempunktem">
    <w:name w:val="Z/FRAG – zm. fragmentu (np. zdania) artykułem (punktem)"/>
    <w:basedOn w:val="ZARTzmartartykuempunktem"/>
    <w:next w:val="PKTpunkt"/>
    <w:uiPriority w:val="36"/>
    <w:qFormat/>
    <w:rsid w:val="006A748A"/>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uiPriority w:val="52"/>
    <w:qFormat/>
    <w:rsid w:val="006A748A"/>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uiPriority w:val="60"/>
    <w:qFormat/>
    <w:rsid w:val="006A748A"/>
    <w:rPr>
      <w:rFonts w:ascii="Times New Roman" w:hAnsi="Times New Roman"/>
    </w:rPr>
  </w:style>
  <w:style w:type="paragraph" w:customStyle="1" w:styleId="ZTIRTIRwPKTzmtirwpkttiret">
    <w:name w:val="Z_TIR/TIR_w_PKT – zm. tir. w pkt tiret"/>
    <w:basedOn w:val="ZTIRTIRwLITzmtirwlittiret"/>
    <w:uiPriority w:val="57"/>
    <w:qFormat/>
    <w:rsid w:val="006A748A"/>
    <w:pPr>
      <w:ind w:left="2733"/>
    </w:pPr>
  </w:style>
  <w:style w:type="paragraph" w:customStyle="1" w:styleId="ZTIRCZWSPTIRwPKTzmczciwsptirtiret">
    <w:name w:val="Z_TIR/CZ_WSP_TIR_w_PKT – zm. części wsp. tir. tiret"/>
    <w:basedOn w:val="ZTIRTIRwPKTzmtirwpkttiret"/>
    <w:next w:val="TIRtiret"/>
    <w:uiPriority w:val="60"/>
    <w:qFormat/>
    <w:rsid w:val="006A748A"/>
    <w:pPr>
      <w:ind w:left="2336" w:firstLine="0"/>
    </w:pPr>
  </w:style>
  <w:style w:type="paragraph" w:customStyle="1" w:styleId="SKARNsankcjakarnawszczeglnociwKodeksiekarnym">
    <w:name w:val="S_KARN – sankcja karna w szczególności w Kodeksie karnym"/>
    <w:basedOn w:val="USTustnpkodeksu"/>
    <w:next w:val="ARTartustawynprozporzdzenia"/>
    <w:uiPriority w:val="18"/>
    <w:qFormat/>
    <w:rsid w:val="006A748A"/>
    <w:pPr>
      <w:ind w:left="510" w:firstLine="0"/>
    </w:pPr>
  </w:style>
  <w:style w:type="paragraph" w:customStyle="1" w:styleId="ROZDZODDZOZNoznaczenierozdziauluboddziau">
    <w:name w:val="ROZDZ(ODDZ)_OZN – oznaczenie rozdziału lub oddziału"/>
    <w:next w:val="ARTartustawynprozporzdzenia"/>
    <w:uiPriority w:val="10"/>
    <w:qFormat/>
    <w:rsid w:val="006A748A"/>
    <w:pPr>
      <w:keepNext/>
      <w:suppressAutoHyphens/>
      <w:spacing w:before="120"/>
      <w:jc w:val="center"/>
    </w:pPr>
    <w:rPr>
      <w:rFonts w:eastAsiaTheme="minorEastAsia" w:cs="Arial"/>
      <w:bCs/>
      <w:kern w:val="24"/>
    </w:rPr>
  </w:style>
  <w:style w:type="paragraph" w:customStyle="1" w:styleId="Z2TIR2TIRzmpodwtirpodwjnymtiret">
    <w:name w:val="Z_2TIR/2TIR – zm. podw. tir. podwójnym tiret"/>
    <w:basedOn w:val="TIRtiret"/>
    <w:uiPriority w:val="85"/>
    <w:qFormat/>
    <w:rsid w:val="006A748A"/>
    <w:pPr>
      <w:ind w:left="2177"/>
    </w:pPr>
  </w:style>
  <w:style w:type="paragraph" w:customStyle="1" w:styleId="Z2TIRTIRzmtirpodwjnymtiret">
    <w:name w:val="Z_2TIR/TIR – zm. tir. podwójnym tiret"/>
    <w:basedOn w:val="TIRtiret"/>
    <w:uiPriority w:val="84"/>
    <w:qFormat/>
    <w:rsid w:val="006A748A"/>
    <w:pPr>
      <w:ind w:left="2177"/>
    </w:pPr>
  </w:style>
  <w:style w:type="paragraph" w:customStyle="1" w:styleId="ZSKARNzmsankcjikarnejwszczeglnociwKodeksiekarnym">
    <w:name w:val="Z/S_KARN – zm. sankcji karnej w szczególności w Kodeksie karnym"/>
    <w:basedOn w:val="SKARNsankcjakarnawszczeglnociwKodeksiekarnym"/>
    <w:next w:val="PKTpunkt"/>
    <w:uiPriority w:val="37"/>
    <w:qFormat/>
    <w:rsid w:val="006A748A"/>
    <w:pPr>
      <w:ind w:left="1021"/>
    </w:pPr>
  </w:style>
  <w:style w:type="paragraph" w:customStyle="1" w:styleId="ZLITSKARNzmsankcjikarnejliter">
    <w:name w:val="Z_LIT/S_KARN – zm. sankcji karnej literą"/>
    <w:basedOn w:val="ZSKARNzmsankcjikarnejwszczeglnociwKodeksiekarnym"/>
    <w:uiPriority w:val="53"/>
    <w:qFormat/>
    <w:rsid w:val="006A748A"/>
    <w:pPr>
      <w:ind w:left="1497"/>
    </w:pPr>
  </w:style>
  <w:style w:type="paragraph" w:customStyle="1" w:styleId="ZCYTzmcytatunpprzysigiartykuempunktem">
    <w:name w:val="Z/CYT – zm. cytatu np. przysięgi artykułem (punktem)"/>
    <w:basedOn w:val="CYTcytatnpprzysigi"/>
    <w:next w:val="ZUSTzmustartykuempunktem"/>
    <w:uiPriority w:val="37"/>
    <w:qFormat/>
    <w:rsid w:val="006A748A"/>
    <w:pPr>
      <w:ind w:left="1021"/>
    </w:pPr>
  </w:style>
  <w:style w:type="paragraph" w:customStyle="1" w:styleId="ZCZWSP2TIRwPKTzmczciwsppodwtirwpktartykuempunktem">
    <w:name w:val="Z/CZ_WSP_2TIR_w_PKT – zm. części wsp. podw. tir. w pkt artykułem (punktem)"/>
    <w:basedOn w:val="Z2TIRwPKTzmpodwtirwpktartykuempunktem"/>
    <w:next w:val="ZZUSTzmianazmust"/>
    <w:uiPriority w:val="75"/>
    <w:qFormat/>
    <w:rsid w:val="006A748A"/>
    <w:pPr>
      <w:ind w:left="1894" w:firstLine="0"/>
    </w:pPr>
  </w:style>
  <w:style w:type="paragraph" w:customStyle="1" w:styleId="Z2TIRwLITzmpodwtirwlitartykuempunktem">
    <w:name w:val="Z/2TIR_w_LIT – zm. podw. tir. w lit. artykułem (punktem)"/>
    <w:basedOn w:val="Z2TIRwPKTzmpodwtirwpktartykuempunktem"/>
    <w:uiPriority w:val="74"/>
    <w:qFormat/>
    <w:rsid w:val="006A748A"/>
    <w:pPr>
      <w:ind w:left="1780"/>
    </w:pPr>
  </w:style>
  <w:style w:type="paragraph" w:customStyle="1" w:styleId="Z2TIRwTIRzmpodwtirwtirartykuempunktem">
    <w:name w:val="Z/2TIR_w_TIR – zm. podw. tir. w tir. artykułem (punktem)"/>
    <w:basedOn w:val="Z2TIRwLITzmpodwtirwlitartykuempunktem"/>
    <w:uiPriority w:val="73"/>
    <w:qFormat/>
    <w:rsid w:val="006A748A"/>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74"/>
    <w:qFormat/>
    <w:rsid w:val="006A748A"/>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uiPriority w:val="75"/>
    <w:qFormat/>
    <w:rsid w:val="006A748A"/>
    <w:pPr>
      <w:ind w:left="1383" w:firstLine="0"/>
    </w:pPr>
  </w:style>
  <w:style w:type="paragraph" w:customStyle="1" w:styleId="ZZCZWSP2TIRzmianazmczciwsppodwtir">
    <w:name w:val="ZZ/CZ_WSP_2TIR – zmiana zm. części wsp. podw. tir."/>
    <w:basedOn w:val="ZZTIRzmianazmtir"/>
    <w:next w:val="ZZUSTzmianazmust"/>
    <w:uiPriority w:val="94"/>
    <w:qFormat/>
    <w:rsid w:val="006A748A"/>
    <w:pPr>
      <w:ind w:left="1894" w:firstLine="0"/>
    </w:pPr>
  </w:style>
  <w:style w:type="paragraph" w:customStyle="1" w:styleId="PKTODNONIKApunktodnonika">
    <w:name w:val="PKT_ODNOŚNIKA – punkt odnośnika"/>
    <w:basedOn w:val="ODNONIKtreodnonika"/>
    <w:uiPriority w:val="19"/>
    <w:qFormat/>
    <w:rsid w:val="006A748A"/>
    <w:pPr>
      <w:ind w:left="568"/>
    </w:pPr>
  </w:style>
  <w:style w:type="paragraph" w:customStyle="1" w:styleId="ZODNONIKAzmtekstuodnonikaartykuempunktem">
    <w:name w:val="Z/ODNOŚNIKA – zm. tekstu odnośnika artykułem (punktem)"/>
    <w:basedOn w:val="ODNONIKtreodnonika"/>
    <w:uiPriority w:val="39"/>
    <w:qFormat/>
    <w:rsid w:val="006A748A"/>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uiPriority w:val="39"/>
    <w:qFormat/>
    <w:rsid w:val="006A748A"/>
    <w:pPr>
      <w:ind w:left="1304"/>
    </w:pPr>
  </w:style>
  <w:style w:type="paragraph" w:customStyle="1" w:styleId="ZPKTODNONIKAzmpktodnonikaartykuempunktem">
    <w:name w:val="Z/PKT_ODNOŚNIKA – zm. pkt odnośnika artykułem (punktem)"/>
    <w:basedOn w:val="ZODNONIKAzmtekstuodnonikaartykuempunktem"/>
    <w:uiPriority w:val="39"/>
    <w:qFormat/>
    <w:rsid w:val="006A748A"/>
  </w:style>
  <w:style w:type="paragraph" w:customStyle="1" w:styleId="ZLIT2TIRwTIRzmpodwtirwtirliter">
    <w:name w:val="Z_LIT/2TIR_w_TIR – zm. podw. tir. w tir. literą"/>
    <w:basedOn w:val="ZLIT2TIRzmpodwtirliter"/>
    <w:uiPriority w:val="75"/>
    <w:qFormat/>
    <w:rsid w:val="006A748A"/>
    <w:pPr>
      <w:ind w:left="1780"/>
    </w:pPr>
  </w:style>
  <w:style w:type="paragraph" w:customStyle="1" w:styleId="ZLIT2TIRwLITzmpodwtirwlitliter">
    <w:name w:val="Z_LIT/2TIR_w_LIT – zm. podw. tir. w lit. literą"/>
    <w:basedOn w:val="ZLIT2TIRwTIRzmpodwtirwtirliter"/>
    <w:uiPriority w:val="76"/>
    <w:qFormat/>
    <w:rsid w:val="006A748A"/>
    <w:pPr>
      <w:ind w:left="2257"/>
    </w:pPr>
  </w:style>
  <w:style w:type="paragraph" w:customStyle="1" w:styleId="ZLIT2TIRwPKTzmpodwtirwpktliter">
    <w:name w:val="Z_LIT/2TIR_w_PKT – zm. podw. tir. w pkt literą"/>
    <w:basedOn w:val="ZLIT2TIRwLITzmpodwtirwlitliter"/>
    <w:uiPriority w:val="76"/>
    <w:qFormat/>
    <w:rsid w:val="006A748A"/>
    <w:pPr>
      <w:ind w:left="2767"/>
    </w:pPr>
  </w:style>
  <w:style w:type="paragraph" w:customStyle="1" w:styleId="ZLITCZWSP2TIRwTIRzmczciwsppodwtirwtirliter">
    <w:name w:val="Z_LIT/CZ_WSP_2TIR_w_TIR – zm. części wsp. podw. tir. w tir. literą"/>
    <w:basedOn w:val="ZLIT2TIRwTIRzmpodwtirwtirliter"/>
    <w:next w:val="LITlitera"/>
    <w:uiPriority w:val="76"/>
    <w:qFormat/>
    <w:rsid w:val="006A748A"/>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77"/>
    <w:qFormat/>
    <w:rsid w:val="006A748A"/>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77"/>
    <w:qFormat/>
    <w:rsid w:val="006A748A"/>
    <w:pPr>
      <w:ind w:left="2370" w:firstLine="0"/>
    </w:pPr>
  </w:style>
  <w:style w:type="paragraph" w:customStyle="1" w:styleId="ZTIR2TIRwPKTzmpodwtirwpkttiret">
    <w:name w:val="Z_TIR/2TIR_w_PKT – zm. podw. tir. w pkt tiret"/>
    <w:basedOn w:val="ZTIR2TIRwLITzmpodwtirwlittiret"/>
    <w:uiPriority w:val="79"/>
    <w:qFormat/>
    <w:rsid w:val="006A748A"/>
    <w:pPr>
      <w:ind w:left="3164"/>
    </w:pPr>
  </w:style>
  <w:style w:type="paragraph" w:customStyle="1" w:styleId="ZTIRCZWSP2TIRwPKTzmczciwsppodwtirwpkttiret">
    <w:name w:val="Z_TIR/CZ_WSP_2TIR_w_PKT – zm. części wsp. podw. tir. w pkt tiret"/>
    <w:basedOn w:val="ZTIR2TIRwPKTzmpodwtirwpkttiret"/>
    <w:next w:val="TIRtiret"/>
    <w:uiPriority w:val="80"/>
    <w:qFormat/>
    <w:rsid w:val="006A748A"/>
    <w:pPr>
      <w:ind w:left="2767" w:firstLine="0"/>
    </w:pPr>
  </w:style>
  <w:style w:type="paragraph" w:customStyle="1" w:styleId="ZZCZWSP2TIRwLITzmianazmczciwsppodwtirwlit">
    <w:name w:val="ZZ/CZ_WSP_2TIR_w_LIT – zmiana zm. części wsp. podw. tir. w lit."/>
    <w:basedOn w:val="ZZ2TIRwLITzmianazmpodwtirwlit"/>
    <w:uiPriority w:val="95"/>
    <w:qFormat/>
    <w:rsid w:val="006A748A"/>
    <w:pPr>
      <w:ind w:left="2767"/>
    </w:pPr>
  </w:style>
  <w:style w:type="paragraph" w:customStyle="1" w:styleId="ZZCZWSP2TIRwPKTzmianazmczciwsppodwtirwpkt">
    <w:name w:val="ZZ/CZ_WSP_2TIR_w_PKT – zmiana zm. części wsp. podw. tir. w pkt"/>
    <w:basedOn w:val="ZZ2TIRwLITzmianazmpodwtirwlit"/>
    <w:uiPriority w:val="95"/>
    <w:qFormat/>
    <w:rsid w:val="006A748A"/>
    <w:pPr>
      <w:ind w:left="3277" w:firstLine="0"/>
    </w:pPr>
  </w:style>
  <w:style w:type="paragraph" w:customStyle="1" w:styleId="ZCZWSP2TIRzmczciwsplnejpodwtirartykuempunktem">
    <w:name w:val="Z/CZ_WSP_2TIR – zm. części wspólnej podw. tir. artykułem (punktem)"/>
    <w:basedOn w:val="ZCZWSPPKTzmczciwsppktartykuempunktem"/>
    <w:next w:val="PKTpunkt"/>
    <w:uiPriority w:val="74"/>
    <w:qFormat/>
    <w:rsid w:val="006A748A"/>
  </w:style>
  <w:style w:type="paragraph" w:customStyle="1" w:styleId="ZLITCZWSP2TIRzmczciwsppodwtirliter">
    <w:name w:val="Z_LIT/CZ_WSP_2TIR – zm. części wsp. podw. tir. literą"/>
    <w:basedOn w:val="ZLITCZWSPPKTzmczciwsppktliter"/>
    <w:next w:val="LITlitera"/>
    <w:uiPriority w:val="76"/>
    <w:qFormat/>
    <w:rsid w:val="006A748A"/>
  </w:style>
  <w:style w:type="paragraph" w:customStyle="1" w:styleId="ZTIRCZWSP2TIRzmczciwsppodwtirtiret">
    <w:name w:val="Z_TIR/CZ_WSP_2TIR – zm. części wsp. podw. tir. tiret"/>
    <w:basedOn w:val="ZLITCZWSP2TIRzmczciwsppodwtirliter"/>
    <w:next w:val="TIRtiret"/>
    <w:uiPriority w:val="79"/>
    <w:qFormat/>
    <w:rsid w:val="006A748A"/>
  </w:style>
  <w:style w:type="paragraph" w:customStyle="1" w:styleId="ZZ2TIRzmianazmpodwtir">
    <w:name w:val="ZZ/2TIR – zmiana zm. podw. tir."/>
    <w:basedOn w:val="ZZCZWSP2TIRzmianazmczciwsppodwtir"/>
    <w:uiPriority w:val="93"/>
    <w:qFormat/>
    <w:rsid w:val="006A748A"/>
    <w:pPr>
      <w:ind w:left="2291" w:hanging="397"/>
    </w:pPr>
  </w:style>
  <w:style w:type="paragraph" w:customStyle="1" w:styleId="ZCZWSPLITzmczciwsplitartykuempunktem">
    <w:name w:val="Z/CZ_WSP_LIT – zm. części wsp. lit. artykułem (punktem)"/>
    <w:basedOn w:val="ZCZWSPPKTzmczciwsppktartykuempunktem"/>
    <w:next w:val="PKTpunkt"/>
    <w:uiPriority w:val="35"/>
    <w:qFormat/>
    <w:rsid w:val="006A748A"/>
  </w:style>
  <w:style w:type="paragraph" w:customStyle="1" w:styleId="ZCZWSPTIRzmczciwsptirartykuempunktem">
    <w:name w:val="Z/CZ_WSP_TIR – zm. części wsp. tir. artykułem (punktem)"/>
    <w:basedOn w:val="ZCZWSPPKTzmczciwsppktartykuempunktem"/>
    <w:next w:val="PKTpunkt"/>
    <w:uiPriority w:val="35"/>
    <w:qFormat/>
    <w:rsid w:val="006A748A"/>
  </w:style>
  <w:style w:type="paragraph" w:customStyle="1" w:styleId="ZLITCZWSPLITzmczciwsplitliter">
    <w:name w:val="Z_LIT/CZ_WSP_LIT – zm. części wsp. lit. literą"/>
    <w:basedOn w:val="ZLITCZWSPPKTzmczciwsppktliter"/>
    <w:next w:val="LITlitera"/>
    <w:uiPriority w:val="51"/>
    <w:qFormat/>
    <w:rsid w:val="006A748A"/>
  </w:style>
  <w:style w:type="paragraph" w:customStyle="1" w:styleId="ZLITCZWSPTIRzmczciwsptirliter">
    <w:name w:val="Z_LIT/CZ_WSP_TIR – zm. części wsp. tir. literą"/>
    <w:basedOn w:val="ZLITCZWSPPKTzmczciwsppktliter"/>
    <w:next w:val="LITlitera"/>
    <w:uiPriority w:val="51"/>
    <w:qFormat/>
    <w:rsid w:val="006A748A"/>
  </w:style>
  <w:style w:type="paragraph" w:customStyle="1" w:styleId="ZTIRCZWSPLITzmczciwsplittiret">
    <w:name w:val="Z_TIR/CZ_WSP_LIT – zm. części wsp. lit. tiret"/>
    <w:basedOn w:val="ZTIRCZWSPPKTzmczciwsppkttiret"/>
    <w:next w:val="TIRtiret"/>
    <w:uiPriority w:val="59"/>
    <w:qFormat/>
    <w:rsid w:val="006A748A"/>
  </w:style>
  <w:style w:type="paragraph" w:customStyle="1" w:styleId="ZTIRCZWSPTIRzmczciwsptirtiret">
    <w:name w:val="Z_TIR/CZ_WSP_TIR – zm. części wsp. tir. tiret"/>
    <w:basedOn w:val="ZTIRCZWSPPKTzmczciwsppkttiret"/>
    <w:next w:val="TIRtiret"/>
    <w:uiPriority w:val="60"/>
    <w:qFormat/>
    <w:rsid w:val="006A748A"/>
  </w:style>
  <w:style w:type="paragraph" w:customStyle="1" w:styleId="ZZCZWSPLITzmianazmczciwsplit">
    <w:name w:val="ZZ/CZ_WSP_LIT – zmiana. zm. części wsp. lit."/>
    <w:basedOn w:val="ZZCZWSPPKTzmianazmczciwsppkt"/>
    <w:uiPriority w:val="69"/>
    <w:qFormat/>
    <w:rsid w:val="006A748A"/>
  </w:style>
  <w:style w:type="paragraph" w:customStyle="1" w:styleId="ZZCZWSPTIRzmianazmczciwsptir">
    <w:name w:val="ZZ/CZ_WSP_TIR – zmiana. zm. części wsp. tir."/>
    <w:basedOn w:val="ZZCZWSPPKTzmianazmczciwsppkt"/>
    <w:uiPriority w:val="69"/>
    <w:qFormat/>
    <w:rsid w:val="006A748A"/>
  </w:style>
  <w:style w:type="paragraph" w:customStyle="1" w:styleId="Z2TIRCZWSPTIRzmczciwsptirpodwjnymtiret">
    <w:name w:val="Z_2TIR/CZ_WSP_TIR – zm. części wsp. tir. podwójnym tiret"/>
    <w:basedOn w:val="Z2TIRCZWSPLITzmczciwsplitpodwjnymtiret"/>
    <w:next w:val="2TIRpodwjnytiret"/>
    <w:uiPriority w:val="87"/>
    <w:qFormat/>
    <w:rsid w:val="006A748A"/>
  </w:style>
  <w:style w:type="paragraph" w:customStyle="1" w:styleId="Z2TIRCZWSP2TIRzmczciwsppodwtirpodwjnymtiret">
    <w:name w:val="Z_2TIR/CZ_WSP_2TIR – zm. części wsp. podw. tir. podwójnym tiret"/>
    <w:basedOn w:val="Z2TIRCZWSPLITzmczciwsplitpodwjnymtiret"/>
    <w:next w:val="2TIRpodwjnytiret"/>
    <w:uiPriority w:val="88"/>
    <w:qFormat/>
    <w:rsid w:val="006A748A"/>
  </w:style>
  <w:style w:type="paragraph" w:customStyle="1" w:styleId="ZUSTzmustartykuempunktem">
    <w:name w:val="Z/UST(§) – zm. ust. (§) artykułem (punktem)"/>
    <w:basedOn w:val="ZARTzmartartykuempunktem"/>
    <w:uiPriority w:val="30"/>
    <w:qFormat/>
    <w:rsid w:val="006A748A"/>
  </w:style>
  <w:style w:type="paragraph" w:customStyle="1" w:styleId="ZZUSTzmianazmust">
    <w:name w:val="ZZ/UST(§) – zmiana zm. ust. (§)"/>
    <w:basedOn w:val="ZZARTzmianazmart"/>
    <w:uiPriority w:val="65"/>
    <w:qFormat/>
    <w:rsid w:val="006A748A"/>
  </w:style>
  <w:style w:type="paragraph" w:customStyle="1" w:styleId="TYTDZPRZEDMprzedmiotregulacjitytuulubdziau">
    <w:name w:val="TYT(DZ)_PRZEDM – przedmiot regulacji tytułu lub działu"/>
    <w:next w:val="ARTartustawynprozporzdzenia"/>
    <w:uiPriority w:val="9"/>
    <w:qFormat/>
    <w:rsid w:val="006A748A"/>
    <w:pPr>
      <w:keepNext/>
      <w:suppressAutoHyphens/>
      <w:spacing w:before="120"/>
      <w:jc w:val="center"/>
    </w:pPr>
    <w:rPr>
      <w:b/>
      <w:szCs w:val="26"/>
    </w:rPr>
  </w:style>
  <w:style w:type="paragraph" w:customStyle="1" w:styleId="ZNIEARTTEKSTzmtekstunieartykuowanego">
    <w:name w:val="Z/NIEART_TEKST – zm. tekstu nieartykułowanego"/>
    <w:basedOn w:val="NIEARTTEKSTtekstnieartykuowanynppodstprawnarozplubpreambua"/>
    <w:uiPriority w:val="37"/>
    <w:qFormat/>
    <w:rsid w:val="006A748A"/>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63"/>
    <w:qFormat/>
    <w:rsid w:val="006A748A"/>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uiPriority w:val="63"/>
    <w:qFormat/>
    <w:rsid w:val="006A748A"/>
    <w:pPr>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63"/>
    <w:qFormat/>
    <w:rsid w:val="006A748A"/>
    <w:pPr>
      <w:ind w:left="1894"/>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64"/>
    <w:qFormat/>
    <w:rsid w:val="006A748A"/>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64"/>
    <w:qFormat/>
    <w:rsid w:val="006A748A"/>
    <w:pPr>
      <w:ind w:left="1894"/>
    </w:pPr>
  </w:style>
  <w:style w:type="paragraph" w:customStyle="1" w:styleId="P1wTABELIpoziom1numeracjiwtabeli">
    <w:name w:val="P1_w_TABELI – poziom 1 numeracji w tabeli"/>
    <w:basedOn w:val="PKTpunkt"/>
    <w:uiPriority w:val="24"/>
    <w:qFormat/>
    <w:rsid w:val="006A748A"/>
    <w:pPr>
      <w:ind w:left="397" w:hanging="397"/>
    </w:pPr>
    <w:rPr>
      <w:kern w:val="24"/>
    </w:rPr>
  </w:style>
  <w:style w:type="paragraph" w:customStyle="1" w:styleId="CZWSPP1wTABELIczwsppoziomu1numeracjiwtabeli">
    <w:name w:val="CZ_WSP_P1_w_TABELI – część wsp. poziomu 1 numeracji w tabeli"/>
    <w:basedOn w:val="P1wTABELIpoziom1numeracjiwtabeli"/>
    <w:next w:val="Normalny"/>
    <w:uiPriority w:val="25"/>
    <w:qFormat/>
    <w:rsid w:val="006A748A"/>
    <w:pPr>
      <w:ind w:left="0" w:firstLine="0"/>
    </w:pPr>
  </w:style>
  <w:style w:type="paragraph" w:customStyle="1" w:styleId="P2wTABELIpoziom2numeracjiwtabeli">
    <w:name w:val="P2_w_TABELI – poziom 2 numeracji w tabeli"/>
    <w:basedOn w:val="P1wTABELIpoziom1numeracjiwtabeli"/>
    <w:uiPriority w:val="24"/>
    <w:qFormat/>
    <w:rsid w:val="006A748A"/>
    <w:pPr>
      <w:ind w:left="794"/>
    </w:pPr>
  </w:style>
  <w:style w:type="paragraph" w:customStyle="1" w:styleId="P3wTABELIpoziom3numeracjiwtabeli">
    <w:name w:val="P3_w_TABELI – poziom 3 numeracji w tabeli"/>
    <w:basedOn w:val="P2wTABELIpoziom2numeracjiwtabeli"/>
    <w:uiPriority w:val="24"/>
    <w:qFormat/>
    <w:rsid w:val="006A748A"/>
    <w:pPr>
      <w:ind w:left="1191"/>
    </w:pPr>
  </w:style>
  <w:style w:type="paragraph" w:customStyle="1" w:styleId="CZWSPP2wTABELIczwsppoziomu2numeracjiwtabeli">
    <w:name w:val="CZ_WSP_P2_w_TABELI – część wsp. poziomu 2 numeracji w tabeli"/>
    <w:basedOn w:val="CZWSPP1wTABELIczwsppoziomu1numeracjiwtabeli"/>
    <w:next w:val="Normalny"/>
    <w:uiPriority w:val="25"/>
    <w:qFormat/>
    <w:rsid w:val="006A748A"/>
    <w:pPr>
      <w:ind w:left="397"/>
    </w:pPr>
  </w:style>
  <w:style w:type="paragraph" w:customStyle="1" w:styleId="CZWSPP3wTABELIczwsppoziomu3numeracjiwtabeli">
    <w:name w:val="CZ_WSP_P3_w_TABELI – część wsp. poziomu 3 numeracji w tabeli"/>
    <w:basedOn w:val="CZWSPP2wTABELIczwsppoziomu2numeracjiwtabeli"/>
    <w:uiPriority w:val="25"/>
    <w:qFormat/>
    <w:rsid w:val="006A748A"/>
    <w:pPr>
      <w:ind w:left="794"/>
    </w:pPr>
  </w:style>
  <w:style w:type="paragraph" w:customStyle="1" w:styleId="CZWSPP4wTABELIczwsppoziomu4numeracjiwtabeli">
    <w:name w:val="CZ_WSP_P4_w_TABELI – część wsp. poziomu 4 numeracji w tabeli"/>
    <w:basedOn w:val="CZWSPP3wTABELIczwsppoziomu3numeracjiwtabeli"/>
    <w:uiPriority w:val="25"/>
    <w:qFormat/>
    <w:rsid w:val="006A748A"/>
    <w:pPr>
      <w:ind w:left="1191"/>
    </w:pPr>
  </w:style>
  <w:style w:type="paragraph" w:customStyle="1" w:styleId="P4wTABELIpoziom4numeracjiwtabeli">
    <w:name w:val="P4_w_TABELI – poziom 4 numeracji w tabeli"/>
    <w:basedOn w:val="P3wTABELIpoziom3numeracjiwtabeli"/>
    <w:uiPriority w:val="24"/>
    <w:qFormat/>
    <w:rsid w:val="006A748A"/>
    <w:pPr>
      <w:ind w:left="1588"/>
    </w:pPr>
  </w:style>
  <w:style w:type="paragraph" w:customStyle="1" w:styleId="TYTTABELItytutabeli">
    <w:name w:val="TYT_TABELI – tytuł tabeli"/>
    <w:basedOn w:val="TYTDZOZNoznaczenietytuulubdziau"/>
    <w:uiPriority w:val="22"/>
    <w:qFormat/>
    <w:rsid w:val="006A748A"/>
    <w:rPr>
      <w:b/>
    </w:rPr>
  </w:style>
  <w:style w:type="paragraph" w:customStyle="1" w:styleId="OZNPROJEKTUwskazaniedatylubwersjiprojektu">
    <w:name w:val="OZN_PROJEKTU – wskazanie daty lub wersji projektu"/>
    <w:next w:val="OZNRODZAKTUtznustawalubrozporzdzenieiorganwydajcy"/>
    <w:uiPriority w:val="5"/>
    <w:qFormat/>
    <w:rsid w:val="006A748A"/>
    <w:pPr>
      <w:jc w:val="right"/>
    </w:pPr>
    <w:rPr>
      <w:rFonts w:ascii="Times New Roman" w:eastAsiaTheme="minorEastAsia" w:hAnsi="Times New Roman" w:cs="Arial"/>
      <w:szCs w:val="20"/>
      <w:u w:val="single"/>
    </w:rPr>
  </w:style>
  <w:style w:type="paragraph" w:customStyle="1" w:styleId="NAZORGWYDnazwaorganuwydajcegoprojektowanyakt">
    <w:name w:val="NAZ_ORG_WYD – nazwa organu wydającego projektowany akt"/>
    <w:basedOn w:val="OZNRODZAKTUtznustawalubrozporzdzenieiorganwydajcy"/>
    <w:uiPriority w:val="27"/>
    <w:qFormat/>
    <w:rsid w:val="006A748A"/>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28"/>
    <w:qFormat/>
    <w:rsid w:val="006A748A"/>
    <w:pPr>
      <w:ind w:left="0" w:right="4820"/>
      <w:jc w:val="left"/>
    </w:pPr>
  </w:style>
  <w:style w:type="paragraph" w:customStyle="1" w:styleId="TEKSTwporozumieniu">
    <w:name w:val="TEKST&quot;w porozumieniu:&quot;"/>
    <w:next w:val="NAZORGWPOROZUMIENIUnazwaorganuwporozumieniuzktrymaktjestwydawany"/>
    <w:uiPriority w:val="27"/>
    <w:qFormat/>
    <w:rsid w:val="006A748A"/>
    <w:rPr>
      <w:rFonts w:ascii="Times New Roman" w:eastAsiaTheme="minorEastAsia" w:hAnsi="Times New Roman" w:cs="Arial"/>
      <w:b/>
      <w:szCs w:val="20"/>
    </w:rPr>
  </w:style>
  <w:style w:type="paragraph" w:customStyle="1" w:styleId="CZWSPPKTODNONIKAczwsppunkwodnonika">
    <w:name w:val="CZ_WSP_PKT_ODNOŚNIKA – część wsp. punków odnośnika"/>
    <w:basedOn w:val="PKTODNONIKApunktodnonika"/>
    <w:uiPriority w:val="21"/>
    <w:qFormat/>
    <w:rsid w:val="006A748A"/>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1"/>
    <w:qFormat/>
    <w:rsid w:val="006A748A"/>
    <w:pPr>
      <w:ind w:left="510" w:firstLine="0"/>
    </w:pPr>
  </w:style>
  <w:style w:type="paragraph" w:customStyle="1" w:styleId="NOTATKILEGISLATORA">
    <w:name w:val="NOTATKI_LEGISLATORA"/>
    <w:basedOn w:val="Normalny"/>
    <w:uiPriority w:val="5"/>
    <w:qFormat/>
    <w:rsid w:val="006A748A"/>
    <w:rPr>
      <w:b/>
      <w:i/>
    </w:rPr>
  </w:style>
  <w:style w:type="paragraph" w:customStyle="1" w:styleId="OZNZACZNIKAwskazanienrzacznika">
    <w:name w:val="OZN_ZAŁĄCZNIKA – wskazanie nr załącznika"/>
    <w:basedOn w:val="OZNPROJEKTUwskazaniedatylubwersjiprojektu"/>
    <w:uiPriority w:val="28"/>
    <w:qFormat/>
    <w:rsid w:val="006A748A"/>
    <w:pPr>
      <w:keepNext/>
    </w:pPr>
    <w:rPr>
      <w:b/>
      <w:u w:val="none"/>
    </w:rPr>
  </w:style>
  <w:style w:type="paragraph" w:customStyle="1" w:styleId="OZNPARAFYADNOTACJE">
    <w:name w:val="OZN_PARAFY(ADNOTACJE)"/>
    <w:basedOn w:val="ODNONIKtreodnonika"/>
    <w:uiPriority w:val="26"/>
    <w:qFormat/>
    <w:rsid w:val="006A748A"/>
  </w:style>
  <w:style w:type="paragraph" w:customStyle="1" w:styleId="TEKSTZacznikido">
    <w:name w:val="TEKST&quot;Załącznik(i) do ...&quot;"/>
    <w:uiPriority w:val="28"/>
    <w:qFormat/>
    <w:rsid w:val="00A56F07"/>
    <w:pPr>
      <w:keepNext/>
      <w:spacing w:after="240" w:line="240" w:lineRule="auto"/>
      <w:ind w:left="5670"/>
      <w:contextualSpacing/>
    </w:pPr>
    <w:rPr>
      <w:rFonts w:ascii="Times New Roman" w:eastAsiaTheme="minorEastAsia" w:hAnsi="Times New Roman" w:cs="Arial"/>
      <w:szCs w:val="20"/>
    </w:rPr>
  </w:style>
  <w:style w:type="paragraph" w:customStyle="1" w:styleId="LITODNONIKAliteraodnonika">
    <w:name w:val="LIT_ODNOŚNIKA – litera odnośnika"/>
    <w:basedOn w:val="PKTODNONIKApunktodnonika"/>
    <w:uiPriority w:val="20"/>
    <w:qFormat/>
    <w:rsid w:val="006A748A"/>
    <w:pPr>
      <w:ind w:left="851"/>
    </w:pPr>
  </w:style>
  <w:style w:type="paragraph" w:customStyle="1" w:styleId="CZWSPLITODNONIKAczwspliterodnonika">
    <w:name w:val="CZ_WSP_LIT_ODNOŚNIKA – część wsp. liter odnośnika"/>
    <w:basedOn w:val="LITODNONIKAliteraodnonika"/>
    <w:uiPriority w:val="22"/>
    <w:qFormat/>
    <w:rsid w:val="006A748A"/>
    <w:pPr>
      <w:ind w:left="567" w:firstLine="0"/>
    </w:pPr>
  </w:style>
  <w:style w:type="paragraph" w:customStyle="1" w:styleId="PKTOTJpunktobwieszczeniatekstujednolitegonp1">
    <w:name w:val="PKT_OTJ – punkt obwieszczenia tekstu jednolitego np. &quot;1.&quot;"/>
    <w:basedOn w:val="ARTartustawynprozporzdzenia"/>
    <w:uiPriority w:val="98"/>
    <w:semiHidden/>
    <w:qFormat/>
    <w:rsid w:val="006A748A"/>
    <w:pPr>
      <w:ind w:left="-510"/>
    </w:pPr>
  </w:style>
  <w:style w:type="paragraph" w:customStyle="1" w:styleId="PPKTOTJpodpunktwobwieszczeniutekstujednolitegonp1">
    <w:name w:val="PPKT_OTJ – podpunkt w obwieszczeniu tekstu jednolitego np. &quot;1)&quot;"/>
    <w:basedOn w:val="PKTOTJpunktobwieszczeniatekstujednolitegonp1"/>
    <w:uiPriority w:val="98"/>
    <w:semiHidden/>
    <w:qFormat/>
    <w:rsid w:val="006A748A"/>
    <w:pPr>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semiHidden/>
    <w:qFormat/>
    <w:rsid w:val="006A748A"/>
    <w:pPr>
      <w:ind w:left="-510" w:firstLine="0"/>
    </w:pPr>
  </w:style>
  <w:style w:type="paragraph" w:customStyle="1" w:styleId="TEKSTOBWIESZCZENIENAZWAORGANUWYDAJCEGOOTJ">
    <w:name w:val="TEKST&quot;OBWIESZCZENIE&quot;(NAZWA_ORGANU_WYDAJĄCEGO_OTJ)"/>
    <w:basedOn w:val="OZNRODZAKTUtznustawalubrozporzdzenieiorganwydajcy"/>
    <w:uiPriority w:val="96"/>
    <w:semiHidden/>
    <w:qFormat/>
    <w:rsid w:val="00ED2AE0"/>
    <w:pPr>
      <w:ind w:left="-510"/>
    </w:pPr>
  </w:style>
  <w:style w:type="paragraph" w:customStyle="1" w:styleId="DATAOTJdatawydaniaobwieszczeniatekstujednolitego">
    <w:name w:val="DATA_OTJ – data wydania obwieszczenia tekstu jednolitego"/>
    <w:basedOn w:val="DATAAKTUdatauchwalenialubwydaniaaktu"/>
    <w:uiPriority w:val="97"/>
    <w:semiHidden/>
    <w:qFormat/>
    <w:rsid w:val="006A748A"/>
    <w:pPr>
      <w:ind w:left="-510"/>
    </w:pPr>
  </w:style>
  <w:style w:type="paragraph" w:customStyle="1" w:styleId="TYTUOTJprzedmiotobwieszczeniatekstujednolitego">
    <w:name w:val="TYTUŁ_OTJ – przedmiot obwieszczenia tekstu jednolitego"/>
    <w:basedOn w:val="TYTUAKTUprzedmiotregulacjiustawylubrozporzdzenia"/>
    <w:uiPriority w:val="97"/>
    <w:semiHidden/>
    <w:qFormat/>
    <w:rsid w:val="006A748A"/>
    <w:pPr>
      <w:ind w:left="-510"/>
    </w:pPr>
  </w:style>
  <w:style w:type="paragraph" w:customStyle="1" w:styleId="ZLITODNONIKAzmlitodnonikaartykuempunktem">
    <w:name w:val="Z/LIT_ODNOŚNIKA – zm. lit. odnośnika artykułem (punktem)"/>
    <w:basedOn w:val="ZPKTODNONIKAzmpktodnonikaartykuempunktem"/>
    <w:next w:val="PKTpunkt"/>
    <w:uiPriority w:val="40"/>
    <w:qFormat/>
    <w:rsid w:val="006A748A"/>
  </w:style>
  <w:style w:type="paragraph" w:customStyle="1" w:styleId="ZLITwPKTODNONIKAzmlitwpktodnonikaartykuempunktem">
    <w:name w:val="Z/LIT_w_PKT_ODNOŚNIKA – zm. lit. w pkt odnośnika artykułem (punktem)"/>
    <w:basedOn w:val="ZLITODNONIKAzmlitodnonikaartykuempunktem"/>
    <w:uiPriority w:val="40"/>
    <w:qFormat/>
    <w:rsid w:val="006A748A"/>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0"/>
    <w:qFormat/>
    <w:rsid w:val="006A748A"/>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2"/>
    <w:qFormat/>
    <w:rsid w:val="006A748A"/>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2"/>
    <w:qFormat/>
    <w:rsid w:val="006A748A"/>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1"/>
    <w:qFormat/>
    <w:rsid w:val="006A748A"/>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2"/>
    <w:qFormat/>
    <w:rsid w:val="006A748A"/>
    <w:pPr>
      <w:ind w:left="1304"/>
    </w:pPr>
  </w:style>
  <w:style w:type="paragraph" w:customStyle="1" w:styleId="ZDANIENASTNOWYWIERSZnpzddrugienowywierszwust">
    <w:name w:val="ZDANIE_NAST_NOWY_WIERSZ – np. zd. drugie (nowy wiersz) w ust."/>
    <w:basedOn w:val="CZWSPPKTczwsplnapunktw"/>
    <w:next w:val="USTustnpkodeksu"/>
    <w:uiPriority w:val="17"/>
    <w:qFormat/>
    <w:rsid w:val="006A748A"/>
  </w:style>
  <w:style w:type="paragraph" w:customStyle="1" w:styleId="ZZFRAGzmianazmfragmentunpzdania">
    <w:name w:val="ZZ/FRAG – zmiana zm. fragmentu (np. zdania)"/>
    <w:basedOn w:val="ZZCZWSPPKTzmianazmczciwsppkt"/>
    <w:uiPriority w:val="70"/>
    <w:qFormat/>
    <w:rsid w:val="006A748A"/>
  </w:style>
  <w:style w:type="paragraph" w:customStyle="1" w:styleId="Z2TIRPKTzmpktpodwjnymtiret">
    <w:name w:val="Z_2TIR/PKT – zm. pkt podwójnym tiret"/>
    <w:basedOn w:val="Z2TIRLITzmlitpodwjnymtiret"/>
    <w:uiPriority w:val="83"/>
    <w:qFormat/>
    <w:rsid w:val="006A748A"/>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uiPriority w:val="84"/>
    <w:qFormat/>
    <w:rsid w:val="006A748A"/>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uiPriority w:val="84"/>
    <w:qFormat/>
    <w:rsid w:val="006A748A"/>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uiPriority w:val="86"/>
    <w:qFormat/>
    <w:rsid w:val="006A748A"/>
    <w:pPr>
      <w:ind w:left="3561"/>
    </w:pPr>
    <w:rPr>
      <w:rFonts w:ascii="Times New Roman" w:hAnsi="Times New Roman"/>
      <w:lang w:val="en-US"/>
    </w:rPr>
  </w:style>
  <w:style w:type="paragraph" w:customStyle="1" w:styleId="Z2TIRARTzmartpodwjnymtiret">
    <w:name w:val="Z_2TIR/ART(§) – zm. art. (§) podwójnym tiret"/>
    <w:basedOn w:val="Z2TIRPKTzmpktpodwjnymtiret"/>
    <w:uiPriority w:val="82"/>
    <w:qFormat/>
    <w:rsid w:val="006A748A"/>
    <w:pPr>
      <w:ind w:left="1780" w:firstLine="510"/>
    </w:pPr>
  </w:style>
  <w:style w:type="paragraph" w:customStyle="1" w:styleId="Z2TIRUSTzmustpodwjnymtiret">
    <w:name w:val="Z_2TIR/UST(§) – zm. ust. (§) podwójnym tiret"/>
    <w:basedOn w:val="Z2TIRPKTzmpktpodwjnymtiret"/>
    <w:uiPriority w:val="82"/>
    <w:qFormat/>
    <w:rsid w:val="006A748A"/>
    <w:pPr>
      <w:ind w:left="1780" w:firstLine="510"/>
    </w:pPr>
  </w:style>
  <w:style w:type="paragraph" w:customStyle="1" w:styleId="Z2TIRCZWSP2TIRwPKTzmczciwsppodwtirwpktpodwjnymtiret">
    <w:name w:val="Z_2TIR/CZ_WSP_2TIR_w_PKT – zm. części wsp. podw. tir. w pkt podwójnym tiret"/>
    <w:basedOn w:val="Z2TIR2TIRwPKTzmpodwtirwpktpodwjnymtiret"/>
    <w:uiPriority w:val="89"/>
    <w:qFormat/>
    <w:rsid w:val="006A748A"/>
    <w:pPr>
      <w:ind w:left="3164" w:firstLine="0"/>
    </w:pPr>
  </w:style>
  <w:style w:type="paragraph" w:customStyle="1" w:styleId="Z2TIRCZWSPPKTzmczciwsppktpodwjnymtiret">
    <w:name w:val="Z_2TIR/CZ_WSP_PKT – zm. części wsp. pkt podwójnym tiret"/>
    <w:basedOn w:val="Z2TIRPKTzmpktpodwjnymtiret"/>
    <w:uiPriority w:val="86"/>
    <w:qFormat/>
    <w:rsid w:val="006A748A"/>
    <w:pPr>
      <w:ind w:left="1780" w:firstLine="0"/>
    </w:pPr>
  </w:style>
  <w:style w:type="paragraph" w:customStyle="1" w:styleId="Z2TIRCZWSPLITwPKTzmczciwsplitwpktpodwjnymtiret">
    <w:name w:val="Z_2TIR/CZ_WSP_LIT_w_PKT – zm. części wsp. lit. w pkt podwójnym tiret"/>
    <w:basedOn w:val="Z2TIRLITwPKTzmlitwpktpodwjnymtiret"/>
    <w:uiPriority w:val="87"/>
    <w:qFormat/>
    <w:rsid w:val="006A748A"/>
    <w:pPr>
      <w:ind w:left="2291" w:firstLine="0"/>
    </w:pPr>
  </w:style>
  <w:style w:type="paragraph" w:customStyle="1" w:styleId="Z2TIRCZWSPTIRwPKTzmczciwsptirwpktpodwjnymtiret">
    <w:name w:val="Z_2TIR/CZ_WSP_TIR_w_PKT – zm. części wsp. tir. w pkt podwójnym tiret"/>
    <w:basedOn w:val="Z2TIRTIRwPKTzmtirwpktpodwjnymtiret"/>
    <w:uiPriority w:val="87"/>
    <w:qFormat/>
    <w:rsid w:val="006A748A"/>
    <w:pPr>
      <w:ind w:left="2767" w:firstLine="0"/>
    </w:pPr>
  </w:style>
  <w:style w:type="paragraph" w:customStyle="1" w:styleId="ZLITARTzmartliter">
    <w:name w:val="Z_LIT/ART(§) – zm. art. (§) literą"/>
    <w:basedOn w:val="ZLITUSTzmustliter"/>
    <w:uiPriority w:val="46"/>
    <w:qFormat/>
    <w:rsid w:val="006A748A"/>
    <w:rPr>
      <w:rFonts w:ascii="Times New Roman" w:hAnsi="Times New Roman"/>
    </w:rPr>
  </w:style>
  <w:style w:type="paragraph" w:customStyle="1" w:styleId="ZTIRARTzmarttiret">
    <w:name w:val="Z_TIR/ART(§) – zm. art. (§) tiret"/>
    <w:basedOn w:val="ZTIRPKTzmpkttiret"/>
    <w:uiPriority w:val="55"/>
    <w:qFormat/>
    <w:rsid w:val="006A748A"/>
    <w:pPr>
      <w:ind w:left="1383" w:firstLine="510"/>
    </w:pPr>
    <w:rPr>
      <w:rFonts w:ascii="Times New Roman" w:hAnsi="Times New Roman"/>
    </w:rPr>
  </w:style>
  <w:style w:type="paragraph" w:customStyle="1" w:styleId="ZTIRUSTzmusttiret">
    <w:name w:val="Z_TIR/UST(§) – zm. ust. (§) tiret"/>
    <w:basedOn w:val="ZTIRARTzmarttiret"/>
    <w:uiPriority w:val="55"/>
    <w:qFormat/>
    <w:rsid w:val="006A748A"/>
  </w:style>
  <w:style w:type="paragraph" w:customStyle="1" w:styleId="ZLITKSIGIzmozniprzedmksigiliter">
    <w:name w:val="Z_LIT/KSIĘGI – zm. ozn. i przedm. księgi literą"/>
    <w:basedOn w:val="ZCZCIKSIGIzmozniprzedmczciksigiartykuempunktem"/>
    <w:uiPriority w:val="44"/>
    <w:qFormat/>
    <w:rsid w:val="006A748A"/>
    <w:pPr>
      <w:ind w:left="987"/>
    </w:pPr>
  </w:style>
  <w:style w:type="paragraph" w:customStyle="1" w:styleId="ZLITTYTDZOZNzmozntytuudziauliter">
    <w:name w:val="Z_LIT/TYT(DZ)_OZN – zm. ozn. tytułu (działu) literą"/>
    <w:basedOn w:val="ZTYTDZOZNzmozntytuudziauartykuempunktem"/>
    <w:next w:val="ZLITTYTDZPRZEDMzmprzedmtytuudziauliter"/>
    <w:uiPriority w:val="44"/>
    <w:qFormat/>
    <w:rsid w:val="006A748A"/>
    <w:pPr>
      <w:ind w:left="987"/>
    </w:pPr>
  </w:style>
  <w:style w:type="paragraph" w:customStyle="1" w:styleId="ZLITTYTDZPRZEDMzmprzedmtytuudziauliter">
    <w:name w:val="Z_LIT/TYT(DZ)_PRZEDM – zm. przedm. tytułu (działu) literą"/>
    <w:basedOn w:val="ZTYTDZPRZEDMzmprzedmtytuulubdziauartykuempunktem"/>
    <w:uiPriority w:val="44"/>
    <w:qFormat/>
    <w:rsid w:val="006A748A"/>
    <w:pPr>
      <w:ind w:left="987"/>
    </w:pPr>
  </w:style>
  <w:style w:type="paragraph" w:customStyle="1" w:styleId="ZLITROZDZODDZOZNzmoznrozdzoddzliter">
    <w:name w:val="Z_LIT/ROZDZ(ODDZ)_OZN – zm. ozn. rozdz. (oddz.) literą"/>
    <w:basedOn w:val="ZROZDZODDZOZNzmoznrozdzoddzartykuempunktem"/>
    <w:next w:val="ZLITROZDZODDZPRZEDMzmprzedmrozdzoddzliter"/>
    <w:uiPriority w:val="45"/>
    <w:qFormat/>
    <w:rsid w:val="006A748A"/>
    <w:pPr>
      <w:ind w:left="987"/>
    </w:pPr>
  </w:style>
  <w:style w:type="paragraph" w:customStyle="1" w:styleId="ZLITROZDZODDZPRZEDMzmprzedmrozdzoddzliter">
    <w:name w:val="Z_LIT/ROZDZ(ODDZ)_PRZEDM – zm. przedm. rozdz. (oddz.) literą"/>
    <w:basedOn w:val="ZROZDZODDZPRZEDMzmprzedmrozdzoddzartykuempunktem"/>
    <w:next w:val="ZLITARTzmartliter"/>
    <w:uiPriority w:val="45"/>
    <w:qFormat/>
    <w:rsid w:val="006A748A"/>
    <w:pPr>
      <w:ind w:left="987"/>
    </w:pPr>
  </w:style>
  <w:style w:type="paragraph" w:customStyle="1" w:styleId="ZTIRDZOZNzmozndziautiret">
    <w:name w:val="Z_TIR/DZ_OZN – zm. ozn. działu tiret"/>
    <w:basedOn w:val="ZLITTYTDZOZNzmozntytuudziauliter"/>
    <w:next w:val="ZTIRDZPRZEDMzmprzedmdziautiret"/>
    <w:uiPriority w:val="54"/>
    <w:qFormat/>
    <w:rsid w:val="006A748A"/>
    <w:pPr>
      <w:ind w:left="1383"/>
    </w:pPr>
  </w:style>
  <w:style w:type="paragraph" w:customStyle="1" w:styleId="ZTIRDZPRZEDMzmprzedmdziautiret">
    <w:name w:val="Z_TIR/DZ_PRZEDM – zm. przedm. działu tiret"/>
    <w:basedOn w:val="ZLITTYTDZPRZEDMzmprzedmtytuudziauliter"/>
    <w:uiPriority w:val="54"/>
    <w:qFormat/>
    <w:rsid w:val="006A748A"/>
    <w:pPr>
      <w:ind w:left="1383"/>
    </w:pPr>
  </w:style>
  <w:style w:type="paragraph" w:customStyle="1" w:styleId="ZTIRROZDZODDZOZNzmoznrozdzoddztiret">
    <w:name w:val="Z_TIR/ROZDZ(ODDZ)_OZN – zm. ozn. rozdz. (oddz.) tiret"/>
    <w:basedOn w:val="ZLITROZDZODDZOZNzmoznrozdzoddzliter"/>
    <w:next w:val="ZTIRROZDZODDZPRZEDMzmprzedmrozdzoddztiret"/>
    <w:uiPriority w:val="54"/>
    <w:qFormat/>
    <w:rsid w:val="006A748A"/>
    <w:pPr>
      <w:ind w:left="1383"/>
    </w:pPr>
  </w:style>
  <w:style w:type="paragraph" w:customStyle="1" w:styleId="ZTIRROZDZODDZPRZEDMzmprzedmrozdzoddztiret">
    <w:name w:val="Z_TIR/ROZDZ(ODDZ)_PRZEDM – zm. przedm. rozdz. (oddz.) tiret"/>
    <w:basedOn w:val="ZLITROZDZODDZPRZEDMzmprzedmrozdzoddzliter"/>
    <w:uiPriority w:val="54"/>
    <w:qFormat/>
    <w:rsid w:val="006A748A"/>
    <w:pPr>
      <w:ind w:left="1383"/>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81"/>
    <w:qFormat/>
    <w:rsid w:val="006A748A"/>
    <w:pPr>
      <w:ind w:left="1780"/>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81"/>
    <w:qFormat/>
    <w:rsid w:val="006A748A"/>
    <w:pPr>
      <w:ind w:left="1780"/>
    </w:pPr>
  </w:style>
  <w:style w:type="character" w:customStyle="1" w:styleId="IGindeksgrny">
    <w:name w:val="_IG_ – indeks górny"/>
    <w:basedOn w:val="Domylnaczcionkaakapitu"/>
    <w:uiPriority w:val="2"/>
    <w:qFormat/>
    <w:rsid w:val="00A12520"/>
    <w:rPr>
      <w:b w:val="0"/>
      <w:i w:val="0"/>
      <w:vanish w:val="0"/>
      <w:spacing w:val="0"/>
      <w:vertAlign w:val="superscript"/>
    </w:rPr>
  </w:style>
  <w:style w:type="character" w:customStyle="1" w:styleId="IDindeksdolny">
    <w:name w:val="_ID_ – indeks dolny"/>
    <w:basedOn w:val="Domylnaczcionkaakapitu"/>
    <w:uiPriority w:val="3"/>
    <w:qFormat/>
    <w:rsid w:val="00591124"/>
    <w:rPr>
      <w:b w:val="0"/>
      <w:i w:val="0"/>
      <w:vanish w:val="0"/>
      <w:spacing w:val="0"/>
      <w:vertAlign w:val="subscript"/>
    </w:rPr>
  </w:style>
  <w:style w:type="character" w:customStyle="1" w:styleId="IDPindeksdolnyipogrubienie">
    <w:name w:val="_ID_P_ – indeks dolny i pogrubienie"/>
    <w:basedOn w:val="Domylnaczcionkaakapitu"/>
    <w:uiPriority w:val="3"/>
    <w:qFormat/>
    <w:rsid w:val="00591124"/>
    <w:rPr>
      <w:b/>
      <w:vanish w:val="0"/>
      <w:spacing w:val="0"/>
      <w:vertAlign w:val="subscript"/>
    </w:rPr>
  </w:style>
  <w:style w:type="character" w:customStyle="1" w:styleId="IDKindeksdolnyikursywa">
    <w:name w:val="_ID_K_ – indeks dolny i kursywa"/>
    <w:basedOn w:val="Domylnaczcionkaakapitu"/>
    <w:uiPriority w:val="3"/>
    <w:qFormat/>
    <w:rsid w:val="00591124"/>
    <w:rPr>
      <w:i/>
      <w:vanish w:val="0"/>
      <w:spacing w:val="0"/>
      <w:vertAlign w:val="subscript"/>
    </w:rPr>
  </w:style>
  <w:style w:type="character" w:customStyle="1" w:styleId="IGPindeksgrnyipogrubienie">
    <w:name w:val="_IG_P_ – indeks górny i pogrubienie"/>
    <w:basedOn w:val="Domylnaczcionkaakapitu"/>
    <w:uiPriority w:val="2"/>
    <w:qFormat/>
    <w:rsid w:val="00A12520"/>
    <w:rPr>
      <w:b/>
      <w:vanish w:val="0"/>
      <w:spacing w:val="0"/>
      <w:vertAlign w:val="superscript"/>
    </w:rPr>
  </w:style>
  <w:style w:type="character" w:customStyle="1" w:styleId="IGKindeksgrnyikursywa">
    <w:name w:val="_IG_K_ – indeks górny i kursywa"/>
    <w:basedOn w:val="Domylnaczcionkaakapitu"/>
    <w:uiPriority w:val="2"/>
    <w:qFormat/>
    <w:rsid w:val="00A12520"/>
    <w:rPr>
      <w:i/>
      <w:vanish w:val="0"/>
      <w:spacing w:val="0"/>
      <w:vertAlign w:val="superscript"/>
    </w:rPr>
  </w:style>
  <w:style w:type="character" w:customStyle="1" w:styleId="IGPKindeksgrnyipogrubieniekursywa">
    <w:name w:val="_IG_P_K_ – indeks górny i pogrubienie kursywa"/>
    <w:basedOn w:val="Domylnaczcionkaakapitu"/>
    <w:uiPriority w:val="2"/>
    <w:qFormat/>
    <w:rsid w:val="00591124"/>
    <w:rPr>
      <w:b/>
      <w:i/>
      <w:vanish w:val="0"/>
      <w:spacing w:val="0"/>
      <w:vertAlign w:val="superscript"/>
    </w:rPr>
  </w:style>
  <w:style w:type="character" w:customStyle="1" w:styleId="IDPKindeksdolnyipogrugieniekursywa">
    <w:name w:val="_ID_P_K_ – indeks dolny i pogrugienie kursywa"/>
    <w:basedOn w:val="Domylnaczcionkaakapitu"/>
    <w:uiPriority w:val="3"/>
    <w:qFormat/>
    <w:rsid w:val="00591124"/>
    <w:rPr>
      <w:b/>
      <w:i/>
      <w:vanish w:val="0"/>
      <w:spacing w:val="0"/>
      <w:vertAlign w:val="subscript"/>
    </w:rPr>
  </w:style>
  <w:style w:type="character" w:customStyle="1" w:styleId="Ppogrubienie">
    <w:name w:val="_P_ – pogrubienie"/>
    <w:basedOn w:val="Domylnaczcionkaakapitu"/>
    <w:uiPriority w:val="1"/>
    <w:qFormat/>
    <w:rsid w:val="006A748A"/>
    <w:rPr>
      <w:b/>
    </w:rPr>
  </w:style>
  <w:style w:type="character" w:customStyle="1" w:styleId="Kkursywa">
    <w:name w:val="_K_ – kursywa"/>
    <w:basedOn w:val="Domylnaczcionkaakapitu"/>
    <w:uiPriority w:val="1"/>
    <w:qFormat/>
    <w:rsid w:val="006A748A"/>
    <w:rPr>
      <w:i/>
    </w:rPr>
  </w:style>
  <w:style w:type="character" w:customStyle="1" w:styleId="PKpogrubieniekursywa">
    <w:name w:val="_P_K_ – pogrubienie kursywa"/>
    <w:basedOn w:val="Domylnaczcionkaakapitu"/>
    <w:uiPriority w:val="1"/>
    <w:qFormat/>
    <w:rsid w:val="006A748A"/>
    <w:rPr>
      <w:b/>
      <w:i/>
    </w:rPr>
  </w:style>
  <w:style w:type="character" w:customStyle="1" w:styleId="TEKSTOZNACZONYWDOKUMENCIERDOWYMJAKOUKRYTY">
    <w:name w:val="_TEKST_OZNACZONY_W_DOKUMENCIE_ŹRÓDŁOWYM_JAKO_UKRYTY_"/>
    <w:basedOn w:val="Domylnaczcionkaakapitu"/>
    <w:uiPriority w:val="4"/>
    <w:unhideWhenUsed/>
    <w:qFormat/>
    <w:rsid w:val="009D55AA"/>
    <w:rPr>
      <w:vanish w:val="0"/>
      <w:color w:val="FF0000"/>
      <w:u w:val="single" w:color="FF0000"/>
    </w:rPr>
  </w:style>
  <w:style w:type="character" w:customStyle="1" w:styleId="BEZWERSALIKW">
    <w:name w:val="_BEZ_WERSALIKÓW_"/>
    <w:basedOn w:val="Domylnaczcionkaakapitu"/>
    <w:uiPriority w:val="4"/>
    <w:qFormat/>
    <w:rsid w:val="00390E89"/>
    <w:rPr>
      <w:caps/>
    </w:rPr>
  </w:style>
  <w:style w:type="character" w:customStyle="1" w:styleId="IIGPindeksgrnyindeksugrnegoipogrubienie">
    <w:name w:val="_IIG_P_ – indeks górny indeksu górnego i pogrubienie"/>
    <w:basedOn w:val="Domylnaczcionkaakapitu"/>
    <w:uiPriority w:val="3"/>
    <w:qFormat/>
    <w:rsid w:val="00A12520"/>
    <w:rPr>
      <w:b/>
      <w:vanish w:val="0"/>
      <w:spacing w:val="0"/>
      <w:position w:val="6"/>
      <w:vertAlign w:val="superscript"/>
    </w:rPr>
  </w:style>
  <w:style w:type="character" w:customStyle="1" w:styleId="IIGindeksgrnyindeksugrnego">
    <w:name w:val="_IIG_ – indeks górny indeksu górnego"/>
    <w:basedOn w:val="IIGPindeksgrnyindeksugrnegoipogrubienie"/>
    <w:uiPriority w:val="3"/>
    <w:qFormat/>
    <w:rsid w:val="003602AE"/>
    <w:rPr>
      <w:b w:val="0"/>
      <w:i w:val="0"/>
      <w:vanish w:val="0"/>
      <w:spacing w:val="0"/>
      <w:position w:val="6"/>
      <w:vertAlign w:val="superscript"/>
    </w:rPr>
  </w:style>
  <w:style w:type="paragraph" w:customStyle="1" w:styleId="ODNONIKSPECtreodnonikadoodnonika">
    <w:name w:val="ODNOŚNIK_SPEC – treść odnośnika do odnośnika"/>
    <w:basedOn w:val="Normalny"/>
    <w:uiPriority w:val="19"/>
    <w:qFormat/>
    <w:rsid w:val="00263522"/>
    <w:pPr>
      <w:widowControl/>
      <w:autoSpaceDE/>
      <w:autoSpaceDN/>
      <w:adjustRightInd/>
      <w:spacing w:line="240" w:lineRule="auto"/>
      <w:ind w:left="283" w:hanging="170"/>
    </w:pPr>
    <w:rPr>
      <w:sz w:val="20"/>
    </w:rPr>
  </w:style>
  <w:style w:type="paragraph" w:customStyle="1" w:styleId="TEKSTwTABELItekstzwcitympierwwierszem">
    <w:name w:val="TEKST_w_TABELI – tekst z wciętym pierw. wierszem"/>
    <w:basedOn w:val="Normalny"/>
    <w:uiPriority w:val="23"/>
    <w:qFormat/>
    <w:rsid w:val="007A789F"/>
    <w:pPr>
      <w:widowControl/>
      <w:suppressAutoHyphens/>
      <w:ind w:firstLine="510"/>
    </w:pPr>
    <w:rPr>
      <w:rFonts w:ascii="Times" w:hAnsi="Times"/>
      <w:bCs/>
      <w:kern w:val="24"/>
    </w:rPr>
  </w:style>
  <w:style w:type="paragraph" w:customStyle="1" w:styleId="TEKSTwTABELIWYRODKOWANYtekstwyrodkowanywpoziomie">
    <w:name w:val="TEKST_w_TABELI_WYŚRODKOWANY – tekst wyśrodkowany w poziomie"/>
    <w:basedOn w:val="Normalny"/>
    <w:uiPriority w:val="23"/>
    <w:qFormat/>
    <w:rsid w:val="007A789F"/>
    <w:pPr>
      <w:widowControl/>
      <w:suppressAutoHyphens/>
      <w:jc w:val="center"/>
    </w:pPr>
    <w:rPr>
      <w:rFonts w:ascii="Times" w:hAnsi="Times"/>
      <w:bCs/>
      <w:kern w:val="24"/>
    </w:rPr>
  </w:style>
  <w:style w:type="paragraph" w:customStyle="1" w:styleId="ZTIRSKARNzmsankcjikarnejtiret">
    <w:name w:val="Z_TIR/S_KARN – zm. sankcji karnej tiret"/>
    <w:basedOn w:val="ZLITSKARNzmsankcjikarnejliter"/>
    <w:next w:val="ZTIRARTzmarttiret"/>
    <w:uiPriority w:val="61"/>
    <w:qFormat/>
    <w:rsid w:val="001270A2"/>
    <w:pPr>
      <w:ind w:left="1894"/>
    </w:pPr>
  </w:style>
  <w:style w:type="paragraph" w:customStyle="1" w:styleId="ZZSKARNzmianazmsankcjikarnej">
    <w:name w:val="ZZ/S_KARN – zmiana zm. sankcji karnej"/>
    <w:basedOn w:val="ZZFRAGzmianazmfragmentunpzdania"/>
    <w:uiPriority w:val="71"/>
    <w:qFormat/>
    <w:rsid w:val="001270A2"/>
    <w:pPr>
      <w:ind w:left="2404"/>
    </w:pPr>
  </w:style>
  <w:style w:type="paragraph" w:customStyle="1" w:styleId="Z2TIRSKARNzmianasankcjikarnejpodwjnymtiret">
    <w:name w:val="Z_2TIR/S_KARN – zmiana sankcji karnej podwójnym tiret"/>
    <w:basedOn w:val="Z2TIRARTzmartpodwjnymtiret"/>
    <w:next w:val="Z2TIRARTzmartpodwjnymtiret"/>
    <w:uiPriority w:val="90"/>
    <w:qFormat/>
    <w:rsid w:val="001270A2"/>
    <w:pPr>
      <w:ind w:left="2291" w:firstLine="0"/>
    </w:pPr>
  </w:style>
  <w:style w:type="paragraph" w:customStyle="1" w:styleId="WMATFIZCHEMwzrmatfizlubchem">
    <w:name w:val="W_MAT(FIZ|CHEM) – wzór mat. (fiz. lub chem.)"/>
    <w:uiPriority w:val="18"/>
    <w:qFormat/>
    <w:rsid w:val="001270A2"/>
    <w:pPr>
      <w:jc w:val="center"/>
    </w:pPr>
    <w:rPr>
      <w:rFonts w:ascii="Times New Roman" w:eastAsiaTheme="minorEastAsia" w:hAnsi="Times New Roman" w:cs="Arial"/>
      <w:szCs w:val="20"/>
    </w:rPr>
  </w:style>
  <w:style w:type="paragraph" w:customStyle="1" w:styleId="LEGWMATFIZCHEMlegendawzorumatfizlubchem">
    <w:name w:val="LEG_W_MAT(FIZ|CHEM) – legenda wzoru mat. (fiz. lub chem.)"/>
    <w:basedOn w:val="WMATFIZCHEMwzrmatfizlubchem"/>
    <w:uiPriority w:val="19"/>
    <w:qFormat/>
    <w:rsid w:val="001270A2"/>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uiPriority w:val="39"/>
    <w:qFormat/>
    <w:rsid w:val="001270A2"/>
    <w:pPr>
      <w:ind w:left="1815"/>
    </w:pPr>
  </w:style>
  <w:style w:type="paragraph" w:customStyle="1" w:styleId="ZZLEGWMATFIZCHEMzmlegendywzorumatfizlubchem">
    <w:name w:val="ZZ/LEG_W_MAT(FIZ|CHEM) – zm. legendy wzoru mat. (fiz. lub chem.)"/>
    <w:basedOn w:val="ZLEGWMATFIZCHEMzmlegendywzorumatfizlubchemartykuempunktem"/>
    <w:uiPriority w:val="72"/>
    <w:qFormat/>
    <w:rsid w:val="001270A2"/>
    <w:pPr>
      <w:ind w:left="3198"/>
    </w:pPr>
  </w:style>
  <w:style w:type="paragraph" w:customStyle="1" w:styleId="ZLITLEGWMATFIZCHEMzmlegendywzorumatfizlubchemliter">
    <w:name w:val="Z_LIT/LEG_W_MAT(FIZ|CHEM) – zm. legendy wzoru mat. (fiz. lub chem.) literą"/>
    <w:basedOn w:val="ZLEGWMATFIZCHEMzmlegendywzorumatfizlubchemartykuempunktem"/>
    <w:uiPriority w:val="54"/>
    <w:qFormat/>
    <w:rsid w:val="007575D2"/>
    <w:pPr>
      <w:ind w:left="2291"/>
    </w:pPr>
  </w:style>
  <w:style w:type="paragraph" w:customStyle="1" w:styleId="ZLITWMATFIZCHEMzmwzorumatfizlubchemliter">
    <w:name w:val="Z_LIT/W_MAT(FIZ|CHEM) – zm. wzoru mat. (fiz. lub chem.) literą"/>
    <w:basedOn w:val="ZWMATFIZCHEMzmwzorumatfizlubchemartykuempunktem"/>
    <w:next w:val="ZLITUSTzmustliter"/>
    <w:uiPriority w:val="53"/>
    <w:qFormat/>
    <w:rsid w:val="007575D2"/>
    <w:pPr>
      <w:ind w:left="987"/>
    </w:pPr>
  </w:style>
  <w:style w:type="paragraph" w:customStyle="1" w:styleId="ZTIRWMATFIZCHEMzmwzorumatfizlubchemtiret">
    <w:name w:val="Z_TIR/W_MAT(FIZ|CHEM) – zm. wzoru mat. (fiz. lub chem.) tiret"/>
    <w:basedOn w:val="ZLITWMATFIZCHEMzmwzorumatfizlubchemliter"/>
    <w:next w:val="ZTIRUSTzmusttiret"/>
    <w:uiPriority w:val="62"/>
    <w:qFormat/>
    <w:rsid w:val="007575D2"/>
    <w:pPr>
      <w:ind w:left="1383"/>
    </w:pPr>
  </w:style>
  <w:style w:type="paragraph" w:customStyle="1" w:styleId="ZTIRLEGWMATFIZCHEMzmlegendywzorumatfizlubchemtiret">
    <w:name w:val="Z_TIR/LEG_W_MAT(FIZ|CHEM) – zm. legendy wzoru mat. (fiz. lub chem.) tiret"/>
    <w:basedOn w:val="ZLITLEGWMATFIZCHEMzmlegendywzorumatfizlubchemliter"/>
    <w:uiPriority w:val="63"/>
    <w:qFormat/>
    <w:rsid w:val="007575D2"/>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uiPriority w:val="91"/>
    <w:qFormat/>
    <w:rsid w:val="007575D2"/>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2"/>
    <w:qFormat/>
    <w:rsid w:val="00A65B41"/>
    <w:pPr>
      <w:ind w:left="3085"/>
    </w:pPr>
  </w:style>
  <w:style w:type="paragraph" w:customStyle="1" w:styleId="ZLITCYTzmcytatunpprzysigiliter">
    <w:name w:val="Z_LIT/CYT – zm. cytatu np. przysięgi literą"/>
    <w:basedOn w:val="ZCYTzmcytatunpprzysigiartykuempunktem"/>
    <w:uiPriority w:val="53"/>
    <w:qFormat/>
    <w:rsid w:val="002D4D30"/>
    <w:pPr>
      <w:ind w:left="1497"/>
    </w:pPr>
  </w:style>
  <w:style w:type="paragraph" w:customStyle="1" w:styleId="ZTIRCYTzmcytatunpprzysigitiret">
    <w:name w:val="Z_TIR/CYT – zm. cytatu np. przysięgi tiret"/>
    <w:basedOn w:val="ZLITCYTzmcytatunpprzysigiliter"/>
    <w:next w:val="ZTIRUSTzmusttiret"/>
    <w:uiPriority w:val="61"/>
    <w:qFormat/>
    <w:rsid w:val="002D4D30"/>
    <w:pPr>
      <w:ind w:left="1894"/>
    </w:pPr>
  </w:style>
  <w:style w:type="paragraph" w:customStyle="1" w:styleId="Z2TIRCYTzmcytatunpprzysigipodwjnymtiret">
    <w:name w:val="Z_2TIR/CYT – zm. cytatu np. przysięgi podwójnym tiret"/>
    <w:basedOn w:val="ZTIRCYTzmcytatunpprzysigitiret"/>
    <w:next w:val="Z2TIRUSTzmustpodwjnymtiret"/>
    <w:uiPriority w:val="90"/>
    <w:qFormat/>
    <w:rsid w:val="00A65B41"/>
    <w:pPr>
      <w:ind w:left="2291"/>
    </w:pPr>
  </w:style>
  <w:style w:type="paragraph" w:customStyle="1" w:styleId="ZZCYTzmianazmcytatunpprzysigi">
    <w:name w:val="ZZ/CYT – zmiana zm. cytatu np. przysięgi"/>
    <w:basedOn w:val="ZZFRAGzmianazmfragmentunpzdania"/>
    <w:next w:val="ZZUSTzmianazmust"/>
    <w:uiPriority w:val="71"/>
    <w:qFormat/>
    <w:rsid w:val="00A65B41"/>
    <w:pPr>
      <w:ind w:left="2404"/>
    </w:pPr>
  </w:style>
  <w:style w:type="paragraph" w:customStyle="1" w:styleId="Z2TIRFRAGMzmnpwprdowyliczeniapodwjnymtiret">
    <w:name w:val="Z_2TIR/FRAGM – zm. np. wpr. do wyliczenia podwójnym tiret"/>
    <w:basedOn w:val="ZTIRFRAGMzmnpwprdowyliczeniatiret"/>
    <w:next w:val="2TIRpodwjnytiret"/>
    <w:uiPriority w:val="89"/>
    <w:qFormat/>
    <w:rsid w:val="00A824DD"/>
    <w:pPr>
      <w:ind w:left="1780"/>
    </w:pPr>
  </w:style>
  <w:style w:type="table" w:styleId="Tabela-Siatka">
    <w:name w:val="Table Grid"/>
    <w:basedOn w:val="Standardowy"/>
    <w:uiPriority w:val="39"/>
    <w:locked/>
    <w:rsid w:val="001952B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Elegancki">
    <w:name w:val="Table Elegant"/>
    <w:basedOn w:val="Standardowy"/>
    <w:locked/>
    <w:rsid w:val="001952B1"/>
    <w:pPr>
      <w:widowControl w:val="0"/>
      <w:autoSpaceDE w:val="0"/>
      <w:autoSpaceDN w:val="0"/>
      <w:adjustRightInd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A2zszablonu">
    <w:name w:val="TABELA 2 z szablonu"/>
    <w:basedOn w:val="Tabela-Elegancki"/>
    <w:uiPriority w:val="99"/>
    <w:rsid w:val="000319C1"/>
    <w:pPr>
      <w:spacing w:line="240" w:lineRule="auto"/>
      <w:jc w:val="left"/>
    </w:pPr>
    <w:tblPr>
      <w:jc w:val="center"/>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tblPr>
    <w:trPr>
      <w:jc w:val="center"/>
    </w:tr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style>
  <w:style w:type="table" w:customStyle="1" w:styleId="TABELA1zszablonu">
    <w:name w:val="TABELA 1 z szablonu"/>
    <w:basedOn w:val="Tabela-Siatka"/>
    <w:uiPriority w:val="99"/>
    <w:rsid w:val="001329AC"/>
    <w:tblPr>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rPr>
      <w:jc w:val="center"/>
    </w:trPr>
  </w:style>
  <w:style w:type="table" w:customStyle="1" w:styleId="TABELA3zszablonu">
    <w:name w:val="TABELA 3 z szablonu"/>
    <w:basedOn w:val="TABELA2zszablonu"/>
    <w:uiPriority w:val="99"/>
    <w:rsid w:val="001329AC"/>
    <w:tbl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tblStylePr w:type="firstCo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tblStylePr w:type="nwCel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style>
  <w:style w:type="character" w:styleId="Tekstzastpczy">
    <w:name w:val="Placeholder Text"/>
    <w:basedOn w:val="Domylnaczcionkaakapitu"/>
    <w:uiPriority w:val="99"/>
    <w:semiHidden/>
    <w:rsid w:val="00341A6A"/>
    <w:rPr>
      <w:color w:val="808080"/>
    </w:rPr>
  </w:style>
  <w:style w:type="character" w:customStyle="1" w:styleId="Nagwek3Znak">
    <w:name w:val="Nagłówek 3 Znak"/>
    <w:basedOn w:val="Domylnaczcionkaakapitu"/>
    <w:link w:val="Nagwek3"/>
    <w:rsid w:val="002D4237"/>
    <w:rPr>
      <w:rFonts w:ascii="Arial" w:hAnsi="Arial" w:cs="Arial"/>
      <w:b/>
      <w:bCs/>
      <w:sz w:val="26"/>
      <w:szCs w:val="26"/>
    </w:rPr>
  </w:style>
  <w:style w:type="paragraph" w:styleId="Poprawka">
    <w:name w:val="Revision"/>
    <w:hidden/>
    <w:uiPriority w:val="99"/>
    <w:semiHidden/>
    <w:rsid w:val="002D4237"/>
    <w:pPr>
      <w:spacing w:line="240" w:lineRule="auto"/>
    </w:pPr>
    <w:rPr>
      <w:rFonts w:ascii="Times New Roman" w:eastAsiaTheme="minorEastAsia" w:hAnsi="Times New Roman" w:cs="Arial"/>
      <w:szCs w:val="20"/>
    </w:rPr>
  </w:style>
  <w:style w:type="paragraph" w:styleId="Tekstprzypisukocowego">
    <w:name w:val="endnote text"/>
    <w:basedOn w:val="Normalny"/>
    <w:link w:val="TekstprzypisukocowegoZnak"/>
    <w:uiPriority w:val="99"/>
    <w:semiHidden/>
    <w:unhideWhenUsed/>
    <w:rsid w:val="002D4237"/>
    <w:pPr>
      <w:widowControl/>
      <w:autoSpaceDE/>
      <w:autoSpaceDN/>
      <w:adjustRightInd/>
      <w:spacing w:line="240" w:lineRule="auto"/>
    </w:pPr>
    <w:rPr>
      <w:rFonts w:ascii="Calibri" w:eastAsia="Calibri" w:hAnsi="Calibri" w:cs="Times New Roman"/>
      <w:sz w:val="20"/>
      <w:lang w:eastAsia="en-US"/>
    </w:rPr>
  </w:style>
  <w:style w:type="character" w:customStyle="1" w:styleId="TekstprzypisukocowegoZnak">
    <w:name w:val="Tekst przypisu końcowego Znak"/>
    <w:basedOn w:val="Domylnaczcionkaakapitu"/>
    <w:link w:val="Tekstprzypisukocowego"/>
    <w:uiPriority w:val="99"/>
    <w:semiHidden/>
    <w:rsid w:val="002D4237"/>
    <w:rPr>
      <w:rFonts w:ascii="Calibri" w:eastAsia="Calibri" w:hAnsi="Calibri"/>
      <w:sz w:val="20"/>
      <w:szCs w:val="20"/>
      <w:lang w:eastAsia="en-US"/>
    </w:rPr>
  </w:style>
  <w:style w:type="character" w:styleId="Odwoanieprzypisukocowego">
    <w:name w:val="endnote reference"/>
    <w:uiPriority w:val="99"/>
    <w:semiHidden/>
    <w:unhideWhenUsed/>
    <w:rsid w:val="002D4237"/>
    <w:rPr>
      <w:vertAlign w:val="superscript"/>
    </w:rPr>
  </w:style>
  <w:style w:type="paragraph" w:styleId="Akapitzlist">
    <w:name w:val="List Paragraph"/>
    <w:basedOn w:val="Normalny"/>
    <w:link w:val="AkapitzlistZnak"/>
    <w:uiPriority w:val="34"/>
    <w:qFormat/>
    <w:rsid w:val="002D4237"/>
    <w:pPr>
      <w:widowControl/>
      <w:autoSpaceDE/>
      <w:autoSpaceDN/>
      <w:adjustRightInd/>
      <w:spacing w:line="276" w:lineRule="auto"/>
      <w:ind w:left="720"/>
      <w:contextualSpacing/>
    </w:pPr>
    <w:rPr>
      <w:rFonts w:ascii="Calibri" w:eastAsia="Calibri" w:hAnsi="Calibri" w:cs="Times New Roman"/>
      <w:sz w:val="22"/>
      <w:szCs w:val="22"/>
      <w:lang w:eastAsia="en-US"/>
    </w:rPr>
  </w:style>
  <w:style w:type="character" w:styleId="Hipercze">
    <w:name w:val="Hyperlink"/>
    <w:uiPriority w:val="99"/>
    <w:unhideWhenUsed/>
    <w:rsid w:val="002D4237"/>
    <w:rPr>
      <w:color w:val="0000FF"/>
      <w:u w:val="single"/>
    </w:rPr>
  </w:style>
  <w:style w:type="character" w:styleId="UyteHipercze">
    <w:name w:val="FollowedHyperlink"/>
    <w:uiPriority w:val="99"/>
    <w:semiHidden/>
    <w:unhideWhenUsed/>
    <w:rsid w:val="002D4237"/>
    <w:rPr>
      <w:color w:val="800080"/>
      <w:u w:val="single"/>
    </w:rPr>
  </w:style>
  <w:style w:type="paragraph" w:styleId="Tytu">
    <w:name w:val="Title"/>
    <w:basedOn w:val="Normalny"/>
    <w:next w:val="Normalny"/>
    <w:link w:val="TytuZnak"/>
    <w:uiPriority w:val="10"/>
    <w:qFormat/>
    <w:rsid w:val="002D4237"/>
    <w:pPr>
      <w:widowControl/>
      <w:autoSpaceDE/>
      <w:autoSpaceDN/>
      <w:adjustRightInd/>
      <w:spacing w:line="240" w:lineRule="auto"/>
      <w:contextualSpacing/>
    </w:pPr>
    <w:rPr>
      <w:rFonts w:asciiTheme="majorHAnsi" w:eastAsiaTheme="majorEastAsia" w:hAnsiTheme="majorHAnsi" w:cstheme="majorBidi"/>
      <w:spacing w:val="-10"/>
      <w:kern w:val="28"/>
      <w:sz w:val="56"/>
      <w:szCs w:val="56"/>
      <w:lang w:eastAsia="en-US"/>
    </w:rPr>
  </w:style>
  <w:style w:type="character" w:customStyle="1" w:styleId="TytuZnak">
    <w:name w:val="Tytuł Znak"/>
    <w:basedOn w:val="Domylnaczcionkaakapitu"/>
    <w:link w:val="Tytu"/>
    <w:uiPriority w:val="10"/>
    <w:rsid w:val="002D4237"/>
    <w:rPr>
      <w:rFonts w:asciiTheme="majorHAnsi" w:eastAsiaTheme="majorEastAsia" w:hAnsiTheme="majorHAnsi" w:cstheme="majorBidi"/>
      <w:spacing w:val="-10"/>
      <w:kern w:val="28"/>
      <w:sz w:val="56"/>
      <w:szCs w:val="56"/>
      <w:lang w:eastAsia="en-US"/>
    </w:rPr>
  </w:style>
  <w:style w:type="character" w:customStyle="1" w:styleId="Nagwek2Znak">
    <w:name w:val="Nagłówek 2 Znak"/>
    <w:basedOn w:val="Domylnaczcionkaakapitu"/>
    <w:link w:val="Nagwek2"/>
    <w:uiPriority w:val="99"/>
    <w:semiHidden/>
    <w:rsid w:val="002D4237"/>
    <w:rPr>
      <w:rFonts w:asciiTheme="majorHAnsi" w:eastAsiaTheme="majorEastAsia" w:hAnsiTheme="majorHAnsi" w:cstheme="majorBidi"/>
      <w:color w:val="365F91" w:themeColor="accent1" w:themeShade="BF"/>
      <w:sz w:val="26"/>
      <w:szCs w:val="26"/>
    </w:rPr>
  </w:style>
  <w:style w:type="character" w:customStyle="1" w:styleId="AkapitzlistZnak">
    <w:name w:val="Akapit z listą Znak"/>
    <w:basedOn w:val="Domylnaczcionkaakapitu"/>
    <w:link w:val="Akapitzlist"/>
    <w:uiPriority w:val="34"/>
    <w:locked/>
    <w:rsid w:val="002D4237"/>
    <w:rPr>
      <w:rFonts w:ascii="Calibri" w:eastAsia="Calibri" w:hAnsi="Calibri"/>
      <w:sz w:val="22"/>
      <w:szCs w:val="22"/>
      <w:lang w:eastAsia="en-US"/>
    </w:rPr>
  </w:style>
  <w:style w:type="character" w:customStyle="1" w:styleId="Nagwek5Znak">
    <w:name w:val="Nagłówek 5 Znak"/>
    <w:basedOn w:val="Domylnaczcionkaakapitu"/>
    <w:link w:val="Nagwek5"/>
    <w:semiHidden/>
    <w:rsid w:val="0042722C"/>
    <w:rPr>
      <w:rFonts w:ascii="Calibri" w:hAnsi="Calibri"/>
      <w:b/>
      <w:bCs/>
      <w:i/>
      <w:iCs/>
      <w:sz w:val="26"/>
      <w:szCs w:val="26"/>
      <w:lang w:eastAsia="en-US"/>
    </w:rPr>
  </w:style>
  <w:style w:type="paragraph" w:customStyle="1" w:styleId="Default">
    <w:name w:val="Default"/>
    <w:rsid w:val="0042722C"/>
    <w:pPr>
      <w:autoSpaceDE w:val="0"/>
      <w:autoSpaceDN w:val="0"/>
      <w:adjustRightInd w:val="0"/>
      <w:spacing w:line="240" w:lineRule="auto"/>
    </w:pPr>
    <w:rPr>
      <w:rFonts w:ascii="EUAlbertina" w:eastAsia="Calibri" w:hAnsi="EUAlbertina" w:cs="EUAlbertina"/>
      <w:color w:val="000000"/>
    </w:rPr>
  </w:style>
  <w:style w:type="numbering" w:customStyle="1" w:styleId="Bezlisty1">
    <w:name w:val="Bez listy1"/>
    <w:next w:val="Bezlisty"/>
    <w:uiPriority w:val="99"/>
    <w:semiHidden/>
    <w:unhideWhenUsed/>
    <w:rsid w:val="0042722C"/>
  </w:style>
  <w:style w:type="table" w:customStyle="1" w:styleId="Tabela-Siatka1">
    <w:name w:val="Tabela - Siatka1"/>
    <w:basedOn w:val="Standardowy"/>
    <w:next w:val="Tabela-Siatka"/>
    <w:uiPriority w:val="39"/>
    <w:rsid w:val="0042722C"/>
    <w:pPr>
      <w:spacing w:line="240" w:lineRule="auto"/>
    </w:pPr>
    <w:rPr>
      <w:rFonts w:ascii="Calibri" w:eastAsia="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0704311">
      <w:bodyDiv w:val="1"/>
      <w:marLeft w:val="0"/>
      <w:marRight w:val="0"/>
      <w:marTop w:val="0"/>
      <w:marBottom w:val="0"/>
      <w:divBdr>
        <w:top w:val="none" w:sz="0" w:space="0" w:color="auto"/>
        <w:left w:val="none" w:sz="0" w:space="0" w:color="auto"/>
        <w:bottom w:val="none" w:sz="0" w:space="0" w:color="auto"/>
        <w:right w:val="none" w:sz="0" w:space="0" w:color="auto"/>
      </w:divBdr>
    </w:div>
    <w:div w:id="1807624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s://stat.gov.pl/metainformacje/slownik-pojec/pojecia-stosowane-w-statystyce-publicznej/2961,pojecie.html" TargetMode="External"/><Relationship Id="rId26" Type="http://schemas.openxmlformats.org/officeDocument/2006/relationships/hyperlink" Target="https://digital-strategy.ec.europa.eu/en/library/results-new-european-data-market-study-2021-2023" TargetMode="External"/><Relationship Id="rId3" Type="http://schemas.openxmlformats.org/officeDocument/2006/relationships/numbering" Target="numbering.xml"/><Relationship Id="rId21" Type="http://schemas.openxmlformats.org/officeDocument/2006/relationships/hyperlink" Target="https://stat.gov.pl/obszary-tematyczne/podmioty-gospodarcze-wyniki-finansowe/przedsiebiorstwa-niefinansowe/dzialalnosc-przedsiebiorstw-niefinansowych-w-2020-roku,2,17.html" TargetMode="External"/><Relationship Id="rId34" Type="http://schemas.openxmlformats.org/officeDocument/2006/relationships/hyperlink" Target="https://pie.net.pl/czy-polacy-chetnie-dziela-sie-prywatnymi-danymi/"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mailto:mikolaj.garstka@cyfra.gov.pl" TargetMode="External"/><Relationship Id="rId25" Type="http://schemas.openxmlformats.org/officeDocument/2006/relationships/hyperlink" Target="https://digital-strategy.ec.europa.eu/en/library/results-new-european-data-market-study-2021-2023" TargetMode="External"/><Relationship Id="rId33" Type="http://schemas.openxmlformats.org/officeDocument/2006/relationships/hyperlink" Target="https://cms.dane.gov.pl/documents/125/Raport_z_badania_Ustawa_sektor_publiczny.docx" TargetMode="External"/><Relationship Id="rId2" Type="http://schemas.openxmlformats.org/officeDocument/2006/relationships/customXml" Target="../customXml/item2.xml"/><Relationship Id="rId16" Type="http://schemas.openxmlformats.org/officeDocument/2006/relationships/hyperlink" Target="mailto:Joanna.Malczewska@cyfra.gov.pl" TargetMode="External"/><Relationship Id="rId20" Type="http://schemas.openxmlformats.org/officeDocument/2006/relationships/hyperlink" Target="https://stat.gov.pl/obszary-tematyczne/podmioty-gospodarcze-wyniki-finansowe/przedsiebiorstwa-niefinansowe/dzialalnosc-przedsiebiorstw-niefinansowych-w-2020-roku,2,17.html" TargetMode="External"/><Relationship Id="rId29" Type="http://schemas.openxmlformats.org/officeDocument/2006/relationships/hyperlink" Target="https://www.gov.pl/documents/31305/436699/Gospodarka+Oparta+o+Dane_05.01.2018.pdf/d1826be6-a434-5400-b308-6808eeed6c75"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s://www.oecd.org/sti/enhancing-access-to-and-sharing-of-data-276aaca8-en.htm" TargetMode="External"/><Relationship Id="rId32" Type="http://schemas.openxmlformats.org/officeDocument/2006/relationships/hyperlink" Target="https://pie.net.pl/czy-chcemy-dzielic-sie-prywatnymi-danymi/" TargetMode="External"/><Relationship Id="rId5" Type="http://schemas.openxmlformats.org/officeDocument/2006/relationships/settings" Target="settings.xml"/><Relationship Id="rId15" Type="http://schemas.openxmlformats.org/officeDocument/2006/relationships/hyperlink" Target="https://dane.gov.pl/pl" TargetMode="External"/><Relationship Id="rId23" Type="http://schemas.openxmlformats.org/officeDocument/2006/relationships/hyperlink" Target="https://eur-lex.europa.eu/legal-content/EN/ALL/?uri=CELEX:52020SC0295" TargetMode="External"/><Relationship Id="rId28" Type="http://schemas.openxmlformats.org/officeDocument/2006/relationships/hyperlink" Target="https://eur-lex.europa.eu/legal-content/EN/ALL/?uri=CELEX:52020SC0295" TargetMode="Externa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s://www.nsa.gov.pl" TargetMode="External"/><Relationship Id="rId31" Type="http://schemas.openxmlformats.org/officeDocument/2006/relationships/hyperlink" Target="https://www.nsa.gov.pl/sprawozdania-roczne.php"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gov.pl/web/cyfryzacja" TargetMode="External"/><Relationship Id="rId27" Type="http://schemas.openxmlformats.org/officeDocument/2006/relationships/hyperlink" Target="https://www.nsa.gov.pl/sprawozdania-roczne.php" TargetMode="External"/><Relationship Id="rId30" Type="http://schemas.openxmlformats.org/officeDocument/2006/relationships/hyperlink" Target="https://stat.gov.pl/obszary-tematyczne/podmioty-gospodarcze-wyniki-finansowe/przedsiebiorstwa-niefinansowe/dzialalnosc-przedsiebiorstw-niefinansowych-w-2020-roku,2,17.html" TargetMode="External"/><Relationship Id="rId35" Type="http://schemas.openxmlformats.org/officeDocument/2006/relationships/fontTable" Target="fontTable.xml"/><Relationship Id="rId8" Type="http://schemas.openxmlformats.org/officeDocument/2006/relationships/endnotes" Target="endnotes.xml"/></Relationships>
</file>

<file path=word/_rels/footnotes.xml.rels><?xml version="1.0" encoding="UTF-8" standalone="yes"?>
<Relationships xmlns="http://schemas.openxmlformats.org/package/2006/relationships"><Relationship Id="rId2" Type="http://schemas.openxmlformats.org/officeDocument/2006/relationships/hyperlink" Target="https://eur-lex.europa.eu/legal-content/PL/HIS/?uri=COM%3A2022%3A68%3AFIN" TargetMode="External"/><Relationship Id="rId1" Type="http://schemas.openxmlformats.org/officeDocument/2006/relationships/hyperlink" Target="https://eur-lex.europa.eu/legal-content/PL/TXT/?uri=CELEX%3A52020DC0066"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Makroinstrukcje2.xml>��< c u s t o m U I   x m l n s = " h t t p : / / s c h e m a s . m i c r o s o f t . c o m / o f f i c e / 2 0 0 6 / 0 1 / c u s t o m u i " >  
 < r i b b o n >  
 < t a b s >  
 < t a b   i d M s o = " T a b H o m e " >  
 < g r o u p   i d M s o = " G r o u p F o n t "   v i s i b l e = " f a l s e " / >  
 < g r o u p   i d M s o = " G r o u p P a r a g r a p h "   v i s i b l e = " f a l s e " / >  
 < g r o u p   i d = " g M a k r a 4 "   l a b e l = " W y g l d   t e k s t u "   i n s e r t B e f o r e M s o = " G r o u p F o n t " >  
 < b u t t o n   i d = " p M a k r o 1 5 "   v i s i b l e = " t r u e "   l a b e l = " P o g r u b i e n i e "   i m a g e M s o = " C h a r a c t e r S h a d i n g "   o n A c t i o n = " S t u b . B o l d _ s t u b " / >  
 < b u t t o n   i d = " p M a k r o 1 6 "   v i s i b l e = " t r u e "   l a b e l = " K u r s y w a "   i m a g e M s o = " W o r d A r t F o r m a t D i a l o g "   o n A c t i o n = " S t u b . I t a l i c _ s t u b " / >  
 < t o g g l e B u t t o n   i d M s o = " P a r a g r a p h M a r k s "   i m a g e M s o = " P a r a g r a p h M a r k s " / >  
 < b u t t o n   i d = " p M a k r o 1 8 "   v i s i b l e = " t r u e "   l a b e l = " I n d e k s   g � r n y "   i m a g e M s o = " F o n t S c h e m e s "   o n A c t i o n = " S t u b . G _ I n d e k s _ s t u b " / >  
 < b u t t o n   i d = " p M a k r o 1 7 "   v i s i b l e = " t r u e "   l a b e l = " I n d e k s   d o l n y "   i m a g e M s o = " M a i l M e r g e R e s u l t s P r e v i e w "   o n A c t i o n = " S t u b . D _ i n d e k s _ s t u b " / >  
 < b u t t o n   i d = " p M a k r o 2 4 "   v i s i b l e = " t r u e "   l a b e l = " N o r m a l n a   c z c i o n k a "   i m a g e M s o = " C h a r a c t e r B o r d e r "   o n A c t i o n = " S t u b . B e z _ s t y l u _ s t u b " / >  
 < / g r o u p >  
 < g r o u p   i d = " g M a k r a 5 "   l a b e l = " E d y c j a   t e k s t u "   i n s e r t B e f o r e M s o = " G r o u p F o n t " >  
 < b u t t o n   i d = " p M a k r o 1 9 "   v i s i b l e = " t r u e "   l a b e l = " W s t a w i e n i e   o d n o [n i k a "   o n A c t i o n = " S t u b . P r z y p i s _ s t u b " / >  
 < b u t t o n   i d = " p M a k r o 3 0 "   v i s i b l e = " t r u e "   l a b e l = " U s u n i c i e   o d n o [n i k a "   o n A c t i o n = " S t u b . U s u n _ p r z y p i s _ s t u b " / >  
 < b u t t o n   i d = " p M a k r o 2 5 "   v i s i b l e = " t r u e "   l a b e l = " W s t a w i e n i e   z a k Ba d k i "   i m a g e M s o = " W e b S e r v e r D i s c u s s i o n s "   o n A c t i o n = " S t u b . W s t a w _ Z a k l a d k e _ s t u b " / >  
 < / g r o u p >  
 < g r o u p   i d = " g M a k r a 6 "   l a b e l = " K o l o r y "   i n s e r t A f t e r M s o = " G r o u p F o n t " >  
 < b u t t o n   i d = " p M a k r o 3 1 "   v i s i b l e = " t r u e "   l a b e l = " N a   c z e r w o n o "   i m a g e M s o = " A p p o i n t m e n t C o l o r 1 "   o n A c t i o n = " S t u b . K o l o r _ c z e r w o n y _ s t u b " / >  
 < b u t t o n   i d = " p M a k r o 3 2 "   v i s i b l e = " t r u e "   l a b e l = " N a   n i e b i e s k o "   i m a g e M s o = " A p p o i n t m e n t C o l o r 6 "   o n A c t i o n = " S t u b . K o l o r _ n i e b i e s k i _ s t u b " / >  
 < b u t t o n   i d = " p M a k r o 3 5 "   v i s i b l e = " t r u e "   l a b e l = " U s u n i c i e   k o l o r � w "   i m a g e M s o = " A p p o i n t m e n t C o l o r 0 "   o n A c t i o n = " S t u b . B e z _ k o l o r u _ s t u b " / >  
 < b u t t o n   i d = " p M a k r o 3 3 "   v i s i b l e = " t r u e "   l a b e l = " N a   z i e l o n o "   i m a g e M s o = " A p p o i n t m e n t C o l o r 3 "   o n A c t i o n = " S t u b . K o l o r _ z i e l o n y _ s t u b " / >  
 < b u t t o n   i d = " p M a k r o 3 4 "   v i s i b l e = " t r u e "   l a b e l = " N a   |� Bt o "   i m a g e M s o = " A p p o i n t m e n t C o l o r 1 0 "   o n A c t i o n = " S t u b . K o l o r _ z o l t y _ s t u b " / >  
 < / g r o u p >  
 < g r o u p   i d = " g M a k r a 3 "   l a b e l = " Z m i a n a   s t y l � w "   i n s e r t A f t e r M s o = " G r o u p F o n t " >  
 < b u t t o n   i d = " p M a k r o 1 0 "   v i s i b l e = " t r u e "   l a b e l = " D o   n o w e l i z a c j i "   i m a g e M s o = " O u t l i n e D e m o t e T o B o d y T e x t "   o n A c t i o n = " S t u b . Z w i e k s z P o z i o m N o w e l i z a c j i _ s t u b " / >  
 < b u t t o n   i d = " p M a k r o 1 1 "   v i s i b l e = " t r u e "   l a b e l = " D o   a k t u   g B� w n e g o "   i m a g e M s o = " O u t l i n e P r o m o t e T o H e a d i n g "   o n A c t i o n = " S t u b . Z m n i e j s z P o z i o m N o w e l i z a c j i _ s t u b " / >  
 < b u t t o n   i d = " p M a k r o 1 4 "   v i s i b l e = " t r u e "   l a b e l = " P r z e n u m e r o w a n i e "   i m a g e M s o = " B u l l e t s "   o n A c t i o n = " S t u b . P r z e n u m e r u j _ s t u b " / >  
 < b u t t o n   i d = " p M a k r o 1 2 "   v i s i b l e = " t r u e "   l a b e l = " D o   j e d n o s t k i   n i |s z e g o   s t o p n i a "   i m a g e M s o = " R i g h t A r r o w 2 "   o n A c t i o n = " S t u b . Z w i e k s z Z a g l e b i e n i e _ s t u b " / >  
 < b u t t o n   i d = " p M a k r o 1 3 "   v i s i b l e = " t r u e "   l a b e l = " D o   j e d n o s t k i   w y |s z e g o   s t o p n i a "   i m a g e M s o = " L e f t A r r o w 2 "   o n A c t i o n = " S t u b . Z m n i e j s z Z a g l e b i e n i e _ s t u b " / >  
 < / g r o u p >  
 < / t a b >  
 < t a b   i d = " z M a k r a 1 "   l a b e l = " L e g i s l a c j a " >  
 < g r o u p   i d = " g M a k r a 1 "   l a b e l = " K o n w e r s j a " >  
 < b u t t o n   i d = " p M a k r o 2 3 "   l a b e l = " S p r a w d z e n i e   c u d z y s Bo w � w "   o n A c t i o n = " S t u b . S p r a w d z _ C u d z y s l o w y _ s t u b "   / >  
 < b u t t o n   i d = " p M a k r o 1 "   l a b e l = " K o n w e r s j a   a k t u "   i m a g e M s o = " V i e w G o F o r w a r d "   o n A c t i o n = " S t u b . P r z y p i s z _ S t y l _ s t u b "   / >  
 < b u t t o n   i d = " p M a k r o 4 "   l a b e l = " K o n w e r s j a   o d n o [n i k � w "   o n A c t i o n = " S t u b . P r z y p i s z _ S t y l _ O d n o s n i k i _ s t u b "   / >  
 < b u t t o n   i d = " p M a k r o 2 "   l a b e l = " K o n w e r s j a   o b w i e s z c z e n i a "   e n a b l e d   =   " f a l s e "   o n A c t i o n = " S t u b . P r z y p i s z _ S t y l _ t j _ s t u b "   / >  
 < b u t t o n   i d = " p M a k r o 3 "   l a b e l = " K o n w e r s j a   c a Bo [c i "   e n a b l e d   =   " f a l s e "   o n A c t i o n = " S t u b . P r z y p i s z _ S t y l _ C a l o s c _ s t u b "   / >  
 < b u t t o n   i d = " p M a k r o 5 1 "   l a b e l = " S p r a w d z e n i e   f r a g m e n t u "   e n a b l e d   =   " t r u e "   o n A c t i o n = " S t u b . S p r a w d z _ F r a g m e n t _ s t u b "   / >  
 < / g r o u p >  
 < g r o u p   i d = " g M a k r a 2 "   l a b e l = " W e r y f i k a c j a   s t y l � w " >  
 < b u t t o n   i d = " p M a k r o 6 "   v i s i b l e = " t r u e "   l a b e l = " P r o s t a "   i m a g e M s o = " _ 3 D P e r s p e c t i v e I n c r e a s e "   o n A c t i o n = " S t u b . K o r e k t a _ s t y l � w _ s t u b " / >  
 < b u t t o n   i d = " p M a k r o 9 "   v i s i b l e = " t r u e "   l a b e l = " Z   n a z w a m i   s t y l � w "   i m a g e M s o = " V i s i b i l i t y V i s i b l e "   o n A c t i o n = " S t u b . P o k a z Z e S t y l a m i _ s t u b " / >  
 < b u t t o n   i d = " p M a k r o 7 "   v i s i b l e = " t r u e "   l a b e l = " Z   k o l o r a m i   "   i m a g e M s o = " P e r s o n a S t a t u s B u s y "   o n A c t i o n = " S t u b . p o k a z Z K o l o r e m _ s t u b " / >  
 < b u t t o n   i d = " p M a k r o 5 "   l a b e l = " P o p r a w i e n i e   o d n o [n i k � w "   o n A c t i o n = " S t u b . P o p r a w P r z y p i s y _ s t u b "   / >  
 < b u t t o n   i d = " p M a k r o 4 2 "   v i s i b l e = " t r u e "   l a b e l = " A u t o n u m e r o w a n i e   o d n o [n i k � w "     o n A c t i o n = " S t u b . N u m e r u j _ o d n o s n i k i _ s t u b " / >  
 < b u t t o n   i d = " p M a k r o 8 "   v i s i b l e = " t r u e "   l a b e l = " U s u n i c i e   k o l o r � w "   i m a g e M s o = " A p p o i n t m e n t C o l o r 0 "   o n A c t i o n = " S t u b . B e z _ k o l o r u _ s t u b " / >  
 < / g r o u p >  
 < g r o u p   i d = " g M a k r a 7 "   l a b e l = " I n n e " >  
 < b u t t o n   i d = " p M a k r o 2 2 "   v i s i b l e = " t r u e "   l a b e l = " W s t a w i e n i e   t e k s t u "   o n A c t i o n = " S t u b . W k l e j _ s t u b " / >  
 < b u t t o n   i d = " p M a k r o 2 1 "   v i s i b l e = " t r u e "   l a b e l = " C z y s z c z e n i e "   o n A c t i o n = " S t u b . C z y s z c z e n i e _ s t u b " / >  
 < b u t t o n   i d = " p M a k r o 2 0 "   v i s i b l e = " t r u e "   l a b e l = " W s t a w i e n i e   p r z y p i s u   k o Dc o w e g o "   o n A c t i o n = " S t u b . P r z y p i s _ 2 _ s t u b " / >  
 < b u t t o n   i d = " p M a k r o 4 0 "   v i s i b l e = " t r u e "   l a b e l = " Z m i a n a   s z a b l o n u "   o n A c t i o n = " S t u b . Z m i e n _ S z a b l o n _ s t u b " / >  
 < b u t t o n   i d = " p M a k r o 4 1 "   v i s i b l e = " t r u e "   l a b e l = " Z a i n s t a l o w a n i e   s z a b l o n u "   o n A c t i o n = " S t u b . Z a i n s t a l u j _ S z a b l o n _ s t u b " / >  
 < / g r o u p >  
 < / t a b >  
 < t a b   i d = " z M a k r a 2 "   l a b e l = " Z a b l o k o w a n e " >  
 < g r o u p   i d M s o = " G r o u p F o n t "   v i s i b l e = " t r u e " / >  
 < g r o u p   i d M s o = " G r o u p P a r a g r a p h "   v i s i b l e = " t r u e " / >  
 < / t a b >  
 < / t a b s >  
 < / r i b b o n >  
 < / c u s t o m U I >  
 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7BDBC48-32AC-464D-8022-C696A08C1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52</Pages>
  <Words>19751</Words>
  <Characters>118506</Characters>
  <Application>Microsoft Office Word</Application>
  <DocSecurity>0</DocSecurity>
  <Lines>987</Lines>
  <Paragraphs>275</Paragraphs>
  <ScaleCrop>false</ScaleCrop>
  <HeadingPairs>
    <vt:vector size="2" baseType="variant">
      <vt:variant>
        <vt:lpstr>Tytuł</vt:lpstr>
      </vt:variant>
      <vt:variant>
        <vt:i4>1</vt:i4>
      </vt:variant>
    </vt:vector>
  </HeadingPairs>
  <TitlesOfParts>
    <vt:vector size="1" baseType="lpstr">
      <vt:lpstr/>
    </vt:vector>
  </TitlesOfParts>
  <Manager/>
  <Company/>
  <LinksUpToDate>false</LinksUpToDate>
  <CharactersWithSpaces>137982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2023-07-13T11:50:00Z</dcterms:created>
  <dcterms:modified xsi:type="dcterms:W3CDTF">2023-07-13T11:50:00Z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a wydania obwieszczenia">
    <vt:lpwstr>&lt;data wydania obwieszczenia&gt;</vt:lpwstr>
  </property>
  <property fmtid="{D5CDD505-2E9C-101B-9397-08002B2CF9AE}" pid="3" name="Data ogłoszenia">
    <vt:lpwstr>&lt;data ogłoszenia&gt;</vt:lpwstr>
  </property>
</Properties>
</file>

<file path=userCustomization/customUI.xml><?xml version="1.0" encoding="utf-8"?>
<mso:customUI xmlns:doc="http://schemas.microsoft.com/office/2006/01/customui/currentDocument" xmlns:mso="http://schemas.microsoft.com/office/2006/01/customui">
  <mso:ribbon>
    <mso:qat>
      <mso:documentControls>
        <mso:button idQ="doc:Korekta_stylów_1" visible="true" label="Korekta formatowania dokumentu" imageMso="_3DPerspectiveIncrease" onAction="Korekta_stylów"/>
        <mso:button idQ="doc:ZwiekszPoziomNowelizacji_1" visible="true" label="Przejście do nowelizacji" imageMso="OutlineDemoteToBodyText" onAction="ZwiekszPoziomNowelizacji"/>
        <mso:button idQ="doc:ZmniejszPoziomNowelizacji_1" visible="true" label="Przejście do aktu głównego" imageMso="OutlinePromoteToHeading" onAction="ZmniejszPoziomNowelizacji"/>
        <mso:button idQ="doc:ZwiekszZaglebienie_1" visible="true" label="Przejście do jednostki redakcyjnej niższego stopnia" imageMso="RightArrow2" onAction="ZwiekszZaglebienie"/>
        <mso:button idQ="doc:ZmniejszZaglebienie_1" visible="true" label="Przejście do jednostki redakcyjnej wyższego stopnia" imageMso="LeftArrow2" onAction="ZmniejszZaglebienie"/>
        <mso:button idQ="doc:Przenumeruj_1" visible="true" label="Przenumerowanie" imageMso="Bullets" onAction="Przenumeruj"/>
        <mso:button idQ="doc:wstaw_Zakladke_1" visible="true" label="Wstawienie zakładki" imageMso="WebServerDiscussions" onAction="wstaw_Zakladke"/>
        <mso:button idQ="doc:Kolor_czerwony_1" visible="true" label="Na czerwono" imageMso="AppointmentColor1" onAction="Kolor_czerwony"/>
        <mso:button idQ="doc:Kolor_niebieski_1" visible="true" label="Na niebiesko" imageMso="AppointmentColor6" onAction="Kolor_niebieski"/>
        <mso:button idQ="doc:Kolor_zielony_1" visible="true" label="Na zielono" imageMso="AppointmentColor3" onAction="Kolor_zielony"/>
        <mso:button idQ="doc:Kolor_zolty_1" visible="true" label="Na żółto" imageMso="AppointmentColor10" onAction="Kolor_zolty"/>
        <mso:button idQ="doc:Bez_koloru_1" visible="true" label="Usunięcie kolorów" imageMso="AppointmentColor0" onAction="Bez_koloru"/>
        <mso:button idQ="doc:Bold_1" visible="true" label="Pogrubienie" imageMso="CharacterShading" onAction="Bold"/>
        <mso:button idQ="doc:Italic_1" visible="true" label="Kursywa" imageMso="WordArtFormatDialog" onAction="Italic"/>
        <mso:button idQ="doc:D_indeks_1" visible="true" label="Indeks dolny" imageMso="MailMergeResultsPreview" onAction="D_indeks"/>
        <mso:button idQ="doc:G_Indeks_1" visible="true" label="Indeks górny" imageMso="FontSchemes" onAction="G_Indeks"/>
        <mso:button idQ="doc:Bez_stylu_1" visible="true" label="Normalna czcionka" imageMso="CharacterBorder" onAction="Bez_stylu"/>
      </mso:documentControls>
    </mso:qat>
  </mso:ribbon>
</mso:customUI>
</file>