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645"/>
        <w:gridCol w:w="424"/>
        <w:gridCol w:w="464"/>
        <w:gridCol w:w="414"/>
        <w:gridCol w:w="174"/>
        <w:gridCol w:w="168"/>
        <w:gridCol w:w="399"/>
        <w:gridCol w:w="567"/>
        <w:gridCol w:w="256"/>
        <w:gridCol w:w="311"/>
        <w:gridCol w:w="342"/>
        <w:gridCol w:w="225"/>
        <w:gridCol w:w="567"/>
        <w:gridCol w:w="75"/>
        <w:gridCol w:w="71"/>
        <w:gridCol w:w="421"/>
        <w:gridCol w:w="111"/>
        <w:gridCol w:w="456"/>
        <w:gridCol w:w="269"/>
        <w:gridCol w:w="298"/>
        <w:gridCol w:w="323"/>
        <w:gridCol w:w="244"/>
        <w:gridCol w:w="567"/>
        <w:gridCol w:w="127"/>
        <w:gridCol w:w="1371"/>
        <w:gridCol w:w="18"/>
        <w:gridCol w:w="15"/>
      </w:tblGrid>
      <w:tr w:rsidR="00700ED6" w:rsidRPr="003B2329" w14:paraId="56F63CD9" w14:textId="77777777" w:rsidTr="00486041">
        <w:trPr>
          <w:trHeight w:val="1611"/>
        </w:trPr>
        <w:tc>
          <w:tcPr>
            <w:tcW w:w="6625" w:type="dxa"/>
            <w:gridSpan w:val="15"/>
          </w:tcPr>
          <w:p w14:paraId="3A7BA053" w14:textId="77777777" w:rsidR="00700ED6" w:rsidRPr="003B2329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33C26FC3" w14:textId="0120D80D" w:rsidR="00700ED6" w:rsidRPr="003B2329" w:rsidRDefault="00700ED6" w:rsidP="0027433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Rozporządzenie Ministra Zdrowia </w:t>
            </w:r>
            <w:r w:rsidR="002B7DA3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zmieniające rozporządzenie </w:t>
            </w:r>
            <w:r w:rsidR="0027433C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w sprawie określenia rzadkich grup krwi, rodzajów osocza i surowic diagnostycznych, których uzyskanie wymaga przed pobraniem krwi lub jej składników wykonania zabiegu uodpornienia dawcy lub innych zabiegów, oraz wysokości rekompensaty</w:t>
            </w:r>
          </w:p>
          <w:p w14:paraId="343389D8" w14:textId="77777777" w:rsidR="00492341" w:rsidRPr="003B2329" w:rsidRDefault="00492341" w:rsidP="002D7A7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5465CFD" w14:textId="77777777" w:rsidR="00700ED6" w:rsidRPr="003B2329" w:rsidRDefault="00700ED6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  <w:bookmarkEnd w:id="0"/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Ministerstwo Zdrowia</w:t>
            </w:r>
          </w:p>
          <w:p w14:paraId="383BF30B" w14:textId="77777777" w:rsidR="00492341" w:rsidRPr="003B2329" w:rsidRDefault="00492341" w:rsidP="006142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6A24E3" w14:textId="77777777" w:rsidR="00700ED6" w:rsidRPr="003B2329" w:rsidRDefault="00700ED6" w:rsidP="006142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E15DD2C" w14:textId="1E785432" w:rsidR="00700ED6" w:rsidRPr="003B2329" w:rsidRDefault="009E0F94" w:rsidP="002D7A7A">
            <w:pPr>
              <w:rPr>
                <w:rFonts w:ascii="Times New Roman" w:hAnsi="Times New Roman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Waldemar Kraska</w:t>
            </w:r>
            <w:r w:rsidR="00700ED6" w:rsidRPr="003B232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3B2329">
              <w:rPr>
                <w:rFonts w:ascii="Times New Roman" w:hAnsi="Times New Roman"/>
                <w:sz w:val="22"/>
                <w:szCs w:val="22"/>
              </w:rPr>
              <w:t>S</w:t>
            </w:r>
            <w:r w:rsidR="00700ED6" w:rsidRPr="003B2329">
              <w:rPr>
                <w:rFonts w:ascii="Times New Roman" w:hAnsi="Times New Roman"/>
                <w:sz w:val="22"/>
                <w:szCs w:val="22"/>
              </w:rPr>
              <w:t>ekretarz Stanu w Ministerstwie Zdrowia</w:t>
            </w:r>
          </w:p>
          <w:p w14:paraId="6EE7C316" w14:textId="77777777" w:rsidR="00492341" w:rsidRPr="003B2329" w:rsidRDefault="00492341" w:rsidP="002D7A7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2D07B" w14:textId="77777777" w:rsidR="00700ED6" w:rsidRPr="003B2329" w:rsidRDefault="00700ED6" w:rsidP="0061426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5D9A5F28" w14:textId="1DAE58B8" w:rsidR="0054030F" w:rsidRDefault="006B0730" w:rsidP="001F3BF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Anna Mach-But</w:t>
            </w:r>
            <w:r w:rsidR="00C81FBC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5403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starszy specjalista w </w:t>
            </w:r>
            <w:r w:rsidR="00C81FBC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Wydzia</w:t>
            </w:r>
            <w:r w:rsidR="0054030F">
              <w:rPr>
                <w:rFonts w:ascii="Times New Roman" w:hAnsi="Times New Roman"/>
                <w:color w:val="000000"/>
                <w:sz w:val="22"/>
                <w:szCs w:val="22"/>
              </w:rPr>
              <w:t>le</w:t>
            </w:r>
            <w:r w:rsidR="00C81FBC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Transplantologii i Krwiolecznictwa, Departament Lecznictwa, </w:t>
            </w:r>
          </w:p>
          <w:p w14:paraId="2E218DF2" w14:textId="720C1B9A" w:rsidR="00700ED6" w:rsidRPr="002965CC" w:rsidRDefault="0054030F" w:rsidP="001F3BFB">
            <w:pPr>
              <w:rPr>
                <w:rFonts w:ascii="Times New Roman" w:hAnsi="Times New Roman"/>
                <w:color w:val="000000"/>
                <w:sz w:val="22"/>
                <w:szCs w:val="22"/>
                <w:lang w:val="fr-BE"/>
              </w:rPr>
            </w:pPr>
            <w:r w:rsidRPr="002965CC">
              <w:rPr>
                <w:rFonts w:ascii="Times New Roman" w:hAnsi="Times New Roman"/>
                <w:color w:val="000000"/>
                <w:sz w:val="22"/>
                <w:szCs w:val="22"/>
                <w:lang w:val="fr-BE"/>
              </w:rPr>
              <w:t xml:space="preserve">e-mail: </w:t>
            </w:r>
            <w:r>
              <w:fldChar w:fldCharType="begin"/>
            </w:r>
            <w:r w:rsidRPr="003E45D9">
              <w:rPr>
                <w:lang w:val="fr-BE"/>
              </w:rPr>
              <w:instrText>HYPERLINK "mailto:a.but@gov.pl"</w:instrText>
            </w:r>
            <w:r>
              <w:fldChar w:fldCharType="separate"/>
            </w:r>
            <w:r w:rsidR="00E507CA" w:rsidRPr="002965CC">
              <w:rPr>
                <w:rStyle w:val="Hipercze"/>
                <w:rFonts w:ascii="Times New Roman" w:hAnsi="Times New Roman"/>
                <w:sz w:val="22"/>
                <w:szCs w:val="22"/>
                <w:lang w:val="fr-BE"/>
              </w:rPr>
              <w:t>a.but@gov.pl</w:t>
            </w:r>
            <w:r>
              <w:rPr>
                <w:rStyle w:val="Hipercze"/>
                <w:rFonts w:ascii="Times New Roman" w:hAnsi="Times New Roman"/>
                <w:sz w:val="22"/>
                <w:szCs w:val="22"/>
                <w:lang w:val="fr-BE"/>
              </w:rPr>
              <w:fldChar w:fldCharType="end"/>
            </w:r>
            <w:r w:rsidR="00E507CA" w:rsidRPr="002965CC">
              <w:rPr>
                <w:rFonts w:ascii="Times New Roman" w:hAnsi="Times New Roman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291" w:type="dxa"/>
            <w:gridSpan w:val="13"/>
            <w:shd w:val="clear" w:color="auto" w:fill="FFFFFF"/>
          </w:tcPr>
          <w:p w14:paraId="0CBC9C08" w14:textId="77777777" w:rsidR="00C81FBC" w:rsidRPr="003B2329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sz w:val="22"/>
                <w:szCs w:val="22"/>
              </w:rPr>
              <w:t>Data sporządzenia</w:t>
            </w:r>
          </w:p>
          <w:p w14:paraId="584F4452" w14:textId="58D8CE18" w:rsidR="00700ED6" w:rsidRPr="003B2329" w:rsidRDefault="0009098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426CAE" w:rsidRPr="003B23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A608EB" w:rsidRPr="003B2329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="003E45D9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426CAE" w:rsidRPr="003B23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DE0BC3" w:rsidRPr="003B2329">
              <w:rPr>
                <w:rFonts w:ascii="Times New Roman" w:hAnsi="Times New Roman"/>
                <w:bCs/>
                <w:sz w:val="22"/>
                <w:szCs w:val="22"/>
              </w:rPr>
              <w:t>202</w:t>
            </w:r>
            <w:r w:rsidR="00CF1E51" w:rsidRPr="003B232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56247E" w:rsidRPr="003B2329">
              <w:rPr>
                <w:rFonts w:ascii="Times New Roman" w:hAnsi="Times New Roman"/>
                <w:bCs/>
                <w:sz w:val="22"/>
                <w:szCs w:val="22"/>
              </w:rPr>
              <w:t xml:space="preserve"> r.</w:t>
            </w:r>
          </w:p>
          <w:p w14:paraId="73FCDB99" w14:textId="77777777" w:rsidR="00700ED6" w:rsidRPr="003B2329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81664E" w14:textId="77777777" w:rsidR="00700ED6" w:rsidRPr="003B2329" w:rsidRDefault="00700E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sz w:val="22"/>
                <w:szCs w:val="22"/>
              </w:rPr>
              <w:t xml:space="preserve">Źródło: </w:t>
            </w:r>
            <w:bookmarkStart w:id="1" w:name="Lista1"/>
          </w:p>
          <w:bookmarkEnd w:id="1"/>
          <w:p w14:paraId="6D3EA390" w14:textId="45F84CFA" w:rsidR="00700ED6" w:rsidRPr="003B2329" w:rsidRDefault="00700ED6">
            <w:pPr>
              <w:rPr>
                <w:rFonts w:ascii="Times New Roman" w:hAnsi="Times New Roman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 xml:space="preserve">Art. </w:t>
            </w:r>
            <w:r w:rsidR="0027433C" w:rsidRPr="003B2329">
              <w:rPr>
                <w:rFonts w:ascii="Times New Roman" w:hAnsi="Times New Roman"/>
                <w:sz w:val="22"/>
                <w:szCs w:val="22"/>
              </w:rPr>
              <w:t>1</w:t>
            </w:r>
            <w:r w:rsidR="002B7DA3" w:rsidRPr="003B232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3B2329">
              <w:rPr>
                <w:rFonts w:ascii="Times New Roman" w:hAnsi="Times New Roman"/>
                <w:sz w:val="22"/>
                <w:szCs w:val="22"/>
              </w:rPr>
              <w:t xml:space="preserve">ust. </w:t>
            </w:r>
            <w:r w:rsidR="0027433C" w:rsidRPr="003B2329">
              <w:rPr>
                <w:rFonts w:ascii="Times New Roman" w:hAnsi="Times New Roman"/>
                <w:sz w:val="22"/>
                <w:szCs w:val="22"/>
              </w:rPr>
              <w:t>2</w:t>
            </w:r>
            <w:r w:rsidR="002B7DA3" w:rsidRPr="003B23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sz w:val="22"/>
                <w:szCs w:val="22"/>
              </w:rPr>
              <w:t xml:space="preserve"> ustawy z dnia 22 sierpnia 1997 r. o publicznej służbie krwi (Dz. U.</w:t>
            </w:r>
            <w:r w:rsidR="002B7DA3" w:rsidRPr="003B2329">
              <w:rPr>
                <w:rFonts w:ascii="Times New Roman" w:hAnsi="Times New Roman"/>
                <w:sz w:val="22"/>
                <w:szCs w:val="22"/>
              </w:rPr>
              <w:t xml:space="preserve"> z 202</w:t>
            </w:r>
            <w:r w:rsidR="0000756A" w:rsidRPr="003B2329">
              <w:rPr>
                <w:rFonts w:ascii="Times New Roman" w:hAnsi="Times New Roman"/>
                <w:sz w:val="22"/>
                <w:szCs w:val="22"/>
              </w:rPr>
              <w:t>3</w:t>
            </w:r>
            <w:r w:rsidR="002B7DA3" w:rsidRPr="003B2329">
              <w:rPr>
                <w:rFonts w:ascii="Times New Roman" w:hAnsi="Times New Roman"/>
                <w:sz w:val="22"/>
                <w:szCs w:val="22"/>
              </w:rPr>
              <w:t xml:space="preserve"> r. poz. </w:t>
            </w:r>
            <w:r w:rsidR="0000756A" w:rsidRPr="003B2329">
              <w:rPr>
                <w:rFonts w:ascii="Times New Roman" w:hAnsi="Times New Roman"/>
                <w:sz w:val="22"/>
                <w:szCs w:val="22"/>
              </w:rPr>
              <w:t>318</w:t>
            </w:r>
            <w:r w:rsidR="004B2B2A" w:rsidRPr="003B2329">
              <w:rPr>
                <w:rFonts w:ascii="Times New Roman" w:hAnsi="Times New Roman"/>
                <w:sz w:val="22"/>
                <w:szCs w:val="22"/>
              </w:rPr>
              <w:t xml:space="preserve"> i 650</w:t>
            </w:r>
            <w:r w:rsidR="009E0F94" w:rsidRPr="003B232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1715B45D" w14:textId="77777777" w:rsidR="00700ED6" w:rsidRPr="003B2329" w:rsidRDefault="00700ED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B520BD" w14:textId="77777777" w:rsidR="00700ED6" w:rsidRPr="003B2329" w:rsidRDefault="00B43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00ED6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700ED6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700ED6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5DB5BB0A" w14:textId="48B87014" w:rsidR="00700ED6" w:rsidRPr="003B2329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Nr w wykazie prac</w:t>
            </w:r>
            <w:r w:rsidR="009A2E6C"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legislacyjnych</w:t>
            </w: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Ministra Zdrowia</w:t>
            </w:r>
            <w:r w:rsidR="00792F69"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1FD55A4F" w14:textId="4F6401D1" w:rsidR="00700ED6" w:rsidRPr="003B2329" w:rsidRDefault="009A2E6C" w:rsidP="002B7DA3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MZ</w:t>
            </w:r>
            <w:r w:rsidR="00615E9F" w:rsidRPr="003B232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1480</w:t>
            </w:r>
          </w:p>
        </w:tc>
      </w:tr>
      <w:tr w:rsidR="00700ED6" w:rsidRPr="003B2329" w14:paraId="0EA3BE3A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F893ADB" w14:textId="77777777" w:rsidR="00700ED6" w:rsidRPr="006B0730" w:rsidRDefault="00700ED6" w:rsidP="002D7A7A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700ED6" w:rsidRPr="003B2329" w14:paraId="41591CC2" w14:textId="77777777" w:rsidTr="00273A0B">
        <w:trPr>
          <w:trHeight w:val="33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3AC5624E" w14:textId="4AF0A59D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sz w:val="22"/>
                <w:szCs w:val="22"/>
              </w:rPr>
              <w:t>Jaki problem jest rozwiązywany?</w:t>
            </w:r>
            <w:bookmarkStart w:id="2" w:name="Wybór1"/>
            <w:bookmarkEnd w:id="2"/>
          </w:p>
        </w:tc>
      </w:tr>
      <w:tr w:rsidR="00700ED6" w:rsidRPr="003B2329" w14:paraId="2DDF3A0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2B110D3" w14:textId="3CE07C92" w:rsidR="00700ED6" w:rsidRPr="006B0730" w:rsidRDefault="0033100E" w:rsidP="007125B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art. 11 ust. 2 ustawy z dnia 22 sierpnia 1997 r. o publicznej służbie krwi </w:t>
            </w:r>
            <w:r w:rsidR="0019483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określono, że </w:t>
            </w:r>
            <w:r w:rsidR="004B2B2A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19483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inister właściwy do spraw zdrowia, na wniosek Instytutu</w:t>
            </w:r>
            <w:r w:rsidR="00843E8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Hematologii i Transfuzjologii</w:t>
            </w:r>
            <w:r w:rsidR="0019483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, określi, w drodze rozporządzenia, rzadkie grupy krwi, rodzaje osocza i surowic diagnostycznych, których uzyskanie wymaga przed pobraniem krwi lub jej składników wykonania zabiegu uodpornienia dawcy lub innych zabiegów, oraz wysokość rekompensaty</w:t>
            </w:r>
            <w:r w:rsidR="00D417F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="009E0F9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Zgodnie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</w:t>
            </w:r>
            <w:r w:rsidR="004B2B2A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art. 11 ust. 1 </w:t>
            </w:r>
            <w:r w:rsidR="005E76F3">
              <w:rPr>
                <w:rFonts w:ascii="Times New Roman" w:hAnsi="Times New Roman"/>
                <w:color w:val="000000"/>
                <w:sz w:val="22"/>
                <w:szCs w:val="22"/>
              </w:rPr>
              <w:t>tej</w:t>
            </w:r>
            <w:r w:rsidR="004B2B2A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ustawy, </w:t>
            </w:r>
            <w:r w:rsidR="00EA0D8D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 rozporządzeniu określa się rzadkie grupy krwi, rodzaje osocza i surowic diagnostycznych, których uzyskanie wymaga przed pobraniem krwi lub jej składników wykonania uodpornienia, dotychczasowy spis </w:t>
            </w:r>
            <w:r w:rsidR="00843E8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wymaga aktualizacji z uwagi na wykrycie nowych antygenów krwinek czerwonych oraz nowych układów grupowych.</w:t>
            </w:r>
            <w:r w:rsidR="00EA0D8D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43E8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="00EA0D8D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onadto </w:t>
            </w:r>
            <w:r w:rsidR="00884E4B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dawc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który został poddany zabiegowi uodpornienia lub innym zabiegom poprzedzającym pobranie krwi lub jej składników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celu uzyskania surowic diagnostycznych lub osocza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przysługuje rekompensata </w:t>
            </w:r>
            <w:r w:rsidR="004B2B2A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pieniężna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Stawki wysokości </w:t>
            </w:r>
            <w:r w:rsidR="006D7D1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rekompensaty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przyznawane</w:t>
            </w:r>
            <w:r w:rsidR="006D7D1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j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dawcom nie był</w:t>
            </w:r>
            <w:r w:rsidR="006D7D1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poddawan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wal</w:t>
            </w:r>
            <w:r w:rsidR="007125B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oryzacji </w:t>
            </w:r>
            <w:r w:rsidR="006232BA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 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17E31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lat (obecne stawki obowiązują od 2007 r.)</w:t>
            </w:r>
            <w:r w:rsidR="007125B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Biorąc pod uwagę zmianę wartości siły nabywczej pieniądza w czasie oraz zwiększenie 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zapotrzebowani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immunoglobulinę anty-D</w:t>
            </w:r>
            <w:r w:rsidR="004B2B2A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związku z wejściem w życie rozporządzenia Ministra Zdrowia z dnia 5 września 2017 r. zmieniającego rozporządzenie w sprawie świadczeń gwarantowanych z zakresu ambulatoryjnej opieki specjalistycznej (Dz. U. z 2017 r. poz. 1766), które wprowadziło nowe świadczenie gwarantowane „podanie immunoglobuliny anty </w:t>
            </w:r>
            <w:proofErr w:type="spellStart"/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RhD</w:t>
            </w:r>
            <w:proofErr w:type="spellEnd"/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pacjentce </w:t>
            </w:r>
            <w:proofErr w:type="spellStart"/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RhD</w:t>
            </w:r>
            <w:proofErr w:type="spellEnd"/>
            <w:r w:rsidR="0027433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ujemnej”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, zasadnym wydaje się dokonanie waloryzacji o wskaźnik cen towarów i usług konsumpcyjnych z lat 2007–202</w:t>
            </w:r>
            <w:r w:rsidR="00CF1E51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r. 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Zwiększenie ekwiwalentu za osocze anty-</w:t>
            </w:r>
            <w:proofErr w:type="spellStart"/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  <w:proofErr w:type="spellEnd"/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lub anty-D 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>pozwoli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utrzyma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>ć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wysoki pob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>ó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r osocza immunizowanego, zwiększ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>y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motywacj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>ę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wśród dawców do oddawania osocza, a także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stanowi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>ć będzie</w:t>
            </w:r>
            <w:r w:rsidR="007125B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odpowied</w:t>
            </w:r>
            <w:r w:rsidR="001A6433">
              <w:rPr>
                <w:rFonts w:ascii="Times New Roman" w:hAnsi="Times New Roman"/>
                <w:color w:val="000000"/>
                <w:sz w:val="22"/>
                <w:szCs w:val="22"/>
              </w:rPr>
              <w:t>ź</w:t>
            </w:r>
            <w:r w:rsidR="007125B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 rosnące koszty związane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koniecznością prowadzenia zdrowego </w:t>
            </w:r>
            <w:r w:rsidR="007125B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stylu życia, przyjmowania leków oraz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preparatów zabezpieczających przed chorobami i wirusami. </w:t>
            </w:r>
            <w:r w:rsidR="00156E9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3B2329" w14:paraId="1B95A8E8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7C21467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Rekomendowane rozwiązanie, w tym planowane narzędzia interwencji, i oczekiwany efekt</w:t>
            </w:r>
          </w:p>
        </w:tc>
      </w:tr>
      <w:tr w:rsidR="00700ED6" w:rsidRPr="003B2329" w14:paraId="0946D15A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77D9EED" w14:textId="28648E55" w:rsidR="00D5437F" w:rsidRPr="006B0730" w:rsidRDefault="0054030F" w:rsidP="007125B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Projektowana zmiana w zakresie określenia</w:t>
            </w:r>
            <w:r w:rsidR="00843E8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rzadkich grup krwi pozwoli na zachowanie zgodności przepisów prawa z aktualn</w:t>
            </w:r>
            <w:r w:rsidR="00884E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ą wiedzą medyczną </w:t>
            </w:r>
            <w:r w:rsidR="00843E8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w zakresie liczby i nomenklatury układów grupowych oraz antygenów krwinek czerwonych. Natomiast p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odwyższenie 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stawek rekompensaty pieniężnej przysługującej dawcom krwi, którzy zostali poddani zabiegowi uodpornienia lub innym zabiegom poprzedzającym pobranie krwi lub jej składników w celu uzyskania surowic diagnostycznych lub osocza </w:t>
            </w:r>
            <w:r w:rsidR="00446D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nastąpi 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o wskaźnik</w:t>
            </w:r>
            <w:r w:rsidR="006D7D1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średniego wzrostu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cen towarów i usług konsumpcyjnych z lat 2007</w:t>
            </w:r>
            <w:r w:rsidR="00090984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CF1E51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r.</w:t>
            </w:r>
            <w:r w:rsidR="006D7D1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publikowany rokrocznie przez Główny Urząd Statystyczny.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Wzrost </w:t>
            </w:r>
            <w:r w:rsidR="008A5003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wypłacanego 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ekwiwalentu pieniężnego jest konieczny ze względu na urealnienie jego wartości. Ekwiwalent pieniężny wypłacany jest przede wszystkim jako rekompensata utraconego zarobku w czasie związanym z podróżą do placówki służby krwi oraz z badaniami i zabiegami w niej wykonanymi. Ponadto koniecznym jest wprowadzenie elementu motywacyjnego dla dawców, który pozwoli na 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utrzymanie dotychczasowych dawców oraz 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rozszerzenie 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ich 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grupy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w konsekwencji doprowadzi do zwiększenia ilości pobieranego przez Centra Krwiodawstwa i Krwiolecznictwa osocza</w:t>
            </w:r>
            <w:r w:rsidR="003E45D9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A80BE4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szczególnie niezbędnego do produkcji immunoglobuliny anty-D stosowanej w profilaktyce konfliktu serologicznego (profilaktyka konfliktu matczyno-płodowego w zakresie antygenu D z układu Rh).</w:t>
            </w:r>
            <w:r w:rsidR="00A80BE4" w:rsidRPr="006B0730">
              <w:rPr>
                <w:rFonts w:ascii="Times New Roman" w:hAnsi="Times New Roman"/>
                <w:sz w:val="22"/>
                <w:szCs w:val="22"/>
              </w:rPr>
              <w:br/>
            </w:r>
            <w:r w:rsidR="00CF1E51" w:rsidRPr="006B073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184B372A" wp14:editId="189008CC">
                  <wp:extent cx="6794500" cy="5229225"/>
                  <wp:effectExtent l="0" t="0" r="635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0" cy="522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ED6" w:rsidRPr="003B2329" w14:paraId="58589EBD" w14:textId="77777777" w:rsidTr="00273A0B">
        <w:trPr>
          <w:trHeight w:val="307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7CDA28B5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  <w:r w:rsidRPr="006B073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00ED6" w:rsidRPr="003B2329" w14:paraId="44666CB0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5ACEA395" w14:textId="77777777" w:rsidR="00700ED6" w:rsidRPr="003B2329" w:rsidRDefault="00700ED6" w:rsidP="002D7A7A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Przedmiot projektowanej regulacji nie jest objęty zakresem prawa Unii Europejskiej.</w:t>
            </w:r>
          </w:p>
        </w:tc>
      </w:tr>
      <w:tr w:rsidR="00700ED6" w:rsidRPr="003B2329" w14:paraId="2E218655" w14:textId="77777777" w:rsidTr="00273A0B">
        <w:trPr>
          <w:trHeight w:val="359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8646272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700ED6" w:rsidRPr="003B2329" w14:paraId="76CD90D4" w14:textId="77777777" w:rsidTr="00486041">
        <w:trPr>
          <w:trHeight w:val="142"/>
        </w:trPr>
        <w:tc>
          <w:tcPr>
            <w:tcW w:w="2663" w:type="dxa"/>
            <w:gridSpan w:val="3"/>
          </w:tcPr>
          <w:p w14:paraId="572B3954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2186" w:type="dxa"/>
            <w:gridSpan w:val="6"/>
          </w:tcPr>
          <w:p w14:paraId="30432C2D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04" w:type="dxa"/>
            <w:gridSpan w:val="11"/>
          </w:tcPr>
          <w:p w14:paraId="1C0279F7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Źródło danych</w:t>
            </w:r>
            <w:r w:rsidRPr="006B0730" w:rsidDel="00260F33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63" w:type="dxa"/>
            <w:gridSpan w:val="8"/>
          </w:tcPr>
          <w:p w14:paraId="260DB460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EA01B9" w:rsidRPr="003B2329" w14:paraId="5C297B17" w14:textId="77777777" w:rsidTr="00486041">
        <w:trPr>
          <w:trHeight w:val="142"/>
        </w:trPr>
        <w:tc>
          <w:tcPr>
            <w:tcW w:w="2663" w:type="dxa"/>
            <w:gridSpan w:val="3"/>
          </w:tcPr>
          <w:p w14:paraId="4739F992" w14:textId="5C953C72" w:rsidR="00EA01B9" w:rsidRPr="006B0730" w:rsidRDefault="00EA01B9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>Regionalne Centrum Krwiodawstwa i Krwiolecznictwa -</w:t>
            </w:r>
            <w:r w:rsidR="00072E6E" w:rsidRPr="006B0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 xml:space="preserve">RCKIK (21), Centrum Krwiodawstwa i Krwiolecznictwa Ministerstwa Spraw Wewnętrznych i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Administracji - </w:t>
            </w:r>
            <w:proofErr w:type="spellStart"/>
            <w:r w:rsidRPr="006B0730">
              <w:rPr>
                <w:rFonts w:ascii="Times New Roman" w:hAnsi="Times New Roman"/>
                <w:sz w:val="22"/>
                <w:szCs w:val="22"/>
              </w:rPr>
              <w:t>CKiK</w:t>
            </w:r>
            <w:proofErr w:type="spellEnd"/>
            <w:r w:rsidRPr="006B0730">
              <w:rPr>
                <w:rFonts w:ascii="Times New Roman" w:hAnsi="Times New Roman"/>
                <w:sz w:val="22"/>
                <w:szCs w:val="22"/>
              </w:rPr>
              <w:t xml:space="preserve"> MSWiA (1) oraz  Wojskowe Centrum Krwiodawstwa i Krwiolecznictwa -</w:t>
            </w:r>
            <w:proofErr w:type="spellStart"/>
            <w:r w:rsidRPr="006B0730">
              <w:rPr>
                <w:rFonts w:ascii="Times New Roman" w:hAnsi="Times New Roman"/>
                <w:sz w:val="22"/>
                <w:szCs w:val="22"/>
              </w:rPr>
              <w:t>WCKiK</w:t>
            </w:r>
            <w:proofErr w:type="spellEnd"/>
            <w:r w:rsidRPr="006B0730">
              <w:rPr>
                <w:rFonts w:ascii="Times New Roman" w:hAnsi="Times New Roman"/>
                <w:sz w:val="22"/>
                <w:szCs w:val="22"/>
              </w:rPr>
              <w:t xml:space="preserve"> (1)</w:t>
            </w:r>
          </w:p>
        </w:tc>
        <w:tc>
          <w:tcPr>
            <w:tcW w:w="2186" w:type="dxa"/>
            <w:gridSpan w:val="6"/>
          </w:tcPr>
          <w:p w14:paraId="162826E4" w14:textId="28EA3B59" w:rsidR="00EA01B9" w:rsidRPr="006B0730" w:rsidRDefault="00EA01B9" w:rsidP="00EA01B9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23</w:t>
            </w:r>
          </w:p>
        </w:tc>
        <w:tc>
          <w:tcPr>
            <w:tcW w:w="3104" w:type="dxa"/>
            <w:gridSpan w:val="11"/>
          </w:tcPr>
          <w:p w14:paraId="5CB7FCDF" w14:textId="77777777" w:rsidR="009A2E6C" w:rsidRPr="006B0730" w:rsidRDefault="009A2E6C" w:rsidP="009A2E6C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– rozporządzenie Ministra Zdrowia i Opieki Społecznej z dnia 23 grudnia 1998 r. w sprawie szczegółowego trybu przekształcania wojewódzkich stacji krwiodawstwa, rejonowych stacji krwiodawstwa i punktów krwiodawstwa w </w:t>
            </w: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lastRenderedPageBreak/>
              <w:t>regionalne centra krwiodawstwa i krwiolecznictwa (Dz. U. poz. 1261),</w:t>
            </w:r>
          </w:p>
          <w:p w14:paraId="196CE190" w14:textId="77777777" w:rsidR="009A2E6C" w:rsidRPr="006B0730" w:rsidRDefault="009A2E6C" w:rsidP="009A2E6C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– rozporządzenie Ministra Spraw Wewnętrznych i Administracji z dnia 20 kwietnia 2004 r. w sprawie utworzenia Centrum Krwiodawstwa i Krwiolecznictwa Ministerstwa Spraw Wewnętrznych i Administracji (Dz. U. poz. 1282),</w:t>
            </w:r>
          </w:p>
          <w:p w14:paraId="1FB82789" w14:textId="01161008" w:rsidR="00EA01B9" w:rsidRPr="006B0730" w:rsidRDefault="009A2E6C" w:rsidP="009A2E6C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– zarządzenie nr 26/MON Ministra Obrony Narodowej z 24 sierpnia 2018 r. w sprawie nadania statutu Wojskowemu Centrum Krwiodawstwa i Krwiolecznictwa Samodzielnemu Publicznemu Zakładowi Opieki Zdrowotnej w Warszawie (Dz. Urz. MON z 2018 r. poz. 129).</w:t>
            </w:r>
          </w:p>
        </w:tc>
        <w:tc>
          <w:tcPr>
            <w:tcW w:w="2963" w:type="dxa"/>
            <w:gridSpan w:val="8"/>
          </w:tcPr>
          <w:p w14:paraId="76D172AE" w14:textId="27019EAE" w:rsidR="00EA01B9" w:rsidRPr="006B0730" w:rsidRDefault="009A2E6C" w:rsidP="004E338B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lastRenderedPageBreak/>
              <w:t>Zwiększenie możliwości pobierania osocza immunizowanego.</w:t>
            </w:r>
          </w:p>
        </w:tc>
      </w:tr>
      <w:tr w:rsidR="009A2E6C" w:rsidRPr="003B2329" w14:paraId="5C6FE230" w14:textId="77777777" w:rsidTr="00486041">
        <w:trPr>
          <w:trHeight w:val="142"/>
        </w:trPr>
        <w:tc>
          <w:tcPr>
            <w:tcW w:w="2663" w:type="dxa"/>
            <w:gridSpan w:val="3"/>
          </w:tcPr>
          <w:p w14:paraId="1F7840ED" w14:textId="34B50E5F" w:rsidR="009A2E6C" w:rsidRPr="006B0730" w:rsidRDefault="009A2E6C" w:rsidP="00EA01B9">
            <w:pPr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 xml:space="preserve">Podmioty lecznicze przetaczające krew i </w:t>
            </w:r>
            <w:r w:rsidR="00090984">
              <w:rPr>
                <w:rFonts w:ascii="Times New Roman" w:hAnsi="Times New Roman"/>
                <w:sz w:val="22"/>
                <w:szCs w:val="22"/>
              </w:rPr>
              <w:t>j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ej składniki</w:t>
            </w:r>
          </w:p>
        </w:tc>
        <w:tc>
          <w:tcPr>
            <w:tcW w:w="2186" w:type="dxa"/>
            <w:gridSpan w:val="6"/>
          </w:tcPr>
          <w:p w14:paraId="635F7ACB" w14:textId="61A17257" w:rsidR="009A2E6C" w:rsidRPr="006B0730" w:rsidRDefault="009A2E6C" w:rsidP="00EA01B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ok. 800</w:t>
            </w:r>
          </w:p>
        </w:tc>
        <w:tc>
          <w:tcPr>
            <w:tcW w:w="3104" w:type="dxa"/>
            <w:gridSpan w:val="11"/>
          </w:tcPr>
          <w:p w14:paraId="60F6AE83" w14:textId="735747E6" w:rsidR="009A2E6C" w:rsidRPr="006B0730" w:rsidRDefault="009A2E6C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Sprawozdania z rocznej działalności jednostek organizacyjnych publicznej służby krwi.</w:t>
            </w:r>
          </w:p>
        </w:tc>
        <w:tc>
          <w:tcPr>
            <w:tcW w:w="2963" w:type="dxa"/>
            <w:gridSpan w:val="8"/>
          </w:tcPr>
          <w:p w14:paraId="7291BF96" w14:textId="202828A8" w:rsidR="009A2E6C" w:rsidRPr="006B0730" w:rsidRDefault="009A2E6C" w:rsidP="004E338B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dostępności do osocza immunizowanego.</w:t>
            </w:r>
          </w:p>
        </w:tc>
      </w:tr>
      <w:tr w:rsidR="009A2E6C" w:rsidRPr="003B2329" w14:paraId="2F16D65F" w14:textId="77777777" w:rsidTr="00486041">
        <w:trPr>
          <w:trHeight w:val="142"/>
        </w:trPr>
        <w:tc>
          <w:tcPr>
            <w:tcW w:w="2663" w:type="dxa"/>
            <w:gridSpan w:val="3"/>
          </w:tcPr>
          <w:p w14:paraId="78A337DB" w14:textId="3A6594EC" w:rsidR="009A2E6C" w:rsidRPr="006B0730" w:rsidRDefault="009A2E6C" w:rsidP="00EA01B9">
            <w:pPr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>Laboratoria/pracownie wykonujące badania z zakresu immunologii transfuzjologicznej</w:t>
            </w:r>
          </w:p>
        </w:tc>
        <w:tc>
          <w:tcPr>
            <w:tcW w:w="2186" w:type="dxa"/>
            <w:gridSpan w:val="6"/>
          </w:tcPr>
          <w:p w14:paraId="28A2BE60" w14:textId="1A516857" w:rsidR="009A2E6C" w:rsidRPr="006B0730" w:rsidRDefault="009A2E6C" w:rsidP="00EA01B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ok. 400</w:t>
            </w:r>
          </w:p>
        </w:tc>
        <w:tc>
          <w:tcPr>
            <w:tcW w:w="3104" w:type="dxa"/>
            <w:gridSpan w:val="11"/>
          </w:tcPr>
          <w:p w14:paraId="066E3F6C" w14:textId="09F16AEB" w:rsidR="009A2E6C" w:rsidRPr="006B0730" w:rsidRDefault="009A2E6C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Sprawozdania z rocznej działalności jednostek organizacyjnych publicznej służby krwi.</w:t>
            </w:r>
          </w:p>
        </w:tc>
        <w:tc>
          <w:tcPr>
            <w:tcW w:w="2963" w:type="dxa"/>
            <w:gridSpan w:val="8"/>
          </w:tcPr>
          <w:p w14:paraId="4E83BDD8" w14:textId="129CBBAD" w:rsidR="009A2E6C" w:rsidRPr="006B0730" w:rsidRDefault="009A2E6C" w:rsidP="004E338B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możliwości badania osocza immunizowanego.</w:t>
            </w:r>
          </w:p>
        </w:tc>
      </w:tr>
      <w:tr w:rsidR="009A2E6C" w:rsidRPr="003B2329" w14:paraId="43A42ED1" w14:textId="77777777" w:rsidTr="00486041">
        <w:trPr>
          <w:trHeight w:val="142"/>
        </w:trPr>
        <w:tc>
          <w:tcPr>
            <w:tcW w:w="2663" w:type="dxa"/>
            <w:gridSpan w:val="3"/>
          </w:tcPr>
          <w:p w14:paraId="3B234EAE" w14:textId="1320DE18" w:rsidR="009A2E6C" w:rsidRPr="006B0730" w:rsidRDefault="009A2E6C" w:rsidP="00EA01B9">
            <w:pPr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 xml:space="preserve">Dawcy poddani </w:t>
            </w:r>
            <w:r w:rsidR="004B367B" w:rsidRPr="006B0730">
              <w:rPr>
                <w:rFonts w:ascii="Times New Roman" w:hAnsi="Times New Roman"/>
                <w:sz w:val="22"/>
                <w:szCs w:val="22"/>
              </w:rPr>
              <w:t xml:space="preserve">zabiegowi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uodpornienia</w:t>
            </w:r>
          </w:p>
        </w:tc>
        <w:tc>
          <w:tcPr>
            <w:tcW w:w="2186" w:type="dxa"/>
            <w:gridSpan w:val="6"/>
          </w:tcPr>
          <w:p w14:paraId="548E4778" w14:textId="1A394771" w:rsidR="009A2E6C" w:rsidRPr="006B0730" w:rsidRDefault="004B367B" w:rsidP="00EA01B9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pacing w:val="-2"/>
                <w:sz w:val="22"/>
                <w:szCs w:val="22"/>
              </w:rPr>
              <w:t>ok. 135 osób</w:t>
            </w:r>
          </w:p>
        </w:tc>
        <w:tc>
          <w:tcPr>
            <w:tcW w:w="3104" w:type="dxa"/>
            <w:gridSpan w:val="11"/>
          </w:tcPr>
          <w:p w14:paraId="7158B3C3" w14:textId="141B3C19" w:rsidR="009A2E6C" w:rsidRPr="006B0730" w:rsidRDefault="004B367B" w:rsidP="00EA01B9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Sprawozdania z rocznej działalności jednostek organizacyjnych publicznej służby krwi.</w:t>
            </w:r>
          </w:p>
        </w:tc>
        <w:tc>
          <w:tcPr>
            <w:tcW w:w="2963" w:type="dxa"/>
            <w:gridSpan w:val="8"/>
          </w:tcPr>
          <w:p w14:paraId="72F532A1" w14:textId="5EDB567A" w:rsidR="009A2E6C" w:rsidRPr="006B0730" w:rsidRDefault="004B367B" w:rsidP="004E338B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Zwiększanie grupy dawców immunizowanych.</w:t>
            </w:r>
          </w:p>
        </w:tc>
      </w:tr>
      <w:tr w:rsidR="00700ED6" w:rsidRPr="003B2329" w14:paraId="5CBA4153" w14:textId="77777777" w:rsidTr="00273A0B">
        <w:trPr>
          <w:trHeight w:val="30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49E120F5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700ED6" w:rsidRPr="003B2329" w14:paraId="198373D2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FFFFFF"/>
          </w:tcPr>
          <w:p w14:paraId="3725CEF2" w14:textId="77777777" w:rsidR="009A2E6C" w:rsidRPr="006B0730" w:rsidRDefault="009A2E6C" w:rsidP="009A2E6C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Nie prowadzono konsultacji poprzedzających przygotowanie projektu (tzw. </w:t>
            </w:r>
            <w:proofErr w:type="spellStart"/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pre</w:t>
            </w:r>
            <w:proofErr w:type="spellEnd"/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-konsultacji).</w:t>
            </w:r>
          </w:p>
          <w:p w14:paraId="4080FBFF" w14:textId="733B92BD" w:rsidR="009A2E6C" w:rsidRPr="006B0730" w:rsidRDefault="00741D07" w:rsidP="009A2E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Projekt został skierowany do konsultacji publicznych i opiniowania z 10-dniowym terminem zgłaszania uwag </w:t>
            </w:r>
            <w:r w:rsidR="009A2E6C" w:rsidRPr="006B0730">
              <w:rPr>
                <w:rFonts w:ascii="Times New Roman" w:hAnsi="Times New Roman"/>
                <w:sz w:val="22"/>
                <w:szCs w:val="22"/>
              </w:rPr>
              <w:t>do:</w:t>
            </w:r>
            <w:r w:rsidR="009A2E6C" w:rsidRPr="006B0730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F503690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Prezesa Urzędu Ochrony Konkurencji i Konsumentów; </w:t>
            </w:r>
          </w:p>
          <w:p w14:paraId="3349EC62" w14:textId="5544955F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Prezes</w:t>
            </w:r>
            <w:r w:rsidR="002E0671" w:rsidRPr="006B0730">
              <w:rPr>
                <w:rFonts w:ascii="Times New Roman" w:hAnsi="Times New Roman"/>
              </w:rPr>
              <w:t>a</w:t>
            </w:r>
            <w:r w:rsidRPr="006B0730">
              <w:rPr>
                <w:rFonts w:ascii="Times New Roman" w:hAnsi="Times New Roman"/>
              </w:rPr>
              <w:t xml:space="preserve"> Urzędu Ochrony Danych Osobowych;</w:t>
            </w:r>
          </w:p>
          <w:p w14:paraId="35FE3CAD" w14:textId="26C66AB8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Prokuratori</w:t>
            </w:r>
            <w:r w:rsidR="002E0671" w:rsidRPr="006B0730">
              <w:rPr>
                <w:rFonts w:ascii="Times New Roman" w:hAnsi="Times New Roman"/>
              </w:rPr>
              <w:t>i</w:t>
            </w:r>
            <w:r w:rsidRPr="006B0730">
              <w:rPr>
                <w:rFonts w:ascii="Times New Roman" w:hAnsi="Times New Roman"/>
              </w:rPr>
              <w:t xml:space="preserve"> Generaln</w:t>
            </w:r>
            <w:r w:rsidR="002E0671" w:rsidRPr="006B0730">
              <w:rPr>
                <w:rFonts w:ascii="Times New Roman" w:hAnsi="Times New Roman"/>
              </w:rPr>
              <w:t>ej</w:t>
            </w:r>
            <w:r w:rsidRPr="006B0730">
              <w:rPr>
                <w:rFonts w:ascii="Times New Roman" w:hAnsi="Times New Roman"/>
              </w:rPr>
              <w:t xml:space="preserve"> Rzeczypospolitej Polskiej;</w:t>
            </w:r>
          </w:p>
          <w:p w14:paraId="67FBEA2E" w14:textId="77777777" w:rsidR="002E0671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Prezesa Narodowego Funduszu Zdrowia;</w:t>
            </w:r>
          </w:p>
          <w:p w14:paraId="6C220C00" w14:textId="77777777" w:rsidR="002E0671" w:rsidRPr="006B0730" w:rsidRDefault="002E0671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Głównego Inspektora Sanitarnego;</w:t>
            </w:r>
          </w:p>
          <w:p w14:paraId="756A80DA" w14:textId="290DB6C7" w:rsidR="009A2E6C" w:rsidRPr="006B0730" w:rsidRDefault="002E0671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Głównego Inspektora Farmaceutycznego;</w:t>
            </w:r>
          </w:p>
          <w:p w14:paraId="760C123A" w14:textId="6F3C1035" w:rsidR="002E0671" w:rsidRPr="006B0730" w:rsidRDefault="002E0671" w:rsidP="00F87BDD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Prezesa Urzędu Rejestracji Produktów Leczniczych, Wyrobów Medycznych i Produktów Biobójczych; </w:t>
            </w:r>
          </w:p>
          <w:p w14:paraId="11DE1A64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Naczelnej Rady Lekarskiej;  </w:t>
            </w:r>
          </w:p>
          <w:p w14:paraId="10A73716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Naczelnej Rady Pielęgniarek i Położnych;  </w:t>
            </w:r>
          </w:p>
          <w:p w14:paraId="79F908C7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Naczelnej Rady Aptekarskiej;  </w:t>
            </w:r>
          </w:p>
          <w:p w14:paraId="61D2A690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Krajowej Rady Diagnostów Laboratoryjnych;  </w:t>
            </w:r>
          </w:p>
          <w:p w14:paraId="694CCE48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Krajowej Rady Fizjoterapeutów; </w:t>
            </w:r>
          </w:p>
          <w:p w14:paraId="4292968B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lastRenderedPageBreak/>
              <w:t xml:space="preserve">Ogólnopolskiego Związku Zawodowego Lekarzy;  </w:t>
            </w:r>
          </w:p>
          <w:p w14:paraId="0CA62C0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Związku Zawodowego Pielęgniarek i Położnych; </w:t>
            </w:r>
          </w:p>
          <w:p w14:paraId="5DF4316E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Ogólnopolskiego Związku Zawodowego Położnych;</w:t>
            </w:r>
          </w:p>
          <w:p w14:paraId="7C1932D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Federacji Związków Pracodawców Ochrony Zdrowia „Porozumienie Zielonogórskie”;  </w:t>
            </w:r>
          </w:p>
          <w:p w14:paraId="6DC00877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Porozumienia Związków Zawodowych; </w:t>
            </w:r>
          </w:p>
          <w:p w14:paraId="7B11BD6E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Forum Związków Zawodowych; </w:t>
            </w:r>
          </w:p>
          <w:p w14:paraId="729D1D11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Pracodawców Rzeczypospolitej Polskiej; </w:t>
            </w:r>
          </w:p>
          <w:p w14:paraId="10711BF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Konfederacji „Lewiatan”; </w:t>
            </w:r>
          </w:p>
          <w:p w14:paraId="5E4AF09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Business Centre Club – Związek Pracodawców; </w:t>
            </w:r>
          </w:p>
          <w:p w14:paraId="7BFD3948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Związku Przedsiębiorców i Pracodawców; </w:t>
            </w:r>
          </w:p>
          <w:p w14:paraId="3C8B6A3B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Federacji Przedsiębiorców Polskich; </w:t>
            </w:r>
          </w:p>
          <w:p w14:paraId="4B7722A3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Związku Rzemiosła Polskiego; </w:t>
            </w:r>
          </w:p>
          <w:p w14:paraId="3478B2D0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Instytutu Praw Pacjenta i Edukacji Zdrowotnej;</w:t>
            </w:r>
          </w:p>
          <w:p w14:paraId="1570A91C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Federacji Pacjentów Polskich;</w:t>
            </w:r>
          </w:p>
          <w:p w14:paraId="1E145EF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Stowarzyszenia „Dla Dobra Pacjenta”;</w:t>
            </w:r>
          </w:p>
          <w:p w14:paraId="0E8B90EF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Sekretariatu Ochrony Zdrowia KK–NSZZ „Solidarność”;</w:t>
            </w:r>
          </w:p>
          <w:p w14:paraId="1B43CF9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KK NSZZ „Solidarność 80”; </w:t>
            </w:r>
          </w:p>
          <w:p w14:paraId="137F47CC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Konsultanta Krajowego w dziedzinie transfuzjologii klinicznej;  </w:t>
            </w:r>
          </w:p>
          <w:p w14:paraId="14F20739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Konsultanta Krajowego w dziedzinie hematologii;  </w:t>
            </w:r>
          </w:p>
          <w:p w14:paraId="240BCC5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Konsultanta Krajowego w dziedzinie transplantologii klinicznej;</w:t>
            </w:r>
          </w:p>
          <w:p w14:paraId="73AA9C50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Konsultanta Krajowego w dziedzinie onkologii i hematologii dziecięcej;</w:t>
            </w:r>
          </w:p>
          <w:p w14:paraId="733B952E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Instytutu Hematologii i Transfuzjologii;  </w:t>
            </w:r>
          </w:p>
          <w:p w14:paraId="4FD70A1C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Białymstoku;</w:t>
            </w:r>
          </w:p>
          <w:p w14:paraId="07ABAC84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Bydgoszczy;</w:t>
            </w:r>
          </w:p>
          <w:p w14:paraId="6005FD59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Gdańsku;</w:t>
            </w:r>
          </w:p>
          <w:p w14:paraId="60D51E6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Kaliszu;</w:t>
            </w:r>
          </w:p>
          <w:p w14:paraId="6AFCB59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Katowicach;</w:t>
            </w:r>
          </w:p>
          <w:p w14:paraId="7BCFC0C4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Kielcach;</w:t>
            </w:r>
          </w:p>
          <w:p w14:paraId="6C2307B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Krakowie;</w:t>
            </w:r>
          </w:p>
          <w:p w14:paraId="16EC5366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Lublinie;</w:t>
            </w:r>
          </w:p>
          <w:p w14:paraId="03482808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Łodzi;</w:t>
            </w:r>
          </w:p>
          <w:p w14:paraId="02346253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Olsztynie;</w:t>
            </w:r>
          </w:p>
          <w:p w14:paraId="2EACAC19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Opolu;</w:t>
            </w:r>
          </w:p>
          <w:p w14:paraId="3153106C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Poznaniu;</w:t>
            </w:r>
          </w:p>
          <w:p w14:paraId="5AA9CD29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Raciborzu;</w:t>
            </w:r>
          </w:p>
          <w:p w14:paraId="3F307423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Regionalnego Centrum Krwiodawstwa i Krwiolecznictwa im. dr Konrada </w:t>
            </w:r>
            <w:proofErr w:type="spellStart"/>
            <w:r w:rsidRPr="006B0730">
              <w:rPr>
                <w:rFonts w:ascii="Times New Roman" w:hAnsi="Times New Roman"/>
              </w:rPr>
              <w:t>Vietha</w:t>
            </w:r>
            <w:proofErr w:type="spellEnd"/>
            <w:r w:rsidRPr="006B0730">
              <w:rPr>
                <w:rFonts w:ascii="Times New Roman" w:hAnsi="Times New Roman"/>
              </w:rPr>
              <w:t xml:space="preserve"> w Radomiu;</w:t>
            </w:r>
          </w:p>
          <w:p w14:paraId="40E43F2D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Rzeszowie;</w:t>
            </w:r>
          </w:p>
          <w:p w14:paraId="0F5880BC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im. Jana Pawła II w Słupsku;</w:t>
            </w:r>
          </w:p>
          <w:p w14:paraId="514F688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Szczecinie;</w:t>
            </w:r>
          </w:p>
          <w:p w14:paraId="6E6A5178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Wałbrzychu;</w:t>
            </w:r>
          </w:p>
          <w:p w14:paraId="7FC4528A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Regionalnego Centrum Krwiodawstwa i Krwiolecznictwa w Warszawie;</w:t>
            </w:r>
          </w:p>
          <w:p w14:paraId="299F7258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Regionalnego Centrum Krwiodawstwa i Krwiolecznictwa im. prof. dr hab. Tadeusza </w:t>
            </w:r>
            <w:proofErr w:type="spellStart"/>
            <w:r w:rsidRPr="006B0730">
              <w:rPr>
                <w:rFonts w:ascii="Times New Roman" w:hAnsi="Times New Roman"/>
              </w:rPr>
              <w:t>Dorobisza</w:t>
            </w:r>
            <w:proofErr w:type="spellEnd"/>
            <w:r w:rsidRPr="006B0730">
              <w:rPr>
                <w:rFonts w:ascii="Times New Roman" w:hAnsi="Times New Roman"/>
              </w:rPr>
              <w:t xml:space="preserve"> we Wrocławiu;</w:t>
            </w:r>
          </w:p>
          <w:p w14:paraId="64F2575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Regionalnego Centrum Krwiodawstwa i Krwiolecznictwa w Zielonej Górze;  </w:t>
            </w:r>
          </w:p>
          <w:p w14:paraId="400D4F04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Wojskowego Centrum Krwiodawstwa i Krwiolecznictwa;  </w:t>
            </w:r>
          </w:p>
          <w:p w14:paraId="599D1EF3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Centrum Krwiodawstwa i Krwiolecznictwa MSWiA;  </w:t>
            </w:r>
          </w:p>
          <w:p w14:paraId="7BB92997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Krajowej Rady do Spraw Krwiodawstwa i Krwiolecznictwa; </w:t>
            </w:r>
          </w:p>
          <w:p w14:paraId="097D737B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Związku Pracodawców Ratownictwa Medycznego SP-ZOZ; </w:t>
            </w:r>
          </w:p>
          <w:p w14:paraId="2CC3DF4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Polskiej Unii Szpitali Klinicznych; </w:t>
            </w:r>
          </w:p>
          <w:p w14:paraId="71592CA2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Stowarzyszenia Menedżerów Ochrony Zdrowia; </w:t>
            </w:r>
          </w:p>
          <w:p w14:paraId="05124980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 xml:space="preserve">Ogólnopolskiego Stowarzyszenia Szpitali Niepublicznych; </w:t>
            </w:r>
          </w:p>
          <w:p w14:paraId="299A76B6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lastRenderedPageBreak/>
              <w:t xml:space="preserve">Polskiej Federacji Szpitali; </w:t>
            </w:r>
          </w:p>
          <w:p w14:paraId="25C8FB56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Rzecznika Praw Pacjenta;</w:t>
            </w:r>
          </w:p>
          <w:p w14:paraId="2A5ED634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Polskiego Towarzystwa Koderów Medycznych;</w:t>
            </w:r>
          </w:p>
          <w:p w14:paraId="134C5911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Zarządu Głównego Polskiego Czerwonego Krzyża;</w:t>
            </w:r>
          </w:p>
          <w:p w14:paraId="7301A249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Rady Dialogu Społecznego;</w:t>
            </w:r>
          </w:p>
          <w:p w14:paraId="20BBC4CE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Porozumienia Pracodawców Ochrony Zdrowia;</w:t>
            </w:r>
          </w:p>
          <w:p w14:paraId="5E79D718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Porozumienia Łódzkiego – Łódzkiego Związku Pracodawców Ochrony Zdrowia;</w:t>
            </w:r>
          </w:p>
          <w:p w14:paraId="033D9FC5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Polskiej Federacji Pracodawców Prywatnych Ochrony Zdrowia;</w:t>
            </w:r>
          </w:p>
          <w:p w14:paraId="6E26F931" w14:textId="77777777" w:rsidR="009A2E6C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Wielkopolskiego Związku Pracodawców Ochrony Zdrowia;</w:t>
            </w:r>
          </w:p>
          <w:p w14:paraId="7D3CC5AA" w14:textId="77777777" w:rsidR="00052FB2" w:rsidRPr="006B0730" w:rsidRDefault="009A2E6C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Konsorcjum Dolnośląskich Szpitali Powiatowych</w:t>
            </w:r>
            <w:r w:rsidR="00052FB2" w:rsidRPr="006B0730">
              <w:rPr>
                <w:rFonts w:ascii="Times New Roman" w:hAnsi="Times New Roman"/>
              </w:rPr>
              <w:t>;</w:t>
            </w:r>
          </w:p>
          <w:p w14:paraId="6832C895" w14:textId="1B5E91FE" w:rsidR="009A2E6C" w:rsidRPr="006B0730" w:rsidRDefault="00052FB2" w:rsidP="009A2E6C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0730">
              <w:rPr>
                <w:rFonts w:ascii="Times New Roman" w:hAnsi="Times New Roman"/>
              </w:rPr>
              <w:t>Polskiego Towarzystwa Gospodarczego.</w:t>
            </w:r>
          </w:p>
          <w:p w14:paraId="7F45EFBD" w14:textId="6354756C" w:rsidR="009A2E6C" w:rsidRPr="006B0730" w:rsidRDefault="009A2E6C" w:rsidP="009A2E6C">
            <w:pPr>
              <w:pStyle w:val="Akapitzlist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F54C218" w14:textId="77777777" w:rsidR="00741D07" w:rsidRPr="003B2329" w:rsidRDefault="00741D07" w:rsidP="00741D07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B2329">
              <w:rPr>
                <w:rFonts w:ascii="Times New Roman" w:eastAsia="Calibri" w:hAnsi="Times New Roman"/>
                <w:color w:val="000000"/>
                <w:spacing w:val="-2"/>
                <w:sz w:val="22"/>
                <w:szCs w:val="22"/>
                <w:lang w:eastAsia="en-US"/>
              </w:rPr>
              <w:t>Projekt rozporządzenia stosownie do art. 5 ustawy z dnia 7 lipca 2005 r. o działalności lobbingowej w procesie stanowienia prawa (Dz. U. z 2017 r. poz. 248) został umieszczony w Biuletynie Informacji Publicznej Ministerstwa Zdrowia. Ponadto, zgodnie z § 52 ust. 1 uchwały nr 190 Rady Ministrów z 29 października 2013 r. – Regulamin pracy Rady Ministrów (M.P. z 2022 r. poz. 348) projekt został opublikowany w Biuletynie Informacji Publicznej na stronie podmiotowej Rządowego Centrum Legislacji, w serwisie Rządowy Proces Legislacyjny.</w:t>
            </w:r>
          </w:p>
          <w:p w14:paraId="3A29A92B" w14:textId="350D14EB" w:rsidR="00741D07" w:rsidRPr="006B0730" w:rsidRDefault="00741D07" w:rsidP="00741D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491695A" w14:textId="4BADAEF0" w:rsidR="001264F4" w:rsidRPr="006B0730" w:rsidRDefault="009A2E6C" w:rsidP="009A2E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>Wyniki konsultacji publicznych i opiniowania zostaną przedstawione po ich zakończeniu w raporcie z konsultacji publicznych i opiniowania.</w:t>
            </w:r>
          </w:p>
        </w:tc>
      </w:tr>
      <w:tr w:rsidR="00700ED6" w:rsidRPr="003B2329" w14:paraId="6A2715B3" w14:textId="77777777" w:rsidTr="00273A0B">
        <w:trPr>
          <w:trHeight w:val="363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62FEF5C3" w14:textId="77777777" w:rsidR="00700ED6" w:rsidRPr="006B0730" w:rsidRDefault="00700ED6" w:rsidP="0061426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700ED6" w:rsidRPr="003B2329" w14:paraId="29C7037A" w14:textId="77777777" w:rsidTr="00486041">
        <w:trPr>
          <w:trHeight w:val="142"/>
        </w:trPr>
        <w:tc>
          <w:tcPr>
            <w:tcW w:w="3127" w:type="dxa"/>
            <w:gridSpan w:val="4"/>
            <w:vMerge w:val="restart"/>
            <w:shd w:val="clear" w:color="auto" w:fill="FFFFFF"/>
          </w:tcPr>
          <w:p w14:paraId="78786863" w14:textId="77777777" w:rsidR="00700ED6" w:rsidRPr="006B0730" w:rsidRDefault="00700ED6" w:rsidP="0061426C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7789" w:type="dxa"/>
            <w:gridSpan w:val="24"/>
            <w:shd w:val="clear" w:color="auto" w:fill="FFFFFF"/>
          </w:tcPr>
          <w:p w14:paraId="3E49A18A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486041" w:rsidRPr="003B2329" w14:paraId="059D6987" w14:textId="77777777" w:rsidTr="00486041">
        <w:trPr>
          <w:gridAfter w:val="2"/>
          <w:wAfter w:w="33" w:type="dxa"/>
          <w:trHeight w:val="142"/>
        </w:trPr>
        <w:tc>
          <w:tcPr>
            <w:tcW w:w="3127" w:type="dxa"/>
            <w:gridSpan w:val="4"/>
            <w:vMerge/>
            <w:shd w:val="clear" w:color="auto" w:fill="FFFFFF"/>
          </w:tcPr>
          <w:p w14:paraId="52DD18B7" w14:textId="77777777" w:rsidR="00700ED6" w:rsidRPr="006B0730" w:rsidRDefault="00700ED6" w:rsidP="0061426C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70A0391" w14:textId="77777777" w:rsidR="00700ED6" w:rsidRPr="006B0730" w:rsidRDefault="00700ED6" w:rsidP="002D7A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6379869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DDEB99B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4833166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80AD179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14:paraId="3212EA5F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AB60911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86A0C0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D1BBD8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8201BFE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12DEC6E7" w14:textId="77777777" w:rsidR="00700ED6" w:rsidRPr="006B0730" w:rsidRDefault="00700E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8" w:type="dxa"/>
            <w:gridSpan w:val="2"/>
            <w:shd w:val="clear" w:color="auto" w:fill="FFFFFF"/>
          </w:tcPr>
          <w:p w14:paraId="0781476A" w14:textId="77777777" w:rsidR="00700ED6" w:rsidRPr="006B0730" w:rsidRDefault="00700ED6" w:rsidP="0061426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486041" w:rsidRPr="003B2329" w14:paraId="68C6CFFE" w14:textId="77777777" w:rsidTr="00486041">
        <w:trPr>
          <w:gridAfter w:val="1"/>
          <w:wAfter w:w="15" w:type="dxa"/>
          <w:trHeight w:val="32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02E6267B" w14:textId="77777777" w:rsidR="00700ED6" w:rsidRPr="006B0730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Dochody ogółem</w:t>
            </w:r>
            <w:r w:rsidR="009531C8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525EE645" w14:textId="080ABF29" w:rsidR="00700ED6" w:rsidRPr="006B0730" w:rsidRDefault="003E5519" w:rsidP="00703FA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="00110235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</w:t>
            </w:r>
            <w:r w:rsidR="00703FAC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DB4B7A4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8F5DF80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8C11EF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798CEE5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C461590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7B5FE25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E39A33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9F5850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0BE155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BD065C7" w14:textId="77777777" w:rsidR="00700ED6" w:rsidRPr="006B0730" w:rsidRDefault="00700E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FFFFFF"/>
          </w:tcPr>
          <w:p w14:paraId="74DD4C58" w14:textId="18CB955C" w:rsidR="00700ED6" w:rsidRPr="006B0730" w:rsidRDefault="00110235" w:rsidP="00703FAC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0,</w:t>
            </w:r>
            <w:r w:rsidR="00703FAC"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486041" w:rsidRPr="003B2329" w14:paraId="74E01476" w14:textId="77777777" w:rsidTr="00486041">
        <w:trPr>
          <w:gridAfter w:val="1"/>
          <w:wAfter w:w="15" w:type="dxa"/>
          <w:trHeight w:val="284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2E261F36" w14:textId="77777777" w:rsidR="00700ED6" w:rsidRPr="006B0730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Podmioty lecznicze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07882F97" w14:textId="7D00A27C" w:rsidR="00700ED6" w:rsidRPr="006B0730" w:rsidRDefault="003E5519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966696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AEA3AD8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6E04CB5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5EB863C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7897467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F436DA2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8D1AE00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F0D2126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5BD7EE7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1BA446E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FFFFFF"/>
          </w:tcPr>
          <w:p w14:paraId="31DFE1A4" w14:textId="520F523A" w:rsidR="00700ED6" w:rsidRPr="006B0730" w:rsidRDefault="00110235" w:rsidP="00703FAC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0,</w:t>
            </w:r>
            <w:r w:rsidR="00703FAC"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486041" w:rsidRPr="003B2329" w14:paraId="3AA34251" w14:textId="77777777" w:rsidTr="00486041">
        <w:trPr>
          <w:gridAfter w:val="1"/>
          <w:wAfter w:w="15" w:type="dxa"/>
          <w:trHeight w:val="284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37DE26F" w14:textId="77777777" w:rsidR="000B69F3" w:rsidRPr="006B0730" w:rsidRDefault="000B69F3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NFZ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1F64A800" w14:textId="77777777" w:rsidR="000B69F3" w:rsidRPr="006B0730" w:rsidDel="000B69F3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38DBC26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1F77E7D5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6058AC1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DA8E6AE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3A66F83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310C74F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5BB0FEC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45E8BA1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A1F707C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232B2C73" w14:textId="77777777" w:rsidR="000B69F3" w:rsidRPr="006B0730" w:rsidRDefault="000B69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FFFFFF"/>
          </w:tcPr>
          <w:p w14:paraId="4A5504BA" w14:textId="77777777" w:rsidR="000B69F3" w:rsidRPr="006B0730" w:rsidRDefault="000B69F3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486041" w:rsidRPr="003B2329" w14:paraId="3C88FC20" w14:textId="77777777" w:rsidTr="00486041">
        <w:trPr>
          <w:gridAfter w:val="1"/>
          <w:wAfter w:w="15" w:type="dxa"/>
          <w:trHeight w:val="33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7515C5C2" w14:textId="77777777" w:rsidR="00486041" w:rsidRPr="006B0730" w:rsidRDefault="00486041" w:rsidP="004860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Wydatki ogółem, w tym: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5F509F42" w14:textId="16138D86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FA8384" w14:textId="73938AE6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4F941EF1" w14:textId="3B38823A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073E20A" w14:textId="01E8C729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8B34EFB" w14:textId="5A2D2C6F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11E9D99D" w14:textId="120E958A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34E26BD" w14:textId="548B993C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830FE2B" w14:textId="0A82854A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A93ABD7" w14:textId="4C403057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E340017" w14:textId="558B45E2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0BF459E9" w14:textId="5B04C57E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16" w:type="dxa"/>
            <w:gridSpan w:val="3"/>
            <w:shd w:val="clear" w:color="auto" w:fill="FFFFFF"/>
          </w:tcPr>
          <w:p w14:paraId="3829F42C" w14:textId="072915C4" w:rsidR="00486041" w:rsidRPr="006B0730" w:rsidRDefault="00486041" w:rsidP="00486041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</w:t>
            </w:r>
            <w:r w:rsidR="00D902F3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486041" w:rsidRPr="003B2329" w14:paraId="14FF3277" w14:textId="77777777" w:rsidTr="00486041">
        <w:trPr>
          <w:gridAfter w:val="1"/>
          <w:wAfter w:w="15" w:type="dxa"/>
          <w:trHeight w:val="33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6E3D1DAE" w14:textId="77777777" w:rsidR="00700ED6" w:rsidRPr="006B0730" w:rsidRDefault="00700ED6" w:rsidP="002D7A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Podmioty lecznicze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39A8960C" w14:textId="4B28AB5A" w:rsidR="00700ED6" w:rsidRPr="006B0730" w:rsidRDefault="003E5519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910B53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3E6C3523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83F4C37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5BC548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4EAC12D4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A5B2748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5FECDF2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B2FA01F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1E8B9E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77DF1BBD" w14:textId="77777777" w:rsidR="00700ED6" w:rsidRPr="006B0730" w:rsidRDefault="00700E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shd w:val="clear" w:color="auto" w:fill="FFFFFF"/>
          </w:tcPr>
          <w:p w14:paraId="45381EB7" w14:textId="70E00AEF" w:rsidR="00700ED6" w:rsidRPr="006B0730" w:rsidRDefault="00061ADE" w:rsidP="00703F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10235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703FAC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371420" w:rsidRPr="003B2329" w14:paraId="765176FD" w14:textId="77777777" w:rsidTr="00486041">
        <w:trPr>
          <w:gridAfter w:val="1"/>
          <w:wAfter w:w="15" w:type="dxa"/>
          <w:trHeight w:val="351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1D3FCCDC" w14:textId="1C0F7441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33A2CE4B" w14:textId="4E34A9A3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7D0D9D5" w14:textId="513CCC93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724177E6" w14:textId="248104E3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A1A33F" w14:textId="04A53802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80088EB" w14:textId="51625967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279181D4" w14:textId="450C927E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42E6F6B" w14:textId="0E5CCFF5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7527B3" w14:textId="19A297DD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80D0F9" w14:textId="0DA8B30F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DDBD38" w14:textId="1BE9FBA7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72B0E23C" w14:textId="7A67E7CB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16" w:type="dxa"/>
            <w:gridSpan w:val="3"/>
            <w:shd w:val="clear" w:color="auto" w:fill="FFFFFF"/>
          </w:tcPr>
          <w:p w14:paraId="06E41049" w14:textId="555CBD36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0,7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371420" w:rsidRPr="003B2329" w14:paraId="15725265" w14:textId="77777777" w:rsidTr="00486041">
        <w:trPr>
          <w:gridAfter w:val="1"/>
          <w:wAfter w:w="15" w:type="dxa"/>
          <w:trHeight w:val="36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413072D" w14:textId="77777777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Saldo ogółem, w tym: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79072655" w14:textId="61D3A924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5674AE" w14:textId="5304846A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69C6FCF8" w14:textId="4D8A3BE0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1E3940F" w14:textId="7E885C77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2B3AE62" w14:textId="73ADE56B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2235C284" w14:textId="00EC87F1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373FE6D" w14:textId="4F4DC506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F43F1E" w14:textId="0363373A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261920" w14:textId="2413CEDD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C9E8F14" w14:textId="3FE84644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69E3E3C8" w14:textId="43051978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16" w:type="dxa"/>
            <w:gridSpan w:val="3"/>
            <w:shd w:val="clear" w:color="auto" w:fill="FFFFFF"/>
          </w:tcPr>
          <w:p w14:paraId="66A650B0" w14:textId="100CB2D5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0,7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371420" w:rsidRPr="003B2329" w14:paraId="37CD0709" w14:textId="77777777" w:rsidTr="00486041">
        <w:trPr>
          <w:gridAfter w:val="1"/>
          <w:wAfter w:w="15" w:type="dxa"/>
          <w:trHeight w:val="360"/>
        </w:trPr>
        <w:tc>
          <w:tcPr>
            <w:tcW w:w="3127" w:type="dxa"/>
            <w:gridSpan w:val="4"/>
            <w:shd w:val="clear" w:color="auto" w:fill="FFFFFF"/>
            <w:vAlign w:val="center"/>
          </w:tcPr>
          <w:p w14:paraId="5DCFBA17" w14:textId="0B0AB7E0" w:rsidR="00371420" w:rsidRPr="006B0730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0522F68D" w14:textId="5235464E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592BCF" w14:textId="021D02A7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5CF25A99" w14:textId="39948E64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88A747A" w14:textId="7017412F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2A33E71" w14:textId="43B0BD4B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5B9F51E3" w14:textId="68175A5E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A154D55" w14:textId="1B6172CF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E445D83" w14:textId="68FFF835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FC46E2A" w14:textId="2895189E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C31999" w14:textId="70172F44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567" w:type="dxa"/>
            <w:shd w:val="clear" w:color="auto" w:fill="FFFFFF"/>
          </w:tcPr>
          <w:p w14:paraId="00B9E258" w14:textId="6C633C69" w:rsidR="00371420" w:rsidRPr="006B0730" w:rsidRDefault="005774A6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16" w:type="dxa"/>
            <w:gridSpan w:val="3"/>
            <w:shd w:val="clear" w:color="auto" w:fill="FFFFFF"/>
          </w:tcPr>
          <w:p w14:paraId="762D02B0" w14:textId="60D70FA0" w:rsidR="00371420" w:rsidRPr="006B0730" w:rsidRDefault="005774A6" w:rsidP="0037142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  <w:r w:rsidR="00371420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0,7</w:t>
            </w:r>
            <w:r w:rsidR="006E2C96"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371420" w:rsidRPr="003B2329" w14:paraId="729EADC2" w14:textId="77777777" w:rsidTr="00486041">
        <w:trPr>
          <w:trHeight w:val="348"/>
        </w:trPr>
        <w:tc>
          <w:tcPr>
            <w:tcW w:w="2239" w:type="dxa"/>
            <w:gridSpan w:val="2"/>
            <w:shd w:val="clear" w:color="auto" w:fill="FFFFFF"/>
            <w:vAlign w:val="center"/>
          </w:tcPr>
          <w:p w14:paraId="4F93B54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Źródła finansowania </w:t>
            </w:r>
          </w:p>
        </w:tc>
        <w:tc>
          <w:tcPr>
            <w:tcW w:w="8677" w:type="dxa"/>
            <w:gridSpan w:val="26"/>
            <w:shd w:val="clear" w:color="auto" w:fill="FFFFFF"/>
            <w:vAlign w:val="center"/>
          </w:tcPr>
          <w:p w14:paraId="2C0344FC" w14:textId="77777777" w:rsidR="00371420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 – zgodnie z art. 11 ust. 1 ustawy z dnia 22 sierpnia 1997 r. o publicznej służbie krwi, koszt rekompensaty za niedogodności związane z koniecznością stawienia się na każde żądanie jednostki organizacyjnej publicznej służby krwi w celu oddania krwi lub jej składników lub poddania się zabiegowi uodpornienia lub innym zabiegom wykonywanym w celu uzyskania osocza lub surowic diagnostycznych, ponosi jednostka organizacyjna publicznej służby krwi.</w:t>
            </w:r>
          </w:p>
          <w:p w14:paraId="5ECC3AA7" w14:textId="7659A2B6" w:rsidR="00040000" w:rsidRDefault="0004000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Zgodnie z art. 23 ust. 3</w:t>
            </w:r>
            <w:r w:rsidR="00090984"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ustawy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publicznej służbie krwi </w:t>
            </w:r>
            <w:r w:rsidR="00BB6455">
              <w:rPr>
                <w:rFonts w:ascii="Times New Roman" w:hAnsi="Times New Roman"/>
                <w:color w:val="000000"/>
                <w:sz w:val="22"/>
                <w:szCs w:val="22"/>
              </w:rPr>
              <w:t>Centra Krwiodawstwa i Krwiolecznictwa (</w:t>
            </w:r>
            <w:proofErr w:type="spellStart"/>
            <w:r w:rsidR="00BB6455">
              <w:rPr>
                <w:rFonts w:ascii="Times New Roman" w:hAnsi="Times New Roman"/>
                <w:color w:val="000000"/>
                <w:sz w:val="22"/>
                <w:szCs w:val="22"/>
              </w:rPr>
              <w:t>CKiK</w:t>
            </w:r>
            <w:proofErr w:type="spellEnd"/>
            <w:r w:rsidR="00BB6455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BB6455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są dofinansowywane z budżetu państwa w formie dotacji z części będącej w dyspozycji ministra właściwego do spraw zdrowia na </w:t>
            </w:r>
            <w:r w:rsidR="00BB6455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>realizuj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ę</w:t>
            </w:r>
            <w:r w:rsidR="00BB6455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zada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ń</w:t>
            </w:r>
            <w:r w:rsidR="00BB6455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wynikając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ych</w:t>
            </w:r>
            <w:r w:rsidR="00BB6455" w:rsidRPr="00B36A0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 przepisów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ustawy.</w:t>
            </w:r>
          </w:p>
          <w:p w14:paraId="709DD91A" w14:textId="7930D164" w:rsidR="00BB6455" w:rsidRPr="006B0730" w:rsidRDefault="00BB6455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0C6AA347" w14:textId="77777777" w:rsidTr="00486041">
        <w:trPr>
          <w:trHeight w:val="841"/>
        </w:trPr>
        <w:tc>
          <w:tcPr>
            <w:tcW w:w="2239" w:type="dxa"/>
            <w:gridSpan w:val="2"/>
            <w:shd w:val="clear" w:color="auto" w:fill="FFFFFF"/>
          </w:tcPr>
          <w:p w14:paraId="4C7CDA4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77" w:type="dxa"/>
            <w:gridSpan w:val="26"/>
            <w:shd w:val="clear" w:color="auto" w:fill="FFFFFF"/>
          </w:tcPr>
          <w:p w14:paraId="6001DCFE" w14:textId="3EA68DE5" w:rsidR="00371420" w:rsidRPr="006B0730" w:rsidRDefault="00371420" w:rsidP="00371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 xml:space="preserve">Ilość osocza pobieranego przez </w:t>
            </w:r>
            <w:r w:rsidR="00DF59D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Centra Krwiodawstwa i Krwiolecznictwa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– średnio rocznie ok. 464 litrów osocza</w:t>
            </w:r>
            <w:r w:rsidRPr="006B0730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  <w:r w:rsidR="0054030F">
              <w:rPr>
                <w:rFonts w:ascii="Times New Roman" w:hAnsi="Times New Roman"/>
                <w:sz w:val="22"/>
                <w:szCs w:val="22"/>
              </w:rPr>
              <w:t>.</w:t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  <w:t xml:space="preserve">Przy założeniu utrzymania rokrocznie ilości pobieranego osocza na poziomi ok. 460 litrów oraz waloryzacji wysokości ekwiwalentu do 500 zł oraz zbliżoną liczbę dawców +/- 100 osób rocznie, koszty </w:t>
            </w:r>
            <w:r w:rsidR="0054030F">
              <w:rPr>
                <w:rFonts w:ascii="Times New Roman" w:hAnsi="Times New Roman"/>
                <w:color w:val="000000"/>
                <w:sz w:val="22"/>
                <w:szCs w:val="22"/>
              </w:rPr>
              <w:t>Centrów</w:t>
            </w:r>
            <w:r w:rsidR="0054030F"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Krwiodawstwa i Krwiolecznictwa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wzrosłyby o ok. 70 000 zł.</w:t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  <w:t>obliczenia:</w:t>
            </w:r>
          </w:p>
          <w:p w14:paraId="65A19BE1" w14:textId="77777777" w:rsidR="00371420" w:rsidRPr="006B0730" w:rsidRDefault="00371420" w:rsidP="00371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>464 litry osocza x 350 zł = 162 400 zł</w:t>
            </w:r>
          </w:p>
          <w:p w14:paraId="2BE02219" w14:textId="4685DF98" w:rsidR="00371420" w:rsidRPr="006B0730" w:rsidRDefault="00371420" w:rsidP="00371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>464 litry osocza x 500 zł = 232 000 zł</w:t>
            </w:r>
          </w:p>
          <w:p w14:paraId="2ED3D0D1" w14:textId="77777777" w:rsidR="00371420" w:rsidRPr="006B0730" w:rsidRDefault="00371420" w:rsidP="00371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197ECDA" w14:textId="0E68B158" w:rsidR="00371420" w:rsidRPr="006B0730" w:rsidRDefault="00371420" w:rsidP="00371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 xml:space="preserve">232 000 </w:t>
            </w:r>
            <w:r w:rsidR="005403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>162 400 = 69 600 zł</w:t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  <w:t xml:space="preserve">Liczba dawców poddanych zabiegowi uodpornienia ok. 135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  <w:t>135 dawców x 50 zł = 6 750 zł</w:t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  <w:t>135 dawców x 70 zł  = 9 450 zł</w:t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</w:r>
            <w:r w:rsidRPr="006B0730">
              <w:rPr>
                <w:rFonts w:ascii="Times New Roman" w:hAnsi="Times New Roman"/>
                <w:sz w:val="22"/>
                <w:szCs w:val="22"/>
              </w:rPr>
              <w:br/>
              <w:t xml:space="preserve">9 450 </w:t>
            </w:r>
            <w:r w:rsidR="00090984">
              <w:rPr>
                <w:rFonts w:ascii="Times New Roman" w:hAnsi="Times New Roman"/>
                <w:sz w:val="22"/>
                <w:szCs w:val="22"/>
              </w:rPr>
              <w:t>–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090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 xml:space="preserve">750 = 2 700 zł </w:t>
            </w:r>
          </w:p>
          <w:p w14:paraId="1CD9F2A2" w14:textId="77777777" w:rsidR="00371420" w:rsidRPr="006B0730" w:rsidRDefault="00371420" w:rsidP="0037142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B3B184" w14:textId="04B363E7" w:rsidR="00371420" w:rsidRPr="006B0730" w:rsidRDefault="00371420" w:rsidP="00EA0D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sz w:val="22"/>
                <w:szCs w:val="22"/>
              </w:rPr>
              <w:t xml:space="preserve">Projektodawca nie zakłada wpływu na budżet państwa, w tym budżet ministra </w:t>
            </w:r>
            <w:r w:rsidR="004B2B2A" w:rsidRPr="006B0730">
              <w:rPr>
                <w:rFonts w:ascii="Times New Roman" w:hAnsi="Times New Roman"/>
                <w:sz w:val="22"/>
                <w:szCs w:val="22"/>
              </w:rPr>
              <w:t>właściwego do spraw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 xml:space="preserve"> zdrowia</w:t>
            </w:r>
            <w:r w:rsidR="00AC7534">
              <w:rPr>
                <w:rFonts w:ascii="Times New Roman" w:hAnsi="Times New Roman"/>
                <w:sz w:val="22"/>
                <w:szCs w:val="22"/>
              </w:rPr>
              <w:t xml:space="preserve"> (w części </w:t>
            </w:r>
            <w:r w:rsidR="00AC7534" w:rsidRPr="00AC7534">
              <w:rPr>
                <w:rFonts w:ascii="Times New Roman" w:hAnsi="Times New Roman"/>
                <w:sz w:val="22"/>
                <w:szCs w:val="22"/>
              </w:rPr>
              <w:t>46 – Zdrowie</w:t>
            </w:r>
            <w:r w:rsidR="00AC7534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B0730">
              <w:rPr>
                <w:rFonts w:ascii="Times New Roman" w:hAnsi="Times New Roman"/>
                <w:sz w:val="22"/>
                <w:szCs w:val="22"/>
              </w:rPr>
              <w:t xml:space="preserve">– zmiana nie wiąże się z koniecznością zwiększenia dotacji dla jednostek organizacyjnych publicznej służby krwi. </w:t>
            </w:r>
          </w:p>
          <w:p w14:paraId="7E61E3BC" w14:textId="27ED31B0" w:rsidR="00371420" w:rsidRPr="006B0730" w:rsidRDefault="00371420" w:rsidP="003714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1420" w:rsidRPr="003B2329" w14:paraId="01F12EB5" w14:textId="77777777" w:rsidTr="00273A0B">
        <w:trPr>
          <w:trHeight w:val="345"/>
        </w:trPr>
        <w:tc>
          <w:tcPr>
            <w:tcW w:w="10916" w:type="dxa"/>
            <w:gridSpan w:val="28"/>
            <w:shd w:val="clear" w:color="auto" w:fill="99CCFF"/>
          </w:tcPr>
          <w:p w14:paraId="7206978F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71420" w:rsidRPr="003B2329" w14:paraId="474F83D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1C997CA5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371420" w:rsidRPr="003B2329" w14:paraId="013D974F" w14:textId="77777777" w:rsidTr="00486041">
        <w:trPr>
          <w:trHeight w:val="142"/>
        </w:trPr>
        <w:tc>
          <w:tcPr>
            <w:tcW w:w="3883" w:type="dxa"/>
            <w:gridSpan w:val="7"/>
            <w:shd w:val="clear" w:color="auto" w:fill="FFFFFF"/>
          </w:tcPr>
          <w:p w14:paraId="5081749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1161D7FD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71A7BB4E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C99A98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8" w:type="dxa"/>
            <w:gridSpan w:val="3"/>
            <w:shd w:val="clear" w:color="auto" w:fill="FFFFFF"/>
          </w:tcPr>
          <w:p w14:paraId="333C8B6B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0" w:type="dxa"/>
            <w:gridSpan w:val="3"/>
            <w:shd w:val="clear" w:color="auto" w:fill="FFFFFF"/>
          </w:tcPr>
          <w:p w14:paraId="34BD4550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18E5CD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4" w:type="dxa"/>
            <w:gridSpan w:val="3"/>
            <w:shd w:val="clear" w:color="auto" w:fill="FFFFFF"/>
          </w:tcPr>
          <w:p w14:paraId="4234DE36" w14:textId="77777777" w:rsidR="00371420" w:rsidRPr="003B2329" w:rsidRDefault="00371420" w:rsidP="00371420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Łącznie</w:t>
            </w:r>
            <w:r w:rsidRPr="003B2329" w:rsidDel="0073273A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i/>
                <w:color w:val="000000"/>
                <w:spacing w:val="-2"/>
                <w:sz w:val="22"/>
                <w:szCs w:val="22"/>
              </w:rPr>
              <w:t>(0-10)</w:t>
            </w:r>
          </w:p>
        </w:tc>
      </w:tr>
      <w:tr w:rsidR="00371420" w:rsidRPr="003B2329" w14:paraId="766A63BB" w14:textId="77777777" w:rsidTr="00486041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32E2756F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W ujęciu pieniężnym</w:t>
            </w:r>
          </w:p>
          <w:p w14:paraId="34C004F5" w14:textId="77777777" w:rsidR="00371420" w:rsidRPr="003B2329" w:rsidRDefault="00371420" w:rsidP="00371420">
            <w:pPr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pacing w:val="-2"/>
                <w:sz w:val="22"/>
                <w:szCs w:val="22"/>
              </w:rPr>
              <w:t>(w mln zł)</w:t>
            </w:r>
          </w:p>
        </w:tc>
        <w:tc>
          <w:tcPr>
            <w:tcW w:w="2289" w:type="dxa"/>
            <w:gridSpan w:val="6"/>
            <w:shd w:val="clear" w:color="auto" w:fill="FFFFFF"/>
          </w:tcPr>
          <w:p w14:paraId="458B03F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012495A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738D10C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C8E96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07AFBED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7C39C39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F11E84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FFFFFF"/>
          </w:tcPr>
          <w:p w14:paraId="7D09A77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371420" w:rsidRPr="003B2329" w14:paraId="523DD519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6A810587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72BDEAF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7AEC57F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57F8060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C569E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3163D2F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5DA08F2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A124C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FFFFFF"/>
          </w:tcPr>
          <w:p w14:paraId="080C12E7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371420" w:rsidRPr="003B2329" w14:paraId="6CAE41F2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29250E3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0D9FA15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3FFE1B8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3"/>
            <w:shd w:val="clear" w:color="auto" w:fill="FFFFFF"/>
          </w:tcPr>
          <w:p w14:paraId="1273642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D6495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0AC9782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6E129A3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B36FC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FFFFFF"/>
          </w:tcPr>
          <w:p w14:paraId="30D4BEF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0</w:t>
            </w:r>
          </w:p>
        </w:tc>
      </w:tr>
      <w:tr w:rsidR="00371420" w:rsidRPr="003B2329" w14:paraId="2FE69EFD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0825AD30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2871C75B" w14:textId="49654F94" w:rsidR="00371420" w:rsidRPr="003B2329" w:rsidRDefault="00371420" w:rsidP="00371420">
            <w:pPr>
              <w:rPr>
                <w:rFonts w:ascii="Times New Roman" w:hAnsi="Times New Roman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(dodaj/usuń)</w:t>
            </w:r>
          </w:p>
        </w:tc>
        <w:tc>
          <w:tcPr>
            <w:tcW w:w="966" w:type="dxa"/>
            <w:gridSpan w:val="2"/>
            <w:shd w:val="clear" w:color="auto" w:fill="FFFFFF"/>
          </w:tcPr>
          <w:p w14:paraId="2FF9BB6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gridSpan w:val="3"/>
            <w:shd w:val="clear" w:color="auto" w:fill="FFFFFF"/>
          </w:tcPr>
          <w:p w14:paraId="1A9689D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323AB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3"/>
            <w:shd w:val="clear" w:color="auto" w:fill="FFFFFF"/>
          </w:tcPr>
          <w:p w14:paraId="4E03813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shd w:val="clear" w:color="auto" w:fill="FFFFFF"/>
          </w:tcPr>
          <w:p w14:paraId="77818CD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005478F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shd w:val="clear" w:color="auto" w:fill="FFFFFF"/>
          </w:tcPr>
          <w:p w14:paraId="259713F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371420" w:rsidRPr="003B2329" w14:paraId="38FE79BB" w14:textId="77777777" w:rsidTr="00486041">
        <w:trPr>
          <w:trHeight w:val="142"/>
        </w:trPr>
        <w:tc>
          <w:tcPr>
            <w:tcW w:w="1594" w:type="dxa"/>
            <w:vMerge w:val="restart"/>
            <w:shd w:val="clear" w:color="auto" w:fill="FFFFFF"/>
          </w:tcPr>
          <w:p w14:paraId="7424E0A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89" w:type="dxa"/>
            <w:gridSpan w:val="6"/>
            <w:shd w:val="clear" w:color="auto" w:fill="FFFFFF"/>
          </w:tcPr>
          <w:p w14:paraId="45CBCE6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33" w:type="dxa"/>
            <w:gridSpan w:val="21"/>
            <w:shd w:val="clear" w:color="auto" w:fill="FFFFFF"/>
          </w:tcPr>
          <w:p w14:paraId="36BAD808" w14:textId="2674921E" w:rsidR="00371420" w:rsidRPr="006B0730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Projekt rozporządzenia nie będzie miał wpływu na sektor dużych przedsiębiorstw.</w:t>
            </w:r>
          </w:p>
        </w:tc>
      </w:tr>
      <w:tr w:rsidR="00371420" w:rsidRPr="003B2329" w14:paraId="208BDC77" w14:textId="77777777" w:rsidTr="00486041">
        <w:trPr>
          <w:trHeight w:val="142"/>
        </w:trPr>
        <w:tc>
          <w:tcPr>
            <w:tcW w:w="1594" w:type="dxa"/>
            <w:vMerge/>
            <w:shd w:val="clear" w:color="auto" w:fill="FFFFFF"/>
          </w:tcPr>
          <w:p w14:paraId="1590D81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70BDFBE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33" w:type="dxa"/>
            <w:gridSpan w:val="21"/>
            <w:shd w:val="clear" w:color="auto" w:fill="FFFFFF"/>
          </w:tcPr>
          <w:p w14:paraId="4375FD86" w14:textId="6BE1266D" w:rsidR="00371420" w:rsidRPr="006B0730" w:rsidRDefault="0004000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 Projekt rozporządzenie nie będzie miał wpływu na sektor mikro-, małych i średnich przedsiębiorstw.</w:t>
            </w:r>
          </w:p>
        </w:tc>
      </w:tr>
      <w:tr w:rsidR="00371420" w:rsidRPr="003B2329" w14:paraId="56CD4BC8" w14:textId="77777777" w:rsidTr="00486041">
        <w:trPr>
          <w:trHeight w:val="596"/>
        </w:trPr>
        <w:tc>
          <w:tcPr>
            <w:tcW w:w="1594" w:type="dxa"/>
            <w:vMerge/>
            <w:shd w:val="clear" w:color="auto" w:fill="FFFFFF"/>
          </w:tcPr>
          <w:p w14:paraId="3095927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75204215" w14:textId="733381CE" w:rsidR="00371420" w:rsidRPr="003B2329" w:rsidRDefault="00371420" w:rsidP="00371420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sz w:val="22"/>
                <w:szCs w:val="22"/>
              </w:rPr>
              <w:t>rodzina, obywatele oraz gospodarstwa domowe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33" w:type="dxa"/>
            <w:gridSpan w:val="21"/>
            <w:shd w:val="clear" w:color="auto" w:fill="FFFFFF"/>
          </w:tcPr>
          <w:p w14:paraId="71940694" w14:textId="0C308CC1" w:rsidR="00371420" w:rsidRPr="006B0730" w:rsidRDefault="00371420" w:rsidP="00EA0D8D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Rozszerzenie grupy dawców</w:t>
            </w:r>
            <w:r w:rsidR="00884E4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w  konsekwencji doprowadzenie do zwiększenia ilości pobieranego przez Centra Krwiodawstwa i Krwiolecznictwa osocza szczególnie niezbędnego do produkcji immunoglobuliny anty-D stosowanej w profilaktyce konfliktu serologicznego (profilaktyka konfliktu matczyno-płodowego w zakresie antygenu D z układu Rh).</w:t>
            </w:r>
          </w:p>
        </w:tc>
      </w:tr>
      <w:tr w:rsidR="00371420" w:rsidRPr="003B2329" w14:paraId="75B7CE1C" w14:textId="77777777" w:rsidTr="00486041">
        <w:trPr>
          <w:trHeight w:val="596"/>
        </w:trPr>
        <w:tc>
          <w:tcPr>
            <w:tcW w:w="1594" w:type="dxa"/>
            <w:vMerge/>
            <w:shd w:val="clear" w:color="auto" w:fill="FFFFFF"/>
          </w:tcPr>
          <w:p w14:paraId="387F3E5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gridSpan w:val="6"/>
            <w:shd w:val="clear" w:color="auto" w:fill="FFFFFF"/>
          </w:tcPr>
          <w:p w14:paraId="41477A67" w14:textId="77777777" w:rsidR="00812EF7" w:rsidRPr="003B2329" w:rsidRDefault="00812EF7" w:rsidP="00371420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osoby starsze </w:t>
            </w:r>
          </w:p>
          <w:p w14:paraId="04877EE1" w14:textId="51582AFB" w:rsidR="00371420" w:rsidRPr="003B2329" w:rsidRDefault="00812EF7" w:rsidP="00371420">
            <w:pPr>
              <w:tabs>
                <w:tab w:val="right" w:pos="1936"/>
              </w:tabs>
              <w:rPr>
                <w:rFonts w:ascii="Times New Roman" w:hAnsi="Times New Roman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osoby niepełnosprawne</w:t>
            </w:r>
          </w:p>
        </w:tc>
        <w:tc>
          <w:tcPr>
            <w:tcW w:w="7033" w:type="dxa"/>
            <w:gridSpan w:val="21"/>
            <w:shd w:val="clear" w:color="auto" w:fill="FFFFFF"/>
          </w:tcPr>
          <w:p w14:paraId="5D1B2719" w14:textId="7BBC455E" w:rsidR="00371420" w:rsidRPr="006B0730" w:rsidRDefault="00371420" w:rsidP="00EA0D8D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Projekt rozporządzenia nie będzie miał wpływu na sytuację </w:t>
            </w:r>
            <w:r w:rsidR="00812EF7"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osób starszych i 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osób niepełnosprawnych.</w:t>
            </w:r>
          </w:p>
        </w:tc>
      </w:tr>
      <w:tr w:rsidR="00371420" w:rsidRPr="003B2329" w14:paraId="4493C4AB" w14:textId="77777777" w:rsidTr="00486041">
        <w:trPr>
          <w:trHeight w:val="142"/>
        </w:trPr>
        <w:tc>
          <w:tcPr>
            <w:tcW w:w="1594" w:type="dxa"/>
            <w:shd w:val="clear" w:color="auto" w:fill="FFFFFF"/>
          </w:tcPr>
          <w:p w14:paraId="1CE126C7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89" w:type="dxa"/>
            <w:gridSpan w:val="6"/>
            <w:shd w:val="clear" w:color="auto" w:fill="FFFFFF"/>
          </w:tcPr>
          <w:p w14:paraId="04996215" w14:textId="60CC2E96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(dodaj/usuń)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33" w:type="dxa"/>
            <w:gridSpan w:val="21"/>
            <w:shd w:val="clear" w:color="auto" w:fill="FFFFFF"/>
          </w:tcPr>
          <w:p w14:paraId="0B54858A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371420" w:rsidRPr="003B2329" w14:paraId="0F2F7169" w14:textId="77777777" w:rsidTr="00486041">
        <w:trPr>
          <w:trHeight w:val="1643"/>
        </w:trPr>
        <w:tc>
          <w:tcPr>
            <w:tcW w:w="2239" w:type="dxa"/>
            <w:gridSpan w:val="2"/>
            <w:shd w:val="clear" w:color="auto" w:fill="FFFFFF"/>
          </w:tcPr>
          <w:p w14:paraId="581CAFA9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77" w:type="dxa"/>
            <w:gridSpan w:val="26"/>
            <w:shd w:val="clear" w:color="auto" w:fill="FFFFFF"/>
            <w:vAlign w:val="center"/>
          </w:tcPr>
          <w:p w14:paraId="5F8BBF1C" w14:textId="7777777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71420" w:rsidRPr="003B2329" w14:paraId="721229BA" w14:textId="77777777" w:rsidTr="00273A0B">
        <w:trPr>
          <w:trHeight w:val="342"/>
        </w:trPr>
        <w:tc>
          <w:tcPr>
            <w:tcW w:w="10916" w:type="dxa"/>
            <w:gridSpan w:val="28"/>
            <w:shd w:val="clear" w:color="auto" w:fill="99CCFF"/>
            <w:vAlign w:val="center"/>
          </w:tcPr>
          <w:p w14:paraId="2A1E93A0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371420" w:rsidRPr="003B2329" w14:paraId="19B310F5" w14:textId="77777777" w:rsidTr="00273A0B">
        <w:trPr>
          <w:trHeight w:val="151"/>
        </w:trPr>
        <w:tc>
          <w:tcPr>
            <w:tcW w:w="10916" w:type="dxa"/>
            <w:gridSpan w:val="28"/>
            <w:shd w:val="clear" w:color="auto" w:fill="FFFFFF"/>
          </w:tcPr>
          <w:p w14:paraId="3DD7C52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371420" w:rsidRPr="003B2329" w14:paraId="700BE05A" w14:textId="77777777" w:rsidTr="00486041">
        <w:trPr>
          <w:trHeight w:val="946"/>
        </w:trPr>
        <w:tc>
          <w:tcPr>
            <w:tcW w:w="5105" w:type="dxa"/>
            <w:gridSpan w:val="10"/>
            <w:shd w:val="clear" w:color="auto" w:fill="FFFFFF"/>
          </w:tcPr>
          <w:p w14:paraId="059E4BC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11" w:type="dxa"/>
            <w:gridSpan w:val="18"/>
            <w:shd w:val="clear" w:color="auto" w:fill="FFFFFF"/>
          </w:tcPr>
          <w:p w14:paraId="24CE547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1A8BD33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131D6D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371420" w:rsidRPr="003B2329" w14:paraId="4A0CA20C" w14:textId="77777777" w:rsidTr="00486041">
        <w:trPr>
          <w:trHeight w:val="1245"/>
        </w:trPr>
        <w:tc>
          <w:tcPr>
            <w:tcW w:w="5105" w:type="dxa"/>
            <w:gridSpan w:val="10"/>
            <w:shd w:val="clear" w:color="auto" w:fill="FFFFFF"/>
          </w:tcPr>
          <w:p w14:paraId="12AACC45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3D6B1D8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15983B0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721DCC21" w14:textId="77777777" w:rsidR="00371420" w:rsidRPr="003B2329" w:rsidRDefault="00371420" w:rsidP="00371420">
            <w:pPr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gridSpan w:val="18"/>
            <w:shd w:val="clear" w:color="auto" w:fill="FFFFFF"/>
          </w:tcPr>
          <w:p w14:paraId="7C2CFBF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64CBBEE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7675AF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531A892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3C0C971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5F2B138C" w14:textId="77777777" w:rsidTr="00486041">
        <w:trPr>
          <w:trHeight w:val="870"/>
        </w:trPr>
        <w:tc>
          <w:tcPr>
            <w:tcW w:w="5105" w:type="dxa"/>
            <w:gridSpan w:val="10"/>
            <w:shd w:val="clear" w:color="auto" w:fill="FFFFFF"/>
          </w:tcPr>
          <w:p w14:paraId="61B180A5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811" w:type="dxa"/>
            <w:gridSpan w:val="18"/>
            <w:shd w:val="clear" w:color="auto" w:fill="FFFFFF"/>
          </w:tcPr>
          <w:p w14:paraId="71A1356C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tak</w:t>
            </w:r>
          </w:p>
          <w:p w14:paraId="508B5743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</w:t>
            </w:r>
          </w:p>
          <w:p w14:paraId="0C9F75E4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nie dotyczy</w:t>
            </w:r>
          </w:p>
          <w:p w14:paraId="5C7A696B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318E5380" w14:textId="77777777" w:rsidTr="00C25EC8">
        <w:trPr>
          <w:trHeight w:val="365"/>
        </w:trPr>
        <w:tc>
          <w:tcPr>
            <w:tcW w:w="10916" w:type="dxa"/>
            <w:gridSpan w:val="28"/>
            <w:shd w:val="clear" w:color="auto" w:fill="FFFFFF"/>
          </w:tcPr>
          <w:p w14:paraId="1299CE5C" w14:textId="7777777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Komentarz:</w:t>
            </w:r>
          </w:p>
        </w:tc>
      </w:tr>
      <w:tr w:rsidR="00371420" w:rsidRPr="003B2329" w14:paraId="1B94C096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3C261231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371420" w:rsidRPr="003B2329" w14:paraId="58380217" w14:textId="77777777" w:rsidTr="00273A0B">
        <w:trPr>
          <w:trHeight w:val="142"/>
        </w:trPr>
        <w:tc>
          <w:tcPr>
            <w:tcW w:w="10916" w:type="dxa"/>
            <w:gridSpan w:val="28"/>
          </w:tcPr>
          <w:p w14:paraId="6DA7416C" w14:textId="6B5C2F44" w:rsidR="00371420" w:rsidRPr="006B0730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Projekt rozporządzenia nie będzie miał wpływu na rynek pracy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.</w:t>
            </w:r>
          </w:p>
          <w:p w14:paraId="4485B330" w14:textId="7777777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71420" w:rsidRPr="003B2329" w14:paraId="79E8F93C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77B51B65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371420" w:rsidRPr="003B2329" w14:paraId="4972469A" w14:textId="77777777" w:rsidTr="00EA0D8D">
        <w:trPr>
          <w:trHeight w:val="416"/>
        </w:trPr>
        <w:tc>
          <w:tcPr>
            <w:tcW w:w="3541" w:type="dxa"/>
            <w:gridSpan w:val="5"/>
            <w:shd w:val="clear" w:color="auto" w:fill="FFFFFF"/>
          </w:tcPr>
          <w:p w14:paraId="3222F3E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01F3DAC9" w14:textId="6E5E6EAE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sytuacja i rozwój regionalny</w:t>
            </w:r>
          </w:p>
          <w:p w14:paraId="031CF9C9" w14:textId="05802116" w:rsidR="00371420" w:rsidRPr="003B2329" w:rsidRDefault="004B2B2A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sądy powszechne, administracyjne lub wojskowe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371420"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705AC838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55ED53DD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65C00765" w14:textId="0C4C7CEA" w:rsidR="004B2B2A" w:rsidRPr="003B2329" w:rsidRDefault="004B2B2A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inne:</w:t>
            </w:r>
          </w:p>
        </w:tc>
        <w:tc>
          <w:tcPr>
            <w:tcW w:w="3688" w:type="dxa"/>
            <w:gridSpan w:val="10"/>
            <w:shd w:val="clear" w:color="auto" w:fill="FFFFFF"/>
          </w:tcPr>
          <w:p w14:paraId="7DEEFAB6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54151FD0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="00000000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B2329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371420" w:rsidRPr="003B2329" w14:paraId="5B0EAAEE" w14:textId="77777777" w:rsidTr="00486041">
        <w:trPr>
          <w:trHeight w:val="712"/>
        </w:trPr>
        <w:tc>
          <w:tcPr>
            <w:tcW w:w="2239" w:type="dxa"/>
            <w:gridSpan w:val="2"/>
            <w:shd w:val="clear" w:color="auto" w:fill="FFFFFF"/>
            <w:vAlign w:val="center"/>
          </w:tcPr>
          <w:p w14:paraId="400B6C32" w14:textId="77777777" w:rsidR="00371420" w:rsidRPr="003B2329" w:rsidRDefault="00371420" w:rsidP="003714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2329">
              <w:rPr>
                <w:rFonts w:ascii="Times New Roman" w:hAnsi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77" w:type="dxa"/>
            <w:gridSpan w:val="26"/>
            <w:shd w:val="clear" w:color="auto" w:fill="FFFFFF"/>
          </w:tcPr>
          <w:p w14:paraId="3FB698BF" w14:textId="3D3759A7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>Rozszerzenie grupy dawców</w:t>
            </w:r>
            <w:r w:rsidR="00884E4B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B07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w konsekwencji doprowadzenie do zwiększenia ilości pobieranego przez Centra Krwiodawstwa i Krwiolecznictwa osocza szczególnie niezbędnego do produkcji immunoglobuliny anty-D stosowanej w profilaktyce konfliktu serologicznego (profilaktyka konfliktu matczyno-płodowego w zakresie antygenu D z układu Rh).</w:t>
            </w:r>
          </w:p>
        </w:tc>
      </w:tr>
      <w:tr w:rsidR="00371420" w:rsidRPr="003B2329" w14:paraId="5A60C699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5CC05A9B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371420" w:rsidRPr="003B2329" w14:paraId="681AAA0D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FFFFFF"/>
          </w:tcPr>
          <w:p w14:paraId="4DAFB0B3" w14:textId="6DB20A61" w:rsidR="00371420" w:rsidRPr="006B0730" w:rsidRDefault="00371420" w:rsidP="00371420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6B0730">
              <w:rPr>
                <w:sz w:val="22"/>
                <w:szCs w:val="22"/>
              </w:rPr>
              <w:t xml:space="preserve">Wejście w życie rozporządzenia </w:t>
            </w:r>
            <w:r w:rsidR="00812EF7" w:rsidRPr="006B0730">
              <w:rPr>
                <w:sz w:val="22"/>
                <w:szCs w:val="22"/>
              </w:rPr>
              <w:t xml:space="preserve">nastąpi po </w:t>
            </w:r>
            <w:r w:rsidR="00DF59DF" w:rsidRPr="006B0730">
              <w:rPr>
                <w:sz w:val="22"/>
                <w:szCs w:val="22"/>
              </w:rPr>
              <w:t>upływ</w:t>
            </w:r>
            <w:r w:rsidR="00812EF7" w:rsidRPr="006B0730">
              <w:rPr>
                <w:sz w:val="22"/>
                <w:szCs w:val="22"/>
              </w:rPr>
              <w:t>ie</w:t>
            </w:r>
            <w:r w:rsidR="00DF59DF" w:rsidRPr="006B0730">
              <w:rPr>
                <w:sz w:val="22"/>
                <w:szCs w:val="22"/>
              </w:rPr>
              <w:t xml:space="preserve"> 30 dni od dnia </w:t>
            </w:r>
            <w:r w:rsidRPr="006B0730">
              <w:rPr>
                <w:sz w:val="22"/>
                <w:szCs w:val="22"/>
              </w:rPr>
              <w:t>ogłoszenia.</w:t>
            </w:r>
          </w:p>
        </w:tc>
      </w:tr>
      <w:tr w:rsidR="00371420" w:rsidRPr="003B2329" w14:paraId="689469EF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61FAAB8F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371420" w:rsidRPr="003B2329" w14:paraId="3C7FC2E2" w14:textId="77777777" w:rsidTr="00D37A30">
        <w:trPr>
          <w:trHeight w:val="169"/>
        </w:trPr>
        <w:tc>
          <w:tcPr>
            <w:tcW w:w="10916" w:type="dxa"/>
            <w:gridSpan w:val="28"/>
            <w:shd w:val="clear" w:color="auto" w:fill="FFFFFF"/>
          </w:tcPr>
          <w:p w14:paraId="20B0DFA0" w14:textId="15A874BB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Od momentu wprowadzenia zmian do rozporządzenia zostaną porównane dane dotyczące liczby dawców </w:t>
            </w:r>
            <w:r w:rsidR="0004000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poddanych </w:t>
            </w: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zabiegowi uodpornienia lub innym zabiegom poprzedzającym pobranie krwi lub jej składników w celu uzyskania surowic diagnostycznych lub osocza rok do roku. </w:t>
            </w:r>
          </w:p>
        </w:tc>
      </w:tr>
      <w:tr w:rsidR="00371420" w:rsidRPr="003B2329" w14:paraId="7B7AD51B" w14:textId="77777777" w:rsidTr="00273A0B">
        <w:trPr>
          <w:trHeight w:val="142"/>
        </w:trPr>
        <w:tc>
          <w:tcPr>
            <w:tcW w:w="10916" w:type="dxa"/>
            <w:gridSpan w:val="28"/>
            <w:shd w:val="clear" w:color="auto" w:fill="99CCFF"/>
          </w:tcPr>
          <w:p w14:paraId="0C643611" w14:textId="77777777" w:rsidR="00371420" w:rsidRPr="006B0730" w:rsidRDefault="00371420" w:rsidP="00371420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6B0730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6B0730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371420" w:rsidRPr="003B2329" w14:paraId="062EB877" w14:textId="77777777" w:rsidTr="002E4522">
        <w:trPr>
          <w:trHeight w:val="285"/>
        </w:trPr>
        <w:tc>
          <w:tcPr>
            <w:tcW w:w="10916" w:type="dxa"/>
            <w:gridSpan w:val="28"/>
            <w:shd w:val="clear" w:color="auto" w:fill="FFFFFF"/>
          </w:tcPr>
          <w:p w14:paraId="324E7016" w14:textId="4BB40246" w:rsidR="00371420" w:rsidRPr="003B2329" w:rsidRDefault="00371420" w:rsidP="00371420">
            <w:pPr>
              <w:jc w:val="both"/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</w:pPr>
            <w:r w:rsidRPr="006B0730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Brak.  </w:t>
            </w:r>
          </w:p>
        </w:tc>
      </w:tr>
    </w:tbl>
    <w:p w14:paraId="496750BF" w14:textId="6AE428C2" w:rsidR="00987158" w:rsidRPr="006B0730" w:rsidRDefault="00987158" w:rsidP="007219A4">
      <w:pPr>
        <w:rPr>
          <w:rFonts w:ascii="Times New Roman" w:hAnsi="Times New Roman"/>
          <w:sz w:val="22"/>
          <w:szCs w:val="22"/>
        </w:rPr>
      </w:pPr>
    </w:p>
    <w:sectPr w:rsidR="00987158" w:rsidRPr="006B0730" w:rsidSect="00BE18B4">
      <w:headerReference w:type="default" r:id="rId9"/>
      <w:footerReference w:type="default" r:id="rId10"/>
      <w:pgSz w:w="12240" w:h="15840"/>
      <w:pgMar w:top="1667" w:right="1417" w:bottom="1417" w:left="1417" w:header="708" w:footer="708" w:gutter="0"/>
      <w:pgNumType w:fmt="numberInDash" w:start="6" w:chapSep="emDash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1404" w14:textId="77777777" w:rsidR="00025F53" w:rsidRDefault="00025F53" w:rsidP="00EE005D">
      <w:r>
        <w:separator/>
      </w:r>
    </w:p>
  </w:endnote>
  <w:endnote w:type="continuationSeparator" w:id="0">
    <w:p w14:paraId="11FBDAAD" w14:textId="77777777" w:rsidR="00025F53" w:rsidRDefault="00025F53" w:rsidP="00EE005D">
      <w:r>
        <w:continuationSeparator/>
      </w:r>
    </w:p>
  </w:endnote>
  <w:endnote w:type="continuationNotice" w:id="1">
    <w:p w14:paraId="6B5D4B9F" w14:textId="77777777" w:rsidR="00025F53" w:rsidRDefault="0002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B784" w14:textId="77777777" w:rsidR="00FD0F3A" w:rsidRDefault="00FD0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86C8" w14:textId="77777777" w:rsidR="00025F53" w:rsidRDefault="00025F53" w:rsidP="00EE005D">
      <w:r>
        <w:separator/>
      </w:r>
    </w:p>
  </w:footnote>
  <w:footnote w:type="continuationSeparator" w:id="0">
    <w:p w14:paraId="40D0270E" w14:textId="77777777" w:rsidR="00025F53" w:rsidRDefault="00025F53" w:rsidP="00EE005D">
      <w:r>
        <w:continuationSeparator/>
      </w:r>
    </w:p>
  </w:footnote>
  <w:footnote w:type="continuationNotice" w:id="1">
    <w:p w14:paraId="5322637B" w14:textId="77777777" w:rsidR="00025F53" w:rsidRDefault="00025F53"/>
  </w:footnote>
  <w:footnote w:id="2">
    <w:p w14:paraId="1B3C2C86" w14:textId="6E4FDB5C" w:rsidR="00371420" w:rsidRDefault="00371420">
      <w:pPr>
        <w:pStyle w:val="Tekstprzypisudolnego"/>
      </w:pPr>
      <w:r>
        <w:rPr>
          <w:rStyle w:val="Odwoanieprzypisudolnego"/>
        </w:rPr>
        <w:footnoteRef/>
      </w:r>
      <w:r>
        <w:t xml:space="preserve"> Dane pochodzą ze sprawozdań jednostek organizacyjnych publicznej służby krwi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B785" w14:textId="7467D032" w:rsidR="009E0C50" w:rsidRPr="00987158" w:rsidRDefault="009E0C50" w:rsidP="00C61D08">
    <w:pPr>
      <w:pStyle w:val="Nagwek"/>
      <w:rPr>
        <w:rFonts w:ascii="Times New Roman" w:hAnsi="Times New Roman"/>
        <w:sz w:val="24"/>
        <w:szCs w:val="24"/>
      </w:rPr>
    </w:pPr>
  </w:p>
  <w:p w14:paraId="34281AEC" w14:textId="77777777" w:rsidR="009E0C50" w:rsidRPr="00273A0B" w:rsidRDefault="009E0C50" w:rsidP="00EE005D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709F1"/>
    <w:multiLevelType w:val="hybridMultilevel"/>
    <w:tmpl w:val="D76E32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5" w15:restartNumberingAfterBreak="0">
    <w:nsid w:val="163A67A9"/>
    <w:multiLevelType w:val="hybridMultilevel"/>
    <w:tmpl w:val="C47A33D8"/>
    <w:lvl w:ilvl="0" w:tplc="D4262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23756"/>
    <w:multiLevelType w:val="hybridMultilevel"/>
    <w:tmpl w:val="628CF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2D671E"/>
    <w:multiLevelType w:val="hybridMultilevel"/>
    <w:tmpl w:val="68806844"/>
    <w:lvl w:ilvl="0" w:tplc="0415000F">
      <w:start w:val="1"/>
      <w:numFmt w:val="decimal"/>
      <w:lvlText w:val="%1.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8" w15:restartNumberingAfterBreak="0">
    <w:nsid w:val="4F9B37FE"/>
    <w:multiLevelType w:val="hybridMultilevel"/>
    <w:tmpl w:val="F75AE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69983390"/>
    <w:multiLevelType w:val="hybridMultilevel"/>
    <w:tmpl w:val="D10A061C"/>
    <w:lvl w:ilvl="0" w:tplc="F2902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E670F"/>
    <w:multiLevelType w:val="hybridMultilevel"/>
    <w:tmpl w:val="0124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910E2"/>
    <w:multiLevelType w:val="hybridMultilevel"/>
    <w:tmpl w:val="E2EC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6388516">
    <w:abstractNumId w:val="28"/>
  </w:num>
  <w:num w:numId="2" w16cid:durableId="2017028886">
    <w:abstractNumId w:val="25"/>
  </w:num>
  <w:num w:numId="3" w16cid:durableId="350037922">
    <w:abstractNumId w:val="15"/>
  </w:num>
  <w:num w:numId="4" w16cid:durableId="39667205">
    <w:abstractNumId w:val="5"/>
  </w:num>
  <w:num w:numId="5" w16cid:durableId="1493330832">
    <w:abstractNumId w:val="6"/>
  </w:num>
  <w:num w:numId="6" w16cid:durableId="1970471262">
    <w:abstractNumId w:val="1"/>
  </w:num>
  <w:num w:numId="7" w16cid:durableId="1732264618">
    <w:abstractNumId w:val="12"/>
  </w:num>
  <w:num w:numId="8" w16cid:durableId="735978098">
    <w:abstractNumId w:val="23"/>
  </w:num>
  <w:num w:numId="9" w16cid:durableId="1184980771">
    <w:abstractNumId w:val="2"/>
  </w:num>
  <w:num w:numId="10" w16cid:durableId="2038118141">
    <w:abstractNumId w:val="10"/>
  </w:num>
  <w:num w:numId="11" w16cid:durableId="793059631">
    <w:abstractNumId w:val="16"/>
  </w:num>
  <w:num w:numId="12" w16cid:durableId="1530416320">
    <w:abstractNumId w:val="7"/>
  </w:num>
  <w:num w:numId="13" w16cid:durableId="550191759">
    <w:abstractNumId w:val="19"/>
  </w:num>
  <w:num w:numId="14" w16cid:durableId="316960939">
    <w:abstractNumId w:val="14"/>
  </w:num>
  <w:num w:numId="15" w16cid:durableId="776943091">
    <w:abstractNumId w:val="17"/>
  </w:num>
  <w:num w:numId="16" w16cid:durableId="1980189075">
    <w:abstractNumId w:val="4"/>
  </w:num>
  <w:num w:numId="17" w16cid:durableId="1032807781">
    <w:abstractNumId w:val="13"/>
  </w:num>
  <w:num w:numId="18" w16cid:durableId="2087459376">
    <w:abstractNumId w:val="24"/>
  </w:num>
  <w:num w:numId="19" w16cid:durableId="1962374404">
    <w:abstractNumId w:val="20"/>
  </w:num>
  <w:num w:numId="20" w16cid:durableId="1892501802">
    <w:abstractNumId w:val="22"/>
  </w:num>
  <w:num w:numId="21" w16cid:durableId="271403194">
    <w:abstractNumId w:val="8"/>
  </w:num>
  <w:num w:numId="22" w16cid:durableId="97067708">
    <w:abstractNumId w:val="27"/>
  </w:num>
  <w:num w:numId="23" w16cid:durableId="1408530966">
    <w:abstractNumId w:val="29"/>
  </w:num>
  <w:num w:numId="24" w16cid:durableId="921066232">
    <w:abstractNumId w:val="21"/>
  </w:num>
  <w:num w:numId="25" w16cid:durableId="1252662168">
    <w:abstractNumId w:val="9"/>
  </w:num>
  <w:num w:numId="26" w16cid:durableId="2021077552">
    <w:abstractNumId w:val="3"/>
  </w:num>
  <w:num w:numId="27" w16cid:durableId="2040278827">
    <w:abstractNumId w:val="18"/>
  </w:num>
  <w:num w:numId="28" w16cid:durableId="1582904643">
    <w:abstractNumId w:val="26"/>
  </w:num>
  <w:num w:numId="29" w16cid:durableId="1884248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93"/>
    <w:rsid w:val="0000756A"/>
    <w:rsid w:val="00011B05"/>
    <w:rsid w:val="0001378F"/>
    <w:rsid w:val="00025D96"/>
    <w:rsid w:val="00025F53"/>
    <w:rsid w:val="000316D6"/>
    <w:rsid w:val="00037633"/>
    <w:rsid w:val="00040000"/>
    <w:rsid w:val="00045D43"/>
    <w:rsid w:val="00046712"/>
    <w:rsid w:val="00052FB2"/>
    <w:rsid w:val="000541BD"/>
    <w:rsid w:val="0005483B"/>
    <w:rsid w:val="00061ADE"/>
    <w:rsid w:val="00063B26"/>
    <w:rsid w:val="00066BAA"/>
    <w:rsid w:val="00066BB7"/>
    <w:rsid w:val="00072E6E"/>
    <w:rsid w:val="00075A9E"/>
    <w:rsid w:val="00075DF1"/>
    <w:rsid w:val="00080968"/>
    <w:rsid w:val="000829F1"/>
    <w:rsid w:val="00084E48"/>
    <w:rsid w:val="00085A5B"/>
    <w:rsid w:val="00090984"/>
    <w:rsid w:val="00091FFC"/>
    <w:rsid w:val="000A25DE"/>
    <w:rsid w:val="000B147D"/>
    <w:rsid w:val="000B1A13"/>
    <w:rsid w:val="000B5C5E"/>
    <w:rsid w:val="000B673B"/>
    <w:rsid w:val="000B69F3"/>
    <w:rsid w:val="000B7EC2"/>
    <w:rsid w:val="000C14E5"/>
    <w:rsid w:val="000D002A"/>
    <w:rsid w:val="000D0B16"/>
    <w:rsid w:val="000D5D0E"/>
    <w:rsid w:val="000D7243"/>
    <w:rsid w:val="000E2020"/>
    <w:rsid w:val="000E774E"/>
    <w:rsid w:val="000F0385"/>
    <w:rsid w:val="000F5F71"/>
    <w:rsid w:val="00104340"/>
    <w:rsid w:val="00106397"/>
    <w:rsid w:val="00110235"/>
    <w:rsid w:val="00110D17"/>
    <w:rsid w:val="00112592"/>
    <w:rsid w:val="001131A3"/>
    <w:rsid w:val="00120551"/>
    <w:rsid w:val="00120B03"/>
    <w:rsid w:val="001261BF"/>
    <w:rsid w:val="001264F4"/>
    <w:rsid w:val="0013405A"/>
    <w:rsid w:val="001374DB"/>
    <w:rsid w:val="0014075E"/>
    <w:rsid w:val="0014203F"/>
    <w:rsid w:val="001447ED"/>
    <w:rsid w:val="00146BED"/>
    <w:rsid w:val="00152253"/>
    <w:rsid w:val="00156E9C"/>
    <w:rsid w:val="0016263E"/>
    <w:rsid w:val="00170949"/>
    <w:rsid w:val="00175228"/>
    <w:rsid w:val="00185D06"/>
    <w:rsid w:val="00194835"/>
    <w:rsid w:val="00195E30"/>
    <w:rsid w:val="001A0FE6"/>
    <w:rsid w:val="001A201B"/>
    <w:rsid w:val="001A2DEB"/>
    <w:rsid w:val="001A55DE"/>
    <w:rsid w:val="001A5942"/>
    <w:rsid w:val="001A6433"/>
    <w:rsid w:val="001B04C4"/>
    <w:rsid w:val="001B06E2"/>
    <w:rsid w:val="001B4616"/>
    <w:rsid w:val="001B5F2A"/>
    <w:rsid w:val="001C721D"/>
    <w:rsid w:val="001C73B8"/>
    <w:rsid w:val="001D1388"/>
    <w:rsid w:val="001D4862"/>
    <w:rsid w:val="001D5AB2"/>
    <w:rsid w:val="001D7CBA"/>
    <w:rsid w:val="001E00B9"/>
    <w:rsid w:val="001E0473"/>
    <w:rsid w:val="001E1783"/>
    <w:rsid w:val="001E2079"/>
    <w:rsid w:val="001E2D34"/>
    <w:rsid w:val="001E39A0"/>
    <w:rsid w:val="001E5DE9"/>
    <w:rsid w:val="001F1D8E"/>
    <w:rsid w:val="001F3BFB"/>
    <w:rsid w:val="001F62A2"/>
    <w:rsid w:val="00201B60"/>
    <w:rsid w:val="002154C8"/>
    <w:rsid w:val="00224EDB"/>
    <w:rsid w:val="002250C9"/>
    <w:rsid w:val="00231E71"/>
    <w:rsid w:val="00233E6B"/>
    <w:rsid w:val="00240A58"/>
    <w:rsid w:val="002419B8"/>
    <w:rsid w:val="00241CD1"/>
    <w:rsid w:val="00244344"/>
    <w:rsid w:val="002445BF"/>
    <w:rsid w:val="002450BF"/>
    <w:rsid w:val="00245ECF"/>
    <w:rsid w:val="00250118"/>
    <w:rsid w:val="00256BD4"/>
    <w:rsid w:val="00260F33"/>
    <w:rsid w:val="002625A6"/>
    <w:rsid w:val="00262E0B"/>
    <w:rsid w:val="00264082"/>
    <w:rsid w:val="002644E1"/>
    <w:rsid w:val="00265D02"/>
    <w:rsid w:val="002666E9"/>
    <w:rsid w:val="00266802"/>
    <w:rsid w:val="00270001"/>
    <w:rsid w:val="00272EAD"/>
    <w:rsid w:val="00272FE0"/>
    <w:rsid w:val="00273A0B"/>
    <w:rsid w:val="00274047"/>
    <w:rsid w:val="0027433C"/>
    <w:rsid w:val="00277CC9"/>
    <w:rsid w:val="002833F9"/>
    <w:rsid w:val="00285ADA"/>
    <w:rsid w:val="00295B3F"/>
    <w:rsid w:val="00295C0A"/>
    <w:rsid w:val="002965CC"/>
    <w:rsid w:val="002B0735"/>
    <w:rsid w:val="002B5C41"/>
    <w:rsid w:val="002B6D04"/>
    <w:rsid w:val="002B7DA3"/>
    <w:rsid w:val="002C40EB"/>
    <w:rsid w:val="002D19ED"/>
    <w:rsid w:val="002D659A"/>
    <w:rsid w:val="002D7A7A"/>
    <w:rsid w:val="002E0671"/>
    <w:rsid w:val="002E1016"/>
    <w:rsid w:val="002E2775"/>
    <w:rsid w:val="002E3BD7"/>
    <w:rsid w:val="002E4522"/>
    <w:rsid w:val="002F0C1F"/>
    <w:rsid w:val="002F0EA5"/>
    <w:rsid w:val="002F5B2C"/>
    <w:rsid w:val="002F7257"/>
    <w:rsid w:val="002F7814"/>
    <w:rsid w:val="0030082D"/>
    <w:rsid w:val="0031185F"/>
    <w:rsid w:val="00313134"/>
    <w:rsid w:val="00316289"/>
    <w:rsid w:val="0033100E"/>
    <w:rsid w:val="003338F1"/>
    <w:rsid w:val="003400BE"/>
    <w:rsid w:val="00340180"/>
    <w:rsid w:val="00355516"/>
    <w:rsid w:val="00371420"/>
    <w:rsid w:val="0037374A"/>
    <w:rsid w:val="00376AF9"/>
    <w:rsid w:val="0037768A"/>
    <w:rsid w:val="0038205C"/>
    <w:rsid w:val="00385E57"/>
    <w:rsid w:val="00394865"/>
    <w:rsid w:val="00395CEF"/>
    <w:rsid w:val="003A6CD4"/>
    <w:rsid w:val="003B0920"/>
    <w:rsid w:val="003B2329"/>
    <w:rsid w:val="003B7788"/>
    <w:rsid w:val="003C4F5C"/>
    <w:rsid w:val="003C54ED"/>
    <w:rsid w:val="003C6AD0"/>
    <w:rsid w:val="003D2AFF"/>
    <w:rsid w:val="003D670F"/>
    <w:rsid w:val="003D7E26"/>
    <w:rsid w:val="003E45D9"/>
    <w:rsid w:val="003E5045"/>
    <w:rsid w:val="003E5519"/>
    <w:rsid w:val="003F4863"/>
    <w:rsid w:val="003F6F77"/>
    <w:rsid w:val="00402B40"/>
    <w:rsid w:val="00416B7A"/>
    <w:rsid w:val="00417578"/>
    <w:rsid w:val="00421B8E"/>
    <w:rsid w:val="00422C18"/>
    <w:rsid w:val="00426CAE"/>
    <w:rsid w:val="004350DC"/>
    <w:rsid w:val="0043797D"/>
    <w:rsid w:val="00443FCC"/>
    <w:rsid w:val="00446D09"/>
    <w:rsid w:val="004523ED"/>
    <w:rsid w:val="00454E80"/>
    <w:rsid w:val="00455F4F"/>
    <w:rsid w:val="00457084"/>
    <w:rsid w:val="00460BA0"/>
    <w:rsid w:val="00466F3D"/>
    <w:rsid w:val="00475C81"/>
    <w:rsid w:val="004825B3"/>
    <w:rsid w:val="00482AAB"/>
    <w:rsid w:val="0048487E"/>
    <w:rsid w:val="00486041"/>
    <w:rsid w:val="00492341"/>
    <w:rsid w:val="0049313D"/>
    <w:rsid w:val="004961B3"/>
    <w:rsid w:val="004A0A22"/>
    <w:rsid w:val="004B0686"/>
    <w:rsid w:val="004B2B2A"/>
    <w:rsid w:val="004B367B"/>
    <w:rsid w:val="004B5878"/>
    <w:rsid w:val="004B5E88"/>
    <w:rsid w:val="004C098B"/>
    <w:rsid w:val="004C199C"/>
    <w:rsid w:val="004C19BA"/>
    <w:rsid w:val="004D1111"/>
    <w:rsid w:val="004D175B"/>
    <w:rsid w:val="004E338B"/>
    <w:rsid w:val="004E71EF"/>
    <w:rsid w:val="004F2DD3"/>
    <w:rsid w:val="004F68F5"/>
    <w:rsid w:val="005012D8"/>
    <w:rsid w:val="005057E1"/>
    <w:rsid w:val="005057F9"/>
    <w:rsid w:val="00511334"/>
    <w:rsid w:val="0051313B"/>
    <w:rsid w:val="005132DE"/>
    <w:rsid w:val="00514232"/>
    <w:rsid w:val="0051796F"/>
    <w:rsid w:val="00520754"/>
    <w:rsid w:val="00520E11"/>
    <w:rsid w:val="00530470"/>
    <w:rsid w:val="005306D7"/>
    <w:rsid w:val="005307A6"/>
    <w:rsid w:val="0053450F"/>
    <w:rsid w:val="00536090"/>
    <w:rsid w:val="0054030F"/>
    <w:rsid w:val="0054307B"/>
    <w:rsid w:val="00545089"/>
    <w:rsid w:val="00554748"/>
    <w:rsid w:val="005562B3"/>
    <w:rsid w:val="00556569"/>
    <w:rsid w:val="0056247E"/>
    <w:rsid w:val="00562B15"/>
    <w:rsid w:val="005648C3"/>
    <w:rsid w:val="0057293F"/>
    <w:rsid w:val="005774A6"/>
    <w:rsid w:val="00583128"/>
    <w:rsid w:val="005842BE"/>
    <w:rsid w:val="005862C3"/>
    <w:rsid w:val="00586746"/>
    <w:rsid w:val="00587D09"/>
    <w:rsid w:val="005924A8"/>
    <w:rsid w:val="005958BB"/>
    <w:rsid w:val="005967EC"/>
    <w:rsid w:val="005A0888"/>
    <w:rsid w:val="005A2698"/>
    <w:rsid w:val="005C1F72"/>
    <w:rsid w:val="005C1FF3"/>
    <w:rsid w:val="005C3605"/>
    <w:rsid w:val="005C52E2"/>
    <w:rsid w:val="005C554C"/>
    <w:rsid w:val="005D0815"/>
    <w:rsid w:val="005D37D2"/>
    <w:rsid w:val="005D5506"/>
    <w:rsid w:val="005D69A5"/>
    <w:rsid w:val="005D7A90"/>
    <w:rsid w:val="005E76F3"/>
    <w:rsid w:val="005F2CF8"/>
    <w:rsid w:val="005F4529"/>
    <w:rsid w:val="005F53BC"/>
    <w:rsid w:val="005F6F84"/>
    <w:rsid w:val="005F74F4"/>
    <w:rsid w:val="006102CB"/>
    <w:rsid w:val="00611563"/>
    <w:rsid w:val="00612D94"/>
    <w:rsid w:val="00614211"/>
    <w:rsid w:val="0061426C"/>
    <w:rsid w:val="00614886"/>
    <w:rsid w:val="00614FDF"/>
    <w:rsid w:val="00615E9F"/>
    <w:rsid w:val="0062033B"/>
    <w:rsid w:val="006232BA"/>
    <w:rsid w:val="0062343A"/>
    <w:rsid w:val="006248D8"/>
    <w:rsid w:val="006249BA"/>
    <w:rsid w:val="0062590C"/>
    <w:rsid w:val="00634E39"/>
    <w:rsid w:val="006352BF"/>
    <w:rsid w:val="00641117"/>
    <w:rsid w:val="006434B6"/>
    <w:rsid w:val="00643F92"/>
    <w:rsid w:val="00654504"/>
    <w:rsid w:val="00662D72"/>
    <w:rsid w:val="00665050"/>
    <w:rsid w:val="006801C6"/>
    <w:rsid w:val="00682F9F"/>
    <w:rsid w:val="00687B35"/>
    <w:rsid w:val="00690CC5"/>
    <w:rsid w:val="006939E0"/>
    <w:rsid w:val="00697539"/>
    <w:rsid w:val="006A013D"/>
    <w:rsid w:val="006A7439"/>
    <w:rsid w:val="006B0730"/>
    <w:rsid w:val="006B19FE"/>
    <w:rsid w:val="006B24C0"/>
    <w:rsid w:val="006B3990"/>
    <w:rsid w:val="006B5A04"/>
    <w:rsid w:val="006B64DF"/>
    <w:rsid w:val="006C6C41"/>
    <w:rsid w:val="006D19F0"/>
    <w:rsid w:val="006D3BC4"/>
    <w:rsid w:val="006D6778"/>
    <w:rsid w:val="006D7D1F"/>
    <w:rsid w:val="006E1D23"/>
    <w:rsid w:val="006E2C96"/>
    <w:rsid w:val="006E4EED"/>
    <w:rsid w:val="006F0681"/>
    <w:rsid w:val="006F5C77"/>
    <w:rsid w:val="006F5EA9"/>
    <w:rsid w:val="00700ED6"/>
    <w:rsid w:val="00703FAC"/>
    <w:rsid w:val="00703FB6"/>
    <w:rsid w:val="00711938"/>
    <w:rsid w:val="007125B3"/>
    <w:rsid w:val="00714D27"/>
    <w:rsid w:val="00716EA8"/>
    <w:rsid w:val="00717E31"/>
    <w:rsid w:val="00720FB4"/>
    <w:rsid w:val="007219A4"/>
    <w:rsid w:val="00721DD8"/>
    <w:rsid w:val="00723B52"/>
    <w:rsid w:val="00732144"/>
    <w:rsid w:val="0073273A"/>
    <w:rsid w:val="00735D94"/>
    <w:rsid w:val="00737539"/>
    <w:rsid w:val="00740DF4"/>
    <w:rsid w:val="00741D07"/>
    <w:rsid w:val="007440C2"/>
    <w:rsid w:val="00744F69"/>
    <w:rsid w:val="00752056"/>
    <w:rsid w:val="00753DCC"/>
    <w:rsid w:val="00754EB6"/>
    <w:rsid w:val="00755E34"/>
    <w:rsid w:val="007650D7"/>
    <w:rsid w:val="00765F61"/>
    <w:rsid w:val="0077447B"/>
    <w:rsid w:val="00783E81"/>
    <w:rsid w:val="00792F69"/>
    <w:rsid w:val="007A0A16"/>
    <w:rsid w:val="007A2320"/>
    <w:rsid w:val="007A5FE3"/>
    <w:rsid w:val="007A6131"/>
    <w:rsid w:val="007A6B49"/>
    <w:rsid w:val="007A7DF9"/>
    <w:rsid w:val="007B040C"/>
    <w:rsid w:val="007B283A"/>
    <w:rsid w:val="007B44BE"/>
    <w:rsid w:val="007C0649"/>
    <w:rsid w:val="007C36B5"/>
    <w:rsid w:val="007C36F3"/>
    <w:rsid w:val="007C43C8"/>
    <w:rsid w:val="007D2045"/>
    <w:rsid w:val="007D371E"/>
    <w:rsid w:val="007D389B"/>
    <w:rsid w:val="007D6C54"/>
    <w:rsid w:val="007E1F41"/>
    <w:rsid w:val="007E2675"/>
    <w:rsid w:val="007E4BDE"/>
    <w:rsid w:val="007E6016"/>
    <w:rsid w:val="007E605F"/>
    <w:rsid w:val="007E73CF"/>
    <w:rsid w:val="007F0A31"/>
    <w:rsid w:val="007F203C"/>
    <w:rsid w:val="007F2886"/>
    <w:rsid w:val="00807185"/>
    <w:rsid w:val="00811D7A"/>
    <w:rsid w:val="00812EF7"/>
    <w:rsid w:val="00821AD9"/>
    <w:rsid w:val="00823779"/>
    <w:rsid w:val="008238FF"/>
    <w:rsid w:val="00824B39"/>
    <w:rsid w:val="00827F8E"/>
    <w:rsid w:val="00832F4E"/>
    <w:rsid w:val="00841972"/>
    <w:rsid w:val="00843E8C"/>
    <w:rsid w:val="00845C68"/>
    <w:rsid w:val="00851ABA"/>
    <w:rsid w:val="00854B42"/>
    <w:rsid w:val="008642EC"/>
    <w:rsid w:val="00864989"/>
    <w:rsid w:val="00867344"/>
    <w:rsid w:val="00867C31"/>
    <w:rsid w:val="00870FC2"/>
    <w:rsid w:val="008829BF"/>
    <w:rsid w:val="00883665"/>
    <w:rsid w:val="008841A3"/>
    <w:rsid w:val="00884E4B"/>
    <w:rsid w:val="0089781A"/>
    <w:rsid w:val="008A5003"/>
    <w:rsid w:val="008A5384"/>
    <w:rsid w:val="008B00A5"/>
    <w:rsid w:val="008B6486"/>
    <w:rsid w:val="008B7D92"/>
    <w:rsid w:val="008C100C"/>
    <w:rsid w:val="008C2A25"/>
    <w:rsid w:val="008C3699"/>
    <w:rsid w:val="008C5085"/>
    <w:rsid w:val="008C5BEC"/>
    <w:rsid w:val="008D17C9"/>
    <w:rsid w:val="008E1F36"/>
    <w:rsid w:val="008E7528"/>
    <w:rsid w:val="008E7C2E"/>
    <w:rsid w:val="008F2F0A"/>
    <w:rsid w:val="008F4338"/>
    <w:rsid w:val="008F6CE8"/>
    <w:rsid w:val="00902A47"/>
    <w:rsid w:val="00902B0B"/>
    <w:rsid w:val="009039D8"/>
    <w:rsid w:val="0090411A"/>
    <w:rsid w:val="00907C13"/>
    <w:rsid w:val="00910F79"/>
    <w:rsid w:val="00911ED3"/>
    <w:rsid w:val="00915713"/>
    <w:rsid w:val="00925CE6"/>
    <w:rsid w:val="00926592"/>
    <w:rsid w:val="009270BA"/>
    <w:rsid w:val="00937506"/>
    <w:rsid w:val="00941388"/>
    <w:rsid w:val="00950721"/>
    <w:rsid w:val="00952913"/>
    <w:rsid w:val="009531C8"/>
    <w:rsid w:val="009558F7"/>
    <w:rsid w:val="00956D15"/>
    <w:rsid w:val="00960360"/>
    <w:rsid w:val="00960576"/>
    <w:rsid w:val="00961521"/>
    <w:rsid w:val="00965636"/>
    <w:rsid w:val="009665A6"/>
    <w:rsid w:val="00966C83"/>
    <w:rsid w:val="00975307"/>
    <w:rsid w:val="0097778E"/>
    <w:rsid w:val="00983264"/>
    <w:rsid w:val="009840BE"/>
    <w:rsid w:val="00986658"/>
    <w:rsid w:val="00987158"/>
    <w:rsid w:val="00990856"/>
    <w:rsid w:val="009919E8"/>
    <w:rsid w:val="00991B74"/>
    <w:rsid w:val="009A2833"/>
    <w:rsid w:val="009A2E6C"/>
    <w:rsid w:val="009A3E48"/>
    <w:rsid w:val="009A5CCF"/>
    <w:rsid w:val="009A74B7"/>
    <w:rsid w:val="009B259C"/>
    <w:rsid w:val="009B4959"/>
    <w:rsid w:val="009B5495"/>
    <w:rsid w:val="009B72A1"/>
    <w:rsid w:val="009C580D"/>
    <w:rsid w:val="009D11F0"/>
    <w:rsid w:val="009D1F43"/>
    <w:rsid w:val="009D4E66"/>
    <w:rsid w:val="009D5E8F"/>
    <w:rsid w:val="009D6063"/>
    <w:rsid w:val="009E0C50"/>
    <w:rsid w:val="009E0F94"/>
    <w:rsid w:val="009F0884"/>
    <w:rsid w:val="00A11A8F"/>
    <w:rsid w:val="00A173B2"/>
    <w:rsid w:val="00A17A93"/>
    <w:rsid w:val="00A236A9"/>
    <w:rsid w:val="00A31275"/>
    <w:rsid w:val="00A35CFE"/>
    <w:rsid w:val="00A40041"/>
    <w:rsid w:val="00A40650"/>
    <w:rsid w:val="00A4231A"/>
    <w:rsid w:val="00A42A39"/>
    <w:rsid w:val="00A5048F"/>
    <w:rsid w:val="00A50DC3"/>
    <w:rsid w:val="00A512D2"/>
    <w:rsid w:val="00A53497"/>
    <w:rsid w:val="00A55C77"/>
    <w:rsid w:val="00A56534"/>
    <w:rsid w:val="00A608EB"/>
    <w:rsid w:val="00A62F7D"/>
    <w:rsid w:val="00A65E8D"/>
    <w:rsid w:val="00A74439"/>
    <w:rsid w:val="00A805CE"/>
    <w:rsid w:val="00A80BE4"/>
    <w:rsid w:val="00A80CCE"/>
    <w:rsid w:val="00A8239D"/>
    <w:rsid w:val="00A86638"/>
    <w:rsid w:val="00A948D4"/>
    <w:rsid w:val="00A95A7F"/>
    <w:rsid w:val="00A95B2A"/>
    <w:rsid w:val="00AA2FC8"/>
    <w:rsid w:val="00AA4983"/>
    <w:rsid w:val="00AA70B7"/>
    <w:rsid w:val="00AB1237"/>
    <w:rsid w:val="00AB4E00"/>
    <w:rsid w:val="00AC0424"/>
    <w:rsid w:val="00AC41CB"/>
    <w:rsid w:val="00AC7534"/>
    <w:rsid w:val="00AC7CF1"/>
    <w:rsid w:val="00AD0FDD"/>
    <w:rsid w:val="00AE010B"/>
    <w:rsid w:val="00AE0C3B"/>
    <w:rsid w:val="00AE0CB4"/>
    <w:rsid w:val="00AE4DAB"/>
    <w:rsid w:val="00AF4BFF"/>
    <w:rsid w:val="00B00426"/>
    <w:rsid w:val="00B01307"/>
    <w:rsid w:val="00B1210E"/>
    <w:rsid w:val="00B21D90"/>
    <w:rsid w:val="00B23A90"/>
    <w:rsid w:val="00B43777"/>
    <w:rsid w:val="00B468A2"/>
    <w:rsid w:val="00B53F3B"/>
    <w:rsid w:val="00B55FC7"/>
    <w:rsid w:val="00B5766D"/>
    <w:rsid w:val="00B62165"/>
    <w:rsid w:val="00B63E1D"/>
    <w:rsid w:val="00B66127"/>
    <w:rsid w:val="00B77178"/>
    <w:rsid w:val="00B83960"/>
    <w:rsid w:val="00B8476B"/>
    <w:rsid w:val="00B90A2C"/>
    <w:rsid w:val="00B913E0"/>
    <w:rsid w:val="00B95A19"/>
    <w:rsid w:val="00B97E3E"/>
    <w:rsid w:val="00BA050D"/>
    <w:rsid w:val="00BA2536"/>
    <w:rsid w:val="00BA6408"/>
    <w:rsid w:val="00BB4445"/>
    <w:rsid w:val="00BB6455"/>
    <w:rsid w:val="00BB64FD"/>
    <w:rsid w:val="00BB6A88"/>
    <w:rsid w:val="00BB6D46"/>
    <w:rsid w:val="00BC1444"/>
    <w:rsid w:val="00BC289F"/>
    <w:rsid w:val="00BC7239"/>
    <w:rsid w:val="00BE18B4"/>
    <w:rsid w:val="00BE20B7"/>
    <w:rsid w:val="00BE2183"/>
    <w:rsid w:val="00BE2F0D"/>
    <w:rsid w:val="00BF245B"/>
    <w:rsid w:val="00BF7F41"/>
    <w:rsid w:val="00C06F43"/>
    <w:rsid w:val="00C07F81"/>
    <w:rsid w:val="00C127C1"/>
    <w:rsid w:val="00C14CFF"/>
    <w:rsid w:val="00C175D8"/>
    <w:rsid w:val="00C211EE"/>
    <w:rsid w:val="00C22FCE"/>
    <w:rsid w:val="00C25EC8"/>
    <w:rsid w:val="00C27511"/>
    <w:rsid w:val="00C347C5"/>
    <w:rsid w:val="00C34CA6"/>
    <w:rsid w:val="00C369C6"/>
    <w:rsid w:val="00C45160"/>
    <w:rsid w:val="00C469B0"/>
    <w:rsid w:val="00C520C0"/>
    <w:rsid w:val="00C57640"/>
    <w:rsid w:val="00C60C27"/>
    <w:rsid w:val="00C61C6A"/>
    <w:rsid w:val="00C61D08"/>
    <w:rsid w:val="00C62552"/>
    <w:rsid w:val="00C64742"/>
    <w:rsid w:val="00C67DEA"/>
    <w:rsid w:val="00C70736"/>
    <w:rsid w:val="00C71AE6"/>
    <w:rsid w:val="00C7498F"/>
    <w:rsid w:val="00C75A6F"/>
    <w:rsid w:val="00C81F83"/>
    <w:rsid w:val="00C81FBC"/>
    <w:rsid w:val="00C8340C"/>
    <w:rsid w:val="00C86918"/>
    <w:rsid w:val="00C90DDA"/>
    <w:rsid w:val="00C97770"/>
    <w:rsid w:val="00CA0C29"/>
    <w:rsid w:val="00CA13ED"/>
    <w:rsid w:val="00CA602E"/>
    <w:rsid w:val="00CB0662"/>
    <w:rsid w:val="00CB1B73"/>
    <w:rsid w:val="00CB6516"/>
    <w:rsid w:val="00CC0104"/>
    <w:rsid w:val="00CC179C"/>
    <w:rsid w:val="00CC2519"/>
    <w:rsid w:val="00CC6D18"/>
    <w:rsid w:val="00CD1986"/>
    <w:rsid w:val="00CE467D"/>
    <w:rsid w:val="00CF0C9D"/>
    <w:rsid w:val="00CF108E"/>
    <w:rsid w:val="00CF1873"/>
    <w:rsid w:val="00CF1E51"/>
    <w:rsid w:val="00CF41D4"/>
    <w:rsid w:val="00CF4A2A"/>
    <w:rsid w:val="00D05490"/>
    <w:rsid w:val="00D104F0"/>
    <w:rsid w:val="00D108CB"/>
    <w:rsid w:val="00D13CB7"/>
    <w:rsid w:val="00D14335"/>
    <w:rsid w:val="00D23436"/>
    <w:rsid w:val="00D25C65"/>
    <w:rsid w:val="00D26C72"/>
    <w:rsid w:val="00D278C4"/>
    <w:rsid w:val="00D30EE4"/>
    <w:rsid w:val="00D33A41"/>
    <w:rsid w:val="00D33ACA"/>
    <w:rsid w:val="00D37A30"/>
    <w:rsid w:val="00D37C18"/>
    <w:rsid w:val="00D417F5"/>
    <w:rsid w:val="00D41C2C"/>
    <w:rsid w:val="00D43C3A"/>
    <w:rsid w:val="00D476ED"/>
    <w:rsid w:val="00D5437F"/>
    <w:rsid w:val="00D56691"/>
    <w:rsid w:val="00D6446C"/>
    <w:rsid w:val="00D67BB3"/>
    <w:rsid w:val="00D7130B"/>
    <w:rsid w:val="00D72D49"/>
    <w:rsid w:val="00D825A6"/>
    <w:rsid w:val="00D864DA"/>
    <w:rsid w:val="00D902F3"/>
    <w:rsid w:val="00D908AB"/>
    <w:rsid w:val="00D93444"/>
    <w:rsid w:val="00D95061"/>
    <w:rsid w:val="00D95218"/>
    <w:rsid w:val="00D954EB"/>
    <w:rsid w:val="00D95E94"/>
    <w:rsid w:val="00D9671A"/>
    <w:rsid w:val="00D9727C"/>
    <w:rsid w:val="00DA1C98"/>
    <w:rsid w:val="00DA3B5D"/>
    <w:rsid w:val="00DB04AF"/>
    <w:rsid w:val="00DB06CD"/>
    <w:rsid w:val="00DB183F"/>
    <w:rsid w:val="00DB2DBD"/>
    <w:rsid w:val="00DB2F3A"/>
    <w:rsid w:val="00DC0C67"/>
    <w:rsid w:val="00DD1E53"/>
    <w:rsid w:val="00DD412A"/>
    <w:rsid w:val="00DE0BC3"/>
    <w:rsid w:val="00DE3813"/>
    <w:rsid w:val="00DE4946"/>
    <w:rsid w:val="00DE4B5D"/>
    <w:rsid w:val="00DE521B"/>
    <w:rsid w:val="00DE706E"/>
    <w:rsid w:val="00DF117B"/>
    <w:rsid w:val="00DF59DF"/>
    <w:rsid w:val="00E00A3A"/>
    <w:rsid w:val="00E01F9B"/>
    <w:rsid w:val="00E02649"/>
    <w:rsid w:val="00E02654"/>
    <w:rsid w:val="00E032A9"/>
    <w:rsid w:val="00E05ADC"/>
    <w:rsid w:val="00E124BD"/>
    <w:rsid w:val="00E130CF"/>
    <w:rsid w:val="00E14A7F"/>
    <w:rsid w:val="00E1586C"/>
    <w:rsid w:val="00E22E97"/>
    <w:rsid w:val="00E411AF"/>
    <w:rsid w:val="00E507CA"/>
    <w:rsid w:val="00E6133A"/>
    <w:rsid w:val="00E647D9"/>
    <w:rsid w:val="00E66D23"/>
    <w:rsid w:val="00E66FAF"/>
    <w:rsid w:val="00E71B1E"/>
    <w:rsid w:val="00E73400"/>
    <w:rsid w:val="00E76A68"/>
    <w:rsid w:val="00E76D86"/>
    <w:rsid w:val="00E80410"/>
    <w:rsid w:val="00E838F2"/>
    <w:rsid w:val="00E86174"/>
    <w:rsid w:val="00E93538"/>
    <w:rsid w:val="00E95EBD"/>
    <w:rsid w:val="00E96C73"/>
    <w:rsid w:val="00EA01B9"/>
    <w:rsid w:val="00EA0D8D"/>
    <w:rsid w:val="00EA19F1"/>
    <w:rsid w:val="00EA1EF7"/>
    <w:rsid w:val="00EA2CEE"/>
    <w:rsid w:val="00EA307E"/>
    <w:rsid w:val="00EB3F72"/>
    <w:rsid w:val="00EB667F"/>
    <w:rsid w:val="00EC0A2C"/>
    <w:rsid w:val="00EC2EF7"/>
    <w:rsid w:val="00EC482F"/>
    <w:rsid w:val="00EC4BE7"/>
    <w:rsid w:val="00EC54DD"/>
    <w:rsid w:val="00EC5C93"/>
    <w:rsid w:val="00EC6D1E"/>
    <w:rsid w:val="00EC76CD"/>
    <w:rsid w:val="00EC7B1C"/>
    <w:rsid w:val="00ED278F"/>
    <w:rsid w:val="00ED282C"/>
    <w:rsid w:val="00EE005D"/>
    <w:rsid w:val="00EE0167"/>
    <w:rsid w:val="00EE18BB"/>
    <w:rsid w:val="00EE566A"/>
    <w:rsid w:val="00EF4F1B"/>
    <w:rsid w:val="00F00612"/>
    <w:rsid w:val="00F013B4"/>
    <w:rsid w:val="00F01F15"/>
    <w:rsid w:val="00F12508"/>
    <w:rsid w:val="00F127D7"/>
    <w:rsid w:val="00F14351"/>
    <w:rsid w:val="00F16F27"/>
    <w:rsid w:val="00F20BEA"/>
    <w:rsid w:val="00F2192C"/>
    <w:rsid w:val="00F3292C"/>
    <w:rsid w:val="00F363D5"/>
    <w:rsid w:val="00F36C99"/>
    <w:rsid w:val="00F41CAC"/>
    <w:rsid w:val="00F428C6"/>
    <w:rsid w:val="00F42CBA"/>
    <w:rsid w:val="00F45E61"/>
    <w:rsid w:val="00F53220"/>
    <w:rsid w:val="00F533D8"/>
    <w:rsid w:val="00F543A0"/>
    <w:rsid w:val="00F57018"/>
    <w:rsid w:val="00F57F77"/>
    <w:rsid w:val="00F603C6"/>
    <w:rsid w:val="00F72581"/>
    <w:rsid w:val="00F74F37"/>
    <w:rsid w:val="00F80412"/>
    <w:rsid w:val="00F81959"/>
    <w:rsid w:val="00F87BDD"/>
    <w:rsid w:val="00FA05E1"/>
    <w:rsid w:val="00FA1F7C"/>
    <w:rsid w:val="00FB1F3E"/>
    <w:rsid w:val="00FB35F6"/>
    <w:rsid w:val="00FC2A31"/>
    <w:rsid w:val="00FC4A29"/>
    <w:rsid w:val="00FC7AE7"/>
    <w:rsid w:val="00FD0F3A"/>
    <w:rsid w:val="00FD37DE"/>
    <w:rsid w:val="00FE69DC"/>
    <w:rsid w:val="00FE7426"/>
    <w:rsid w:val="00FF0269"/>
    <w:rsid w:val="00FF5980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E9B58"/>
  <w15:docId w15:val="{334AB8BB-4877-48F9-AB5A-E8F7472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77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5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41C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41CB"/>
    <w:rPr>
      <w:rFonts w:ascii="Arial" w:hAnsi="Arial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AC41CB"/>
    <w:rPr>
      <w:rFonts w:ascii="Arial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EE005D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EE005D"/>
    <w:rPr>
      <w:rFonts w:ascii="Tahoma" w:hAnsi="Tahoma"/>
      <w:sz w:val="16"/>
    </w:rPr>
  </w:style>
  <w:style w:type="paragraph" w:customStyle="1" w:styleId="Tabela">
    <w:name w:val="Tabela"/>
    <w:next w:val="Normalny"/>
    <w:uiPriority w:val="99"/>
    <w:rsid w:val="003F6F77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rsid w:val="005A0888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sid w:val="005A0888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005D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rsid w:val="00EE0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E005D"/>
    <w:rPr>
      <w:rFonts w:ascii="Verdana" w:hAnsi="Verdana"/>
      <w:sz w:val="20"/>
    </w:rPr>
  </w:style>
  <w:style w:type="character" w:styleId="Odwoanieprzypisudolnego">
    <w:name w:val="footnote reference"/>
    <w:uiPriority w:val="99"/>
    <w:semiHidden/>
    <w:rsid w:val="00475C8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C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C41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C41CB"/>
    <w:rPr>
      <w:rFonts w:ascii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rsid w:val="00AC41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C41CB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AC41C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41CB"/>
    <w:pPr>
      <w:widowControl/>
      <w:autoSpaceDE/>
      <w:autoSpaceDN/>
      <w:adjustRightInd/>
      <w:spacing w:line="276" w:lineRule="auto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41CB"/>
    <w:rPr>
      <w:rFonts w:ascii="Calibri" w:hAnsi="Calibri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41C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41CB"/>
    <w:rPr>
      <w:rFonts w:ascii="Calibri" w:hAnsi="Calibri"/>
      <w:b/>
      <w:sz w:val="20"/>
      <w:lang w:eastAsia="en-US"/>
    </w:rPr>
  </w:style>
  <w:style w:type="character" w:styleId="Hipercze">
    <w:name w:val="Hyperlink"/>
    <w:uiPriority w:val="99"/>
    <w:rsid w:val="00AC41C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C41CB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D30EE4"/>
    <w:rPr>
      <w:rFonts w:ascii="Verdana" w:hAnsi="Verdana"/>
    </w:rPr>
  </w:style>
  <w:style w:type="character" w:customStyle="1" w:styleId="Teksttreci">
    <w:name w:val="Tekst treści_"/>
    <w:basedOn w:val="Domylnaczcionkaakapitu"/>
    <w:link w:val="Teksttreci1"/>
    <w:uiPriority w:val="99"/>
    <w:rsid w:val="005F2CF8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CF8"/>
    <w:pPr>
      <w:shd w:val="clear" w:color="auto" w:fill="FFFFFF"/>
      <w:autoSpaceDE/>
      <w:autoSpaceDN/>
      <w:adjustRightInd/>
      <w:spacing w:line="422" w:lineRule="exact"/>
      <w:jc w:val="both"/>
    </w:pPr>
    <w:rPr>
      <w:rFonts w:ascii="Calibri" w:hAnsi="Calibri"/>
    </w:rPr>
  </w:style>
  <w:style w:type="character" w:customStyle="1" w:styleId="TeksttreciKursywa1">
    <w:name w:val="Tekst treści + Kursywa1"/>
    <w:basedOn w:val="Teksttreci"/>
    <w:uiPriority w:val="99"/>
    <w:rsid w:val="005F2CF8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908AB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7A30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D95E9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NormalnyWeb">
    <w:name w:val="Normal (Web)"/>
    <w:basedOn w:val="Normalny"/>
    <w:uiPriority w:val="99"/>
    <w:unhideWhenUsed/>
    <w:rsid w:val="00D95E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E0F94"/>
    <w:rPr>
      <w:color w:val="808080"/>
    </w:rPr>
  </w:style>
  <w:style w:type="character" w:customStyle="1" w:styleId="Nagwek2Znak">
    <w:name w:val="Nagłówek 2 Znak"/>
    <w:basedOn w:val="Domylnaczcionkaakapitu"/>
    <w:link w:val="Nagwek2"/>
    <w:semiHidden/>
    <w:rsid w:val="008A50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AA20-BFF8-4D58-AF88-7C22EA8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m.kocik</dc:creator>
  <cp:lastModifiedBy>Kołodziejek Tomasz</cp:lastModifiedBy>
  <cp:revision>4</cp:revision>
  <cp:lastPrinted>2018-08-06T10:44:00Z</cp:lastPrinted>
  <dcterms:created xsi:type="dcterms:W3CDTF">2023-08-01T12:23:00Z</dcterms:created>
  <dcterms:modified xsi:type="dcterms:W3CDTF">2023-08-03T09:43:00Z</dcterms:modified>
</cp:coreProperties>
</file>