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984"/>
        <w:gridCol w:w="522"/>
        <w:gridCol w:w="586"/>
        <w:gridCol w:w="585"/>
        <w:gridCol w:w="583"/>
        <w:gridCol w:w="142"/>
        <w:gridCol w:w="445"/>
        <w:gridCol w:w="585"/>
        <w:gridCol w:w="585"/>
        <w:gridCol w:w="585"/>
        <w:gridCol w:w="521"/>
        <w:gridCol w:w="521"/>
        <w:gridCol w:w="1861"/>
      </w:tblGrid>
      <w:tr w:rsidR="006A701A" w:rsidRPr="008B4FE6" w14:paraId="5B469AA5" w14:textId="77777777" w:rsidTr="004E22D7">
        <w:trPr>
          <w:trHeight w:val="1611"/>
        </w:trPr>
        <w:tc>
          <w:tcPr>
            <w:tcW w:w="5416" w:type="dxa"/>
            <w:gridSpan w:val="7"/>
          </w:tcPr>
          <w:p w14:paraId="1BBA2AF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00FDF29" w14:textId="78681065" w:rsidR="006A701A" w:rsidRPr="008B4FE6" w:rsidRDefault="00BB109D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C74F7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2C74F7">
              <w:rPr>
                <w:rFonts w:ascii="Times New Roman" w:hAnsi="Times New Roman"/>
                <w:color w:val="000000"/>
              </w:rPr>
              <w:t xml:space="preserve"> Ministra Zdrowia zmieniające rozporządzenie w sprawie świadczeń gwarantowanych </w:t>
            </w:r>
            <w:r w:rsidR="002C74F7" w:rsidRPr="00C16AFD">
              <w:rPr>
                <w:rFonts w:ascii="Times New Roman" w:hAnsi="Times New Roman"/>
                <w:color w:val="000000"/>
              </w:rPr>
              <w:t>z</w:t>
            </w:r>
            <w:r w:rsidR="000F2722">
              <w:rPr>
                <w:rFonts w:ascii="Times New Roman" w:hAnsi="Times New Roman"/>
                <w:color w:val="000000"/>
              </w:rPr>
              <w:t> </w:t>
            </w:r>
            <w:r w:rsidR="002C74F7" w:rsidRPr="00C16AFD">
              <w:rPr>
                <w:rFonts w:ascii="Times New Roman" w:hAnsi="Times New Roman"/>
                <w:color w:val="000000"/>
              </w:rPr>
              <w:t xml:space="preserve">zakresu </w:t>
            </w:r>
            <w:r w:rsidR="00C16AFD" w:rsidRPr="00C16AFD">
              <w:rPr>
                <w:rFonts w:ascii="Times New Roman" w:hAnsi="Times New Roman"/>
                <w:color w:val="000000"/>
              </w:rPr>
              <w:t>świadczeń wysokospecjalistycznych oraz warunków ich realizacji</w:t>
            </w:r>
          </w:p>
          <w:p w14:paraId="0BF10B0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21DD7B4C" w14:textId="77777777" w:rsidR="00E548F0" w:rsidRDefault="002C74F7" w:rsidP="00E548F0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  <w:bookmarkEnd w:id="0"/>
          </w:p>
          <w:p w14:paraId="05B5FFEE" w14:textId="52304BEC" w:rsidR="001B3460" w:rsidRPr="00E548F0" w:rsidRDefault="001B3460" w:rsidP="00E548F0">
            <w:pPr>
              <w:spacing w:before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227FD6B" w14:textId="10F9DCCF" w:rsidR="001B3460" w:rsidRPr="00BB4654" w:rsidRDefault="002C74F7" w:rsidP="002C74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B4654">
              <w:rPr>
                <w:rFonts w:ascii="Times New Roman" w:hAnsi="Times New Roman"/>
                <w:color w:val="000000"/>
              </w:rPr>
              <w:t>Maciej Miłkowski - Podsekretarz Stanu w Ministerstwie Zdrowia</w:t>
            </w:r>
          </w:p>
          <w:p w14:paraId="4331AEF0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4110873" w14:textId="35DF7008" w:rsidR="006A701A" w:rsidRPr="008B4FE6" w:rsidRDefault="00E548F0" w:rsidP="009617B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1" w:name="t3"/>
            <w:r>
              <w:rPr>
                <w:rFonts w:ascii="Times New Roman" w:hAnsi="Times New Roman"/>
                <w:color w:val="000000"/>
              </w:rPr>
              <w:t>Dominika Janiszewska-Kajka,</w:t>
            </w:r>
            <w:r w:rsidR="000F272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Zastępca Dyrektora Departamentu Lecznictwa</w:t>
            </w:r>
            <w:r w:rsidRPr="0023040F">
              <w:rPr>
                <w:rFonts w:ascii="Times New Roman" w:hAnsi="Times New Roman"/>
                <w:color w:val="000000"/>
              </w:rPr>
              <w:t xml:space="preserve">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3040F">
              <w:rPr>
                <w:rFonts w:ascii="Times New Roman" w:hAnsi="Times New Roman"/>
                <w:color w:val="000000"/>
              </w:rPr>
              <w:t>Ministerstwie Zdrowia</w:t>
            </w:r>
            <w:r w:rsidR="000F2722">
              <w:rPr>
                <w:rFonts w:ascii="Times New Roman" w:hAnsi="Times New Roman"/>
                <w:color w:val="000000"/>
              </w:rPr>
              <w:t xml:space="preserve">, </w:t>
            </w:r>
            <w:r w:rsidRPr="006B11E9">
              <w:rPr>
                <w:rFonts w:ascii="Times New Roman" w:hAnsi="Times New Roman"/>
                <w:color w:val="000000"/>
                <w:lang w:val="en-US"/>
              </w:rPr>
              <w:t xml:space="preserve">tel. </w:t>
            </w:r>
            <w:r w:rsidR="000F2722">
              <w:rPr>
                <w:rFonts w:ascii="Times New Roman" w:hAnsi="Times New Roman"/>
                <w:color w:val="000000"/>
                <w:lang w:val="en-US"/>
              </w:rPr>
              <w:t xml:space="preserve">+48 </w:t>
            </w:r>
            <w:r w:rsidRPr="006B11E9">
              <w:rPr>
                <w:rFonts w:ascii="Times New Roman" w:hAnsi="Times New Roman"/>
                <w:color w:val="000000"/>
                <w:lang w:val="en-US"/>
              </w:rPr>
              <w:t xml:space="preserve">22 </w:t>
            </w:r>
            <w:r w:rsidRPr="006F09D2">
              <w:rPr>
                <w:rFonts w:ascii="Times New Roman" w:hAnsi="Times New Roman"/>
                <w:color w:val="000000"/>
                <w:lang w:val="en-US"/>
              </w:rPr>
              <w:t>530 02 84</w:t>
            </w:r>
            <w:r w:rsidRPr="006B11E9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="000F2722" w:rsidRPr="004A63DF">
              <w:rPr>
                <w:rFonts w:ascii="Times New Roman" w:hAnsi="Times New Roman"/>
                <w:color w:val="000000"/>
              </w:rPr>
              <w:t>e-mail: d.janiszewska@mz.gov</w:t>
            </w:r>
            <w:r w:rsidR="000F2722">
              <w:rPr>
                <w:rFonts w:ascii="Times New Roman" w:hAnsi="Times New Roman"/>
                <w:color w:val="000000"/>
              </w:rPr>
              <w:t>.pl</w:t>
            </w:r>
            <w:r w:rsidR="000F2722" w:rsidRPr="004A63DF">
              <w:rPr>
                <w:rFonts w:ascii="Times New Roman" w:hAnsi="Times New Roman"/>
                <w:color w:val="000000"/>
              </w:rPr>
              <w:t>.</w:t>
            </w:r>
            <w:bookmarkEnd w:id="1"/>
          </w:p>
        </w:tc>
        <w:tc>
          <w:tcPr>
            <w:tcW w:w="5103" w:type="dxa"/>
            <w:gridSpan w:val="7"/>
            <w:shd w:val="clear" w:color="auto" w:fill="FFFFFF" w:themeFill="background1"/>
          </w:tcPr>
          <w:p w14:paraId="7C7E06C1" w14:textId="535B24E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95D31">
              <w:rPr>
                <w:rFonts w:ascii="Times New Roman" w:hAnsi="Times New Roman"/>
                <w:sz w:val="21"/>
                <w:szCs w:val="21"/>
              </w:rPr>
              <w:t>24</w:t>
            </w:r>
            <w:r w:rsidR="00E548F0">
              <w:rPr>
                <w:rFonts w:ascii="Times New Roman" w:hAnsi="Times New Roman"/>
                <w:sz w:val="21"/>
                <w:szCs w:val="21"/>
              </w:rPr>
              <w:t>.</w:t>
            </w:r>
            <w:r w:rsidR="00BB109D">
              <w:rPr>
                <w:rFonts w:ascii="Times New Roman" w:hAnsi="Times New Roman"/>
                <w:sz w:val="21"/>
                <w:szCs w:val="21"/>
              </w:rPr>
              <w:t>08</w:t>
            </w:r>
            <w:r w:rsidR="00E548F0">
              <w:rPr>
                <w:rFonts w:ascii="Times New Roman" w:hAnsi="Times New Roman"/>
                <w:sz w:val="21"/>
                <w:szCs w:val="21"/>
              </w:rPr>
              <w:t>.2023</w:t>
            </w:r>
            <w:r w:rsidR="002547CB" w:rsidRPr="006C5F28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09D6184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56ECA96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FA191DB" w14:textId="77BB4B15" w:rsidR="00F76884" w:rsidRPr="0065019F" w:rsidRDefault="006C5F28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C74F7" w:rsidRPr="006C5F28">
              <w:rPr>
                <w:rFonts w:ascii="Times New Roman" w:hAnsi="Times New Roman"/>
              </w:rPr>
              <w:t xml:space="preserve">rt. 31 d ustawy z dnia 27 sierpnia 2004 r. </w:t>
            </w:r>
            <w:r>
              <w:rPr>
                <w:rFonts w:ascii="Times New Roman" w:hAnsi="Times New Roman"/>
              </w:rPr>
              <w:br/>
            </w:r>
            <w:r w:rsidR="002C74F7" w:rsidRPr="006C5F28">
              <w:rPr>
                <w:rFonts w:ascii="Times New Roman" w:hAnsi="Times New Roman"/>
              </w:rPr>
              <w:t xml:space="preserve">o świadczeniach opieki zdrowotnej finansowanych ze środków publicznych </w:t>
            </w:r>
            <w:r w:rsidR="000F2722" w:rsidRPr="000F2722">
              <w:rPr>
                <w:rFonts w:ascii="Times New Roman" w:hAnsi="Times New Roman"/>
              </w:rPr>
              <w:t>(Dz. U. z 2022 r. poz. 2561, z</w:t>
            </w:r>
            <w:r w:rsidR="000F2722">
              <w:rPr>
                <w:rFonts w:ascii="Times New Roman" w:hAnsi="Times New Roman"/>
              </w:rPr>
              <w:t> </w:t>
            </w:r>
            <w:r w:rsidR="000F2722" w:rsidRPr="000F2722">
              <w:rPr>
                <w:rFonts w:ascii="Times New Roman" w:hAnsi="Times New Roman"/>
              </w:rPr>
              <w:t>późn.</w:t>
            </w:r>
            <w:r w:rsidR="000F2722">
              <w:rPr>
                <w:rFonts w:ascii="Times New Roman" w:hAnsi="Times New Roman"/>
              </w:rPr>
              <w:t> </w:t>
            </w:r>
            <w:r w:rsidR="000F2722" w:rsidRPr="000F2722">
              <w:rPr>
                <w:rFonts w:ascii="Times New Roman" w:hAnsi="Times New Roman"/>
              </w:rPr>
              <w:t>zm.)</w:t>
            </w:r>
          </w:p>
          <w:p w14:paraId="5DB00927" w14:textId="77777777" w:rsidR="000F2722" w:rsidRDefault="000F2722" w:rsidP="006C5F28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AA08622" w14:textId="5CFD1809" w:rsidR="006A701A" w:rsidRPr="008B4FE6" w:rsidRDefault="006A701A" w:rsidP="006C5F28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228D15E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Nr </w:t>
            </w:r>
            <w:r w:rsidR="0057668E" w:rsidRPr="228D15ED">
              <w:rPr>
                <w:rFonts w:ascii="Times New Roman" w:hAnsi="Times New Roman"/>
                <w:b/>
                <w:bCs/>
                <w:color w:val="000000" w:themeColor="text1"/>
              </w:rPr>
              <w:t>w</w:t>
            </w:r>
            <w:r w:rsidRPr="228D15E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wykaz</w:t>
            </w:r>
            <w:r w:rsidR="0057668E" w:rsidRPr="228D15ED">
              <w:rPr>
                <w:rFonts w:ascii="Times New Roman" w:hAnsi="Times New Roman"/>
                <w:b/>
                <w:bCs/>
                <w:color w:val="000000" w:themeColor="text1"/>
              </w:rPr>
              <w:t>ie</w:t>
            </w:r>
            <w:r w:rsidRPr="228D15E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prac</w:t>
            </w:r>
            <w:r w:rsidR="00E548F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l</w:t>
            </w:r>
            <w:r w:rsidR="00E548F0">
              <w:rPr>
                <w:rFonts w:ascii="Times New Roman" w:hAnsi="Times New Roman"/>
                <w:b/>
                <w:color w:val="000000"/>
              </w:rPr>
              <w:t>egislacyjnych</w:t>
            </w:r>
            <w:r w:rsidR="7DFF0451" w:rsidRPr="228D15E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Ministra Zdrowia</w:t>
            </w:r>
            <w:r w:rsidR="002C74F7" w:rsidRPr="228D15E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: </w:t>
            </w:r>
            <w:r w:rsidR="002C74F7" w:rsidRPr="00E548F0">
              <w:rPr>
                <w:rFonts w:ascii="Times New Roman" w:hAnsi="Times New Roman"/>
                <w:color w:val="000000" w:themeColor="text1"/>
              </w:rPr>
              <w:t xml:space="preserve">MZ </w:t>
            </w:r>
            <w:r w:rsidR="009954D5">
              <w:rPr>
                <w:rFonts w:ascii="Times New Roman" w:hAnsi="Times New Roman"/>
                <w:color w:val="000000" w:themeColor="text1"/>
              </w:rPr>
              <w:t xml:space="preserve"> 156</w:t>
            </w:r>
            <w:r w:rsidR="0097002B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6A701A" w:rsidRPr="0022687A" w14:paraId="3DC0E470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99CCFF"/>
          </w:tcPr>
          <w:p w14:paraId="3EA7930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B928C65" w14:textId="77777777" w:rsidTr="00444375">
        <w:trPr>
          <w:trHeight w:val="333"/>
        </w:trPr>
        <w:tc>
          <w:tcPr>
            <w:tcW w:w="10519" w:type="dxa"/>
            <w:gridSpan w:val="14"/>
            <w:shd w:val="clear" w:color="auto" w:fill="99CCFF"/>
            <w:vAlign w:val="center"/>
          </w:tcPr>
          <w:p w14:paraId="2C08758E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1496A2F6" w14:textId="77777777" w:rsidTr="00444375">
        <w:trPr>
          <w:trHeight w:val="1451"/>
        </w:trPr>
        <w:tc>
          <w:tcPr>
            <w:tcW w:w="10519" w:type="dxa"/>
            <w:gridSpan w:val="14"/>
            <w:shd w:val="clear" w:color="auto" w:fill="FFFFFF" w:themeFill="background1"/>
          </w:tcPr>
          <w:p w14:paraId="06F193C9" w14:textId="77777777" w:rsidR="0019550F" w:rsidRDefault="006C5F28" w:rsidP="003C3E2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C5F28">
              <w:rPr>
                <w:rFonts w:ascii="Times New Roman" w:hAnsi="Times New Roman"/>
                <w:color w:val="000000"/>
              </w:rPr>
              <w:t xml:space="preserve">Obecnie świadczenie wysokospecjalistyczne z użyciem pompy wspomagającej lewą komorę serca jest finansowane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6C5F28">
              <w:rPr>
                <w:rFonts w:ascii="Times New Roman" w:hAnsi="Times New Roman"/>
                <w:color w:val="000000"/>
              </w:rPr>
              <w:t xml:space="preserve">ze środków publicznych wyłącznie jako terapia „pomostowa”, czyli interwencja stosowana u pacjentów, u których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6C5F28">
              <w:rPr>
                <w:rFonts w:ascii="Times New Roman" w:hAnsi="Times New Roman"/>
                <w:color w:val="000000"/>
              </w:rPr>
              <w:t>ze względu na stan zdrowia lub brak organu do przeszczepu nie jest możliwe przeprowadzenie transplantacji serca</w:t>
            </w:r>
            <w:r w:rsidR="0019550F">
              <w:rPr>
                <w:rFonts w:ascii="Times New Roman" w:hAnsi="Times New Roman"/>
                <w:color w:val="000000"/>
              </w:rPr>
              <w:t>.</w:t>
            </w:r>
          </w:p>
          <w:p w14:paraId="25E9C77C" w14:textId="17DE41A2" w:rsidR="006A701A" w:rsidRPr="00B37C80" w:rsidRDefault="002C74F7" w:rsidP="00B8482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Celem projektowane</w:t>
            </w:r>
            <w:r w:rsidR="00930BE5">
              <w:rPr>
                <w:rFonts w:ascii="Times New Roman" w:hAnsi="Times New Roman"/>
                <w:color w:val="000000"/>
              </w:rPr>
              <w:t>j nowelizacji</w:t>
            </w:r>
            <w:r>
              <w:rPr>
                <w:rFonts w:ascii="Times New Roman" w:hAnsi="Times New Roman"/>
                <w:color w:val="000000"/>
              </w:rPr>
              <w:t xml:space="preserve"> rozporządzenia </w:t>
            </w:r>
            <w:r w:rsidR="00FD3CCF">
              <w:rPr>
                <w:rFonts w:ascii="Times New Roman" w:hAnsi="Times New Roman"/>
                <w:color w:val="000000"/>
              </w:rPr>
              <w:t xml:space="preserve">jest </w:t>
            </w:r>
            <w:r w:rsidR="006C5F28">
              <w:rPr>
                <w:rFonts w:ascii="Times New Roman" w:hAnsi="Times New Roman"/>
                <w:color w:val="000000"/>
              </w:rPr>
              <w:t xml:space="preserve">wprowadzenie do wykazu świadczeń gwarantowanych </w:t>
            </w:r>
            <w:r w:rsidR="00DD0B4A" w:rsidRPr="00DD0B4A">
              <w:rPr>
                <w:rFonts w:ascii="Times New Roman" w:hAnsi="Times New Roman"/>
                <w:color w:val="000000"/>
              </w:rPr>
              <w:t>z</w:t>
            </w:r>
            <w:r w:rsidR="00DF07FE">
              <w:rPr>
                <w:rFonts w:ascii="Times New Roman" w:hAnsi="Times New Roman"/>
                <w:color w:val="000000"/>
              </w:rPr>
              <w:t> </w:t>
            </w:r>
            <w:r w:rsidR="00DD0B4A" w:rsidRPr="00DD0B4A">
              <w:rPr>
                <w:rFonts w:ascii="Times New Roman" w:hAnsi="Times New Roman"/>
                <w:color w:val="000000"/>
              </w:rPr>
              <w:t xml:space="preserve">zakresu świadczeń wysokospecjalistycznych </w:t>
            </w:r>
            <w:r w:rsidR="00D3271C">
              <w:rPr>
                <w:rFonts w:ascii="Times New Roman" w:hAnsi="Times New Roman"/>
                <w:color w:val="000000"/>
              </w:rPr>
              <w:t>świadczenia</w:t>
            </w:r>
            <w:r w:rsidR="001769AB">
              <w:rPr>
                <w:rFonts w:ascii="Times New Roman" w:hAnsi="Times New Roman"/>
                <w:color w:val="000000"/>
              </w:rPr>
              <w:t>:</w:t>
            </w:r>
            <w:r w:rsidR="00D3271C">
              <w:rPr>
                <w:rFonts w:ascii="Times New Roman" w:hAnsi="Times New Roman"/>
                <w:color w:val="000000"/>
              </w:rPr>
              <w:t xml:space="preserve"> </w:t>
            </w:r>
            <w:r w:rsidR="001769AB" w:rsidRPr="003C3E2E">
              <w:rPr>
                <w:rFonts w:ascii="Times New Roman" w:hAnsi="Times New Roman"/>
                <w:color w:val="000000"/>
              </w:rPr>
              <w:t xml:space="preserve">Mechaniczne </w:t>
            </w:r>
            <w:r w:rsidR="001769AB" w:rsidRPr="00B61AFD">
              <w:rPr>
                <w:rFonts w:ascii="Times New Roman" w:hAnsi="Times New Roman"/>
                <w:color w:val="000000"/>
              </w:rPr>
              <w:t>wspomagani</w:t>
            </w:r>
            <w:r w:rsidR="001769AB">
              <w:rPr>
                <w:rFonts w:ascii="Times New Roman" w:hAnsi="Times New Roman"/>
                <w:color w:val="000000"/>
              </w:rPr>
              <w:t>a</w:t>
            </w:r>
            <w:r w:rsidR="001769AB" w:rsidRPr="00B61AFD">
              <w:rPr>
                <w:rFonts w:ascii="Times New Roman" w:hAnsi="Times New Roman"/>
                <w:color w:val="000000"/>
              </w:rPr>
              <w:t xml:space="preserve"> </w:t>
            </w:r>
            <w:r w:rsidR="00095D31">
              <w:rPr>
                <w:rFonts w:ascii="Times New Roman" w:hAnsi="Times New Roman"/>
                <w:color w:val="000000"/>
              </w:rPr>
              <w:t xml:space="preserve"> </w:t>
            </w:r>
            <w:r w:rsidR="001769AB" w:rsidRPr="00B61AFD">
              <w:rPr>
                <w:rFonts w:ascii="Times New Roman" w:hAnsi="Times New Roman"/>
                <w:color w:val="000000"/>
              </w:rPr>
              <w:t>serca pompą wspomagającą lewą komorę serca u pacjentów z ciężką niewydolnością serca niekwalifikujących się do transplantacji serca jako terapia docelowa</w:t>
            </w:r>
            <w:r w:rsidR="00FD3CCF">
              <w:rPr>
                <w:rFonts w:ascii="Times New Roman" w:hAnsi="Times New Roman"/>
                <w:color w:val="000000"/>
              </w:rPr>
              <w:t>, które dotychczas nie był</w:t>
            </w:r>
            <w:r w:rsidR="00D3271C">
              <w:rPr>
                <w:rFonts w:ascii="Times New Roman" w:hAnsi="Times New Roman"/>
                <w:color w:val="000000"/>
              </w:rPr>
              <w:t>o</w:t>
            </w:r>
            <w:r w:rsidR="00FD3CCF">
              <w:rPr>
                <w:rFonts w:ascii="Times New Roman" w:hAnsi="Times New Roman"/>
                <w:color w:val="000000"/>
              </w:rPr>
              <w:t xml:space="preserve"> dostępne dla pacjentów w ramach świadczeń opieki zdrowotnej finansowych ze środków publicznych, a mających znaczenie dla poprawy zdrowia i wydłużenia życia pacjentów.</w:t>
            </w:r>
            <w:r w:rsidR="0064113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169B8490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99CCFF"/>
            <w:vAlign w:val="center"/>
          </w:tcPr>
          <w:p w14:paraId="71F672B5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618872B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auto"/>
          </w:tcPr>
          <w:p w14:paraId="65D502FC" w14:textId="0EE5D36A" w:rsidR="00641135" w:rsidRDefault="001F11BB" w:rsidP="00D3271C">
            <w:pPr>
              <w:spacing w:before="8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Wprowadzenie do rozporządzenia Ministra Zdrowia </w:t>
            </w:r>
            <w:r w:rsidR="00C16AFD" w:rsidRPr="00C16AFD">
              <w:rPr>
                <w:rFonts w:ascii="Times New Roman" w:hAnsi="Times New Roman"/>
                <w:color w:val="000000"/>
                <w:spacing w:val="-2"/>
              </w:rPr>
              <w:t xml:space="preserve">w sprawie świadczeń gwarantowanych z zakresu świadczeń wysokospecjalistycznych 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>now</w:t>
            </w:r>
            <w:r w:rsidR="00FB6F04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 świadcze</w:t>
            </w:r>
            <w:r w:rsidR="00FB6F04">
              <w:rPr>
                <w:rFonts w:ascii="Times New Roman" w:hAnsi="Times New Roman"/>
                <w:color w:val="000000"/>
                <w:spacing w:val="-2"/>
              </w:rPr>
              <w:t>nia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 gwarantowan</w:t>
            </w:r>
            <w:r w:rsidR="00FB6F04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 zostało oparte na procesie kwalifikacji świadczeń opieki zdrowotnej jako świadczeń gwarantowanych. Zmiany mają na celu zapewnienie dostępu do</w:t>
            </w:r>
            <w:r w:rsidR="00604A6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52596">
              <w:rPr>
                <w:rFonts w:ascii="Times New Roman" w:hAnsi="Times New Roman"/>
                <w:color w:val="000000"/>
                <w:spacing w:val="-2"/>
              </w:rPr>
              <w:t>operacji wszczepienia pompy wspomagającej pracę lewej komory jako terapii docelowej</w:t>
            </w:r>
            <w:r w:rsidR="0025781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D5259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52596" w:rsidRPr="006C5F28">
              <w:rPr>
                <w:rFonts w:ascii="Times New Roman" w:hAnsi="Times New Roman"/>
                <w:color w:val="000000"/>
                <w:spacing w:val="-2"/>
              </w:rPr>
              <w:t>u pacjentów z ciężką niewydolnością serca niekwalifikujących się do transplantacji serca jako terapia docelowa</w:t>
            </w:r>
            <w:r w:rsidR="0025781C" w:rsidRPr="006C5F2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9681233" w14:textId="41139289" w:rsidR="00D3271C" w:rsidRPr="00D3271C" w:rsidRDefault="00641135" w:rsidP="00D3271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58BC">
              <w:rPr>
                <w:rFonts w:ascii="Times New Roman" w:hAnsi="Times New Roman"/>
                <w:color w:val="000000"/>
              </w:rPr>
              <w:t xml:space="preserve">Spodziewanym efektem wprowadzenia świadczenia </w:t>
            </w:r>
            <w:r w:rsidR="00BB109D">
              <w:rPr>
                <w:rFonts w:ascii="Times New Roman" w:hAnsi="Times New Roman"/>
                <w:color w:val="000000"/>
              </w:rPr>
              <w:t>„</w:t>
            </w:r>
            <w:r w:rsidRPr="003C3E2E">
              <w:rPr>
                <w:rFonts w:ascii="Times New Roman" w:hAnsi="Times New Roman"/>
                <w:color w:val="000000"/>
              </w:rPr>
              <w:t xml:space="preserve">Mechaniczne </w:t>
            </w:r>
            <w:r w:rsidRPr="00B84824">
              <w:rPr>
                <w:rFonts w:ascii="Times New Roman" w:hAnsi="Times New Roman"/>
                <w:color w:val="000000"/>
              </w:rPr>
              <w:t>wspomaganie serca pompą wspomagającą lewą komorę serca u pacjentów z ciężką niewydolnością serca niekwalifikujących się do transplantacji serca jako terapia docelowa</w:t>
            </w:r>
            <w:r w:rsidR="00BB109D">
              <w:rPr>
                <w:rFonts w:ascii="Times New Roman" w:hAnsi="Times New Roman"/>
                <w:color w:val="000000"/>
              </w:rPr>
              <w:t>”</w:t>
            </w:r>
            <w:r w:rsidRPr="009954D5">
              <w:rPr>
                <w:rFonts w:ascii="Times New Roman" w:hAnsi="Times New Roman"/>
                <w:color w:val="000000"/>
              </w:rPr>
              <w:t xml:space="preserve"> </w:t>
            </w:r>
            <w:r w:rsidRPr="00D658BC">
              <w:rPr>
                <w:rFonts w:ascii="Times New Roman" w:hAnsi="Times New Roman"/>
                <w:color w:val="000000"/>
              </w:rPr>
              <w:t xml:space="preserve">jest uzyskanie trwałej poprawy w zakresie prowadzenia terapii ciężkiej niewydolności serca u pacjentów, którzy nie spełniają kryteriów kwalifikacji do przeszczepu serca, w szczególności </w:t>
            </w:r>
            <w:r w:rsidR="00D3271C" w:rsidRPr="00D3271C">
              <w:rPr>
                <w:rFonts w:ascii="Times New Roman" w:hAnsi="Times New Roman"/>
                <w:color w:val="000000"/>
                <w:spacing w:val="-2"/>
              </w:rPr>
              <w:t>poprawy parametrów hemodynamicznych, takich jak wzrost frakcji wyrzutowej, indeksu sercowego, obniżenie ciśnienia zaklinowania w</w:t>
            </w:r>
            <w:r w:rsidR="003C3E2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3271C" w:rsidRPr="00D3271C">
              <w:rPr>
                <w:rFonts w:ascii="Times New Roman" w:hAnsi="Times New Roman"/>
                <w:color w:val="000000"/>
                <w:spacing w:val="-2"/>
              </w:rPr>
              <w:t>tętnicy płucnej i wymiaru końcowo rozkurczowego lewej komory, i w związku z tym klinicznych - poprawa klasy wydolności (NYHA), jakości życia, wydłużenie oczekiwanej długości życia .</w:t>
            </w:r>
          </w:p>
          <w:p w14:paraId="4A7142B2" w14:textId="78A03CA5" w:rsidR="006A701A" w:rsidRPr="00B37C80" w:rsidRDefault="001F11BB" w:rsidP="00D3271C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Wprowadzenie świadczenia stanowi realizację </w:t>
            </w:r>
            <w:r w:rsidR="00D3271C">
              <w:rPr>
                <w:rFonts w:ascii="Times New Roman" w:hAnsi="Times New Roman"/>
                <w:color w:val="000000"/>
                <w:spacing w:val="-2"/>
              </w:rPr>
              <w:t>rekomendacji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 Prezesa Agencji Oceny Technologii Medycznych i</w:t>
            </w:r>
            <w:r w:rsidR="006C65F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Taryfikacji </w:t>
            </w:r>
            <w:r w:rsidR="00C16AFD">
              <w:rPr>
                <w:rFonts w:ascii="Times New Roman" w:hAnsi="Times New Roman"/>
                <w:color w:val="000000"/>
                <w:spacing w:val="-2"/>
              </w:rPr>
              <w:t xml:space="preserve">nr 17/2022 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z dnia </w:t>
            </w:r>
            <w:r w:rsidR="00335E8C" w:rsidRPr="00295587">
              <w:rPr>
                <w:rFonts w:ascii="Times New Roman" w:hAnsi="Times New Roman"/>
                <w:color w:val="000000"/>
                <w:spacing w:val="-2"/>
              </w:rPr>
              <w:t>z dnia 2 czerwca 2022 r.</w:t>
            </w:r>
            <w:r w:rsidR="00335E8C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>który wskazał na zasadność finansowania ocenianej technologii ze środków publicznych. W ślad za rekomendacj</w:t>
            </w:r>
            <w:r w:rsidR="00335E8C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1F11BB">
              <w:rPr>
                <w:rFonts w:ascii="Times New Roman" w:hAnsi="Times New Roman"/>
                <w:color w:val="000000"/>
                <w:spacing w:val="-2"/>
              </w:rPr>
              <w:t xml:space="preserve"> Prezesa Agencji, na podstawie zlecenia Ministra Zdrowia </w:t>
            </w:r>
            <w:r w:rsidR="003D588D">
              <w:rPr>
                <w:rFonts w:ascii="Times New Roman" w:hAnsi="Times New Roman"/>
                <w:color w:val="000000"/>
                <w:spacing w:val="-2"/>
              </w:rPr>
              <w:t>przeprowadzono prace dotyczące</w:t>
            </w:r>
            <w:r w:rsidR="0025781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D588D" w:rsidRPr="003D588D">
              <w:rPr>
                <w:rFonts w:ascii="Times New Roman" w:hAnsi="Times New Roman"/>
                <w:color w:val="000000"/>
                <w:spacing w:val="-2"/>
              </w:rPr>
              <w:t>określenia wskazań dla przedmiotowego świadczenia oraz warunków jego realizacji</w:t>
            </w:r>
            <w:r w:rsidR="003D588D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6A701A" w:rsidRPr="008B4FE6" w14:paraId="61AA7F80" w14:textId="77777777" w:rsidTr="00444375">
        <w:trPr>
          <w:trHeight w:val="307"/>
        </w:trPr>
        <w:tc>
          <w:tcPr>
            <w:tcW w:w="10519" w:type="dxa"/>
            <w:gridSpan w:val="14"/>
            <w:shd w:val="clear" w:color="auto" w:fill="99CCFF"/>
            <w:vAlign w:val="center"/>
          </w:tcPr>
          <w:p w14:paraId="26067B07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D0C042F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auto"/>
          </w:tcPr>
          <w:p w14:paraId="0BED24A8" w14:textId="3BE56B6E" w:rsidR="006D48A8" w:rsidRDefault="004D7F9D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Zgodnie z uzyskanymi danymi,</w:t>
            </w:r>
            <w:r w:rsidR="00F552F2">
              <w:rPr>
                <w:rFonts w:ascii="Times New Roman" w:hAnsi="Times New Roman"/>
                <w:color w:val="000000"/>
                <w:spacing w:val="-2"/>
              </w:rPr>
              <w:t xml:space="preserve"> wnioskowana technologia jest reko</w:t>
            </w:r>
            <w:r w:rsidR="007A1D37">
              <w:rPr>
                <w:rFonts w:ascii="Times New Roman" w:hAnsi="Times New Roman"/>
                <w:color w:val="000000"/>
                <w:spacing w:val="-2"/>
              </w:rPr>
              <w:t xml:space="preserve">mendowana </w:t>
            </w:r>
            <w:r w:rsidR="006D48A8">
              <w:rPr>
                <w:rFonts w:ascii="Times New Roman" w:hAnsi="Times New Roman"/>
                <w:color w:val="000000"/>
                <w:spacing w:val="-2"/>
              </w:rPr>
              <w:t>lub finansowana 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D48A8">
              <w:rPr>
                <w:rFonts w:ascii="Times New Roman" w:hAnsi="Times New Roman"/>
                <w:color w:val="000000"/>
                <w:spacing w:val="-2"/>
              </w:rPr>
              <w:t>w 1</w:t>
            </w:r>
            <w:r w:rsidR="008F31BE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6D48A8">
              <w:rPr>
                <w:rFonts w:ascii="Times New Roman" w:hAnsi="Times New Roman"/>
                <w:color w:val="000000"/>
                <w:spacing w:val="-2"/>
              </w:rPr>
              <w:t xml:space="preserve"> krajach.</w:t>
            </w:r>
          </w:p>
          <w:p w14:paraId="663BE098" w14:textId="153B41B8" w:rsidR="006D48A8" w:rsidRPr="00B14B6B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Australia</w:t>
            </w:r>
            <w:r w:rsidR="006F51E5" w:rsidRPr="00B14B6B">
              <w:rPr>
                <w:rFonts w:ascii="Times New Roman" w:hAnsi="Times New Roman"/>
                <w:color w:val="000000"/>
                <w:spacing w:val="-2"/>
              </w:rPr>
              <w:t xml:space="preserve"> – </w:t>
            </w:r>
            <w:r w:rsidRPr="00B14B6B">
              <w:rPr>
                <w:rFonts w:ascii="Times New Roman" w:hAnsi="Times New Roman"/>
                <w:color w:val="000000"/>
                <w:spacing w:val="-2"/>
              </w:rPr>
              <w:t xml:space="preserve">technologia refundowana </w:t>
            </w:r>
            <w:r w:rsidR="006F51E5" w:rsidRPr="00B14B6B">
              <w:rPr>
                <w:rFonts w:ascii="Times New Roman" w:hAnsi="Times New Roman"/>
                <w:color w:val="000000"/>
                <w:spacing w:val="-2"/>
              </w:rPr>
              <w:t>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BFB7A97" w14:textId="398A208E" w:rsidR="006D48A8" w:rsidRPr="006D48A8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Belgia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ab/>
              <w:t xml:space="preserve">– </w:t>
            </w:r>
            <w:r w:rsidR="00916CA0" w:rsidRPr="006D48A8">
              <w:rPr>
                <w:rFonts w:ascii="Times New Roman" w:hAnsi="Times New Roman"/>
                <w:color w:val="000000"/>
                <w:spacing w:val="-2"/>
              </w:rPr>
              <w:t>niejednoznaczna</w:t>
            </w:r>
            <w:r w:rsidR="00916CA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 xml:space="preserve">rekomendacja </w:t>
            </w:r>
            <w:r w:rsidR="00916CA0">
              <w:rPr>
                <w:rFonts w:ascii="Times New Roman" w:hAnsi="Times New Roman"/>
                <w:color w:val="000000"/>
                <w:spacing w:val="-2"/>
              </w:rPr>
              <w:t xml:space="preserve">stosowania technologii: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podstawie ocen ekonomicznych oszacowano, że LVAD jako DT z dużym prawdopodobieństwem nieefektywnie wykorzystuje ograniczone zasoby</w:t>
            </w:r>
            <w:r w:rsidR="00916CA0">
              <w:rPr>
                <w:rFonts w:ascii="Times New Roman" w:hAnsi="Times New Roman"/>
                <w:color w:val="000000"/>
                <w:spacing w:val="-2"/>
              </w:rPr>
              <w:t xml:space="preserve"> (stan na 2016 r.);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technologia finansowana ze środków publicznych.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1E17715" w14:textId="07E3FF48" w:rsidR="00916CA0" w:rsidRPr="006D48A8" w:rsidRDefault="006D48A8" w:rsidP="00916CA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Czechy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916CA0" w:rsidRPr="006D48A8">
              <w:rPr>
                <w:rFonts w:ascii="Times New Roman" w:hAnsi="Times New Roman"/>
                <w:color w:val="000000"/>
                <w:spacing w:val="-2"/>
              </w:rPr>
              <w:t>–technologia finansowana 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1BC68B1" w14:textId="680EEE5B" w:rsidR="00B14B6B" w:rsidRPr="006D48A8" w:rsidRDefault="006D48A8" w:rsidP="00B14B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Francja</w:t>
            </w:r>
            <w:r w:rsidR="00D35A3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916CA0" w:rsidRPr="006D48A8">
              <w:rPr>
                <w:rFonts w:ascii="Times New Roman" w:hAnsi="Times New Roman"/>
                <w:color w:val="000000"/>
                <w:spacing w:val="-2"/>
              </w:rPr>
              <w:t xml:space="preserve">warunkowa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 xml:space="preserve">rekomendacja </w:t>
            </w:r>
            <w:r w:rsidR="00916CA0">
              <w:rPr>
                <w:rFonts w:ascii="Times New Roman" w:hAnsi="Times New Roman"/>
                <w:color w:val="000000"/>
                <w:spacing w:val="-2"/>
              </w:rPr>
              <w:t>stosowania technologii</w:t>
            </w:r>
            <w:r w:rsidR="00B14B6B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B14B6B" w:rsidRPr="00B14B6B">
              <w:rPr>
                <w:rFonts w:ascii="Times New Roman" w:hAnsi="Times New Roman"/>
                <w:color w:val="000000"/>
                <w:spacing w:val="-2"/>
              </w:rPr>
              <w:t xml:space="preserve">po uwzględnieniu kryteriów dotyczących kwalifikacji pacjentów, realizacji świadczenia </w:t>
            </w:r>
            <w:r w:rsidR="00B14B6B"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B14B6B" w:rsidRPr="00B14B6B">
              <w:rPr>
                <w:rFonts w:ascii="Times New Roman" w:hAnsi="Times New Roman"/>
                <w:color w:val="000000"/>
                <w:spacing w:val="-2"/>
              </w:rPr>
              <w:t>gromadzenia danych dotyczących skuteczność i bezpieczeństwa wyrobu</w:t>
            </w:r>
            <w:r w:rsidR="00916CA0">
              <w:rPr>
                <w:rFonts w:ascii="Times New Roman" w:hAnsi="Times New Roman"/>
                <w:color w:val="000000"/>
                <w:spacing w:val="-2"/>
              </w:rPr>
              <w:t xml:space="preserve"> (stan na 2017</w:t>
            </w:r>
            <w:r w:rsidR="00E548F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916CA0">
              <w:rPr>
                <w:rFonts w:ascii="Times New Roman" w:hAnsi="Times New Roman"/>
                <w:color w:val="000000"/>
                <w:spacing w:val="-2"/>
              </w:rPr>
              <w:t>r.)</w:t>
            </w:r>
            <w:r w:rsidR="00B14B6B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  <w:r w:rsidR="00B14B6B" w:rsidRPr="006D48A8">
              <w:rPr>
                <w:rFonts w:ascii="Times New Roman" w:hAnsi="Times New Roman"/>
                <w:color w:val="000000"/>
                <w:spacing w:val="-2"/>
              </w:rPr>
              <w:t>technologia finansowana 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4FB6AC4" w14:textId="335C5167" w:rsidR="006D48A8" w:rsidRPr="006D48A8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Hiszpania</w:t>
            </w:r>
            <w:r w:rsidR="00D35A34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D35A3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35A34" w:rsidRPr="006D48A8">
              <w:rPr>
                <w:rFonts w:ascii="Times New Roman" w:hAnsi="Times New Roman"/>
                <w:color w:val="000000"/>
                <w:spacing w:val="-2"/>
              </w:rPr>
              <w:t xml:space="preserve">warunkowa rekomendacja </w:t>
            </w:r>
            <w:r w:rsidR="00D35A34">
              <w:rPr>
                <w:rFonts w:ascii="Times New Roman" w:hAnsi="Times New Roman"/>
                <w:color w:val="000000"/>
                <w:spacing w:val="-2"/>
              </w:rPr>
              <w:t>stoso</w:t>
            </w:r>
            <w:r w:rsidR="00D35A34" w:rsidRPr="00CE46DE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35A34">
              <w:rPr>
                <w:rFonts w:ascii="Times New Roman" w:hAnsi="Times New Roman"/>
                <w:color w:val="000000"/>
                <w:spacing w:val="-2"/>
              </w:rPr>
              <w:t>ania technologii</w:t>
            </w:r>
            <w:r w:rsidR="00D35A34" w:rsidRPr="006D48A8" w:rsidDel="00D35A3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7567B" w:rsidRPr="0057567B">
              <w:rPr>
                <w:rFonts w:ascii="Times New Roman" w:hAnsi="Times New Roman"/>
                <w:color w:val="000000"/>
                <w:spacing w:val="-2"/>
              </w:rPr>
              <w:t xml:space="preserve">wskazująca na zasadność </w:t>
            </w:r>
            <w:r w:rsidR="0057567B" w:rsidRPr="006C5F28">
              <w:rPr>
                <w:rFonts w:ascii="Times New Roman" w:hAnsi="Times New Roman"/>
              </w:rPr>
              <w:t xml:space="preserve">utworzenia rejestru w celu zidentyfikowania grupy pacjentów, która uzyskałaby najlepsze wyniki z terapii LVAD, oraz oceny wpływu </w:t>
            </w:r>
            <w:r w:rsidR="0057567B" w:rsidRPr="006C5F28">
              <w:rPr>
                <w:rFonts w:ascii="Times New Roman" w:hAnsi="Times New Roman"/>
              </w:rPr>
              <w:lastRenderedPageBreak/>
              <w:t>organizacyjnego i ekonomicznego wynikającego z zastosowania LVAD jako</w:t>
            </w:r>
            <w:r w:rsidR="0057567B" w:rsidRPr="006C5F28">
              <w:rPr>
                <w:rStyle w:val="normaltextrun"/>
                <w:rFonts w:ascii="Times New Roman" w:hAnsi="Times New Roman"/>
              </w:rPr>
              <w:t xml:space="preserve"> terapii docelowej </w:t>
            </w:r>
            <w:r w:rsidR="00B14B6B" w:rsidRPr="0057567B">
              <w:rPr>
                <w:rFonts w:ascii="Times New Roman" w:hAnsi="Times New Roman"/>
                <w:color w:val="000000"/>
                <w:spacing w:val="-2"/>
              </w:rPr>
              <w:t>(stan na 2018 r.)</w:t>
            </w:r>
            <w:r w:rsidR="00D35A34" w:rsidRPr="0057567B">
              <w:rPr>
                <w:rFonts w:ascii="Times New Roman" w:hAnsi="Times New Roman"/>
                <w:color w:val="000000"/>
                <w:spacing w:val="-2"/>
              </w:rPr>
              <w:t>; technologia finansowana 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3F2ABF7" w14:textId="475B5D5D" w:rsidR="0057567B" w:rsidRPr="006D48A8" w:rsidRDefault="006D48A8" w:rsidP="005756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Japonia</w:t>
            </w:r>
            <w:r w:rsidR="0057567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7567B" w:rsidRPr="006D48A8">
              <w:rPr>
                <w:rFonts w:ascii="Times New Roman" w:hAnsi="Times New Roman"/>
                <w:color w:val="000000"/>
                <w:spacing w:val="-2"/>
              </w:rPr>
              <w:t>–technologia finansowana 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3DD0C39" w14:textId="380172CD" w:rsidR="006D48A8" w:rsidRPr="006D48A8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Kanada</w:t>
            </w:r>
            <w:r w:rsidR="00D20A2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– warunkowe przyznanie licencji dla</w:t>
            </w:r>
            <w:r w:rsidR="0060444A">
              <w:rPr>
                <w:rFonts w:ascii="Times New Roman" w:hAnsi="Times New Roman"/>
                <w:color w:val="000000"/>
                <w:spacing w:val="-2"/>
              </w:rPr>
              <w:t xml:space="preserve"> wyrobu</w:t>
            </w:r>
            <w:r w:rsidR="00D20A2B">
              <w:rPr>
                <w:rFonts w:ascii="Times New Roman" w:hAnsi="Times New Roman"/>
                <w:color w:val="000000"/>
                <w:spacing w:val="-2"/>
              </w:rPr>
              <w:t xml:space="preserve"> medycznego</w:t>
            </w:r>
            <w:r w:rsidR="000C4CD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33E9C">
              <w:rPr>
                <w:rFonts w:ascii="Times New Roman" w:hAnsi="Times New Roman"/>
                <w:color w:val="000000"/>
                <w:spacing w:val="-2"/>
              </w:rPr>
              <w:t xml:space="preserve">uzależnione od </w:t>
            </w:r>
            <w:r w:rsidR="00D20A2B" w:rsidRPr="00D20A2B">
              <w:rPr>
                <w:rFonts w:ascii="Times New Roman" w:hAnsi="Times New Roman"/>
                <w:color w:val="000000"/>
                <w:spacing w:val="-2"/>
              </w:rPr>
              <w:t>dostarczania zaktualizowanych wyników badania</w:t>
            </w:r>
            <w:r w:rsidR="002C34C7">
              <w:rPr>
                <w:rFonts w:ascii="Times New Roman" w:hAnsi="Times New Roman"/>
                <w:color w:val="000000"/>
                <w:spacing w:val="-2"/>
              </w:rPr>
              <w:t xml:space="preserve"> klinicznego</w:t>
            </w:r>
            <w:r w:rsidR="00D20A2B" w:rsidRPr="00D20A2B">
              <w:rPr>
                <w:rFonts w:ascii="Times New Roman" w:hAnsi="Times New Roman"/>
                <w:color w:val="000000"/>
                <w:spacing w:val="-2"/>
              </w:rPr>
              <w:t xml:space="preserve"> MOMENTUM 3 co roku aż do zakończenia badania, aktualizacji innych trwających oraz przyszłych badań klinicznych, a także corocznych danych dotyczących sprzedaży i zdarzeń niepożądanych</w:t>
            </w:r>
            <w:r w:rsidR="00D20A2B">
              <w:rPr>
                <w:rFonts w:ascii="Times New Roman" w:hAnsi="Times New Roman"/>
                <w:color w:val="000000"/>
                <w:spacing w:val="-2"/>
              </w:rPr>
              <w:t xml:space="preserve"> (stan na 2018</w:t>
            </w:r>
            <w:r w:rsidR="00CE46D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20A2B">
              <w:rPr>
                <w:rFonts w:ascii="Times New Roman" w:hAnsi="Times New Roman"/>
                <w:color w:val="000000"/>
                <w:spacing w:val="-2"/>
              </w:rPr>
              <w:t>r.)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A3E2E29" w14:textId="5D7AB4E5" w:rsidR="006D48A8" w:rsidRPr="006D48A8" w:rsidRDefault="006D48A8" w:rsidP="006470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Niderlandy</w:t>
            </w:r>
            <w:r w:rsidR="00175C9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395E8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85A5B" w:rsidRPr="006D48A8">
              <w:rPr>
                <w:rFonts w:ascii="Times New Roman" w:hAnsi="Times New Roman"/>
                <w:color w:val="000000"/>
                <w:spacing w:val="-2"/>
              </w:rPr>
              <w:t xml:space="preserve">warunkowa rekomendacja </w:t>
            </w:r>
            <w:r w:rsidR="00085A5B">
              <w:rPr>
                <w:rFonts w:ascii="Times New Roman" w:hAnsi="Times New Roman"/>
                <w:color w:val="000000"/>
                <w:spacing w:val="-2"/>
              </w:rPr>
              <w:t>stoso</w:t>
            </w:r>
            <w:r w:rsidR="00085A5B" w:rsidRPr="00CE46DE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085A5B">
              <w:rPr>
                <w:rFonts w:ascii="Times New Roman" w:hAnsi="Times New Roman"/>
                <w:color w:val="000000"/>
                <w:spacing w:val="-2"/>
              </w:rPr>
              <w:t xml:space="preserve">ania technologii wskazująca na </w:t>
            </w:r>
            <w:r w:rsidR="0064703A">
              <w:rPr>
                <w:rFonts w:ascii="Times New Roman" w:hAnsi="Times New Roman"/>
                <w:color w:val="000000"/>
                <w:spacing w:val="-2"/>
              </w:rPr>
              <w:t xml:space="preserve">konieczność stosowania kryteriów kwalifikacji wypracowanych </w:t>
            </w:r>
            <w:r w:rsidR="00655AFD"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="00655AFD" w:rsidRPr="006D48A8">
              <w:rPr>
                <w:rFonts w:ascii="Times New Roman" w:hAnsi="Times New Roman"/>
                <w:color w:val="000000"/>
                <w:spacing w:val="-2"/>
              </w:rPr>
              <w:t>multidyscyplinarny</w:t>
            </w:r>
            <w:r w:rsidR="0064703A" w:rsidRPr="00085A5B">
              <w:rPr>
                <w:rFonts w:ascii="Times New Roman" w:hAnsi="Times New Roman"/>
                <w:color w:val="000000"/>
                <w:spacing w:val="-2"/>
              </w:rPr>
              <w:t xml:space="preserve"> zespół</w:t>
            </w:r>
            <w:r w:rsidR="0064703A">
              <w:rPr>
                <w:rFonts w:ascii="Times New Roman" w:hAnsi="Times New Roman"/>
                <w:color w:val="000000"/>
                <w:spacing w:val="-2"/>
              </w:rPr>
              <w:t>, realizacji świadczenia przez s</w:t>
            </w:r>
            <w:r w:rsidR="00085A5B" w:rsidRPr="00085A5B">
              <w:rPr>
                <w:rFonts w:ascii="Times New Roman" w:hAnsi="Times New Roman"/>
                <w:color w:val="000000"/>
                <w:spacing w:val="-2"/>
              </w:rPr>
              <w:t>pecjali</w:t>
            </w:r>
            <w:r w:rsidR="0064703A">
              <w:rPr>
                <w:rFonts w:ascii="Times New Roman" w:hAnsi="Times New Roman"/>
                <w:color w:val="000000"/>
                <w:spacing w:val="-2"/>
              </w:rPr>
              <w:t xml:space="preserve">stów </w:t>
            </w:r>
            <w:r w:rsidR="00085A5B" w:rsidRPr="00085A5B">
              <w:rPr>
                <w:rFonts w:ascii="Times New Roman" w:hAnsi="Times New Roman"/>
                <w:color w:val="000000"/>
                <w:spacing w:val="-2"/>
              </w:rPr>
              <w:t>posiadający</w:t>
            </w:r>
            <w:r w:rsidR="0064703A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="00085A5B" w:rsidRPr="00085A5B">
              <w:rPr>
                <w:rFonts w:ascii="Times New Roman" w:hAnsi="Times New Roman"/>
                <w:color w:val="000000"/>
                <w:spacing w:val="-2"/>
              </w:rPr>
              <w:t xml:space="preserve"> wiedzę w zakresie schyłkowej niewydolności serca oraz instytucje spełniające określone kryteria jakościowe</w:t>
            </w:r>
            <w:r w:rsidR="0064703A">
              <w:rPr>
                <w:rFonts w:ascii="Times New Roman" w:hAnsi="Times New Roman"/>
                <w:color w:val="000000"/>
                <w:spacing w:val="-2"/>
              </w:rPr>
              <w:t xml:space="preserve"> oraz prowadzenia </w:t>
            </w:r>
            <w:r w:rsidR="00085A5B" w:rsidRPr="00085A5B">
              <w:rPr>
                <w:rFonts w:ascii="Times New Roman" w:hAnsi="Times New Roman"/>
                <w:color w:val="000000"/>
                <w:spacing w:val="-2"/>
              </w:rPr>
              <w:t>rejestr</w:t>
            </w:r>
            <w:r w:rsidR="0064703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085A5B" w:rsidRPr="00085A5B">
              <w:rPr>
                <w:rFonts w:ascii="Times New Roman" w:hAnsi="Times New Roman"/>
                <w:color w:val="000000"/>
                <w:spacing w:val="-2"/>
              </w:rPr>
              <w:t xml:space="preserve"> pacjentów w zakresie terapii </w:t>
            </w:r>
            <w:r w:rsidR="00655AFD" w:rsidRPr="00085A5B">
              <w:rPr>
                <w:rFonts w:ascii="Times New Roman" w:hAnsi="Times New Roman"/>
                <w:color w:val="000000"/>
                <w:spacing w:val="-2"/>
              </w:rPr>
              <w:t xml:space="preserve">LVAD </w:t>
            </w:r>
            <w:r w:rsidR="00655AFD">
              <w:rPr>
                <w:rFonts w:ascii="Times New Roman" w:hAnsi="Times New Roman"/>
                <w:color w:val="000000"/>
                <w:spacing w:val="-2"/>
              </w:rPr>
              <w:t>(</w:t>
            </w:r>
            <w:r w:rsidR="00175C9F">
              <w:rPr>
                <w:rFonts w:ascii="Times New Roman" w:hAnsi="Times New Roman"/>
                <w:color w:val="000000"/>
                <w:spacing w:val="-2"/>
              </w:rPr>
              <w:t xml:space="preserve">stan na 2015 r.); </w:t>
            </w:r>
          </w:p>
          <w:p w14:paraId="64D9190E" w14:textId="76FB5589" w:rsidR="006D48A8" w:rsidRPr="006D48A8" w:rsidRDefault="006D48A8" w:rsidP="00395E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Niemcy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ab/>
            </w:r>
            <w:r w:rsidR="00395E8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395E8E" w:rsidRPr="006D48A8">
              <w:rPr>
                <w:rFonts w:ascii="Times New Roman" w:hAnsi="Times New Roman"/>
                <w:color w:val="000000"/>
                <w:spacing w:val="-2"/>
              </w:rPr>
              <w:t>technologia finansowana 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7A312F0" w14:textId="4834C4E2" w:rsidR="006D48A8" w:rsidRPr="006D48A8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Norwegia</w:t>
            </w:r>
            <w:r w:rsidR="00395E8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8F31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95E8E" w:rsidRPr="006D48A8">
              <w:rPr>
                <w:rFonts w:ascii="Times New Roman" w:hAnsi="Times New Roman"/>
                <w:color w:val="000000"/>
                <w:spacing w:val="-2"/>
              </w:rPr>
              <w:t xml:space="preserve">niejednoznaczna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rekomendacja</w:t>
            </w:r>
            <w:r w:rsidR="00395E8E">
              <w:rPr>
                <w:rFonts w:ascii="Times New Roman" w:hAnsi="Times New Roman"/>
                <w:color w:val="000000"/>
                <w:spacing w:val="-2"/>
              </w:rPr>
              <w:t xml:space="preserve"> stosowania technologii -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ocena opłacalności jest niepewna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0A95940" w14:textId="227E3C02" w:rsidR="006D48A8" w:rsidRPr="006D48A8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Słowacja</w:t>
            </w:r>
            <w:r w:rsidR="008F31B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F31BE" w:rsidRPr="006D48A8">
              <w:rPr>
                <w:rFonts w:ascii="Times New Roman" w:hAnsi="Times New Roman"/>
                <w:color w:val="000000"/>
                <w:spacing w:val="-2"/>
              </w:rPr>
              <w:t>–technologia finansowana ze środków publicznych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442903C" w14:textId="4BC3163E" w:rsidR="006D48A8" w:rsidRPr="006D48A8" w:rsidRDefault="006D48A8" w:rsidP="00C51F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Stany Zjednoczone</w:t>
            </w:r>
            <w:r w:rsidR="00C51F08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="00C51F08" w:rsidRPr="006D48A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C51F08">
              <w:rPr>
                <w:rFonts w:ascii="Times New Roman" w:hAnsi="Times New Roman"/>
                <w:color w:val="000000"/>
                <w:spacing w:val="-2"/>
              </w:rPr>
              <w:t xml:space="preserve"> u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stalenia dotyczące pokrycia kosztów terapii przez płatnika publicznego</w:t>
            </w:r>
            <w:r w:rsidR="00C51F0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wskazuj</w:t>
            </w:r>
            <w:r w:rsidR="00C51F08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, że urządzenia LVAD są objęte ubezpieczeniem u pacjentów z niewydolnością serca którzy spełniają określone kryteria włączenia</w:t>
            </w:r>
            <w:r w:rsidR="00C51F08">
              <w:rPr>
                <w:rFonts w:ascii="Times New Roman" w:hAnsi="Times New Roman"/>
                <w:color w:val="000000"/>
                <w:spacing w:val="-2"/>
              </w:rPr>
              <w:t xml:space="preserve"> (stan na 2020 r.)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8A42622" w14:textId="163914E1" w:rsidR="006D48A8" w:rsidRPr="006D48A8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Wielka Brytania</w:t>
            </w:r>
            <w:r w:rsidR="00B16659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="00B16659" w:rsidRPr="006D48A8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16659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ytyczne</w:t>
            </w:r>
            <w:r w:rsidR="00B166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>wskazują, że aktualne dowody dotyczące skuteczności i bezpieczeństwa wszczepienia LVAD jako terapia docelowa u osób niekwalifikujących się do transplantacji serca są wystarczające, aby uzasadnić stosowanie tej procedury.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46FB8A9" w14:textId="4F17421C" w:rsidR="006A701A" w:rsidRPr="009954D5" w:rsidRDefault="006D48A8" w:rsidP="006D48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b/>
                <w:bCs/>
                <w:color w:val="000000"/>
                <w:spacing w:val="-2"/>
              </w:rPr>
              <w:t>Włochy</w:t>
            </w:r>
            <w:r w:rsidR="004767A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F203E0" w:rsidRPr="006D48A8">
              <w:rPr>
                <w:rFonts w:ascii="Times New Roman" w:hAnsi="Times New Roman"/>
                <w:color w:val="000000"/>
                <w:spacing w:val="-2"/>
              </w:rPr>
              <w:t xml:space="preserve">pozytywna </w:t>
            </w:r>
            <w:r w:rsidRPr="006D48A8">
              <w:rPr>
                <w:rFonts w:ascii="Times New Roman" w:hAnsi="Times New Roman"/>
                <w:color w:val="000000"/>
                <w:spacing w:val="-2"/>
              </w:rPr>
              <w:t xml:space="preserve">rekomendacja </w:t>
            </w:r>
            <w:r w:rsidR="00F203E0">
              <w:rPr>
                <w:rFonts w:ascii="Times New Roman" w:hAnsi="Times New Roman"/>
                <w:color w:val="000000"/>
                <w:spacing w:val="-2"/>
              </w:rPr>
              <w:t>stosowania technologii (</w:t>
            </w:r>
            <w:r w:rsidR="004767A4">
              <w:rPr>
                <w:rFonts w:ascii="Times New Roman" w:hAnsi="Times New Roman"/>
                <w:color w:val="000000"/>
                <w:spacing w:val="-2"/>
              </w:rPr>
              <w:t>stan na 2015 r.).</w:t>
            </w:r>
          </w:p>
        </w:tc>
      </w:tr>
      <w:tr w:rsidR="006A701A" w:rsidRPr="008B4FE6" w14:paraId="300C2A84" w14:textId="77777777" w:rsidTr="00444375">
        <w:trPr>
          <w:trHeight w:val="359"/>
        </w:trPr>
        <w:tc>
          <w:tcPr>
            <w:tcW w:w="10519" w:type="dxa"/>
            <w:gridSpan w:val="14"/>
            <w:shd w:val="clear" w:color="auto" w:fill="99CCFF"/>
            <w:vAlign w:val="center"/>
          </w:tcPr>
          <w:p w14:paraId="11096248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18499F" w:rsidRPr="008B4FE6" w14:paraId="30AEAA68" w14:textId="77777777" w:rsidTr="00095D31">
        <w:trPr>
          <w:trHeight w:val="142"/>
        </w:trPr>
        <w:tc>
          <w:tcPr>
            <w:tcW w:w="2014" w:type="dxa"/>
            <w:shd w:val="clear" w:color="auto" w:fill="auto"/>
          </w:tcPr>
          <w:p w14:paraId="5DC7D2E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55F3F184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511" w:type="dxa"/>
            <w:gridSpan w:val="7"/>
            <w:shd w:val="clear" w:color="auto" w:fill="auto"/>
          </w:tcPr>
          <w:p w14:paraId="0A8534D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488" w:type="dxa"/>
            <w:gridSpan w:val="4"/>
            <w:shd w:val="clear" w:color="auto" w:fill="auto"/>
          </w:tcPr>
          <w:p w14:paraId="3349C8F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8499F" w:rsidRPr="008B4FE6" w14:paraId="78C35FD4" w14:textId="77777777" w:rsidTr="00095D31">
        <w:trPr>
          <w:trHeight w:val="142"/>
        </w:trPr>
        <w:tc>
          <w:tcPr>
            <w:tcW w:w="2014" w:type="dxa"/>
            <w:shd w:val="clear" w:color="auto" w:fill="auto"/>
          </w:tcPr>
          <w:p w14:paraId="37CC1DFD" w14:textId="337FC36E" w:rsidR="00260F33" w:rsidRPr="005B118A" w:rsidRDefault="00FE0784" w:rsidP="00B84824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</w:rPr>
            </w:pPr>
            <w:r w:rsidRPr="005B118A">
              <w:rPr>
                <w:rFonts w:ascii="Times New Roman" w:hAnsi="Times New Roman"/>
                <w:color w:val="000000"/>
              </w:rPr>
              <w:t>Narodowy Fundusz Zdrowia</w:t>
            </w:r>
            <w:r w:rsidR="00985D67">
              <w:rPr>
                <w:rFonts w:ascii="Times New Roman" w:hAnsi="Times New Roman"/>
                <w:color w:val="000000"/>
              </w:rPr>
              <w:t xml:space="preserve"> (NFZ)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2CA75452" w14:textId="278AC215" w:rsidR="00260F33" w:rsidRPr="005B118A" w:rsidRDefault="00EF16F5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511" w:type="dxa"/>
            <w:gridSpan w:val="7"/>
            <w:shd w:val="clear" w:color="auto" w:fill="auto"/>
          </w:tcPr>
          <w:p w14:paraId="2A5A865D" w14:textId="7CEB7AC3" w:rsidR="00260F33" w:rsidRPr="005B118A" w:rsidRDefault="10CD40E4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B118A">
              <w:rPr>
                <w:rFonts w:ascii="Times New Roman" w:hAnsi="Times New Roman"/>
                <w:color w:val="000000" w:themeColor="text1"/>
              </w:rPr>
              <w:t xml:space="preserve">Ustawa z dnia 27 sierpnia 2004 r. </w:t>
            </w:r>
            <w:r w:rsidR="007D2AD2">
              <w:rPr>
                <w:rFonts w:ascii="Times New Roman" w:hAnsi="Times New Roman"/>
                <w:color w:val="000000" w:themeColor="text1"/>
              </w:rPr>
              <w:br/>
            </w:r>
            <w:r w:rsidRPr="005B118A">
              <w:rPr>
                <w:rFonts w:ascii="Times New Roman" w:hAnsi="Times New Roman"/>
                <w:color w:val="000000" w:themeColor="text1"/>
              </w:rPr>
              <w:t>o świadczeniach opieki zdrowotnej finansowanych ze środków publicznych</w:t>
            </w:r>
          </w:p>
        </w:tc>
        <w:tc>
          <w:tcPr>
            <w:tcW w:w="3488" w:type="dxa"/>
            <w:gridSpan w:val="4"/>
            <w:shd w:val="clear" w:color="auto" w:fill="auto"/>
          </w:tcPr>
          <w:p w14:paraId="1F515D12" w14:textId="70D190CF" w:rsidR="007D2AD2" w:rsidRPr="007D2AD2" w:rsidRDefault="007D2AD2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D2AD2">
              <w:rPr>
                <w:rFonts w:ascii="Times New Roman" w:hAnsi="Times New Roman"/>
                <w:color w:val="000000"/>
                <w:spacing w:val="-2"/>
              </w:rPr>
              <w:t>Zawieranie nowych umów</w:t>
            </w:r>
          </w:p>
          <w:p w14:paraId="6DE15694" w14:textId="0F6C334A" w:rsidR="00260F33" w:rsidRPr="005B118A" w:rsidRDefault="007D2AD2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D2AD2">
              <w:rPr>
                <w:rFonts w:ascii="Times New Roman" w:hAnsi="Times New Roman"/>
                <w:color w:val="000000"/>
                <w:spacing w:val="-2"/>
              </w:rPr>
              <w:t>o udzielanie świadczeń opieki zdrowotnej.</w:t>
            </w:r>
          </w:p>
        </w:tc>
      </w:tr>
      <w:tr w:rsidR="0018499F" w:rsidRPr="008B4FE6" w14:paraId="2F9E4438" w14:textId="77777777" w:rsidTr="00095D31">
        <w:trPr>
          <w:trHeight w:val="142"/>
        </w:trPr>
        <w:tc>
          <w:tcPr>
            <w:tcW w:w="2014" w:type="dxa"/>
            <w:shd w:val="clear" w:color="auto" w:fill="auto"/>
          </w:tcPr>
          <w:p w14:paraId="7A402FCA" w14:textId="43EAD267" w:rsidR="00260F33" w:rsidRPr="006C65F3" w:rsidRDefault="00FB4017" w:rsidP="00B84824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</w:rPr>
            </w:pPr>
            <w:r w:rsidRPr="006C65F3">
              <w:rPr>
                <w:rFonts w:ascii="Times New Roman" w:hAnsi="Times New Roman"/>
                <w:color w:val="000000"/>
              </w:rPr>
              <w:t>Świadczeniodawcy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0B764841" w14:textId="646F3007" w:rsidR="00260F33" w:rsidRPr="006C65F3" w:rsidRDefault="0021784C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511" w:type="dxa"/>
            <w:gridSpan w:val="7"/>
            <w:shd w:val="clear" w:color="auto" w:fill="auto"/>
          </w:tcPr>
          <w:p w14:paraId="53BEA06E" w14:textId="32AD4CB6" w:rsidR="00260F33" w:rsidRPr="006C65F3" w:rsidRDefault="0094010C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65F3">
              <w:rPr>
                <w:rFonts w:ascii="Times New Roman" w:hAnsi="Times New Roman"/>
                <w:color w:val="000000"/>
              </w:rPr>
              <w:t>https://www.poltransplant.org.pl/</w:t>
            </w:r>
          </w:p>
        </w:tc>
        <w:tc>
          <w:tcPr>
            <w:tcW w:w="3488" w:type="dxa"/>
            <w:gridSpan w:val="4"/>
            <w:shd w:val="clear" w:color="auto" w:fill="auto"/>
          </w:tcPr>
          <w:p w14:paraId="4A1CFB17" w14:textId="3D64B12B" w:rsidR="00BC6430" w:rsidRPr="006C65F3" w:rsidRDefault="00BC6430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65F3">
              <w:rPr>
                <w:rFonts w:ascii="Times New Roman" w:hAnsi="Times New Roman"/>
                <w:color w:val="000000"/>
                <w:spacing w:val="-2"/>
              </w:rPr>
              <w:t>Zwiększenie dostępu do metod terapeutycznych.</w:t>
            </w:r>
          </w:p>
          <w:p w14:paraId="531D8C5A" w14:textId="6B5578F1" w:rsidR="00260F33" w:rsidRPr="006C65F3" w:rsidRDefault="00BC6430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65F3">
              <w:rPr>
                <w:rFonts w:ascii="Times New Roman" w:hAnsi="Times New Roman"/>
                <w:color w:val="000000"/>
                <w:spacing w:val="-2"/>
              </w:rPr>
              <w:t>Zwiększenie kompetencji personelu medycznego w</w:t>
            </w:r>
            <w:r w:rsidR="00163FB2" w:rsidRPr="006C65F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6C65F3">
              <w:rPr>
                <w:rFonts w:ascii="Times New Roman" w:hAnsi="Times New Roman"/>
                <w:color w:val="000000"/>
                <w:spacing w:val="-2"/>
              </w:rPr>
              <w:t>zakresie stosowania nowych metod terapeutycznych.</w:t>
            </w:r>
          </w:p>
        </w:tc>
      </w:tr>
      <w:tr w:rsidR="0018499F" w:rsidRPr="008B4FE6" w14:paraId="005107D6" w14:textId="77777777" w:rsidTr="00095D31">
        <w:trPr>
          <w:trHeight w:val="142"/>
        </w:trPr>
        <w:tc>
          <w:tcPr>
            <w:tcW w:w="2014" w:type="dxa"/>
            <w:shd w:val="clear" w:color="auto" w:fill="auto"/>
          </w:tcPr>
          <w:p w14:paraId="65ABE4EB" w14:textId="490DB886" w:rsidR="00260F33" w:rsidRPr="0011520B" w:rsidRDefault="00FB4017" w:rsidP="00B84824">
            <w:pPr>
              <w:spacing w:line="240" w:lineRule="auto"/>
              <w:jc w:val="center"/>
              <w:rPr>
                <w:rFonts w:ascii="Times New Roman" w:hAnsi="Times New Roman"/>
                <w:noProof/>
                <w:color w:val="000000"/>
                <w:spacing w:val="-2"/>
              </w:rPr>
            </w:pPr>
            <w:r w:rsidRPr="0011520B">
              <w:rPr>
                <w:rFonts w:ascii="Times New Roman" w:hAnsi="Times New Roman"/>
                <w:color w:val="000000"/>
              </w:rPr>
              <w:t>Świadczeniobiorcy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0E79FDA4" w14:textId="72ED774F" w:rsidR="00260F33" w:rsidRPr="0011520B" w:rsidRDefault="0CE210A9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color w:val="000000" w:themeColor="text1"/>
              </w:rPr>
              <w:t xml:space="preserve">ok. </w:t>
            </w:r>
            <w:r w:rsidR="009A5AED">
              <w:rPr>
                <w:rFonts w:ascii="Times New Roman" w:hAnsi="Times New Roman"/>
                <w:color w:val="000000" w:themeColor="text1"/>
              </w:rPr>
              <w:t>1</w:t>
            </w:r>
            <w:r w:rsidR="00E40884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3511" w:type="dxa"/>
            <w:gridSpan w:val="7"/>
            <w:shd w:val="clear" w:color="auto" w:fill="auto"/>
          </w:tcPr>
          <w:p w14:paraId="79043020" w14:textId="38D3FF0A" w:rsidR="00260F33" w:rsidRPr="0011520B" w:rsidRDefault="0000068D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C5F28">
              <w:rPr>
                <w:rFonts w:ascii="Times New Roman" w:hAnsi="Times New Roman"/>
                <w:color w:val="000000"/>
              </w:rPr>
              <w:t>Agencja Oceny Technologii Medycznych i Taryfikacji</w:t>
            </w:r>
          </w:p>
        </w:tc>
        <w:tc>
          <w:tcPr>
            <w:tcW w:w="3488" w:type="dxa"/>
            <w:gridSpan w:val="4"/>
            <w:shd w:val="clear" w:color="auto" w:fill="auto"/>
          </w:tcPr>
          <w:p w14:paraId="30B73AA1" w14:textId="57D9C091" w:rsidR="00260F33" w:rsidRPr="0011520B" w:rsidRDefault="003520C3" w:rsidP="00B8482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1520B">
              <w:rPr>
                <w:rFonts w:ascii="Times New Roman" w:hAnsi="Times New Roman"/>
                <w:color w:val="000000"/>
                <w:spacing w:val="-2"/>
              </w:rPr>
              <w:t>Zwiększenie dostępu do metod terapeutycznych</w:t>
            </w:r>
            <w:r w:rsidR="009A5AED">
              <w:rPr>
                <w:rFonts w:ascii="Times New Roman" w:hAnsi="Times New Roman"/>
                <w:color w:val="000000"/>
                <w:spacing w:val="-2"/>
              </w:rPr>
              <w:t xml:space="preserve"> dla pacjentów ze schyłkową niewydolnością serca</w:t>
            </w:r>
            <w:r w:rsidR="000F272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3EF8C090" w14:textId="77777777" w:rsidTr="00444375">
        <w:trPr>
          <w:trHeight w:val="302"/>
        </w:trPr>
        <w:tc>
          <w:tcPr>
            <w:tcW w:w="10519" w:type="dxa"/>
            <w:gridSpan w:val="14"/>
            <w:shd w:val="clear" w:color="auto" w:fill="99CCFF"/>
            <w:vAlign w:val="center"/>
          </w:tcPr>
          <w:p w14:paraId="0591A1CC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E6C32B5" w14:textId="77777777" w:rsidTr="00444375">
        <w:trPr>
          <w:trHeight w:val="342"/>
        </w:trPr>
        <w:tc>
          <w:tcPr>
            <w:tcW w:w="10519" w:type="dxa"/>
            <w:gridSpan w:val="14"/>
            <w:shd w:val="clear" w:color="auto" w:fill="FFFFFF" w:themeFill="background1"/>
          </w:tcPr>
          <w:p w14:paraId="5B0C0C14" w14:textId="758E3B55" w:rsidR="000344F0" w:rsidRDefault="002E19D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był przedmiotem pre-konsultacji.</w:t>
            </w:r>
            <w:r w:rsidR="002332C2">
              <w:rPr>
                <w:rFonts w:ascii="Times New Roman" w:hAnsi="Times New Roman"/>
                <w:color w:val="000000"/>
                <w:spacing w:val="-2"/>
              </w:rPr>
              <w:t xml:space="preserve"> W ramach pre</w:t>
            </w:r>
            <w:r w:rsidR="00D44F8E">
              <w:rPr>
                <w:rFonts w:ascii="Times New Roman" w:hAnsi="Times New Roman"/>
                <w:color w:val="000000"/>
                <w:spacing w:val="-2"/>
              </w:rPr>
              <w:t>-</w:t>
            </w:r>
            <w:r w:rsidR="002332C2">
              <w:rPr>
                <w:rFonts w:ascii="Times New Roman" w:hAnsi="Times New Roman"/>
                <w:color w:val="000000"/>
                <w:spacing w:val="-2"/>
              </w:rPr>
              <w:t xml:space="preserve">konsultacji projekt opiniowało Polskie Towarzystwo Kardiologiczne oraz 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2332C2">
              <w:rPr>
                <w:rFonts w:ascii="Times New Roman" w:hAnsi="Times New Roman"/>
                <w:color w:val="000000"/>
                <w:spacing w:val="-2"/>
              </w:rPr>
              <w:t xml:space="preserve">onsultant </w:t>
            </w:r>
            <w:r w:rsidR="009954D5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2332C2">
              <w:rPr>
                <w:rFonts w:ascii="Times New Roman" w:hAnsi="Times New Roman"/>
                <w:color w:val="000000"/>
                <w:spacing w:val="-2"/>
              </w:rPr>
              <w:t>rajowy w dziedzinie kardiologii.</w:t>
            </w:r>
          </w:p>
          <w:p w14:paraId="15D1BB0A" w14:textId="779A69DE" w:rsidR="002E19D8" w:rsidRDefault="002E19D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ramach konsultacji publicznych i opiniowania projekt zostanie przesłany do zaopiniowania </w:t>
            </w:r>
            <w:r w:rsidR="00DD0B4A" w:rsidRPr="00DD0B4A">
              <w:rPr>
                <w:rFonts w:ascii="Times New Roman" w:hAnsi="Times New Roman"/>
                <w:color w:val="000000"/>
                <w:spacing w:val="-2"/>
              </w:rPr>
              <w:t>na okres 1</w:t>
            </w:r>
            <w:r w:rsidR="00DD0B4A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DD0B4A" w:rsidRPr="00DD0B4A">
              <w:rPr>
                <w:rFonts w:ascii="Times New Roman" w:hAnsi="Times New Roman"/>
                <w:color w:val="000000"/>
                <w:spacing w:val="-2"/>
              </w:rPr>
              <w:t xml:space="preserve"> dni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="00803153">
              <w:rPr>
                <w:rFonts w:ascii="Times New Roman" w:hAnsi="Times New Roman"/>
                <w:color w:val="000000"/>
                <w:spacing w:val="-2"/>
              </w:rPr>
              <w:t>następujące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podmioty:</w:t>
            </w:r>
          </w:p>
          <w:p w14:paraId="05D04DF3" w14:textId="016B57BF" w:rsidR="002E19D8" w:rsidRPr="00D44F8E" w:rsidRDefault="00DD0B4A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</w:t>
            </w:r>
            <w:r w:rsidR="00D44F8E">
              <w:rPr>
                <w:rFonts w:ascii="Times New Roman" w:hAnsi="Times New Roman"/>
                <w:color w:val="000000" w:themeColor="text1"/>
              </w:rPr>
              <w:t>kardiologii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432C294" w14:textId="74D1ABE6" w:rsidR="002E19D8" w:rsidRPr="00D44F8E" w:rsidRDefault="00DD0B4A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</w:t>
            </w:r>
            <w:r w:rsidR="00D44F8E">
              <w:rPr>
                <w:rFonts w:ascii="Times New Roman" w:hAnsi="Times New Roman"/>
                <w:color w:val="000000" w:themeColor="text1"/>
              </w:rPr>
              <w:t>kardiochirurgii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4A95C334" w14:textId="7FD59A56" w:rsidR="002E19D8" w:rsidRPr="00D44F8E" w:rsidRDefault="00DD0B4A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chirurgii </w:t>
            </w:r>
            <w:r w:rsidR="00D44F8E">
              <w:rPr>
                <w:rFonts w:ascii="Times New Roman" w:hAnsi="Times New Roman"/>
                <w:color w:val="000000" w:themeColor="text1"/>
              </w:rPr>
              <w:t>ogólnej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5ECF760" w14:textId="68517C06" w:rsidR="002E19D8" w:rsidRPr="00D44F8E" w:rsidRDefault="00DD0B4A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</w:t>
            </w:r>
            <w:r w:rsidR="00D44F8E">
              <w:rPr>
                <w:rFonts w:ascii="Times New Roman" w:hAnsi="Times New Roman"/>
                <w:color w:val="000000" w:themeColor="text1"/>
              </w:rPr>
              <w:t>anestezjologii i intensywnej terapii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A24AC69" w14:textId="3B6968BB" w:rsidR="002E19D8" w:rsidRPr="00D44F8E" w:rsidRDefault="00DD0B4A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</w:t>
            </w:r>
            <w:r w:rsidR="007C2058">
              <w:rPr>
                <w:rFonts w:ascii="Times New Roman" w:hAnsi="Times New Roman"/>
                <w:color w:val="000000" w:themeColor="text1"/>
              </w:rPr>
              <w:t>chirurgii klatki piersiowej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30E5567" w14:textId="79695AFB" w:rsidR="002E19D8" w:rsidRPr="00D44F8E" w:rsidRDefault="00DD0B4A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</w:t>
            </w:r>
            <w:r w:rsidR="007C2058">
              <w:rPr>
                <w:rFonts w:ascii="Times New Roman" w:hAnsi="Times New Roman"/>
                <w:color w:val="000000" w:themeColor="text1"/>
              </w:rPr>
              <w:t>chorób wewnętrznych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FD54148" w14:textId="04D473B8" w:rsidR="002E19D8" w:rsidRPr="007C2058" w:rsidRDefault="00DD0B4A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</w:t>
            </w:r>
            <w:r w:rsidR="007C2058">
              <w:rPr>
                <w:rFonts w:ascii="Times New Roman" w:hAnsi="Times New Roman"/>
                <w:color w:val="000000" w:themeColor="text1"/>
              </w:rPr>
              <w:t>transplantologii klinicznej;</w:t>
            </w:r>
          </w:p>
          <w:p w14:paraId="464BE4F2" w14:textId="6D93564B" w:rsidR="002E19D8" w:rsidRDefault="00DD0B4A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onsultant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3DD3">
              <w:rPr>
                <w:rFonts w:ascii="Times New Roman" w:hAnsi="Times New Roman"/>
                <w:color w:val="000000" w:themeColor="text1"/>
              </w:rPr>
              <w:t>k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>rajow</w:t>
            </w:r>
            <w:r w:rsidR="00363DD3">
              <w:rPr>
                <w:rFonts w:ascii="Times New Roman" w:hAnsi="Times New Roman"/>
                <w:color w:val="000000" w:themeColor="text1"/>
              </w:rPr>
              <w:t>ego</w:t>
            </w:r>
            <w:r w:rsidR="1862BCCD" w:rsidRPr="00D44F8E">
              <w:rPr>
                <w:rFonts w:ascii="Times New Roman" w:hAnsi="Times New Roman"/>
                <w:color w:val="000000" w:themeColor="text1"/>
              </w:rPr>
              <w:t xml:space="preserve"> w dziedzinie pielęgniarstwa;</w:t>
            </w:r>
          </w:p>
          <w:p w14:paraId="5B09A544" w14:textId="23323B22" w:rsidR="007C2058" w:rsidRPr="00D44F8E" w:rsidRDefault="00DD0B4A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rajow</w:t>
            </w:r>
            <w:r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2058" w:rsidRPr="00D44F8E">
              <w:rPr>
                <w:rFonts w:ascii="Times New Roman" w:hAnsi="Times New Roman"/>
                <w:color w:val="000000" w:themeColor="text1"/>
              </w:rPr>
              <w:t>Izb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="007C2058" w:rsidRPr="00D44F8E">
              <w:rPr>
                <w:rFonts w:ascii="Times New Roman" w:hAnsi="Times New Roman"/>
                <w:color w:val="000000" w:themeColor="text1"/>
              </w:rPr>
              <w:t xml:space="preserve"> Diagnostów Laboratoryjnych; </w:t>
            </w:r>
          </w:p>
          <w:p w14:paraId="1C1618FE" w14:textId="633319E3" w:rsidR="007C2058" w:rsidRDefault="00DD0B4A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D44F8E">
              <w:rPr>
                <w:rFonts w:ascii="Times New Roman" w:hAnsi="Times New Roman"/>
                <w:color w:val="000000" w:themeColor="text1"/>
              </w:rPr>
              <w:t>rajow</w:t>
            </w:r>
            <w:r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2058" w:rsidRPr="00D44F8E">
              <w:rPr>
                <w:rFonts w:ascii="Times New Roman" w:hAnsi="Times New Roman"/>
                <w:color w:val="000000" w:themeColor="text1"/>
              </w:rPr>
              <w:t>Izb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="007C2058" w:rsidRPr="00D44F8E">
              <w:rPr>
                <w:rFonts w:ascii="Times New Roman" w:hAnsi="Times New Roman"/>
                <w:color w:val="000000" w:themeColor="text1"/>
              </w:rPr>
              <w:t xml:space="preserve"> Fizjoterapeutów;</w:t>
            </w:r>
          </w:p>
          <w:p w14:paraId="0396D02D" w14:textId="34E61732" w:rsidR="00BB4654" w:rsidRDefault="00BB4654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Polskie Towarzystwo Kardiologiczne;</w:t>
            </w:r>
          </w:p>
          <w:p w14:paraId="1DDF9002" w14:textId="6DFA34D4" w:rsidR="007C2058" w:rsidRPr="00D44F8E" w:rsidRDefault="007C2058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Naczeln</w:t>
            </w:r>
            <w:r w:rsidR="00363DD3"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Izb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Lekarsk</w:t>
            </w:r>
            <w:r w:rsidR="00363DD3"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24A45FCA" w14:textId="7D3F9D28" w:rsidR="007C2058" w:rsidRPr="00D44F8E" w:rsidRDefault="007C2058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Naczeln</w:t>
            </w:r>
            <w:r w:rsidR="00363DD3"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Izb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Pielęgniarek i Położnych;</w:t>
            </w:r>
          </w:p>
          <w:p w14:paraId="33780188" w14:textId="56519775" w:rsidR="007C2058" w:rsidRPr="007C2058" w:rsidRDefault="007C2058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Naczeln</w:t>
            </w:r>
            <w:r w:rsidR="00363DD3"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Izb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Aptekarsk</w:t>
            </w:r>
            <w:r w:rsidR="00363DD3"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2C6B8586" w14:textId="77777777" w:rsidR="007C2058" w:rsidRPr="00D44F8E" w:rsidRDefault="007C2058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Ogólnopolskie Porozumienie Związków Zawodowych;</w:t>
            </w:r>
          </w:p>
          <w:p w14:paraId="33EE2BBD" w14:textId="6126D09A" w:rsidR="007C2058" w:rsidRPr="00D44F8E" w:rsidRDefault="007C2058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Ogólnopolski</w:t>
            </w:r>
            <w:r w:rsidR="00363DD3">
              <w:rPr>
                <w:rFonts w:ascii="Times New Roman" w:hAnsi="Times New Roman"/>
                <w:color w:val="000000" w:themeColor="text1"/>
              </w:rPr>
              <w:t>e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Związek Zawodowy Lekarzy;</w:t>
            </w:r>
          </w:p>
          <w:p w14:paraId="5310C521" w14:textId="1F68D330" w:rsidR="007C2058" w:rsidRPr="00D44F8E" w:rsidRDefault="007C2058" w:rsidP="007C205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Ogólnopolski Związek Zawodowy Pielęgniarek i Położnych;</w:t>
            </w:r>
          </w:p>
          <w:p w14:paraId="2DBEBF01" w14:textId="132C3A80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Rad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Działalności Pożytku Publicznego;</w:t>
            </w:r>
          </w:p>
          <w:p w14:paraId="5572A0AE" w14:textId="22CCEF8F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Rad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Dialogu Społecznego;</w:t>
            </w:r>
          </w:p>
          <w:p w14:paraId="0290D51F" w14:textId="0E35DCDA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Rzecznik</w:t>
            </w:r>
            <w:r w:rsidR="00363DD3"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Praw Pacjenta;</w:t>
            </w:r>
          </w:p>
          <w:p w14:paraId="44FFA701" w14:textId="338A24E8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lastRenderedPageBreak/>
              <w:t xml:space="preserve">Stowarzyszenie Pacjentów „Primum Non Nocere”; </w:t>
            </w:r>
          </w:p>
          <w:p w14:paraId="431F7312" w14:textId="4B85DFA9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Federacj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Pacjentów Polskich;</w:t>
            </w:r>
          </w:p>
          <w:p w14:paraId="0A585A4D" w14:textId="69E23ADF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Federacj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Przedsiębiorców Polskich;</w:t>
            </w:r>
          </w:p>
          <w:p w14:paraId="4A2771CF" w14:textId="72E4FD75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Krajowy Sekretariat Ochrony Zdrowia NSZZ „Solidarność 80”;</w:t>
            </w:r>
          </w:p>
          <w:p w14:paraId="254FD048" w14:textId="008F8743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Biuro Komisji Krajowej NSZZ „Solidarność”; </w:t>
            </w:r>
          </w:p>
          <w:p w14:paraId="6B44031A" w14:textId="14FA55FA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Forum Związków Zawodowych;</w:t>
            </w:r>
          </w:p>
          <w:p w14:paraId="704D65C1" w14:textId="26F96D1B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Konferencj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Lewiatan;</w:t>
            </w:r>
          </w:p>
          <w:p w14:paraId="0F5D78A2" w14:textId="31FA1E22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Związek Pracodawców Business Centre Club;</w:t>
            </w:r>
          </w:p>
          <w:p w14:paraId="774061D4" w14:textId="4DCBDC79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Związek Przedsiębiorców i Pracodawców;</w:t>
            </w:r>
          </w:p>
          <w:p w14:paraId="130054C0" w14:textId="40B1F3FC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Związek Rzemiosła Polskiego;</w:t>
            </w:r>
          </w:p>
          <w:p w14:paraId="706ECBE4" w14:textId="49DB7475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Pracodawc</w:t>
            </w:r>
            <w:r w:rsidR="00363DD3">
              <w:rPr>
                <w:rFonts w:ascii="Times New Roman" w:hAnsi="Times New Roman"/>
                <w:color w:val="000000" w:themeColor="text1"/>
              </w:rPr>
              <w:t>ów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Rzeczypospolitej Polskiej;</w:t>
            </w:r>
          </w:p>
          <w:p w14:paraId="41892AC9" w14:textId="2A605294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Porozumienie Pracodawców Ochrony Zdrowia;</w:t>
            </w:r>
          </w:p>
          <w:p w14:paraId="2E1ED718" w14:textId="030F8992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Federacj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Związków Pracodawców Ochrony Zdrowia „Porozumienie Zielonogórskie”;</w:t>
            </w:r>
          </w:p>
          <w:p w14:paraId="319DFDDF" w14:textId="5D17B39B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 xml:space="preserve">Instytut Praw Pacjenta i Edukacji Zdrowotnej; </w:t>
            </w:r>
          </w:p>
          <w:p w14:paraId="01F82F30" w14:textId="2595B6F0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Obywatelskie Stowarzyszenie „Dla Dobra Pacjenta”;</w:t>
            </w:r>
          </w:p>
          <w:p w14:paraId="379E64CD" w14:textId="3435DDDE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Instytut Matki i Dziecka;</w:t>
            </w:r>
          </w:p>
          <w:p w14:paraId="575E8BE4" w14:textId="47A7CBD0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Narodowy Instytutu Onkologii im. Marii Skłodowskiej-Curie – Państwowy Instytut Badawczy;</w:t>
            </w:r>
          </w:p>
          <w:p w14:paraId="4742E798" w14:textId="42777749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Narodowy Instytut Zdrowia Publicznego – Państwowy Zakład Higieny;</w:t>
            </w:r>
          </w:p>
          <w:p w14:paraId="0BC7DBED" w14:textId="3A008C44" w:rsidR="002E19D8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Narodowy Fundusz Zdrowia;</w:t>
            </w:r>
          </w:p>
          <w:p w14:paraId="54E467E5" w14:textId="061D4A15" w:rsidR="00EE7918" w:rsidRPr="00EE7918" w:rsidRDefault="00EE7918" w:rsidP="00EE7918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Prezes</w:t>
            </w:r>
            <w:r w:rsidR="00363DD3">
              <w:rPr>
                <w:rFonts w:ascii="Times New Roman" w:hAnsi="Times New Roman"/>
                <w:color w:val="000000" w:themeColor="text1"/>
              </w:rPr>
              <w:t xml:space="preserve">a </w:t>
            </w:r>
            <w:r w:rsidRPr="00D44F8E">
              <w:rPr>
                <w:rFonts w:ascii="Times New Roman" w:hAnsi="Times New Roman"/>
                <w:color w:val="000000" w:themeColor="text1"/>
              </w:rPr>
              <w:t>Agencji Oceny Technologii Medycznych i Taryfikacji;</w:t>
            </w:r>
          </w:p>
          <w:p w14:paraId="5B00650E" w14:textId="7EBDE8C4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Prezes</w:t>
            </w:r>
            <w:r w:rsidR="00363DD3"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Urzędu Ochrony Danych Osobowych; </w:t>
            </w:r>
          </w:p>
          <w:p w14:paraId="74613308" w14:textId="4487D428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Prezes</w:t>
            </w:r>
            <w:r w:rsidR="00363DD3"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Urzędu Ochrony Konkurencji i Konsumentów;</w:t>
            </w:r>
          </w:p>
          <w:p w14:paraId="058B6B27" w14:textId="4E4F9F7A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Prezes</w:t>
            </w:r>
            <w:r w:rsidR="00363DD3">
              <w:rPr>
                <w:rFonts w:ascii="Times New Roman" w:hAnsi="Times New Roman"/>
                <w:color w:val="000000" w:themeColor="text1"/>
              </w:rPr>
              <w:t>a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Urzędu Rejestracji Produktów Leczniczych, Wyrobów Medycznych i Produktów Biobójczych; </w:t>
            </w:r>
          </w:p>
          <w:p w14:paraId="5B9773B9" w14:textId="6EC92B07" w:rsidR="002E19D8" w:rsidRPr="00D44F8E" w:rsidRDefault="1862BCCD" w:rsidP="00D44F8E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4F8E">
              <w:rPr>
                <w:rFonts w:ascii="Times New Roman" w:hAnsi="Times New Roman"/>
                <w:color w:val="000000" w:themeColor="text1"/>
              </w:rPr>
              <w:t>Prokuratori</w:t>
            </w:r>
            <w:r w:rsidR="00363DD3">
              <w:rPr>
                <w:rFonts w:ascii="Times New Roman" w:hAnsi="Times New Roman"/>
                <w:color w:val="000000" w:themeColor="text1"/>
              </w:rPr>
              <w:t>ę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Generaln</w:t>
            </w:r>
            <w:r w:rsidR="00363DD3">
              <w:rPr>
                <w:rFonts w:ascii="Times New Roman" w:hAnsi="Times New Roman"/>
                <w:color w:val="000000" w:themeColor="text1"/>
              </w:rPr>
              <w:t>ą</w:t>
            </w:r>
            <w:r w:rsidRPr="00D44F8E">
              <w:rPr>
                <w:rFonts w:ascii="Times New Roman" w:hAnsi="Times New Roman"/>
                <w:color w:val="000000" w:themeColor="text1"/>
              </w:rPr>
              <w:t xml:space="preserve"> Rzeczypospolitej Polskiej.</w:t>
            </w:r>
          </w:p>
          <w:p w14:paraId="31576477" w14:textId="6BE07797" w:rsidR="002E19D8" w:rsidRDefault="1862BCCD" w:rsidP="006C5F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228D15E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3F13A44" w14:textId="5DAF31E8" w:rsidR="002E19D8" w:rsidRDefault="1862BCCD" w:rsidP="006C5F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2CB6">
              <w:rPr>
                <w:rFonts w:ascii="Times New Roman" w:hAnsi="Times New Roman"/>
                <w:color w:val="000000" w:themeColor="text1"/>
              </w:rPr>
              <w:t>Projekt rozporządzenia został udostępniony w Biuletynie Informacji Publicznej Ministerstwa Zdrowia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</w:t>
            </w:r>
            <w:r w:rsidR="00DA2CB6" w:rsidRPr="00DA2CB6">
              <w:rPr>
                <w:rFonts w:ascii="Times New Roman" w:hAnsi="Times New Roman"/>
                <w:color w:val="000000" w:themeColor="text1"/>
              </w:rPr>
              <w:t>M.P. 2022 poz. 348</w:t>
            </w:r>
            <w:r w:rsidRPr="00DA2CB6">
              <w:rPr>
                <w:rFonts w:ascii="Times New Roman" w:hAnsi="Times New Roman"/>
                <w:color w:val="000000" w:themeColor="text1"/>
              </w:rPr>
              <w:t>.).</w:t>
            </w:r>
          </w:p>
          <w:p w14:paraId="5609E7C9" w14:textId="2AAC6449" w:rsidR="002E19D8" w:rsidRDefault="1862BCCD" w:rsidP="006C5F2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228D15E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59774E4" w14:textId="60B26836" w:rsidR="006A701A" w:rsidRPr="00B37C80" w:rsidRDefault="00430718" w:rsidP="00E548F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30718">
              <w:rPr>
                <w:rFonts w:ascii="Times New Roman" w:hAnsi="Times New Roman"/>
                <w:color w:val="000000" w:themeColor="text1"/>
              </w:rPr>
              <w:t>Wyniki konsultacji publicznych i opiniowania zostaną omówione w raporcie z konsultacji publicznych i opiniowania.</w:t>
            </w:r>
          </w:p>
        </w:tc>
      </w:tr>
      <w:tr w:rsidR="006A701A" w:rsidRPr="008B4FE6" w14:paraId="0A37277D" w14:textId="77777777" w:rsidTr="00444375">
        <w:trPr>
          <w:trHeight w:val="363"/>
        </w:trPr>
        <w:tc>
          <w:tcPr>
            <w:tcW w:w="10519" w:type="dxa"/>
            <w:gridSpan w:val="14"/>
            <w:shd w:val="clear" w:color="auto" w:fill="99CCFF"/>
            <w:vAlign w:val="center"/>
          </w:tcPr>
          <w:p w14:paraId="07E22878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3A1C34C7" w14:textId="77777777" w:rsidTr="00095D31">
        <w:trPr>
          <w:trHeight w:val="142"/>
        </w:trPr>
        <w:tc>
          <w:tcPr>
            <w:tcW w:w="2014" w:type="dxa"/>
            <w:vMerge w:val="restart"/>
            <w:shd w:val="clear" w:color="auto" w:fill="FFFFFF" w:themeFill="background1"/>
          </w:tcPr>
          <w:p w14:paraId="00F29A1D" w14:textId="31974FF5" w:rsidR="00260F33" w:rsidRPr="0018499F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8B71E2"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CE46DE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="008B71E2"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8505" w:type="dxa"/>
            <w:gridSpan w:val="13"/>
            <w:shd w:val="clear" w:color="auto" w:fill="FFFFFF" w:themeFill="background1"/>
          </w:tcPr>
          <w:p w14:paraId="760F0ABF" w14:textId="77777777" w:rsidR="00260F33" w:rsidRPr="0018499F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444375" w:rsidRPr="008B4FE6" w14:paraId="6914D6F1" w14:textId="77777777" w:rsidTr="00095D31">
        <w:trPr>
          <w:trHeight w:val="142"/>
        </w:trPr>
        <w:tc>
          <w:tcPr>
            <w:tcW w:w="2014" w:type="dxa"/>
            <w:vMerge/>
          </w:tcPr>
          <w:p w14:paraId="6721912E" w14:textId="77777777" w:rsidR="008B0034" w:rsidRPr="0018499F" w:rsidRDefault="008B0034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14:paraId="0DCB7837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</w:tcPr>
          <w:p w14:paraId="51CF9C0A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6" w:type="dxa"/>
            <w:shd w:val="clear" w:color="auto" w:fill="FFFFFF" w:themeFill="background1"/>
          </w:tcPr>
          <w:p w14:paraId="24A1FF1B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5" w:type="dxa"/>
            <w:shd w:val="clear" w:color="auto" w:fill="FFFFFF" w:themeFill="background1"/>
          </w:tcPr>
          <w:p w14:paraId="75C46F9E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3" w:type="dxa"/>
            <w:shd w:val="clear" w:color="auto" w:fill="FFFFFF" w:themeFill="background1"/>
          </w:tcPr>
          <w:p w14:paraId="0BFB052D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87" w:type="dxa"/>
            <w:gridSpan w:val="2"/>
            <w:shd w:val="clear" w:color="auto" w:fill="FFFFFF" w:themeFill="background1"/>
          </w:tcPr>
          <w:p w14:paraId="38023DBB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5" w:type="dxa"/>
            <w:shd w:val="clear" w:color="auto" w:fill="FFFFFF" w:themeFill="background1"/>
          </w:tcPr>
          <w:p w14:paraId="4906F31E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5" w:type="dxa"/>
            <w:shd w:val="clear" w:color="auto" w:fill="FFFFFF" w:themeFill="background1"/>
          </w:tcPr>
          <w:p w14:paraId="2AA9AAFA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85" w:type="dxa"/>
            <w:shd w:val="clear" w:color="auto" w:fill="FFFFFF" w:themeFill="background1"/>
          </w:tcPr>
          <w:p w14:paraId="4A1113EF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1" w:type="dxa"/>
            <w:shd w:val="clear" w:color="auto" w:fill="FFFFFF" w:themeFill="background1"/>
          </w:tcPr>
          <w:p w14:paraId="0C368CDF" w14:textId="77777777" w:rsidR="008B0034" w:rsidRPr="0018499F" w:rsidRDefault="008B0034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21" w:type="dxa"/>
            <w:shd w:val="clear" w:color="auto" w:fill="FFFFFF" w:themeFill="background1"/>
          </w:tcPr>
          <w:p w14:paraId="3629B9B6" w14:textId="77777777" w:rsidR="008B0034" w:rsidRPr="0018499F" w:rsidRDefault="008B0034" w:rsidP="00B370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61" w:type="dxa"/>
            <w:shd w:val="clear" w:color="auto" w:fill="FFFFFF" w:themeFill="background1"/>
          </w:tcPr>
          <w:p w14:paraId="5FC2E871" w14:textId="774D54C3" w:rsidR="008B0034" w:rsidRPr="0018499F" w:rsidRDefault="008B0034" w:rsidP="00B370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84824" w:rsidRPr="008B4FE6" w14:paraId="33D2C96D" w14:textId="77777777" w:rsidTr="00095D31">
        <w:trPr>
          <w:trHeight w:val="321"/>
        </w:trPr>
        <w:tc>
          <w:tcPr>
            <w:tcW w:w="2014" w:type="dxa"/>
            <w:shd w:val="clear" w:color="auto" w:fill="FFFFFF" w:themeFill="background1"/>
            <w:vAlign w:val="center"/>
          </w:tcPr>
          <w:p w14:paraId="5F86C8DF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50D4ED60" w14:textId="325D24D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13A357F7" w14:textId="371E67E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7C725B45" w14:textId="1BA81F5F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4A245D47" w14:textId="6CC5C9A5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701B4654" w14:textId="73D68E6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6166070A" w14:textId="04ACB2D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2228F4A9" w14:textId="3A05E803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183EABB2" w14:textId="6C57B333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374D9D43" w14:textId="5AAD689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3796E5C3" w14:textId="1A3E09C0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454E881F" w14:textId="33496476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44F38AC1" w14:textId="02D4D36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5B10C860" w14:textId="77777777" w:rsidTr="00095D31">
        <w:trPr>
          <w:trHeight w:val="321"/>
        </w:trPr>
        <w:tc>
          <w:tcPr>
            <w:tcW w:w="2014" w:type="dxa"/>
            <w:shd w:val="clear" w:color="auto" w:fill="FFFFFF" w:themeFill="background1"/>
            <w:vAlign w:val="center"/>
          </w:tcPr>
          <w:p w14:paraId="388629B9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DFB70DB" w14:textId="352E7A33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2254273" w14:textId="1060DF66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6A72F4CA" w14:textId="5C96DF63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725E05F" w14:textId="0A79AA67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631D7813" w14:textId="03A4350F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7C944964" w14:textId="46A1FEE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FD06F06" w14:textId="2447B1B3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A401005" w14:textId="5453141D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66B37DA9" w14:textId="7679FEE3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0EE8A12D" w14:textId="0C2D2A60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4715B24D" w14:textId="219FE327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77942153" w14:textId="39BE1ADD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030AF015" w14:textId="77777777" w:rsidTr="00095D31">
        <w:trPr>
          <w:trHeight w:val="344"/>
        </w:trPr>
        <w:tc>
          <w:tcPr>
            <w:tcW w:w="2014" w:type="dxa"/>
            <w:shd w:val="clear" w:color="auto" w:fill="FFFFFF" w:themeFill="background1"/>
            <w:vAlign w:val="center"/>
          </w:tcPr>
          <w:p w14:paraId="2DE3ED8F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C1D42E5" w14:textId="053249F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99C0AA8" w14:textId="128D3D40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6251A319" w14:textId="1E6D12BD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0EAEEA4" w14:textId="6C98A90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7FD1ED61" w14:textId="1A7E7B25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338CA058" w14:textId="1C275F4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34F01E6B" w14:textId="5A50CB3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ACBCF86" w14:textId="36259793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7E55404" w14:textId="1273D93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33D525E6" w14:textId="5EF3B055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197E1512" w14:textId="0DDA124F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27681AE4" w14:textId="4D1955F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3552BA5A" w14:textId="77777777" w:rsidTr="00095D31">
        <w:trPr>
          <w:trHeight w:val="344"/>
        </w:trPr>
        <w:tc>
          <w:tcPr>
            <w:tcW w:w="2014" w:type="dxa"/>
            <w:shd w:val="clear" w:color="auto" w:fill="FFFFFF" w:themeFill="background1"/>
            <w:vAlign w:val="center"/>
          </w:tcPr>
          <w:p w14:paraId="55A8F7A5" w14:textId="3B5542E6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pozostałe jednostki (oddzielnie)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E31609D" w14:textId="4F866D8D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5754588D" w14:textId="073772C0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59D5FA2E" w14:textId="49AF2FA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00EB9234" w14:textId="5BE26B8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6854800C" w14:textId="21664C6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0CC13E2E" w14:textId="1A95672B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6C7B2647" w14:textId="5048C4D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4B785B24" w14:textId="0AF6FFA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634D5CE7" w14:textId="2979CC5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29F1E82E" w14:textId="045923AA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41D0B8A1" w14:textId="01FD0A97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6A447DBB" w14:textId="6003F916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0E3F3F98" w14:textId="77777777" w:rsidTr="00095D31">
        <w:trPr>
          <w:trHeight w:val="330"/>
        </w:trPr>
        <w:tc>
          <w:tcPr>
            <w:tcW w:w="2014" w:type="dxa"/>
            <w:shd w:val="clear" w:color="auto" w:fill="FFFFFF" w:themeFill="background1"/>
            <w:vAlign w:val="center"/>
          </w:tcPr>
          <w:p w14:paraId="41C3F0ED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4FE92F6" w14:textId="77BEB4E5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5589933" w14:textId="3954C286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32F9E4FD" w14:textId="4E275660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37D27EE0" w14:textId="7BAE8D68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215A1D5C" w14:textId="3ADE857A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9251EED" w14:textId="76C2BE57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40202F08" w14:textId="1A0046E9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2DB923F1" w14:textId="5546A8A1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32A4ACD1" w14:textId="724E9BBA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7286A6B7" w14:textId="0EFDC7F3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29270F61" w14:textId="76A7A038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5EBCC201" w14:textId="17E0C622" w:rsidR="00441517" w:rsidRPr="0018499F" w:rsidRDefault="00B63774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820</w:t>
            </w:r>
          </w:p>
        </w:tc>
      </w:tr>
      <w:tr w:rsidR="00B84824" w:rsidRPr="008B4FE6" w14:paraId="6B73361B" w14:textId="77777777" w:rsidTr="00095D31">
        <w:trPr>
          <w:trHeight w:val="330"/>
        </w:trPr>
        <w:tc>
          <w:tcPr>
            <w:tcW w:w="2014" w:type="dxa"/>
            <w:shd w:val="clear" w:color="auto" w:fill="FFFFFF" w:themeFill="background1"/>
            <w:vAlign w:val="center"/>
          </w:tcPr>
          <w:p w14:paraId="2B775A8D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CD98CC5" w14:textId="36F00496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60FA2839" w14:textId="056126FB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77E5F78F" w14:textId="3E82C38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4C571585" w14:textId="5FBD867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43E170CC" w14:textId="7D345E5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3AB12803" w14:textId="6F7170C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3958D621" w14:textId="2891C62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201B7E11" w14:textId="710D7786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9C00FFE" w14:textId="5D505A9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3832577E" w14:textId="5CA2D1E1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27D31648" w14:textId="08CCAB35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6BD3C690" w14:textId="7236041D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0B27E65F" w14:textId="77777777" w:rsidTr="00095D31">
        <w:trPr>
          <w:trHeight w:val="351"/>
        </w:trPr>
        <w:tc>
          <w:tcPr>
            <w:tcW w:w="2014" w:type="dxa"/>
            <w:shd w:val="clear" w:color="auto" w:fill="FFFFFF" w:themeFill="background1"/>
            <w:vAlign w:val="center"/>
          </w:tcPr>
          <w:p w14:paraId="3DEFA571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2DAAAECD" w14:textId="1912CD2A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800C4A5" w14:textId="46FEA0E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20849D13" w14:textId="401B65A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1A8A9F0C" w14:textId="1FA6BB4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3044B3A" w14:textId="019ED8B7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66C6CEED" w14:textId="1E9FF9E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3FD58A6" w14:textId="0FE484BA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93ED07D" w14:textId="2A6C69CF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9D132BC" w14:textId="2A9F5D9F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499442A5" w14:textId="663C39AC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26FB1165" w14:textId="2ED0C58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15560013" w14:textId="1D48B2D1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3E7FFB28" w14:textId="77777777" w:rsidTr="00095D31">
        <w:trPr>
          <w:trHeight w:val="351"/>
        </w:trPr>
        <w:tc>
          <w:tcPr>
            <w:tcW w:w="2014" w:type="dxa"/>
            <w:shd w:val="clear" w:color="auto" w:fill="FFFFFF" w:themeFill="background1"/>
            <w:vAlign w:val="center"/>
          </w:tcPr>
          <w:p w14:paraId="14BD7C6B" w14:textId="5A04BF90" w:rsidR="00301017" w:rsidRPr="0018499F" w:rsidRDefault="00301017" w:rsidP="0030101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8499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45ADE4B" w14:textId="6CC79FA6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6D0EAE22" w14:textId="41449618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673B506D" w14:textId="7F3EFB0B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69894C06" w14:textId="2E31DD84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33667A2" w14:textId="4A0BE8FE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69328971" w14:textId="45F64286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2CF9ADA" w14:textId="1362D7E3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01747F21" w14:textId="5200E4B3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6D3DD7F9" w14:textId="07527A94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78935421" w14:textId="02352130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790A0F9B" w14:textId="4B46E25D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CAD31A2" w14:textId="7966DEE7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301017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820</w:t>
            </w:r>
          </w:p>
        </w:tc>
      </w:tr>
      <w:tr w:rsidR="00B84824" w:rsidRPr="008B4FE6" w14:paraId="5BEBBF79" w14:textId="77777777" w:rsidTr="00095D31">
        <w:trPr>
          <w:trHeight w:val="360"/>
        </w:trPr>
        <w:tc>
          <w:tcPr>
            <w:tcW w:w="2014" w:type="dxa"/>
            <w:shd w:val="clear" w:color="auto" w:fill="FFFFFF" w:themeFill="background1"/>
            <w:vAlign w:val="center"/>
          </w:tcPr>
          <w:p w14:paraId="4ED30220" w14:textId="77777777" w:rsidR="00301017" w:rsidRPr="0018499F" w:rsidRDefault="00301017" w:rsidP="003010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005623D" w14:textId="7A8241F2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3996851E" w14:textId="7228CED5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5E7DAA43" w14:textId="2293AD34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15F9A86E" w14:textId="1668660E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25BF4081" w14:textId="3E1FE979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351A65B6" w14:textId="694C9E3F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0BCD095" w14:textId="3B5FC82E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69AB952" w14:textId="648F58C3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28C46CC9" w14:textId="6A4D18B0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128E2760" w14:textId="2AB90EB3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6462113F" w14:textId="1875BF0C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6124BEF" w14:textId="782EF6EA" w:rsidR="00301017" w:rsidRPr="00301017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820</w:t>
            </w:r>
          </w:p>
        </w:tc>
      </w:tr>
      <w:tr w:rsidR="00B84824" w:rsidRPr="008B4FE6" w14:paraId="17E80753" w14:textId="77777777" w:rsidTr="00095D31">
        <w:trPr>
          <w:trHeight w:val="360"/>
        </w:trPr>
        <w:tc>
          <w:tcPr>
            <w:tcW w:w="2014" w:type="dxa"/>
            <w:shd w:val="clear" w:color="auto" w:fill="FFFFFF" w:themeFill="background1"/>
            <w:vAlign w:val="center"/>
          </w:tcPr>
          <w:p w14:paraId="7E1D6BC1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49BBD368" w14:textId="56DBC48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45AA2635" w14:textId="17DFFF60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2B888889" w14:textId="5837E4CA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2FEABBF9" w14:textId="0489B822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B3A0EE1" w14:textId="17B3A53A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5D59BC42" w14:textId="79B609D6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69806BE" w14:textId="52DCBF5F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21478DE7" w14:textId="054A83B0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11B9974" w14:textId="2A758BE8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2ADADC5F" w14:textId="5FEEBD9B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110EC3E5" w14:textId="3F73AB1F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2BB54F90" w14:textId="5D75E706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4B4572E8" w14:textId="77777777" w:rsidTr="00095D31">
        <w:trPr>
          <w:trHeight w:val="357"/>
        </w:trPr>
        <w:tc>
          <w:tcPr>
            <w:tcW w:w="2014" w:type="dxa"/>
            <w:shd w:val="clear" w:color="auto" w:fill="FFFFFF" w:themeFill="background1"/>
            <w:vAlign w:val="center"/>
          </w:tcPr>
          <w:p w14:paraId="3B6DC8B4" w14:textId="77777777" w:rsidR="00441517" w:rsidRPr="0018499F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DB97B27" w14:textId="48724A91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4FB6783C" w14:textId="0E715560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262F7362" w14:textId="65319D8A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056A4B6D" w14:textId="2C9180BA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9DC3963" w14:textId="6DD645EB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70926BEB" w14:textId="0A7FDDDD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3C431839" w14:textId="4F7C5B5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505144D" w14:textId="73A8EB3B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5EE8C6C1" w14:textId="090429A4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231DD2D3" w14:textId="3BEF5ACE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6D7E1A0B" w14:textId="53788839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6EA1A1F5" w14:textId="0F2CBA9B" w:rsidR="00441517" w:rsidRPr="0018499F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4824" w:rsidRPr="008B4FE6" w14:paraId="05A89CC8" w14:textId="77777777" w:rsidTr="00095D31">
        <w:trPr>
          <w:trHeight w:val="357"/>
        </w:trPr>
        <w:tc>
          <w:tcPr>
            <w:tcW w:w="2014" w:type="dxa"/>
            <w:shd w:val="clear" w:color="auto" w:fill="FFFFFF" w:themeFill="background1"/>
            <w:vAlign w:val="center"/>
          </w:tcPr>
          <w:p w14:paraId="425600ED" w14:textId="04447559" w:rsidR="00301017" w:rsidRPr="0018499F" w:rsidRDefault="00301017" w:rsidP="00301017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786E6B59" w14:textId="560364E9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8499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3F191AB6" w14:textId="5B431D21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14:paraId="412288D1" w14:textId="38C156B4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64E78574" w14:textId="6C27F774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20F79094" w14:textId="544D0298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547244A6" w14:textId="296958F6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3EC067B3" w14:textId="4986A3BE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76571E3B" w14:textId="4D4489B6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 w14:paraId="072FC655" w14:textId="5963F537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4ED858F6" w14:textId="6AC3209C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14:paraId="7CC284F1" w14:textId="5AC6F482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0785F8DD" w14:textId="1D9F1863" w:rsidR="00301017" w:rsidRPr="0018499F" w:rsidRDefault="00301017" w:rsidP="003010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820</w:t>
            </w:r>
          </w:p>
        </w:tc>
      </w:tr>
      <w:tr w:rsidR="00441517" w:rsidRPr="008B4FE6" w14:paraId="0C3D4237" w14:textId="77777777" w:rsidTr="00095D31">
        <w:trPr>
          <w:trHeight w:val="348"/>
        </w:trPr>
        <w:tc>
          <w:tcPr>
            <w:tcW w:w="2014" w:type="dxa"/>
            <w:shd w:val="clear" w:color="auto" w:fill="FFFFFF" w:themeFill="background1"/>
            <w:vAlign w:val="center"/>
          </w:tcPr>
          <w:p w14:paraId="3093616D" w14:textId="77777777" w:rsidR="00441517" w:rsidRPr="00C53F26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505" w:type="dxa"/>
            <w:gridSpan w:val="13"/>
            <w:shd w:val="clear" w:color="auto" w:fill="FFFFFF" w:themeFill="background1"/>
            <w:vAlign w:val="center"/>
          </w:tcPr>
          <w:p w14:paraId="70EEAFC8" w14:textId="6CF9E063" w:rsidR="003C3E2E" w:rsidRDefault="00441517" w:rsidP="003C3E2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2F24DF8E">
              <w:rPr>
                <w:rFonts w:ascii="Times New Roman" w:hAnsi="Times New Roman"/>
                <w:color w:val="000000" w:themeColor="text1"/>
              </w:rPr>
              <w:t xml:space="preserve">Projekt rozporządzenia nie będzie miał wpływu na budżet jednostek samorządu terytorialnego. </w:t>
            </w:r>
            <w:r w:rsidR="003C3E2E" w:rsidRPr="00E559DE">
              <w:rPr>
                <w:rFonts w:ascii="Times New Roman" w:hAnsi="Times New Roman"/>
              </w:rPr>
              <w:t>Środki finansowe zostaną pokryte z planu finansowego NFZ poz. B2</w:t>
            </w:r>
            <w:r w:rsidR="003C3E2E">
              <w:rPr>
                <w:rFonts w:ascii="Times New Roman" w:hAnsi="Times New Roman"/>
              </w:rPr>
              <w:t>.3.4</w:t>
            </w:r>
            <w:r w:rsidR="003C3E2E" w:rsidRPr="00E559DE">
              <w:rPr>
                <w:rFonts w:ascii="Times New Roman" w:hAnsi="Times New Roman"/>
              </w:rPr>
              <w:t xml:space="preserve"> – Koszty świadczeń opieki zdrowotnej </w:t>
            </w:r>
            <w:r w:rsidR="003C3E2E" w:rsidRPr="00985D67">
              <w:rPr>
                <w:rFonts w:ascii="Times New Roman" w:hAnsi="Times New Roman"/>
                <w:color w:val="000000" w:themeColor="text1"/>
              </w:rPr>
              <w:t>w ramach leczenia szpitalnego, w tym świadczenia wysokospecjalistyczne, o</w:t>
            </w:r>
            <w:r w:rsidR="00B052CE">
              <w:rPr>
                <w:rFonts w:ascii="Times New Roman" w:hAnsi="Times New Roman"/>
                <w:color w:val="000000" w:themeColor="text1"/>
              </w:rPr>
              <w:t> </w:t>
            </w:r>
            <w:r w:rsidR="003C3E2E" w:rsidRPr="00985D67">
              <w:rPr>
                <w:rFonts w:ascii="Times New Roman" w:hAnsi="Times New Roman"/>
                <w:color w:val="000000" w:themeColor="text1"/>
              </w:rPr>
              <w:t>których mowa w art. 48e ustawy z dnia 27 sierpnia 2004 r. o świadczeniach opieki zdrowotnej finansowanych ze środków publicznych.</w:t>
            </w:r>
          </w:p>
          <w:p w14:paraId="3AE55D68" w14:textId="46B6F9F5" w:rsidR="00441517" w:rsidRPr="00E548F0" w:rsidRDefault="003C3E2E" w:rsidP="00B848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E559DE">
              <w:rPr>
                <w:rFonts w:ascii="Times New Roman" w:hAnsi="Times New Roman"/>
              </w:rPr>
              <w:t xml:space="preserve">W przypadku braku w tej pozycji środków finansowych na zawarcie odpowiednich umów NFZ dokona modyfikacji planu finansowego (w ramach alokacji środków) zgodnie z przewidzianą </w:t>
            </w:r>
            <w:r w:rsidRPr="00E559DE">
              <w:rPr>
                <w:rFonts w:ascii="Times New Roman" w:hAnsi="Times New Roman"/>
              </w:rPr>
              <w:lastRenderedPageBreak/>
              <w:t>dla tego procedurą po analizie planowanego wykonania i niewykonania środków z innych pozycji planu finansowego.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41517" w:rsidRPr="008B4FE6" w14:paraId="3C9C9F2A" w14:textId="77777777" w:rsidTr="00095D31">
        <w:trPr>
          <w:trHeight w:val="821"/>
        </w:trPr>
        <w:tc>
          <w:tcPr>
            <w:tcW w:w="2014" w:type="dxa"/>
            <w:shd w:val="clear" w:color="auto" w:fill="FFFFFF" w:themeFill="background1"/>
          </w:tcPr>
          <w:p w14:paraId="2521ECE2" w14:textId="77777777" w:rsidR="00441517" w:rsidRPr="00C53F26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505" w:type="dxa"/>
            <w:gridSpan w:val="13"/>
            <w:shd w:val="clear" w:color="auto" w:fill="FFFFFF" w:themeFill="background1"/>
          </w:tcPr>
          <w:p w14:paraId="4F5C2773" w14:textId="77777777" w:rsidR="00D25893" w:rsidRPr="00CE46DE" w:rsidRDefault="00441517" w:rsidP="00246F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46DE">
              <w:rPr>
                <w:rFonts w:ascii="Times New Roman" w:hAnsi="Times New Roman"/>
                <w:color w:val="000000" w:themeColor="text1"/>
              </w:rPr>
              <w:t xml:space="preserve">Szacuje się, że niezbędne będzie zabezpieczenie środków w wysokości ok. </w:t>
            </w:r>
            <w:r w:rsidR="00E40884" w:rsidRPr="00CE46DE">
              <w:rPr>
                <w:rFonts w:ascii="Times New Roman" w:hAnsi="Times New Roman"/>
                <w:color w:val="000000" w:themeColor="text1"/>
              </w:rPr>
              <w:t>82</w:t>
            </w:r>
            <w:r w:rsidRPr="00CE46DE">
              <w:rPr>
                <w:rFonts w:ascii="Times New Roman" w:hAnsi="Times New Roman"/>
                <w:color w:val="000000" w:themeColor="text1"/>
              </w:rPr>
              <w:t xml:space="preserve"> mln PL</w:t>
            </w:r>
            <w:r w:rsidR="00E40884" w:rsidRPr="00CE46DE">
              <w:rPr>
                <w:rFonts w:ascii="Times New Roman" w:hAnsi="Times New Roman"/>
                <w:color w:val="000000" w:themeColor="text1"/>
              </w:rPr>
              <w:t xml:space="preserve">N. </w:t>
            </w:r>
          </w:p>
          <w:p w14:paraId="48F53AB1" w14:textId="18A0E231" w:rsidR="00441517" w:rsidRPr="00CE46DE" w:rsidRDefault="00D25893" w:rsidP="00246F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46DE">
              <w:rPr>
                <w:rFonts w:ascii="Times New Roman" w:hAnsi="Times New Roman"/>
                <w:color w:val="000000" w:themeColor="text1"/>
              </w:rPr>
              <w:t>Do analizy szacunkowego kosztu wprowadzenia świadczenia przyjęto dane w Raporcie Agencji Oceny Technologii Medycznych i Taryfikacji nr: WS.420.4.2021 z dn. 23</w:t>
            </w:r>
            <w:r w:rsidR="00590557">
              <w:rPr>
                <w:rFonts w:ascii="Times New Roman" w:hAnsi="Times New Roman"/>
                <w:color w:val="000000" w:themeColor="text1"/>
              </w:rPr>
              <w:t xml:space="preserve"> lutego </w:t>
            </w:r>
            <w:r w:rsidRPr="00CE46DE">
              <w:rPr>
                <w:rFonts w:ascii="Times New Roman" w:hAnsi="Times New Roman"/>
                <w:color w:val="000000" w:themeColor="text1"/>
              </w:rPr>
              <w:t>2022</w:t>
            </w:r>
            <w:r w:rsidR="004A57F9">
              <w:rPr>
                <w:rFonts w:ascii="Times New Roman" w:hAnsi="Times New Roman"/>
                <w:color w:val="000000" w:themeColor="text1"/>
              </w:rPr>
              <w:t> </w:t>
            </w:r>
            <w:r w:rsidRPr="00CE46DE">
              <w:rPr>
                <w:rFonts w:ascii="Times New Roman" w:hAnsi="Times New Roman"/>
                <w:color w:val="000000" w:themeColor="text1"/>
              </w:rPr>
              <w:t xml:space="preserve">r., </w:t>
            </w:r>
            <w:r w:rsidR="00246F82" w:rsidRPr="00CE46DE">
              <w:rPr>
                <w:rFonts w:ascii="Times New Roman" w:hAnsi="Times New Roman"/>
                <w:color w:val="000000" w:themeColor="text1"/>
              </w:rPr>
              <w:t>„</w:t>
            </w:r>
            <w:r w:rsidRPr="00CE46DE">
              <w:rPr>
                <w:rFonts w:ascii="Times New Roman" w:hAnsi="Times New Roman"/>
                <w:color w:val="000000" w:themeColor="text1"/>
              </w:rPr>
              <w:t>Mechaniczne wspomaganie serca pompą wspomagającą lewą komorę serca u</w:t>
            </w:r>
            <w:r w:rsidR="004A57F9">
              <w:rPr>
                <w:rFonts w:ascii="Times New Roman" w:hAnsi="Times New Roman"/>
                <w:color w:val="000000" w:themeColor="text1"/>
              </w:rPr>
              <w:t> </w:t>
            </w:r>
            <w:r w:rsidRPr="00CE46DE">
              <w:rPr>
                <w:rFonts w:ascii="Times New Roman" w:hAnsi="Times New Roman"/>
                <w:color w:val="000000" w:themeColor="text1"/>
              </w:rPr>
              <w:t>pacjentów z ciężką niewydolnością serca niekwalifikujących się do transplantacji serca jako terapia docelowa – w</w:t>
            </w:r>
            <w:r w:rsidR="00B052CE">
              <w:rPr>
                <w:rFonts w:ascii="Times New Roman" w:hAnsi="Times New Roman"/>
                <w:color w:val="000000" w:themeColor="text1"/>
              </w:rPr>
              <w:t> </w:t>
            </w:r>
            <w:r w:rsidRPr="00CE46DE">
              <w:rPr>
                <w:rFonts w:ascii="Times New Roman" w:hAnsi="Times New Roman"/>
                <w:color w:val="000000" w:themeColor="text1"/>
              </w:rPr>
              <w:t>ramach leczenia szpitalnego</w:t>
            </w:r>
            <w:r w:rsidR="00246F82" w:rsidRPr="00CE46DE">
              <w:rPr>
                <w:rFonts w:ascii="Times New Roman" w:hAnsi="Times New Roman"/>
                <w:color w:val="000000" w:themeColor="text1"/>
              </w:rPr>
              <w:t>”</w:t>
            </w:r>
            <w:r w:rsidRPr="00CE46DE">
              <w:rPr>
                <w:rFonts w:ascii="Times New Roman" w:hAnsi="Times New Roman"/>
                <w:color w:val="000000" w:themeColor="text1"/>
              </w:rPr>
              <w:t>, uaktualnione dla ceny wyrobu medycznego o kurs dolara z 7</w:t>
            </w:r>
            <w:r w:rsidR="00363DD3">
              <w:rPr>
                <w:rFonts w:ascii="Times New Roman" w:hAnsi="Times New Roman"/>
                <w:color w:val="000000" w:themeColor="text1"/>
              </w:rPr>
              <w:t xml:space="preserve"> lipca </w:t>
            </w:r>
            <w:r w:rsidRPr="00CE46DE">
              <w:rPr>
                <w:rFonts w:ascii="Times New Roman" w:hAnsi="Times New Roman"/>
                <w:color w:val="000000" w:themeColor="text1"/>
              </w:rPr>
              <w:t>2023 r.</w:t>
            </w:r>
          </w:p>
          <w:p w14:paraId="670B6E8A" w14:textId="67BE3DB6" w:rsidR="00D25893" w:rsidRPr="00D25893" w:rsidRDefault="00D25893" w:rsidP="00246F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Ponadto, do analizy przyjęto szacunkową liczbę populacji 175 pacjentów</w:t>
            </w:r>
            <w:r w:rsidR="00246F8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</w:t>
            </w:r>
            <w:r w:rsidR="00246F8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</w:r>
            <w:r w:rsidR="00246F82" w:rsidRPr="00D82D13">
              <w:rPr>
                <w:rFonts w:ascii="Times New Roman" w:hAnsi="Times New Roman"/>
                <w:lang w:eastAsia="pl-PL"/>
              </w:rPr>
              <w:t>Na ich podstawie oszacowano, że</w:t>
            </w:r>
            <w:r w:rsidR="00246F82">
              <w:rPr>
                <w:rFonts w:ascii="Times New Roman" w:hAnsi="Times New Roman"/>
                <w:lang w:eastAsia="pl-PL"/>
              </w:rPr>
              <w:t xml:space="preserve"> koszt wejścia w życie przedmiotowego świadczenia wyniesie 82 mln PLN rocznie. </w:t>
            </w:r>
          </w:p>
        </w:tc>
      </w:tr>
      <w:tr w:rsidR="00441517" w:rsidRPr="008B4FE6" w14:paraId="235487F2" w14:textId="77777777" w:rsidTr="00444375">
        <w:trPr>
          <w:trHeight w:val="345"/>
        </w:trPr>
        <w:tc>
          <w:tcPr>
            <w:tcW w:w="10519" w:type="dxa"/>
            <w:gridSpan w:val="14"/>
            <w:shd w:val="clear" w:color="auto" w:fill="99CCFF"/>
          </w:tcPr>
          <w:p w14:paraId="5F92F1D6" w14:textId="77777777" w:rsidR="00441517" w:rsidRPr="008B4FE6" w:rsidRDefault="00441517" w:rsidP="0044151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441517" w:rsidRPr="008B4FE6" w14:paraId="1EBB0673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FFFFFF" w:themeFill="background1"/>
          </w:tcPr>
          <w:p w14:paraId="7CF00349" w14:textId="77777777" w:rsidR="00441517" w:rsidRPr="00301959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444375" w:rsidRPr="008B4FE6" w14:paraId="5BDE0964" w14:textId="77777777" w:rsidTr="00444375">
        <w:trPr>
          <w:trHeight w:val="142"/>
        </w:trPr>
        <w:tc>
          <w:tcPr>
            <w:tcW w:w="3520" w:type="dxa"/>
            <w:gridSpan w:val="3"/>
            <w:shd w:val="clear" w:color="auto" w:fill="FFFFFF" w:themeFill="background1"/>
          </w:tcPr>
          <w:p w14:paraId="07F3383B" w14:textId="77777777" w:rsidR="00441517" w:rsidRPr="00B84824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586" w:type="dxa"/>
            <w:shd w:val="clear" w:color="auto" w:fill="FFFFFF" w:themeFill="background1"/>
          </w:tcPr>
          <w:p w14:paraId="18C0E9BB" w14:textId="77777777" w:rsidR="00441517" w:rsidRPr="00301959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14:paraId="3BD36A8C" w14:textId="77777777" w:rsidR="00441517" w:rsidRPr="00301959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7" w:type="dxa"/>
            <w:gridSpan w:val="2"/>
            <w:shd w:val="clear" w:color="auto" w:fill="FFFFFF" w:themeFill="background1"/>
          </w:tcPr>
          <w:p w14:paraId="38AB5EDE" w14:textId="77777777" w:rsidR="00441517" w:rsidRPr="00301959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5" w:type="dxa"/>
            <w:shd w:val="clear" w:color="auto" w:fill="FFFFFF" w:themeFill="background1"/>
          </w:tcPr>
          <w:p w14:paraId="2163349B" w14:textId="77777777" w:rsidR="00441517" w:rsidRPr="00301959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5" w:type="dxa"/>
            <w:shd w:val="clear" w:color="auto" w:fill="FFFFFF" w:themeFill="background1"/>
          </w:tcPr>
          <w:p w14:paraId="75E5DC7F" w14:textId="77777777" w:rsidR="00441517" w:rsidRPr="00301959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5" w:type="dxa"/>
            <w:shd w:val="clear" w:color="auto" w:fill="FFFFFF" w:themeFill="background1"/>
          </w:tcPr>
          <w:p w14:paraId="0E48EB33" w14:textId="77777777" w:rsidR="00441517" w:rsidRPr="00301959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903" w:type="dxa"/>
            <w:gridSpan w:val="3"/>
            <w:shd w:val="clear" w:color="auto" w:fill="FFFFFF" w:themeFill="background1"/>
          </w:tcPr>
          <w:p w14:paraId="1E73CF22" w14:textId="77777777" w:rsidR="00441517" w:rsidRPr="001B346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444375" w:rsidRPr="008B4FE6" w14:paraId="52E4A73D" w14:textId="77777777" w:rsidTr="00095D31">
        <w:trPr>
          <w:trHeight w:val="195"/>
        </w:trPr>
        <w:tc>
          <w:tcPr>
            <w:tcW w:w="2014" w:type="dxa"/>
            <w:vMerge w:val="restart"/>
            <w:shd w:val="clear" w:color="auto" w:fill="FFFFFF" w:themeFill="background1"/>
          </w:tcPr>
          <w:p w14:paraId="701B2A73" w14:textId="77777777" w:rsidR="00441517" w:rsidRPr="00B84824" w:rsidRDefault="00441517" w:rsidP="00441517">
            <w:pPr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D3877E9" w14:textId="77777777" w:rsidR="00441517" w:rsidRPr="00B84824" w:rsidRDefault="00441517" w:rsidP="00441517">
            <w:pPr>
              <w:rPr>
                <w:rFonts w:ascii="Times New Roman" w:hAnsi="Times New Roman"/>
                <w:spacing w:val="-2"/>
              </w:rPr>
            </w:pPr>
            <w:r w:rsidRPr="00B8482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A5D027B" w14:textId="77777777" w:rsidR="00441517" w:rsidRPr="00B84824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3D35048C" w14:textId="77777777" w:rsidR="00441517" w:rsidRPr="00B84824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586" w:type="dxa"/>
            <w:shd w:val="clear" w:color="auto" w:fill="FFFFFF" w:themeFill="background1"/>
          </w:tcPr>
          <w:p w14:paraId="35FC3CDC" w14:textId="1371C17C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14:paraId="28B7A122" w14:textId="0E186CB8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</w:tcPr>
          <w:p w14:paraId="27AD6DB2" w14:textId="5A0F8AEF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4355FF0F" w14:textId="2151E697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5526C188" w14:textId="5E07FAAE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4ADB6B80" w14:textId="7328DE84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03" w:type="dxa"/>
            <w:gridSpan w:val="3"/>
            <w:shd w:val="clear" w:color="auto" w:fill="FFFFFF" w:themeFill="background1"/>
          </w:tcPr>
          <w:p w14:paraId="5EB7F952" w14:textId="01ED7115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44375" w:rsidRPr="008B4FE6" w14:paraId="6C0143CF" w14:textId="77777777" w:rsidTr="00095D31">
        <w:trPr>
          <w:trHeight w:val="142"/>
        </w:trPr>
        <w:tc>
          <w:tcPr>
            <w:tcW w:w="2014" w:type="dxa"/>
            <w:vMerge/>
          </w:tcPr>
          <w:p w14:paraId="28F0B0F1" w14:textId="77777777" w:rsidR="00441517" w:rsidRPr="00B84824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34C0E8F7" w14:textId="77777777" w:rsidR="00441517" w:rsidRPr="00B84824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586" w:type="dxa"/>
            <w:shd w:val="clear" w:color="auto" w:fill="FFFFFF" w:themeFill="background1"/>
          </w:tcPr>
          <w:p w14:paraId="67B61648" w14:textId="0D17E150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14:paraId="4F81BE18" w14:textId="682B73C2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</w:tcPr>
          <w:p w14:paraId="3F6674D0" w14:textId="6604C510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589C1E16" w14:textId="6008E16F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783B199D" w14:textId="4FBD4B5F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0E52A442" w14:textId="2C015281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03" w:type="dxa"/>
            <w:gridSpan w:val="3"/>
            <w:shd w:val="clear" w:color="auto" w:fill="FFFFFF" w:themeFill="background1"/>
          </w:tcPr>
          <w:p w14:paraId="13743426" w14:textId="49C6F448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444375" w:rsidRPr="008B4FE6" w14:paraId="473235B8" w14:textId="77777777" w:rsidTr="00095D31">
        <w:trPr>
          <w:trHeight w:val="142"/>
        </w:trPr>
        <w:tc>
          <w:tcPr>
            <w:tcW w:w="2014" w:type="dxa"/>
            <w:vMerge/>
          </w:tcPr>
          <w:p w14:paraId="07934A46" w14:textId="77777777" w:rsidR="00441517" w:rsidRPr="00B84824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38950C76" w14:textId="77777777" w:rsidR="00441517" w:rsidRPr="00B84824" w:rsidRDefault="00441517" w:rsidP="004415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86" w:type="dxa"/>
            <w:shd w:val="clear" w:color="auto" w:fill="FFFFFF" w:themeFill="background1"/>
          </w:tcPr>
          <w:p w14:paraId="490BEB13" w14:textId="70964AB1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8" w:type="dxa"/>
            <w:gridSpan w:val="2"/>
            <w:shd w:val="clear" w:color="auto" w:fill="FFFFFF" w:themeFill="background1"/>
          </w:tcPr>
          <w:p w14:paraId="69461A6E" w14:textId="50BC4EA7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7" w:type="dxa"/>
            <w:gridSpan w:val="2"/>
            <w:shd w:val="clear" w:color="auto" w:fill="FFFFFF" w:themeFill="background1"/>
          </w:tcPr>
          <w:p w14:paraId="4170E8B2" w14:textId="63223B4D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239BBC5F" w14:textId="3349E29F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28965BD5" w14:textId="3487CBF3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85" w:type="dxa"/>
            <w:shd w:val="clear" w:color="auto" w:fill="FFFFFF" w:themeFill="background1"/>
          </w:tcPr>
          <w:p w14:paraId="2B4DD39F" w14:textId="58A7E91D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03" w:type="dxa"/>
            <w:gridSpan w:val="3"/>
            <w:shd w:val="clear" w:color="auto" w:fill="FFFFFF" w:themeFill="background1"/>
          </w:tcPr>
          <w:p w14:paraId="63BC3B0C" w14:textId="3CA6F472" w:rsidR="00441517" w:rsidRPr="00B37C80" w:rsidRDefault="00441517" w:rsidP="0044151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C3E2E" w:rsidRPr="008B4FE6" w14:paraId="049992F6" w14:textId="77777777" w:rsidTr="00095D31">
        <w:trPr>
          <w:trHeight w:val="142"/>
        </w:trPr>
        <w:tc>
          <w:tcPr>
            <w:tcW w:w="2014" w:type="dxa"/>
            <w:vMerge w:val="restart"/>
            <w:shd w:val="clear" w:color="auto" w:fill="FFFFFF" w:themeFill="background1"/>
          </w:tcPr>
          <w:p w14:paraId="427A6B23" w14:textId="77777777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6D6CFC0C" w14:textId="77777777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99" w:type="dxa"/>
            <w:gridSpan w:val="11"/>
            <w:shd w:val="clear" w:color="auto" w:fill="FFFFFF" w:themeFill="background1"/>
          </w:tcPr>
          <w:p w14:paraId="090E4C80" w14:textId="1F3F850F" w:rsidR="003C3E2E" w:rsidRPr="00856A47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D527A0">
              <w:rPr>
                <w:rFonts w:ascii="Times New Roman" w:hAnsi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/>
                <w:spacing w:val="-2"/>
                <w:szCs w:val="21"/>
              </w:rPr>
              <w:t xml:space="preserve">   </w:t>
            </w:r>
          </w:p>
        </w:tc>
      </w:tr>
      <w:tr w:rsidR="003C3E2E" w:rsidRPr="008B4FE6" w14:paraId="0F7F4D1F" w14:textId="77777777" w:rsidTr="00095D31">
        <w:trPr>
          <w:trHeight w:val="1569"/>
        </w:trPr>
        <w:tc>
          <w:tcPr>
            <w:tcW w:w="2014" w:type="dxa"/>
            <w:vMerge/>
          </w:tcPr>
          <w:p w14:paraId="12A78D49" w14:textId="77777777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40E3D98D" w14:textId="21B5A6C0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 xml:space="preserve">sektor mikro-, małych </w:t>
            </w:r>
            <w:r w:rsidRPr="00B84824">
              <w:rPr>
                <w:rFonts w:ascii="Times New Roman" w:hAnsi="Times New Roman"/>
                <w:color w:val="000000"/>
              </w:rPr>
              <w:br/>
              <w:t>i średnich przedsiębiorstw</w:t>
            </w:r>
          </w:p>
        </w:tc>
        <w:tc>
          <w:tcPr>
            <w:tcW w:w="6999" w:type="dxa"/>
            <w:gridSpan w:val="11"/>
            <w:shd w:val="clear" w:color="auto" w:fill="FFFFFF" w:themeFill="background1"/>
          </w:tcPr>
          <w:p w14:paraId="001DBA43" w14:textId="5B7C7948" w:rsidR="003C3E2E" w:rsidRPr="006C5F28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527A0">
              <w:rPr>
                <w:rFonts w:ascii="Times New Roman" w:hAnsi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</w:rPr>
              <w:t>nie ma wpływu na działalność mikro-, małych i</w:t>
            </w:r>
            <w:r w:rsidR="00B052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średnich przedsiębiorstw.</w:t>
            </w:r>
          </w:p>
        </w:tc>
      </w:tr>
      <w:tr w:rsidR="003C3E2E" w:rsidRPr="008B4FE6" w14:paraId="25A1CE8C" w14:textId="77777777" w:rsidTr="00095D31">
        <w:trPr>
          <w:trHeight w:val="596"/>
        </w:trPr>
        <w:tc>
          <w:tcPr>
            <w:tcW w:w="2014" w:type="dxa"/>
            <w:vMerge/>
          </w:tcPr>
          <w:p w14:paraId="21BE5B42" w14:textId="77777777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1EBFAF47" w14:textId="77777777" w:rsidR="003C3E2E" w:rsidRPr="00B84824" w:rsidRDefault="003C3E2E" w:rsidP="003C3E2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</w:rPr>
              <w:t>rodzina, obywatele oraz gospodarstwa domowe</w:t>
            </w:r>
            <w:r w:rsidRPr="00B8482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99" w:type="dxa"/>
            <w:gridSpan w:val="11"/>
            <w:shd w:val="clear" w:color="auto" w:fill="FFFFFF" w:themeFill="background1"/>
          </w:tcPr>
          <w:p w14:paraId="41C7E386" w14:textId="77777777" w:rsidR="003C3E2E" w:rsidRPr="00B84824" w:rsidRDefault="003C3E2E" w:rsidP="003C3E2E">
            <w:p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  <w:szCs w:val="21"/>
              </w:rPr>
            </w:pPr>
            <w:r w:rsidRPr="00B84824">
              <w:rPr>
                <w:rFonts w:ascii="Times New Roman" w:eastAsiaTheme="minorHAnsi" w:hAnsi="Times New Roman"/>
                <w:spacing w:val="-2"/>
                <w:szCs w:val="21"/>
              </w:rPr>
              <w:t xml:space="preserve">Projekt rozporządzenia będzie miał pozytywny wpływ na rodziny, obywateli </w:t>
            </w:r>
          </w:p>
          <w:p w14:paraId="1B48B86C" w14:textId="50CACA26" w:rsidR="003C3E2E" w:rsidRPr="00B84824" w:rsidRDefault="003C3E2E" w:rsidP="003C3E2E">
            <w:p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  <w:szCs w:val="21"/>
              </w:rPr>
            </w:pPr>
            <w:r w:rsidRPr="00B84824">
              <w:rPr>
                <w:rFonts w:ascii="Times New Roman" w:eastAsiaTheme="minorHAnsi" w:hAnsi="Times New Roman"/>
                <w:spacing w:val="-2"/>
                <w:szCs w:val="21"/>
              </w:rPr>
              <w:t xml:space="preserve">i gospodarstwa domowe – zwiększy dostęp do świadczenia: Mechaniczne wspomaganie serca pompą wspomagającą lewą komorę serca u pacjentów </w:t>
            </w:r>
            <w:r w:rsidRPr="00B84824">
              <w:rPr>
                <w:rFonts w:ascii="Times New Roman" w:eastAsiaTheme="minorHAnsi" w:hAnsi="Times New Roman"/>
                <w:spacing w:val="-2"/>
                <w:szCs w:val="21"/>
              </w:rPr>
              <w:br/>
              <w:t>z ciężką niewydolnością serca niekwalifikujących się do transplantacji serca</w:t>
            </w:r>
          </w:p>
          <w:p w14:paraId="3AB3FA9B" w14:textId="148158D2" w:rsidR="003C3E2E" w:rsidRPr="00B84824" w:rsidRDefault="003C3E2E" w:rsidP="003C3E2E">
            <w:pPr>
              <w:spacing w:line="240" w:lineRule="auto"/>
              <w:jc w:val="both"/>
              <w:rPr>
                <w:rFonts w:ascii="Times New Roman" w:eastAsiaTheme="minorHAnsi" w:hAnsi="Times New Roman"/>
                <w:spacing w:val="-2"/>
                <w:szCs w:val="21"/>
              </w:rPr>
            </w:pPr>
            <w:r w:rsidRPr="00B84824">
              <w:rPr>
                <w:rFonts w:ascii="Times New Roman" w:eastAsiaTheme="minorHAnsi" w:hAnsi="Times New Roman"/>
                <w:spacing w:val="-2"/>
                <w:szCs w:val="21"/>
              </w:rPr>
              <w:t>jako terapia docelowa.</w:t>
            </w:r>
          </w:p>
        </w:tc>
      </w:tr>
      <w:tr w:rsidR="003C3E2E" w:rsidRPr="008B4FE6" w14:paraId="3CF17C7D" w14:textId="77777777" w:rsidTr="00095D31">
        <w:trPr>
          <w:trHeight w:val="240"/>
        </w:trPr>
        <w:tc>
          <w:tcPr>
            <w:tcW w:w="2014" w:type="dxa"/>
            <w:vMerge/>
          </w:tcPr>
          <w:p w14:paraId="4B7D9A37" w14:textId="77777777" w:rsidR="003C3E2E" w:rsidRPr="00301959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2C920327" w14:textId="5F382197" w:rsidR="003C3E2E" w:rsidRPr="00B84824" w:rsidRDefault="003C3E2E" w:rsidP="003C3E2E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B84824">
              <w:rPr>
                <w:rFonts w:ascii="Times New Roman" w:hAnsi="Times New Roman"/>
              </w:rPr>
              <w:t xml:space="preserve">osoby starsze </w:t>
            </w:r>
            <w:r w:rsidRPr="00B84824">
              <w:rPr>
                <w:rFonts w:ascii="Times New Roman" w:hAnsi="Times New Roman"/>
              </w:rPr>
              <w:br/>
              <w:t>i niepełnosprawne</w:t>
            </w:r>
          </w:p>
        </w:tc>
        <w:tc>
          <w:tcPr>
            <w:tcW w:w="6999" w:type="dxa"/>
            <w:gridSpan w:val="11"/>
            <w:shd w:val="clear" w:color="auto" w:fill="FFFFFF" w:themeFill="background1"/>
          </w:tcPr>
          <w:p w14:paraId="788FBA78" w14:textId="67AA2B2B" w:rsidR="003C3E2E" w:rsidRPr="00B84824" w:rsidRDefault="003C3E2E" w:rsidP="00B8482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84824">
              <w:rPr>
                <w:rFonts w:ascii="Times New Roman" w:eastAsiaTheme="minorHAnsi" w:hAnsi="Times New Roman"/>
                <w:spacing w:val="-2"/>
                <w:szCs w:val="21"/>
              </w:rPr>
              <w:t>Przedmiotowa regulacja będzie zapewniać osobom niepełnosprawnym i</w:t>
            </w:r>
            <w:r>
              <w:rPr>
                <w:rFonts w:ascii="Times New Roman" w:eastAsiaTheme="minorHAnsi" w:hAnsi="Times New Roman"/>
                <w:spacing w:val="-2"/>
                <w:szCs w:val="21"/>
              </w:rPr>
              <w:t> </w:t>
            </w:r>
            <w:r w:rsidRPr="00B84824">
              <w:rPr>
                <w:rFonts w:ascii="Times New Roman" w:eastAsiaTheme="minorHAnsi" w:hAnsi="Times New Roman"/>
                <w:spacing w:val="-2"/>
                <w:szCs w:val="21"/>
              </w:rPr>
              <w:t>osobom starszym na zasadach identycznych jak dla innych obywateli dostęp do świadczenia, przy czym maksymalny wiek pacjentów kwalifikowanych do przedmiotowego świadczenia to 70 lat.</w:t>
            </w:r>
          </w:p>
        </w:tc>
      </w:tr>
      <w:tr w:rsidR="003C3E2E" w:rsidRPr="008B4FE6" w14:paraId="55F3D001" w14:textId="77777777" w:rsidTr="00095D31">
        <w:trPr>
          <w:trHeight w:val="142"/>
        </w:trPr>
        <w:tc>
          <w:tcPr>
            <w:tcW w:w="2014" w:type="dxa"/>
            <w:shd w:val="clear" w:color="auto" w:fill="FFFFFF" w:themeFill="background1"/>
          </w:tcPr>
          <w:p w14:paraId="17419AA9" w14:textId="77777777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4AD6F14D" w14:textId="1802C549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999" w:type="dxa"/>
            <w:gridSpan w:val="11"/>
            <w:shd w:val="clear" w:color="auto" w:fill="FFFFFF" w:themeFill="background1"/>
          </w:tcPr>
          <w:p w14:paraId="32F401BF" w14:textId="57BDA442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8482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C3E2E" w:rsidRPr="008B4FE6" w14:paraId="6DB94B51" w14:textId="77777777" w:rsidTr="00095D31">
        <w:trPr>
          <w:trHeight w:val="883"/>
        </w:trPr>
        <w:tc>
          <w:tcPr>
            <w:tcW w:w="2014" w:type="dxa"/>
            <w:shd w:val="clear" w:color="auto" w:fill="FFFFFF" w:themeFill="background1"/>
          </w:tcPr>
          <w:p w14:paraId="5DB02F77" w14:textId="77777777" w:rsidR="003C3E2E" w:rsidRPr="00B84824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505" w:type="dxa"/>
            <w:gridSpan w:val="13"/>
            <w:shd w:val="clear" w:color="auto" w:fill="FFFFFF" w:themeFill="background1"/>
            <w:vAlign w:val="center"/>
          </w:tcPr>
          <w:p w14:paraId="50CDE65A" w14:textId="2A6B1296" w:rsidR="003C3E2E" w:rsidRPr="00B84824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4824">
              <w:rPr>
                <w:rFonts w:ascii="Times New Roman" w:hAnsi="Times New Roman"/>
                <w:color w:val="000000"/>
              </w:rPr>
              <w:t>Nie dotyczy</w:t>
            </w:r>
          </w:p>
          <w:p w14:paraId="060AE8BC" w14:textId="77777777" w:rsidR="003C3E2E" w:rsidRPr="00B84824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B8F2632" w14:textId="77777777" w:rsidR="003C3E2E" w:rsidRPr="00B84824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E2E" w:rsidRPr="008B4FE6" w14:paraId="11FDFE28" w14:textId="77777777" w:rsidTr="00444375">
        <w:trPr>
          <w:trHeight w:val="131"/>
        </w:trPr>
        <w:tc>
          <w:tcPr>
            <w:tcW w:w="10519" w:type="dxa"/>
            <w:gridSpan w:val="14"/>
            <w:shd w:val="clear" w:color="auto" w:fill="99CCFF"/>
            <w:vAlign w:val="center"/>
          </w:tcPr>
          <w:p w14:paraId="788B45B4" w14:textId="77777777" w:rsidR="003C3E2E" w:rsidRPr="00B52537" w:rsidRDefault="003C3E2E" w:rsidP="003C3E2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2537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C3E2E" w:rsidRPr="008B4FE6" w14:paraId="61DF4C3D" w14:textId="77777777" w:rsidTr="00444375">
        <w:trPr>
          <w:trHeight w:val="151"/>
        </w:trPr>
        <w:tc>
          <w:tcPr>
            <w:tcW w:w="10519" w:type="dxa"/>
            <w:gridSpan w:val="14"/>
            <w:shd w:val="clear" w:color="auto" w:fill="FFFFFF" w:themeFill="background1"/>
          </w:tcPr>
          <w:p w14:paraId="580C106F" w14:textId="50A78D48" w:rsidR="003C3E2E" w:rsidRPr="00B52537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52537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C3E2E" w:rsidRPr="008B4FE6" w14:paraId="2BF692CC" w14:textId="77777777" w:rsidTr="00444375">
        <w:trPr>
          <w:trHeight w:val="946"/>
        </w:trPr>
        <w:tc>
          <w:tcPr>
            <w:tcW w:w="4691" w:type="dxa"/>
            <w:gridSpan w:val="5"/>
            <w:shd w:val="clear" w:color="auto" w:fill="FFFFFF" w:themeFill="background1"/>
          </w:tcPr>
          <w:p w14:paraId="4E7C98CD" w14:textId="77777777" w:rsidR="003C3E2E" w:rsidRDefault="003C3E2E" w:rsidP="003C3E2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8" w:type="dxa"/>
            <w:gridSpan w:val="9"/>
            <w:shd w:val="clear" w:color="auto" w:fill="FFFFFF" w:themeFill="background1"/>
          </w:tcPr>
          <w:p w14:paraId="1CFEC5BE" w14:textId="77777777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4F4D89F" w14:textId="77777777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0273A5A" w14:textId="3D574FAC" w:rsidR="003C3E2E" w:rsidRDefault="003C3E2E" w:rsidP="003C3E2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C3E2E" w:rsidRPr="008B4FE6" w14:paraId="51E2F156" w14:textId="77777777" w:rsidTr="00444375">
        <w:trPr>
          <w:trHeight w:val="1245"/>
        </w:trPr>
        <w:tc>
          <w:tcPr>
            <w:tcW w:w="4691" w:type="dxa"/>
            <w:gridSpan w:val="5"/>
            <w:shd w:val="clear" w:color="auto" w:fill="FFFFFF" w:themeFill="background1"/>
          </w:tcPr>
          <w:p w14:paraId="2D6A5894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3D4EFA5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AFA6A86" w14:textId="77777777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3D591DC" w14:textId="59983E44" w:rsidR="003C3E2E" w:rsidRPr="008B4FE6" w:rsidRDefault="003C3E2E" w:rsidP="003C3E2E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uporządkowanie i ujednolicenie dokumentacji</w:t>
            </w:r>
          </w:p>
        </w:tc>
        <w:tc>
          <w:tcPr>
            <w:tcW w:w="5828" w:type="dxa"/>
            <w:gridSpan w:val="9"/>
            <w:shd w:val="clear" w:color="auto" w:fill="FFFFFF" w:themeFill="background1"/>
          </w:tcPr>
          <w:p w14:paraId="63499670" w14:textId="7D55CF06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91D27B9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E89A04E" w14:textId="4099AD2A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0D7775F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50B69B3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3E2E" w:rsidRPr="008B4FE6" w14:paraId="0A8BD499" w14:textId="77777777" w:rsidTr="00444375">
        <w:trPr>
          <w:trHeight w:val="870"/>
        </w:trPr>
        <w:tc>
          <w:tcPr>
            <w:tcW w:w="4691" w:type="dxa"/>
            <w:gridSpan w:val="5"/>
            <w:shd w:val="clear" w:color="auto" w:fill="FFFFFF" w:themeFill="background1"/>
          </w:tcPr>
          <w:p w14:paraId="0A514D15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8" w:type="dxa"/>
            <w:gridSpan w:val="9"/>
            <w:shd w:val="clear" w:color="auto" w:fill="FFFFFF" w:themeFill="background1"/>
          </w:tcPr>
          <w:p w14:paraId="6C06D420" w14:textId="02B5092B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829AF">
              <w:rPr>
                <w:rFonts w:ascii="Times New Roman" w:hAnsi="Times New Roman"/>
                <w:color w:val="000000"/>
              </w:rPr>
              <w:t>tak</w:t>
            </w:r>
          </w:p>
          <w:p w14:paraId="5D04C3FD" w14:textId="77777777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DF9E33" w14:textId="33791FB2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FC4C37A" w14:textId="26E01C16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3E2E" w:rsidRPr="008B4FE6" w14:paraId="6CAE6206" w14:textId="77777777" w:rsidTr="00444375">
        <w:trPr>
          <w:trHeight w:val="630"/>
        </w:trPr>
        <w:tc>
          <w:tcPr>
            <w:tcW w:w="10519" w:type="dxa"/>
            <w:gridSpan w:val="14"/>
            <w:shd w:val="clear" w:color="auto" w:fill="FFFFFF" w:themeFill="background1"/>
          </w:tcPr>
          <w:p w14:paraId="2BDA319F" w14:textId="22D69406" w:rsidR="003C3E2E" w:rsidRPr="008B4FE6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brak.</w:t>
            </w:r>
          </w:p>
        </w:tc>
      </w:tr>
      <w:tr w:rsidR="003C3E2E" w:rsidRPr="008B4FE6" w14:paraId="2C04D5CD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99CCFF"/>
          </w:tcPr>
          <w:p w14:paraId="78F36208" w14:textId="77777777" w:rsidR="003C3E2E" w:rsidRPr="008B4FE6" w:rsidRDefault="003C3E2E" w:rsidP="003C3E2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C3E2E" w:rsidRPr="008B4FE6" w14:paraId="3A918EB2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auto"/>
          </w:tcPr>
          <w:p w14:paraId="7E70704F" w14:textId="7964CD94" w:rsidR="003C3E2E" w:rsidRPr="008B4FE6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52FA">
              <w:rPr>
                <w:rFonts w:ascii="Times New Roman" w:hAnsi="Times New Roman"/>
                <w:color w:val="000000"/>
              </w:rPr>
              <w:t>Proje</w:t>
            </w:r>
            <w:r>
              <w:rPr>
                <w:rFonts w:ascii="Times New Roman" w:hAnsi="Times New Roman"/>
                <w:color w:val="000000"/>
              </w:rPr>
              <w:t xml:space="preserve">ktowana regulacja będzie miała </w:t>
            </w:r>
            <w:r w:rsidRPr="00E952FA">
              <w:rPr>
                <w:rFonts w:ascii="Times New Roman" w:hAnsi="Times New Roman"/>
                <w:color w:val="000000"/>
              </w:rPr>
              <w:t xml:space="preserve">pośredni wpływ </w:t>
            </w:r>
            <w:r>
              <w:rPr>
                <w:rFonts w:ascii="Times New Roman" w:hAnsi="Times New Roman"/>
                <w:color w:val="000000"/>
              </w:rPr>
              <w:t xml:space="preserve">na rynek pracy przez wpływ </w:t>
            </w:r>
            <w:r w:rsidRPr="00E952FA">
              <w:rPr>
                <w:rFonts w:ascii="Times New Roman" w:hAnsi="Times New Roman"/>
                <w:color w:val="000000"/>
              </w:rPr>
              <w:t>na personel medyczny realizujący świadczeni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E952FA">
              <w:rPr>
                <w:rFonts w:ascii="Times New Roman" w:hAnsi="Times New Roman"/>
                <w:color w:val="000000"/>
              </w:rPr>
              <w:t>, który nabywa kompetencje w zakresie stosowania nowej metody terapeutycznej</w:t>
            </w:r>
            <w:r>
              <w:t xml:space="preserve"> </w:t>
            </w:r>
            <w:r w:rsidRPr="007D2AD2">
              <w:rPr>
                <w:rFonts w:ascii="Times New Roman" w:hAnsi="Times New Roman"/>
                <w:color w:val="000000"/>
              </w:rPr>
              <w:t>w określonym standardzie zapewniającym jakość i efektywność opieki przez co staje się bardziej konkurencyjny na rynku pracy.</w:t>
            </w:r>
          </w:p>
        </w:tc>
      </w:tr>
      <w:tr w:rsidR="003C3E2E" w:rsidRPr="008B4FE6" w14:paraId="38A6E7BF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99CCFF"/>
          </w:tcPr>
          <w:p w14:paraId="7D1C1036" w14:textId="77777777" w:rsidR="003C3E2E" w:rsidRPr="008B4FE6" w:rsidRDefault="003C3E2E" w:rsidP="003C3E2E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C3E2E" w:rsidRPr="008B4FE6" w14:paraId="45F7791F" w14:textId="77777777" w:rsidTr="00444375">
        <w:trPr>
          <w:trHeight w:val="1031"/>
        </w:trPr>
        <w:tc>
          <w:tcPr>
            <w:tcW w:w="2998" w:type="dxa"/>
            <w:gridSpan w:val="2"/>
            <w:shd w:val="clear" w:color="auto" w:fill="FFFFFF" w:themeFill="background1"/>
          </w:tcPr>
          <w:p w14:paraId="7615553D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B73F09C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9E2566F" w14:textId="77777777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B1A97EC" w14:textId="77777777" w:rsidR="003C3E2E" w:rsidRPr="00BF6667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2863" w:type="dxa"/>
            <w:gridSpan w:val="6"/>
            <w:shd w:val="clear" w:color="auto" w:fill="FFFFFF" w:themeFill="background1"/>
          </w:tcPr>
          <w:p w14:paraId="66430A08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E4B1D1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48681C2" w14:textId="77777777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772CB95A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658" w:type="dxa"/>
            <w:gridSpan w:val="6"/>
            <w:shd w:val="clear" w:color="auto" w:fill="FFFFFF" w:themeFill="background1"/>
          </w:tcPr>
          <w:p w14:paraId="09CFB5A6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2A66202" w14:textId="6A6A3D12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531FEAA" w14:textId="46E3EA55" w:rsidR="003C3E2E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2101F9">
              <w:rPr>
                <w:rFonts w:ascii="Times New Roman" w:hAnsi="Times New Roman"/>
                <w:color w:val="000000"/>
              </w:rPr>
            </w:r>
            <w:r w:rsidR="002101F9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  <w:p w14:paraId="229B96DE" w14:textId="14C8F1F6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C3E2E" w:rsidRPr="008B4FE6" w14:paraId="7F1CB3E4" w14:textId="77777777" w:rsidTr="00095D31">
        <w:trPr>
          <w:trHeight w:val="712"/>
        </w:trPr>
        <w:tc>
          <w:tcPr>
            <w:tcW w:w="2014" w:type="dxa"/>
            <w:shd w:val="clear" w:color="auto" w:fill="FFFFFF" w:themeFill="background1"/>
            <w:vAlign w:val="center"/>
          </w:tcPr>
          <w:p w14:paraId="41EE81A0" w14:textId="77777777" w:rsidR="003C3E2E" w:rsidRPr="008B4FE6" w:rsidRDefault="003C3E2E" w:rsidP="003C3E2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505" w:type="dxa"/>
            <w:gridSpan w:val="13"/>
            <w:shd w:val="clear" w:color="auto" w:fill="FFFFFF" w:themeFill="background1"/>
            <w:vAlign w:val="center"/>
          </w:tcPr>
          <w:p w14:paraId="4FBC1FCC" w14:textId="5BE99966" w:rsidR="003C3E2E" w:rsidRPr="008B4FE6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829AF">
              <w:rPr>
                <w:rFonts w:ascii="Times New Roman" w:hAnsi="Times New Roman"/>
              </w:rPr>
              <w:t>Poprawa zdrowia i wydłużenie życia pacjentów</w:t>
            </w:r>
            <w:r>
              <w:rPr>
                <w:rFonts w:ascii="Times New Roman" w:hAnsi="Times New Roman"/>
              </w:rPr>
              <w:t xml:space="preserve"> </w:t>
            </w:r>
            <w:r w:rsidRPr="007829AF">
              <w:rPr>
                <w:rFonts w:ascii="Times New Roman" w:hAnsi="Times New Roman"/>
                <w:color w:val="000000"/>
              </w:rPr>
              <w:t>z ciężką niewydolnością serca niekwalifikujących się do transplantacji serca.</w:t>
            </w:r>
          </w:p>
        </w:tc>
      </w:tr>
      <w:tr w:rsidR="003C3E2E" w:rsidRPr="008B4FE6" w14:paraId="04F79D74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99CCFF"/>
          </w:tcPr>
          <w:p w14:paraId="0B2E296B" w14:textId="77777777" w:rsidR="003C3E2E" w:rsidRPr="00627221" w:rsidRDefault="003C3E2E" w:rsidP="003C3E2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C3E2E" w:rsidRPr="008B4FE6" w14:paraId="1A2011E8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FFFFFF" w:themeFill="background1"/>
          </w:tcPr>
          <w:p w14:paraId="5FD21943" w14:textId="3F2BE5F0" w:rsidR="003C3E2E" w:rsidRPr="00B37C80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wejdzie</w:t>
            </w: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życie po upływie 14 dni od dnia 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3C3E2E" w:rsidRPr="008B4FE6" w14:paraId="69FCA7E8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99CCFF"/>
          </w:tcPr>
          <w:p w14:paraId="5B5BC0B4" w14:textId="77777777" w:rsidR="003C3E2E" w:rsidRPr="008B4FE6" w:rsidRDefault="003C3E2E" w:rsidP="003C3E2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C3E2E" w:rsidRPr="008B4FE6" w14:paraId="712383C9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FFFFFF" w:themeFill="background1"/>
          </w:tcPr>
          <w:p w14:paraId="13A9B8CE" w14:textId="233550EE" w:rsidR="003C3E2E" w:rsidRPr="00B37C80" w:rsidRDefault="003C3E2E" w:rsidP="003C3E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3C3E2E" w:rsidRPr="008B4FE6" w14:paraId="2754B8AA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99CCFF"/>
          </w:tcPr>
          <w:p w14:paraId="7A83A4C3" w14:textId="77777777" w:rsidR="003C3E2E" w:rsidRPr="008B4FE6" w:rsidRDefault="003C3E2E" w:rsidP="003C3E2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C3E2E" w:rsidRPr="008B4FE6" w14:paraId="3D5DB79F" w14:textId="77777777" w:rsidTr="00444375">
        <w:trPr>
          <w:trHeight w:val="142"/>
        </w:trPr>
        <w:tc>
          <w:tcPr>
            <w:tcW w:w="10519" w:type="dxa"/>
            <w:gridSpan w:val="14"/>
            <w:shd w:val="clear" w:color="auto" w:fill="FFFFFF" w:themeFill="background1"/>
          </w:tcPr>
          <w:p w14:paraId="2C7270CA" w14:textId="5C0A6A2B" w:rsidR="003C3E2E" w:rsidRPr="005D7C70" w:rsidRDefault="00DF07FE" w:rsidP="00B052CE">
            <w:pPr>
              <w:spacing w:before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Brak.</w:t>
            </w:r>
          </w:p>
        </w:tc>
      </w:tr>
    </w:tbl>
    <w:p w14:paraId="0BDEFEEF" w14:textId="54F295B9" w:rsidR="006176ED" w:rsidRPr="00522D94" w:rsidRDefault="009D0655" w:rsidP="00AA1C8C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3FCD" w14:textId="77777777" w:rsidR="000C098F" w:rsidRDefault="000C098F" w:rsidP="00044739">
      <w:pPr>
        <w:spacing w:line="240" w:lineRule="auto"/>
      </w:pPr>
      <w:r>
        <w:separator/>
      </w:r>
    </w:p>
  </w:endnote>
  <w:endnote w:type="continuationSeparator" w:id="0">
    <w:p w14:paraId="2720A6B3" w14:textId="77777777" w:rsidR="000C098F" w:rsidRDefault="000C098F" w:rsidP="00044739">
      <w:pPr>
        <w:spacing w:line="240" w:lineRule="auto"/>
      </w:pPr>
      <w:r>
        <w:continuationSeparator/>
      </w:r>
    </w:p>
  </w:endnote>
  <w:endnote w:type="continuationNotice" w:id="1">
    <w:p w14:paraId="0741DFFE" w14:textId="77777777" w:rsidR="000C098F" w:rsidRDefault="000C09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08D5" w14:textId="77777777" w:rsidR="000C098F" w:rsidRDefault="000C098F" w:rsidP="00044739">
      <w:pPr>
        <w:spacing w:line="240" w:lineRule="auto"/>
      </w:pPr>
      <w:r>
        <w:separator/>
      </w:r>
    </w:p>
  </w:footnote>
  <w:footnote w:type="continuationSeparator" w:id="0">
    <w:p w14:paraId="4A87D1EB" w14:textId="77777777" w:rsidR="000C098F" w:rsidRDefault="000C098F" w:rsidP="00044739">
      <w:pPr>
        <w:spacing w:line="240" w:lineRule="auto"/>
      </w:pPr>
      <w:r>
        <w:continuationSeparator/>
      </w:r>
    </w:p>
  </w:footnote>
  <w:footnote w:type="continuationNotice" w:id="1">
    <w:p w14:paraId="55F5DB51" w14:textId="77777777" w:rsidR="000C098F" w:rsidRDefault="000C098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0F4194F"/>
    <w:multiLevelType w:val="hybridMultilevel"/>
    <w:tmpl w:val="02084070"/>
    <w:lvl w:ilvl="0" w:tplc="72B2A464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365F0"/>
    <w:multiLevelType w:val="hybridMultilevel"/>
    <w:tmpl w:val="F6F0F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06136539">
    <w:abstractNumId w:val="3"/>
  </w:num>
  <w:num w:numId="2" w16cid:durableId="1591697454">
    <w:abstractNumId w:val="0"/>
  </w:num>
  <w:num w:numId="3" w16cid:durableId="1748571344">
    <w:abstractNumId w:val="8"/>
  </w:num>
  <w:num w:numId="4" w16cid:durableId="1950313455">
    <w:abstractNumId w:val="19"/>
  </w:num>
  <w:num w:numId="5" w16cid:durableId="1403527396">
    <w:abstractNumId w:val="1"/>
  </w:num>
  <w:num w:numId="6" w16cid:durableId="803961352">
    <w:abstractNumId w:val="7"/>
  </w:num>
  <w:num w:numId="7" w16cid:durableId="1513758537">
    <w:abstractNumId w:val="12"/>
  </w:num>
  <w:num w:numId="8" w16cid:durableId="2084132794">
    <w:abstractNumId w:val="4"/>
  </w:num>
  <w:num w:numId="9" w16cid:durableId="1525241419">
    <w:abstractNumId w:val="15"/>
  </w:num>
  <w:num w:numId="10" w16cid:durableId="277027633">
    <w:abstractNumId w:val="10"/>
  </w:num>
  <w:num w:numId="11" w16cid:durableId="1458337382">
    <w:abstractNumId w:val="14"/>
  </w:num>
  <w:num w:numId="12" w16cid:durableId="1675760324">
    <w:abstractNumId w:val="2"/>
  </w:num>
  <w:num w:numId="13" w16cid:durableId="2060667966">
    <w:abstractNumId w:val="9"/>
  </w:num>
  <w:num w:numId="14" w16cid:durableId="1815946060">
    <w:abstractNumId w:val="20"/>
  </w:num>
  <w:num w:numId="15" w16cid:durableId="253635244">
    <w:abstractNumId w:val="16"/>
  </w:num>
  <w:num w:numId="16" w16cid:durableId="905335282">
    <w:abstractNumId w:val="18"/>
  </w:num>
  <w:num w:numId="17" w16cid:durableId="151336665">
    <w:abstractNumId w:val="5"/>
  </w:num>
  <w:num w:numId="18" w16cid:durableId="836920373">
    <w:abstractNumId w:val="21"/>
  </w:num>
  <w:num w:numId="19" w16cid:durableId="1958368519">
    <w:abstractNumId w:val="22"/>
  </w:num>
  <w:num w:numId="20" w16cid:durableId="1284967590">
    <w:abstractNumId w:val="17"/>
  </w:num>
  <w:num w:numId="21" w16cid:durableId="435373602">
    <w:abstractNumId w:val="6"/>
  </w:num>
  <w:num w:numId="22" w16cid:durableId="1359157717">
    <w:abstractNumId w:val="13"/>
  </w:num>
  <w:num w:numId="23" w16cid:durableId="374815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68D"/>
    <w:rsid w:val="000008E5"/>
    <w:rsid w:val="000015EE"/>
    <w:rsid w:val="000022D5"/>
    <w:rsid w:val="00004C6A"/>
    <w:rsid w:val="00006A3A"/>
    <w:rsid w:val="000107EF"/>
    <w:rsid w:val="00012D11"/>
    <w:rsid w:val="00013EB5"/>
    <w:rsid w:val="00023836"/>
    <w:rsid w:val="000344F0"/>
    <w:rsid w:val="000356A9"/>
    <w:rsid w:val="00044138"/>
    <w:rsid w:val="00044739"/>
    <w:rsid w:val="00051637"/>
    <w:rsid w:val="000553D7"/>
    <w:rsid w:val="00056681"/>
    <w:rsid w:val="00057D06"/>
    <w:rsid w:val="000617BC"/>
    <w:rsid w:val="000639CE"/>
    <w:rsid w:val="000648A7"/>
    <w:rsid w:val="0006618B"/>
    <w:rsid w:val="000670C0"/>
    <w:rsid w:val="0007029A"/>
    <w:rsid w:val="00071B99"/>
    <w:rsid w:val="000756E5"/>
    <w:rsid w:val="0007704E"/>
    <w:rsid w:val="00080EC8"/>
    <w:rsid w:val="000815D3"/>
    <w:rsid w:val="00081CB1"/>
    <w:rsid w:val="00085A5B"/>
    <w:rsid w:val="000944AC"/>
    <w:rsid w:val="00094CB9"/>
    <w:rsid w:val="000956B2"/>
    <w:rsid w:val="00095D31"/>
    <w:rsid w:val="000969E7"/>
    <w:rsid w:val="000A23DE"/>
    <w:rsid w:val="000A4020"/>
    <w:rsid w:val="000B54FB"/>
    <w:rsid w:val="000B66A8"/>
    <w:rsid w:val="000B71C1"/>
    <w:rsid w:val="000C098F"/>
    <w:rsid w:val="000C29B0"/>
    <w:rsid w:val="000C4CDE"/>
    <w:rsid w:val="000C62C0"/>
    <w:rsid w:val="000C743D"/>
    <w:rsid w:val="000C76FC"/>
    <w:rsid w:val="000C77D6"/>
    <w:rsid w:val="000D0F34"/>
    <w:rsid w:val="000D38FC"/>
    <w:rsid w:val="000D4D90"/>
    <w:rsid w:val="000D642F"/>
    <w:rsid w:val="000E2D10"/>
    <w:rsid w:val="000F2722"/>
    <w:rsid w:val="000F3204"/>
    <w:rsid w:val="0010548B"/>
    <w:rsid w:val="001072D1"/>
    <w:rsid w:val="001105F8"/>
    <w:rsid w:val="0011520B"/>
    <w:rsid w:val="00117017"/>
    <w:rsid w:val="00121CC4"/>
    <w:rsid w:val="00126F70"/>
    <w:rsid w:val="00130E8E"/>
    <w:rsid w:val="0013216E"/>
    <w:rsid w:val="001345D5"/>
    <w:rsid w:val="0013620B"/>
    <w:rsid w:val="00137CEC"/>
    <w:rsid w:val="001401B5"/>
    <w:rsid w:val="001422B9"/>
    <w:rsid w:val="0014646C"/>
    <w:rsid w:val="0014665F"/>
    <w:rsid w:val="001500DE"/>
    <w:rsid w:val="00153464"/>
    <w:rsid w:val="001541B3"/>
    <w:rsid w:val="00155B15"/>
    <w:rsid w:val="00155F38"/>
    <w:rsid w:val="001625BE"/>
    <w:rsid w:val="001634DB"/>
    <w:rsid w:val="00163FB2"/>
    <w:rsid w:val="001643A4"/>
    <w:rsid w:val="00165E79"/>
    <w:rsid w:val="001727BB"/>
    <w:rsid w:val="00175C9F"/>
    <w:rsid w:val="001769AB"/>
    <w:rsid w:val="00180D25"/>
    <w:rsid w:val="00182C6F"/>
    <w:rsid w:val="0018318D"/>
    <w:rsid w:val="001840DF"/>
    <w:rsid w:val="0018499F"/>
    <w:rsid w:val="0018572C"/>
    <w:rsid w:val="00187E79"/>
    <w:rsid w:val="00187F0D"/>
    <w:rsid w:val="0019225F"/>
    <w:rsid w:val="00192CC5"/>
    <w:rsid w:val="001936F2"/>
    <w:rsid w:val="00194637"/>
    <w:rsid w:val="0019550F"/>
    <w:rsid w:val="001956A7"/>
    <w:rsid w:val="001970A7"/>
    <w:rsid w:val="001A118A"/>
    <w:rsid w:val="001A27F4"/>
    <w:rsid w:val="001A2D95"/>
    <w:rsid w:val="001A3237"/>
    <w:rsid w:val="001A4C56"/>
    <w:rsid w:val="001B3460"/>
    <w:rsid w:val="001B4CA1"/>
    <w:rsid w:val="001B75D8"/>
    <w:rsid w:val="001C1060"/>
    <w:rsid w:val="001C1B3E"/>
    <w:rsid w:val="001C3C63"/>
    <w:rsid w:val="001C48AB"/>
    <w:rsid w:val="001C516D"/>
    <w:rsid w:val="001D4732"/>
    <w:rsid w:val="001D6A3C"/>
    <w:rsid w:val="001D6D51"/>
    <w:rsid w:val="001E23B7"/>
    <w:rsid w:val="001F11BB"/>
    <w:rsid w:val="001F4D31"/>
    <w:rsid w:val="001F6095"/>
    <w:rsid w:val="001F653A"/>
    <w:rsid w:val="001F6979"/>
    <w:rsid w:val="001F7475"/>
    <w:rsid w:val="00202BC6"/>
    <w:rsid w:val="00205141"/>
    <w:rsid w:val="0020516B"/>
    <w:rsid w:val="002101F9"/>
    <w:rsid w:val="00213559"/>
    <w:rsid w:val="00213EFD"/>
    <w:rsid w:val="002172F1"/>
    <w:rsid w:val="0021784C"/>
    <w:rsid w:val="0021795D"/>
    <w:rsid w:val="00223C7B"/>
    <w:rsid w:val="00224AB1"/>
    <w:rsid w:val="0022687A"/>
    <w:rsid w:val="00230728"/>
    <w:rsid w:val="002332C2"/>
    <w:rsid w:val="00234040"/>
    <w:rsid w:val="00235CD2"/>
    <w:rsid w:val="00245929"/>
    <w:rsid w:val="00246F82"/>
    <w:rsid w:val="002523AC"/>
    <w:rsid w:val="002547CB"/>
    <w:rsid w:val="00254DED"/>
    <w:rsid w:val="00255619"/>
    <w:rsid w:val="00255DAD"/>
    <w:rsid w:val="00256108"/>
    <w:rsid w:val="0025781C"/>
    <w:rsid w:val="00260F33"/>
    <w:rsid w:val="002613BD"/>
    <w:rsid w:val="002624F1"/>
    <w:rsid w:val="00266BE0"/>
    <w:rsid w:val="00270C81"/>
    <w:rsid w:val="00271558"/>
    <w:rsid w:val="00274862"/>
    <w:rsid w:val="002753A6"/>
    <w:rsid w:val="00280760"/>
    <w:rsid w:val="00282D72"/>
    <w:rsid w:val="00283402"/>
    <w:rsid w:val="00290FD6"/>
    <w:rsid w:val="002914AF"/>
    <w:rsid w:val="0029234A"/>
    <w:rsid w:val="00294259"/>
    <w:rsid w:val="0029523E"/>
    <w:rsid w:val="00295587"/>
    <w:rsid w:val="002A2C81"/>
    <w:rsid w:val="002A486E"/>
    <w:rsid w:val="002A7F85"/>
    <w:rsid w:val="002B3D1A"/>
    <w:rsid w:val="002C27D0"/>
    <w:rsid w:val="002C2C9B"/>
    <w:rsid w:val="002C34C7"/>
    <w:rsid w:val="002C6CD3"/>
    <w:rsid w:val="002C74F7"/>
    <w:rsid w:val="002D17D6"/>
    <w:rsid w:val="002D18D7"/>
    <w:rsid w:val="002D21CE"/>
    <w:rsid w:val="002D6B28"/>
    <w:rsid w:val="002E17BD"/>
    <w:rsid w:val="002E19D8"/>
    <w:rsid w:val="002E3AAF"/>
    <w:rsid w:val="002E3DA3"/>
    <w:rsid w:val="002E450F"/>
    <w:rsid w:val="002E6B38"/>
    <w:rsid w:val="002E6D63"/>
    <w:rsid w:val="002E6E2B"/>
    <w:rsid w:val="002F500B"/>
    <w:rsid w:val="00300991"/>
    <w:rsid w:val="00301017"/>
    <w:rsid w:val="00301959"/>
    <w:rsid w:val="00305B8A"/>
    <w:rsid w:val="00331BF9"/>
    <w:rsid w:val="0033495E"/>
    <w:rsid w:val="00334A79"/>
    <w:rsid w:val="00334D8D"/>
    <w:rsid w:val="00335E8C"/>
    <w:rsid w:val="0033630C"/>
    <w:rsid w:val="00337345"/>
    <w:rsid w:val="00337DD2"/>
    <w:rsid w:val="003404D1"/>
    <w:rsid w:val="003405D8"/>
    <w:rsid w:val="003443FF"/>
    <w:rsid w:val="00344F99"/>
    <w:rsid w:val="003520C3"/>
    <w:rsid w:val="00355808"/>
    <w:rsid w:val="00362C7E"/>
    <w:rsid w:val="00363309"/>
    <w:rsid w:val="0036346A"/>
    <w:rsid w:val="00363601"/>
    <w:rsid w:val="00363DD3"/>
    <w:rsid w:val="003700A1"/>
    <w:rsid w:val="00376AC9"/>
    <w:rsid w:val="003833EC"/>
    <w:rsid w:val="00393032"/>
    <w:rsid w:val="00394B69"/>
    <w:rsid w:val="00395E8E"/>
    <w:rsid w:val="00397078"/>
    <w:rsid w:val="003A6953"/>
    <w:rsid w:val="003B6083"/>
    <w:rsid w:val="003C376A"/>
    <w:rsid w:val="003C3838"/>
    <w:rsid w:val="003C3E2E"/>
    <w:rsid w:val="003C5847"/>
    <w:rsid w:val="003C5A2C"/>
    <w:rsid w:val="003C6BFF"/>
    <w:rsid w:val="003D0681"/>
    <w:rsid w:val="003D12F6"/>
    <w:rsid w:val="003D1426"/>
    <w:rsid w:val="003D588D"/>
    <w:rsid w:val="003E2F4E"/>
    <w:rsid w:val="003E720A"/>
    <w:rsid w:val="003F2CD8"/>
    <w:rsid w:val="003F3A80"/>
    <w:rsid w:val="003F5E57"/>
    <w:rsid w:val="00403C70"/>
    <w:rsid w:val="00403E6E"/>
    <w:rsid w:val="00412371"/>
    <w:rsid w:val="004129B4"/>
    <w:rsid w:val="00413266"/>
    <w:rsid w:val="00417EF0"/>
    <w:rsid w:val="00422181"/>
    <w:rsid w:val="004244A8"/>
    <w:rsid w:val="00425F72"/>
    <w:rsid w:val="00426B0C"/>
    <w:rsid w:val="00427736"/>
    <w:rsid w:val="00430718"/>
    <w:rsid w:val="004356EF"/>
    <w:rsid w:val="004358E4"/>
    <w:rsid w:val="00441517"/>
    <w:rsid w:val="00441787"/>
    <w:rsid w:val="00444375"/>
    <w:rsid w:val="004444A2"/>
    <w:rsid w:val="004446AE"/>
    <w:rsid w:val="00444A41"/>
    <w:rsid w:val="00444F2D"/>
    <w:rsid w:val="004467FC"/>
    <w:rsid w:val="0044736B"/>
    <w:rsid w:val="00452034"/>
    <w:rsid w:val="00453B37"/>
    <w:rsid w:val="00455FA6"/>
    <w:rsid w:val="004576FA"/>
    <w:rsid w:val="004579AF"/>
    <w:rsid w:val="004653F4"/>
    <w:rsid w:val="00466C70"/>
    <w:rsid w:val="004702C9"/>
    <w:rsid w:val="00471799"/>
    <w:rsid w:val="00472E45"/>
    <w:rsid w:val="00473FEA"/>
    <w:rsid w:val="0047579D"/>
    <w:rsid w:val="004767A4"/>
    <w:rsid w:val="00483262"/>
    <w:rsid w:val="00484107"/>
    <w:rsid w:val="00485CC5"/>
    <w:rsid w:val="004922AB"/>
    <w:rsid w:val="0049343F"/>
    <w:rsid w:val="00495F1C"/>
    <w:rsid w:val="004964FC"/>
    <w:rsid w:val="004A145E"/>
    <w:rsid w:val="004A1F15"/>
    <w:rsid w:val="004A2A81"/>
    <w:rsid w:val="004A4925"/>
    <w:rsid w:val="004A57F9"/>
    <w:rsid w:val="004A7BD7"/>
    <w:rsid w:val="004B59DB"/>
    <w:rsid w:val="004C15C2"/>
    <w:rsid w:val="004C36D8"/>
    <w:rsid w:val="004C6A0C"/>
    <w:rsid w:val="004D1248"/>
    <w:rsid w:val="004D1E3C"/>
    <w:rsid w:val="004D2331"/>
    <w:rsid w:val="004D4169"/>
    <w:rsid w:val="004D6E14"/>
    <w:rsid w:val="004D7F9D"/>
    <w:rsid w:val="004E22D7"/>
    <w:rsid w:val="004E3124"/>
    <w:rsid w:val="004F4E17"/>
    <w:rsid w:val="004F5E65"/>
    <w:rsid w:val="004F7882"/>
    <w:rsid w:val="0050082F"/>
    <w:rsid w:val="00500C56"/>
    <w:rsid w:val="00501713"/>
    <w:rsid w:val="00505E7E"/>
    <w:rsid w:val="00506568"/>
    <w:rsid w:val="0051551B"/>
    <w:rsid w:val="00517638"/>
    <w:rsid w:val="00520C57"/>
    <w:rsid w:val="00522D94"/>
    <w:rsid w:val="00524FDF"/>
    <w:rsid w:val="00533D89"/>
    <w:rsid w:val="00536564"/>
    <w:rsid w:val="0054383D"/>
    <w:rsid w:val="0054458F"/>
    <w:rsid w:val="00544597"/>
    <w:rsid w:val="00544FFE"/>
    <w:rsid w:val="00545D93"/>
    <w:rsid w:val="005473F5"/>
    <w:rsid w:val="005477E7"/>
    <w:rsid w:val="00552794"/>
    <w:rsid w:val="0055723D"/>
    <w:rsid w:val="00563199"/>
    <w:rsid w:val="00564874"/>
    <w:rsid w:val="0056520E"/>
    <w:rsid w:val="00567963"/>
    <w:rsid w:val="0057009A"/>
    <w:rsid w:val="00571260"/>
    <w:rsid w:val="0057189C"/>
    <w:rsid w:val="00573FC1"/>
    <w:rsid w:val="005741EE"/>
    <w:rsid w:val="0057567B"/>
    <w:rsid w:val="0057668E"/>
    <w:rsid w:val="00587971"/>
    <w:rsid w:val="00590557"/>
    <w:rsid w:val="00595E83"/>
    <w:rsid w:val="00596530"/>
    <w:rsid w:val="005967F3"/>
    <w:rsid w:val="005A06DF"/>
    <w:rsid w:val="005A5527"/>
    <w:rsid w:val="005A5AE6"/>
    <w:rsid w:val="005A7137"/>
    <w:rsid w:val="005B118A"/>
    <w:rsid w:val="005B1206"/>
    <w:rsid w:val="005B37E8"/>
    <w:rsid w:val="005C0056"/>
    <w:rsid w:val="005D61D6"/>
    <w:rsid w:val="005D7C70"/>
    <w:rsid w:val="005E0D13"/>
    <w:rsid w:val="005E5047"/>
    <w:rsid w:val="005E50BD"/>
    <w:rsid w:val="005E578D"/>
    <w:rsid w:val="005E7205"/>
    <w:rsid w:val="005E7371"/>
    <w:rsid w:val="005F116C"/>
    <w:rsid w:val="005F2131"/>
    <w:rsid w:val="0060444A"/>
    <w:rsid w:val="00604A6F"/>
    <w:rsid w:val="00605EF6"/>
    <w:rsid w:val="00606455"/>
    <w:rsid w:val="00607B51"/>
    <w:rsid w:val="00610350"/>
    <w:rsid w:val="006110C1"/>
    <w:rsid w:val="00612803"/>
    <w:rsid w:val="00614929"/>
    <w:rsid w:val="00616511"/>
    <w:rsid w:val="006176ED"/>
    <w:rsid w:val="006202F3"/>
    <w:rsid w:val="0062097A"/>
    <w:rsid w:val="00621DA6"/>
    <w:rsid w:val="00623CFE"/>
    <w:rsid w:val="00625525"/>
    <w:rsid w:val="00627221"/>
    <w:rsid w:val="00627EE8"/>
    <w:rsid w:val="006316FA"/>
    <w:rsid w:val="00635018"/>
    <w:rsid w:val="006370D2"/>
    <w:rsid w:val="0064074F"/>
    <w:rsid w:val="00640F7D"/>
    <w:rsid w:val="00641135"/>
    <w:rsid w:val="00641F55"/>
    <w:rsid w:val="006434B1"/>
    <w:rsid w:val="00645E4A"/>
    <w:rsid w:val="00646729"/>
    <w:rsid w:val="0064703A"/>
    <w:rsid w:val="00653688"/>
    <w:rsid w:val="00654EAE"/>
    <w:rsid w:val="00655AFD"/>
    <w:rsid w:val="0066091B"/>
    <w:rsid w:val="00664ACA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04B2"/>
    <w:rsid w:val="00690990"/>
    <w:rsid w:val="0069486B"/>
    <w:rsid w:val="006A4904"/>
    <w:rsid w:val="006A548F"/>
    <w:rsid w:val="006A701A"/>
    <w:rsid w:val="006B28F9"/>
    <w:rsid w:val="006B3CB4"/>
    <w:rsid w:val="006B64DC"/>
    <w:rsid w:val="006B6B54"/>
    <w:rsid w:val="006B7A91"/>
    <w:rsid w:val="006C0F5D"/>
    <w:rsid w:val="006C2B9F"/>
    <w:rsid w:val="006C5C9F"/>
    <w:rsid w:val="006C5F28"/>
    <w:rsid w:val="006C65F3"/>
    <w:rsid w:val="006C7309"/>
    <w:rsid w:val="006D0952"/>
    <w:rsid w:val="006D46C4"/>
    <w:rsid w:val="006D4704"/>
    <w:rsid w:val="006D48A8"/>
    <w:rsid w:val="006D6A2D"/>
    <w:rsid w:val="006E08EB"/>
    <w:rsid w:val="006E1E18"/>
    <w:rsid w:val="006E31CE"/>
    <w:rsid w:val="006E34D3"/>
    <w:rsid w:val="006F069F"/>
    <w:rsid w:val="006F1435"/>
    <w:rsid w:val="006F232A"/>
    <w:rsid w:val="006F51E5"/>
    <w:rsid w:val="006F78C4"/>
    <w:rsid w:val="007007D6"/>
    <w:rsid w:val="007024B3"/>
    <w:rsid w:val="007031A0"/>
    <w:rsid w:val="00705A29"/>
    <w:rsid w:val="00707498"/>
    <w:rsid w:val="00711A65"/>
    <w:rsid w:val="00714133"/>
    <w:rsid w:val="00714DA4"/>
    <w:rsid w:val="007158B2"/>
    <w:rsid w:val="00715C5D"/>
    <w:rsid w:val="00716081"/>
    <w:rsid w:val="00722232"/>
    <w:rsid w:val="00722B48"/>
    <w:rsid w:val="00724164"/>
    <w:rsid w:val="00725DE7"/>
    <w:rsid w:val="0072636A"/>
    <w:rsid w:val="00726B44"/>
    <w:rsid w:val="007318DD"/>
    <w:rsid w:val="00733167"/>
    <w:rsid w:val="00737E76"/>
    <w:rsid w:val="00740D2C"/>
    <w:rsid w:val="0074131B"/>
    <w:rsid w:val="00744BF9"/>
    <w:rsid w:val="00745AE1"/>
    <w:rsid w:val="007508E2"/>
    <w:rsid w:val="00751E37"/>
    <w:rsid w:val="00752623"/>
    <w:rsid w:val="00760F1F"/>
    <w:rsid w:val="0076423E"/>
    <w:rsid w:val="007646CB"/>
    <w:rsid w:val="0076658F"/>
    <w:rsid w:val="0077040A"/>
    <w:rsid w:val="007728FC"/>
    <w:rsid w:val="00772D64"/>
    <w:rsid w:val="007829AF"/>
    <w:rsid w:val="00792609"/>
    <w:rsid w:val="00792887"/>
    <w:rsid w:val="007943E2"/>
    <w:rsid w:val="00794F2C"/>
    <w:rsid w:val="00796460"/>
    <w:rsid w:val="007A1D37"/>
    <w:rsid w:val="007A334B"/>
    <w:rsid w:val="007A3BC7"/>
    <w:rsid w:val="007A5AC4"/>
    <w:rsid w:val="007B0FDD"/>
    <w:rsid w:val="007B4802"/>
    <w:rsid w:val="007B6668"/>
    <w:rsid w:val="007B6B33"/>
    <w:rsid w:val="007C122A"/>
    <w:rsid w:val="007C2058"/>
    <w:rsid w:val="007C2701"/>
    <w:rsid w:val="007C3B5E"/>
    <w:rsid w:val="007C6368"/>
    <w:rsid w:val="007D2192"/>
    <w:rsid w:val="007D2AD2"/>
    <w:rsid w:val="007E162B"/>
    <w:rsid w:val="007E25AC"/>
    <w:rsid w:val="007F0021"/>
    <w:rsid w:val="007F2F52"/>
    <w:rsid w:val="007F365E"/>
    <w:rsid w:val="007F4372"/>
    <w:rsid w:val="007F73EF"/>
    <w:rsid w:val="00801ED4"/>
    <w:rsid w:val="00801F71"/>
    <w:rsid w:val="00803153"/>
    <w:rsid w:val="00805F28"/>
    <w:rsid w:val="0080749F"/>
    <w:rsid w:val="00811D46"/>
    <w:rsid w:val="008125B0"/>
    <w:rsid w:val="008144CB"/>
    <w:rsid w:val="0082096F"/>
    <w:rsid w:val="0082104D"/>
    <w:rsid w:val="00821717"/>
    <w:rsid w:val="00824210"/>
    <w:rsid w:val="008263C0"/>
    <w:rsid w:val="008331AC"/>
    <w:rsid w:val="00841422"/>
    <w:rsid w:val="00841D3B"/>
    <w:rsid w:val="00842A9D"/>
    <w:rsid w:val="0084314C"/>
    <w:rsid w:val="00843171"/>
    <w:rsid w:val="00845D81"/>
    <w:rsid w:val="00854461"/>
    <w:rsid w:val="00856A47"/>
    <w:rsid w:val="008575C3"/>
    <w:rsid w:val="00863708"/>
    <w:rsid w:val="00863D28"/>
    <w:rsid w:val="008648C3"/>
    <w:rsid w:val="00872D69"/>
    <w:rsid w:val="0088029D"/>
    <w:rsid w:val="00880F26"/>
    <w:rsid w:val="00890949"/>
    <w:rsid w:val="008934A9"/>
    <w:rsid w:val="00894033"/>
    <w:rsid w:val="0089552C"/>
    <w:rsid w:val="00896C2E"/>
    <w:rsid w:val="008A0592"/>
    <w:rsid w:val="008A4347"/>
    <w:rsid w:val="008A5095"/>
    <w:rsid w:val="008A608F"/>
    <w:rsid w:val="008B0034"/>
    <w:rsid w:val="008B1110"/>
    <w:rsid w:val="008B1A9A"/>
    <w:rsid w:val="008B34A9"/>
    <w:rsid w:val="008B4FE6"/>
    <w:rsid w:val="008B6C37"/>
    <w:rsid w:val="008B71E2"/>
    <w:rsid w:val="008C35A4"/>
    <w:rsid w:val="008C5D8D"/>
    <w:rsid w:val="008D0AF2"/>
    <w:rsid w:val="008D5EB1"/>
    <w:rsid w:val="008E18F7"/>
    <w:rsid w:val="008E1E10"/>
    <w:rsid w:val="008E291B"/>
    <w:rsid w:val="008E4F2F"/>
    <w:rsid w:val="008E74B0"/>
    <w:rsid w:val="008F2F68"/>
    <w:rsid w:val="008F31BE"/>
    <w:rsid w:val="009008A8"/>
    <w:rsid w:val="00905059"/>
    <w:rsid w:val="009063B0"/>
    <w:rsid w:val="00907106"/>
    <w:rsid w:val="0090724C"/>
    <w:rsid w:val="009107FD"/>
    <w:rsid w:val="0091137C"/>
    <w:rsid w:val="00911567"/>
    <w:rsid w:val="00912EFB"/>
    <w:rsid w:val="00916CA0"/>
    <w:rsid w:val="00917AAE"/>
    <w:rsid w:val="00922C0F"/>
    <w:rsid w:val="009251A9"/>
    <w:rsid w:val="00930699"/>
    <w:rsid w:val="00930BE5"/>
    <w:rsid w:val="00931F69"/>
    <w:rsid w:val="00934123"/>
    <w:rsid w:val="0094010C"/>
    <w:rsid w:val="00940171"/>
    <w:rsid w:val="00941C60"/>
    <w:rsid w:val="009452C3"/>
    <w:rsid w:val="009455F7"/>
    <w:rsid w:val="009524E5"/>
    <w:rsid w:val="009535CD"/>
    <w:rsid w:val="00955774"/>
    <w:rsid w:val="009560B5"/>
    <w:rsid w:val="0095722F"/>
    <w:rsid w:val="009617B5"/>
    <w:rsid w:val="00965F8E"/>
    <w:rsid w:val="009677C4"/>
    <w:rsid w:val="0097002B"/>
    <w:rsid w:val="009703D6"/>
    <w:rsid w:val="0097181B"/>
    <w:rsid w:val="00972D40"/>
    <w:rsid w:val="00976DC5"/>
    <w:rsid w:val="009818C7"/>
    <w:rsid w:val="00982DD4"/>
    <w:rsid w:val="009841E5"/>
    <w:rsid w:val="0098479F"/>
    <w:rsid w:val="00984A8A"/>
    <w:rsid w:val="009857B6"/>
    <w:rsid w:val="00985A8D"/>
    <w:rsid w:val="00985D67"/>
    <w:rsid w:val="00986610"/>
    <w:rsid w:val="009877DC"/>
    <w:rsid w:val="00991F96"/>
    <w:rsid w:val="009954D5"/>
    <w:rsid w:val="00996F0A"/>
    <w:rsid w:val="009A1D86"/>
    <w:rsid w:val="009A5AED"/>
    <w:rsid w:val="009B049C"/>
    <w:rsid w:val="009B11C8"/>
    <w:rsid w:val="009B2BCF"/>
    <w:rsid w:val="009B2FF8"/>
    <w:rsid w:val="009B5BA3"/>
    <w:rsid w:val="009B7EFC"/>
    <w:rsid w:val="009D0027"/>
    <w:rsid w:val="009D0088"/>
    <w:rsid w:val="009D0655"/>
    <w:rsid w:val="009D08CA"/>
    <w:rsid w:val="009D16A9"/>
    <w:rsid w:val="009E13D1"/>
    <w:rsid w:val="009E1E98"/>
    <w:rsid w:val="009E3ABE"/>
    <w:rsid w:val="009E3C4B"/>
    <w:rsid w:val="009F0637"/>
    <w:rsid w:val="009F62A6"/>
    <w:rsid w:val="009F674F"/>
    <w:rsid w:val="009F6C36"/>
    <w:rsid w:val="009F73D6"/>
    <w:rsid w:val="009F799E"/>
    <w:rsid w:val="00A02020"/>
    <w:rsid w:val="00A056CB"/>
    <w:rsid w:val="00A07A29"/>
    <w:rsid w:val="00A07F8C"/>
    <w:rsid w:val="00A10FF1"/>
    <w:rsid w:val="00A11A65"/>
    <w:rsid w:val="00A14458"/>
    <w:rsid w:val="00A14A84"/>
    <w:rsid w:val="00A1506B"/>
    <w:rsid w:val="00A17CB2"/>
    <w:rsid w:val="00A23191"/>
    <w:rsid w:val="00A23395"/>
    <w:rsid w:val="00A31046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2C94"/>
    <w:rsid w:val="00A6641C"/>
    <w:rsid w:val="00A767D2"/>
    <w:rsid w:val="00A77616"/>
    <w:rsid w:val="00A805DA"/>
    <w:rsid w:val="00A811B4"/>
    <w:rsid w:val="00A8510B"/>
    <w:rsid w:val="00A86A90"/>
    <w:rsid w:val="00A87CDE"/>
    <w:rsid w:val="00A92BAF"/>
    <w:rsid w:val="00A94737"/>
    <w:rsid w:val="00A94BA3"/>
    <w:rsid w:val="00A96CBA"/>
    <w:rsid w:val="00AA120A"/>
    <w:rsid w:val="00AA1C8C"/>
    <w:rsid w:val="00AB1ACD"/>
    <w:rsid w:val="00AB277F"/>
    <w:rsid w:val="00AB4099"/>
    <w:rsid w:val="00AB449A"/>
    <w:rsid w:val="00AB69F4"/>
    <w:rsid w:val="00AC0D5E"/>
    <w:rsid w:val="00AC33A3"/>
    <w:rsid w:val="00AC6941"/>
    <w:rsid w:val="00AD14F9"/>
    <w:rsid w:val="00AD35D6"/>
    <w:rsid w:val="00AD58C5"/>
    <w:rsid w:val="00AE36C4"/>
    <w:rsid w:val="00AE3898"/>
    <w:rsid w:val="00AE472C"/>
    <w:rsid w:val="00AE5375"/>
    <w:rsid w:val="00AE6CF8"/>
    <w:rsid w:val="00AE6FDD"/>
    <w:rsid w:val="00AF4CAC"/>
    <w:rsid w:val="00B0017D"/>
    <w:rsid w:val="00B00F50"/>
    <w:rsid w:val="00B0363A"/>
    <w:rsid w:val="00B03E0D"/>
    <w:rsid w:val="00B052CE"/>
    <w:rsid w:val="00B054F8"/>
    <w:rsid w:val="00B14B6B"/>
    <w:rsid w:val="00B16659"/>
    <w:rsid w:val="00B206AF"/>
    <w:rsid w:val="00B2219A"/>
    <w:rsid w:val="00B2231C"/>
    <w:rsid w:val="00B224E3"/>
    <w:rsid w:val="00B2505A"/>
    <w:rsid w:val="00B34696"/>
    <w:rsid w:val="00B3581B"/>
    <w:rsid w:val="00B3582B"/>
    <w:rsid w:val="00B36B81"/>
    <w:rsid w:val="00B36FEE"/>
    <w:rsid w:val="00B370DB"/>
    <w:rsid w:val="00B37C80"/>
    <w:rsid w:val="00B47686"/>
    <w:rsid w:val="00B5092B"/>
    <w:rsid w:val="00B5194E"/>
    <w:rsid w:val="00B51AF5"/>
    <w:rsid w:val="00B52348"/>
    <w:rsid w:val="00B52537"/>
    <w:rsid w:val="00B531FC"/>
    <w:rsid w:val="00B5337E"/>
    <w:rsid w:val="00B55347"/>
    <w:rsid w:val="00B57E5E"/>
    <w:rsid w:val="00B613EC"/>
    <w:rsid w:val="00B61F37"/>
    <w:rsid w:val="00B63774"/>
    <w:rsid w:val="00B6460E"/>
    <w:rsid w:val="00B725C0"/>
    <w:rsid w:val="00B7770F"/>
    <w:rsid w:val="00B77A89"/>
    <w:rsid w:val="00B77B27"/>
    <w:rsid w:val="00B8134E"/>
    <w:rsid w:val="00B8147D"/>
    <w:rsid w:val="00B81B55"/>
    <w:rsid w:val="00B845A2"/>
    <w:rsid w:val="00B84613"/>
    <w:rsid w:val="00B846E4"/>
    <w:rsid w:val="00B84824"/>
    <w:rsid w:val="00B87AF0"/>
    <w:rsid w:val="00B9037B"/>
    <w:rsid w:val="00B910BD"/>
    <w:rsid w:val="00B91F9C"/>
    <w:rsid w:val="00B93834"/>
    <w:rsid w:val="00B96469"/>
    <w:rsid w:val="00BA0DA2"/>
    <w:rsid w:val="00BA2981"/>
    <w:rsid w:val="00BA42EE"/>
    <w:rsid w:val="00BA48F9"/>
    <w:rsid w:val="00BB0DCA"/>
    <w:rsid w:val="00BB109D"/>
    <w:rsid w:val="00BB2666"/>
    <w:rsid w:val="00BB4654"/>
    <w:rsid w:val="00BB66D3"/>
    <w:rsid w:val="00BB6B80"/>
    <w:rsid w:val="00BC1D0D"/>
    <w:rsid w:val="00BC2499"/>
    <w:rsid w:val="00BC3773"/>
    <w:rsid w:val="00BC381A"/>
    <w:rsid w:val="00BC48D3"/>
    <w:rsid w:val="00BC6430"/>
    <w:rsid w:val="00BD0962"/>
    <w:rsid w:val="00BD1EED"/>
    <w:rsid w:val="00BD420C"/>
    <w:rsid w:val="00BE7826"/>
    <w:rsid w:val="00BF0DA2"/>
    <w:rsid w:val="00BF109C"/>
    <w:rsid w:val="00BF34FA"/>
    <w:rsid w:val="00BF4AEE"/>
    <w:rsid w:val="00BF4B1C"/>
    <w:rsid w:val="00BF6667"/>
    <w:rsid w:val="00BF71D2"/>
    <w:rsid w:val="00C004B6"/>
    <w:rsid w:val="00C01703"/>
    <w:rsid w:val="00C047A7"/>
    <w:rsid w:val="00C05DE5"/>
    <w:rsid w:val="00C10DC1"/>
    <w:rsid w:val="00C14F34"/>
    <w:rsid w:val="00C16AFD"/>
    <w:rsid w:val="00C175F7"/>
    <w:rsid w:val="00C26759"/>
    <w:rsid w:val="00C27899"/>
    <w:rsid w:val="00C33027"/>
    <w:rsid w:val="00C33E9C"/>
    <w:rsid w:val="00C37667"/>
    <w:rsid w:val="00C41362"/>
    <w:rsid w:val="00C435DB"/>
    <w:rsid w:val="00C44D73"/>
    <w:rsid w:val="00C50B42"/>
    <w:rsid w:val="00C516FF"/>
    <w:rsid w:val="00C51F08"/>
    <w:rsid w:val="00C52BFA"/>
    <w:rsid w:val="00C53D1D"/>
    <w:rsid w:val="00C53F26"/>
    <w:rsid w:val="00C540BC"/>
    <w:rsid w:val="00C549BB"/>
    <w:rsid w:val="00C64F7D"/>
    <w:rsid w:val="00C6622F"/>
    <w:rsid w:val="00C67309"/>
    <w:rsid w:val="00C7117E"/>
    <w:rsid w:val="00C7614E"/>
    <w:rsid w:val="00C77BF1"/>
    <w:rsid w:val="00C77DCF"/>
    <w:rsid w:val="00C80D60"/>
    <w:rsid w:val="00C82FBD"/>
    <w:rsid w:val="00C85267"/>
    <w:rsid w:val="00C8721B"/>
    <w:rsid w:val="00C9372C"/>
    <w:rsid w:val="00C9470E"/>
    <w:rsid w:val="00C95502"/>
    <w:rsid w:val="00C955BE"/>
    <w:rsid w:val="00C95CEB"/>
    <w:rsid w:val="00CA1054"/>
    <w:rsid w:val="00CA2863"/>
    <w:rsid w:val="00CA63EB"/>
    <w:rsid w:val="00CA69F1"/>
    <w:rsid w:val="00CA6DA7"/>
    <w:rsid w:val="00CA7CF2"/>
    <w:rsid w:val="00CB440F"/>
    <w:rsid w:val="00CB6991"/>
    <w:rsid w:val="00CC05A2"/>
    <w:rsid w:val="00CC6194"/>
    <w:rsid w:val="00CC6305"/>
    <w:rsid w:val="00CC78A5"/>
    <w:rsid w:val="00CD0516"/>
    <w:rsid w:val="00CD756B"/>
    <w:rsid w:val="00CE46DE"/>
    <w:rsid w:val="00CE734F"/>
    <w:rsid w:val="00CF112E"/>
    <w:rsid w:val="00CF161D"/>
    <w:rsid w:val="00CF5F4F"/>
    <w:rsid w:val="00CF77BF"/>
    <w:rsid w:val="00D01732"/>
    <w:rsid w:val="00D06869"/>
    <w:rsid w:val="00D075D8"/>
    <w:rsid w:val="00D11193"/>
    <w:rsid w:val="00D11DE2"/>
    <w:rsid w:val="00D17E00"/>
    <w:rsid w:val="00D20A2B"/>
    <w:rsid w:val="00D218DC"/>
    <w:rsid w:val="00D24E56"/>
    <w:rsid w:val="00D25893"/>
    <w:rsid w:val="00D31643"/>
    <w:rsid w:val="00D31AEB"/>
    <w:rsid w:val="00D3271C"/>
    <w:rsid w:val="00D328E0"/>
    <w:rsid w:val="00D32ECD"/>
    <w:rsid w:val="00D34B36"/>
    <w:rsid w:val="00D35A34"/>
    <w:rsid w:val="00D361E4"/>
    <w:rsid w:val="00D42A8F"/>
    <w:rsid w:val="00D439F6"/>
    <w:rsid w:val="00D44F8E"/>
    <w:rsid w:val="00D459C6"/>
    <w:rsid w:val="00D50729"/>
    <w:rsid w:val="00D50C19"/>
    <w:rsid w:val="00D52596"/>
    <w:rsid w:val="00D5379E"/>
    <w:rsid w:val="00D62643"/>
    <w:rsid w:val="00D64C0F"/>
    <w:rsid w:val="00D658BC"/>
    <w:rsid w:val="00D725BD"/>
    <w:rsid w:val="00D72EFE"/>
    <w:rsid w:val="00D76227"/>
    <w:rsid w:val="00D77DF1"/>
    <w:rsid w:val="00D80A33"/>
    <w:rsid w:val="00D811B2"/>
    <w:rsid w:val="00D857BF"/>
    <w:rsid w:val="00D86AFF"/>
    <w:rsid w:val="00D93C2B"/>
    <w:rsid w:val="00D95A44"/>
    <w:rsid w:val="00D95D16"/>
    <w:rsid w:val="00D97C76"/>
    <w:rsid w:val="00DA2CB6"/>
    <w:rsid w:val="00DA4402"/>
    <w:rsid w:val="00DB02B4"/>
    <w:rsid w:val="00DB538D"/>
    <w:rsid w:val="00DB7236"/>
    <w:rsid w:val="00DC275C"/>
    <w:rsid w:val="00DC4B0D"/>
    <w:rsid w:val="00DC7FE1"/>
    <w:rsid w:val="00DD0B4A"/>
    <w:rsid w:val="00DD135E"/>
    <w:rsid w:val="00DD3F3F"/>
    <w:rsid w:val="00DD5572"/>
    <w:rsid w:val="00DE2D90"/>
    <w:rsid w:val="00DE5D80"/>
    <w:rsid w:val="00DF07FE"/>
    <w:rsid w:val="00DF2220"/>
    <w:rsid w:val="00DF58CD"/>
    <w:rsid w:val="00DF65DE"/>
    <w:rsid w:val="00E019A5"/>
    <w:rsid w:val="00E02EC8"/>
    <w:rsid w:val="00E037F5"/>
    <w:rsid w:val="00E04ECB"/>
    <w:rsid w:val="00E05A09"/>
    <w:rsid w:val="00E06CA1"/>
    <w:rsid w:val="00E1292E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884"/>
    <w:rsid w:val="00E548F0"/>
    <w:rsid w:val="00E56DD5"/>
    <w:rsid w:val="00E57322"/>
    <w:rsid w:val="00E628CB"/>
    <w:rsid w:val="00E62AD9"/>
    <w:rsid w:val="00E638C8"/>
    <w:rsid w:val="00E6710E"/>
    <w:rsid w:val="00E7509B"/>
    <w:rsid w:val="00E761A3"/>
    <w:rsid w:val="00E765E0"/>
    <w:rsid w:val="00E76A3D"/>
    <w:rsid w:val="00E8417C"/>
    <w:rsid w:val="00E85BF6"/>
    <w:rsid w:val="00E8637D"/>
    <w:rsid w:val="00E86590"/>
    <w:rsid w:val="00E907FF"/>
    <w:rsid w:val="00E92C1F"/>
    <w:rsid w:val="00E952FA"/>
    <w:rsid w:val="00E96A62"/>
    <w:rsid w:val="00EA2D49"/>
    <w:rsid w:val="00EA42D1"/>
    <w:rsid w:val="00EA42EF"/>
    <w:rsid w:val="00EA4B40"/>
    <w:rsid w:val="00EB1CE6"/>
    <w:rsid w:val="00EB2DD1"/>
    <w:rsid w:val="00EB3DBD"/>
    <w:rsid w:val="00EB5536"/>
    <w:rsid w:val="00EB60F7"/>
    <w:rsid w:val="00EB6B37"/>
    <w:rsid w:val="00EC2044"/>
    <w:rsid w:val="00EC29FE"/>
    <w:rsid w:val="00EC3C70"/>
    <w:rsid w:val="00EC655F"/>
    <w:rsid w:val="00ED3A3D"/>
    <w:rsid w:val="00ED4F80"/>
    <w:rsid w:val="00ED538A"/>
    <w:rsid w:val="00ED6FBC"/>
    <w:rsid w:val="00EE0A30"/>
    <w:rsid w:val="00EE2F16"/>
    <w:rsid w:val="00EE3861"/>
    <w:rsid w:val="00EE7918"/>
    <w:rsid w:val="00EF16F5"/>
    <w:rsid w:val="00EF2E73"/>
    <w:rsid w:val="00EF7683"/>
    <w:rsid w:val="00EF7A2D"/>
    <w:rsid w:val="00F03BD1"/>
    <w:rsid w:val="00F04F8D"/>
    <w:rsid w:val="00F10AD0"/>
    <w:rsid w:val="00F116CC"/>
    <w:rsid w:val="00F12BD1"/>
    <w:rsid w:val="00F14EC4"/>
    <w:rsid w:val="00F15327"/>
    <w:rsid w:val="00F168CF"/>
    <w:rsid w:val="00F203E0"/>
    <w:rsid w:val="00F2555C"/>
    <w:rsid w:val="00F31DF3"/>
    <w:rsid w:val="00F324B7"/>
    <w:rsid w:val="00F33AE5"/>
    <w:rsid w:val="00F3597D"/>
    <w:rsid w:val="00F4376D"/>
    <w:rsid w:val="00F45399"/>
    <w:rsid w:val="00F465EA"/>
    <w:rsid w:val="00F46C9A"/>
    <w:rsid w:val="00F54E7B"/>
    <w:rsid w:val="00F552F2"/>
    <w:rsid w:val="00F55A88"/>
    <w:rsid w:val="00F74005"/>
    <w:rsid w:val="00F76884"/>
    <w:rsid w:val="00F83D24"/>
    <w:rsid w:val="00F83DD9"/>
    <w:rsid w:val="00F83F40"/>
    <w:rsid w:val="00F87E98"/>
    <w:rsid w:val="00FA117A"/>
    <w:rsid w:val="00FA1399"/>
    <w:rsid w:val="00FA163A"/>
    <w:rsid w:val="00FB386A"/>
    <w:rsid w:val="00FB3AE6"/>
    <w:rsid w:val="00FB4017"/>
    <w:rsid w:val="00FB6F04"/>
    <w:rsid w:val="00FC0786"/>
    <w:rsid w:val="00FC49EF"/>
    <w:rsid w:val="00FD3CCF"/>
    <w:rsid w:val="00FD547A"/>
    <w:rsid w:val="00FE0784"/>
    <w:rsid w:val="00FE36E2"/>
    <w:rsid w:val="00FF11AD"/>
    <w:rsid w:val="00FF1D40"/>
    <w:rsid w:val="00FF2971"/>
    <w:rsid w:val="00FF34D4"/>
    <w:rsid w:val="00FF4195"/>
    <w:rsid w:val="012059C2"/>
    <w:rsid w:val="01A67D53"/>
    <w:rsid w:val="034A57F4"/>
    <w:rsid w:val="05359B85"/>
    <w:rsid w:val="0818BFD6"/>
    <w:rsid w:val="0A73E6D8"/>
    <w:rsid w:val="0BDABBD2"/>
    <w:rsid w:val="0CE210A9"/>
    <w:rsid w:val="0D5D2850"/>
    <w:rsid w:val="0D98E51F"/>
    <w:rsid w:val="0DFDAED5"/>
    <w:rsid w:val="0F8805FB"/>
    <w:rsid w:val="10AE955C"/>
    <w:rsid w:val="10CD40E4"/>
    <w:rsid w:val="10DA7D3C"/>
    <w:rsid w:val="14FAB888"/>
    <w:rsid w:val="152B30CC"/>
    <w:rsid w:val="176765F4"/>
    <w:rsid w:val="1862BCCD"/>
    <w:rsid w:val="1A051628"/>
    <w:rsid w:val="1C411EF8"/>
    <w:rsid w:val="1D2CF465"/>
    <w:rsid w:val="1F78BFBA"/>
    <w:rsid w:val="204FA687"/>
    <w:rsid w:val="207D371F"/>
    <w:rsid w:val="2204A83E"/>
    <w:rsid w:val="221A6164"/>
    <w:rsid w:val="2281AA02"/>
    <w:rsid w:val="228D15ED"/>
    <w:rsid w:val="24E03AF5"/>
    <w:rsid w:val="2A17F77F"/>
    <w:rsid w:val="2EAAA893"/>
    <w:rsid w:val="3042377C"/>
    <w:rsid w:val="3266D163"/>
    <w:rsid w:val="35A655C1"/>
    <w:rsid w:val="376A6EE5"/>
    <w:rsid w:val="3AF8E344"/>
    <w:rsid w:val="3C94B3A5"/>
    <w:rsid w:val="3CB40225"/>
    <w:rsid w:val="3CB47C32"/>
    <w:rsid w:val="3F5774EA"/>
    <w:rsid w:val="4578BB76"/>
    <w:rsid w:val="45CC3B39"/>
    <w:rsid w:val="4C31C50C"/>
    <w:rsid w:val="4C3D32A1"/>
    <w:rsid w:val="4CCEB976"/>
    <w:rsid w:val="4D2324D4"/>
    <w:rsid w:val="4DBA8EE3"/>
    <w:rsid w:val="4F1DFEBE"/>
    <w:rsid w:val="4F565F44"/>
    <w:rsid w:val="51301FFD"/>
    <w:rsid w:val="5239D07A"/>
    <w:rsid w:val="527D8A58"/>
    <w:rsid w:val="52F7C114"/>
    <w:rsid w:val="539C6D04"/>
    <w:rsid w:val="55FDA270"/>
    <w:rsid w:val="59134507"/>
    <w:rsid w:val="5A5BA3DB"/>
    <w:rsid w:val="5BB3DFA5"/>
    <w:rsid w:val="5C669418"/>
    <w:rsid w:val="5CB4B890"/>
    <w:rsid w:val="5CD8BB5A"/>
    <w:rsid w:val="5E037970"/>
    <w:rsid w:val="5E72BBDC"/>
    <w:rsid w:val="5F747094"/>
    <w:rsid w:val="642EB95A"/>
    <w:rsid w:val="65261C4C"/>
    <w:rsid w:val="69C4ED64"/>
    <w:rsid w:val="69F026EC"/>
    <w:rsid w:val="6A22F6B7"/>
    <w:rsid w:val="6ABA50FE"/>
    <w:rsid w:val="6C1DD6BE"/>
    <w:rsid w:val="6C50A72D"/>
    <w:rsid w:val="6EE07585"/>
    <w:rsid w:val="6F654A1B"/>
    <w:rsid w:val="6FEF9CA0"/>
    <w:rsid w:val="70652EF4"/>
    <w:rsid w:val="709CB540"/>
    <w:rsid w:val="723F3A0C"/>
    <w:rsid w:val="72D4EC57"/>
    <w:rsid w:val="73AACF94"/>
    <w:rsid w:val="7449FA6B"/>
    <w:rsid w:val="747CD189"/>
    <w:rsid w:val="74C30DC3"/>
    <w:rsid w:val="752EA9DD"/>
    <w:rsid w:val="767851E6"/>
    <w:rsid w:val="78890000"/>
    <w:rsid w:val="798D33D6"/>
    <w:rsid w:val="7B57F7B6"/>
    <w:rsid w:val="7C9BA48E"/>
    <w:rsid w:val="7DF3ACF0"/>
    <w:rsid w:val="7DFF0451"/>
    <w:rsid w:val="7FB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D7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2C74F7"/>
    <w:rPr>
      <w:sz w:val="22"/>
      <w:szCs w:val="22"/>
      <w:lang w:eastAsia="en-US"/>
    </w:rPr>
  </w:style>
  <w:style w:type="paragraph" w:customStyle="1" w:styleId="06TabeletxtpodstRaportWS">
    <w:name w:val="06_Tabele_txt_podst_Raport_WS"/>
    <w:basedOn w:val="Tekstkomentarza"/>
    <w:link w:val="06TabeletxtpodstRaportWSZnak"/>
    <w:qFormat/>
    <w:rsid w:val="006D48A8"/>
    <w:pPr>
      <w:tabs>
        <w:tab w:val="left" w:pos="851"/>
      </w:tabs>
      <w:spacing w:before="40" w:after="40" w:line="240" w:lineRule="auto"/>
      <w:jc w:val="both"/>
    </w:pPr>
    <w:rPr>
      <w:rFonts w:ascii="Arial" w:hAnsi="Arial"/>
      <w:sz w:val="16"/>
      <w:szCs w:val="16"/>
      <w:lang w:eastAsia="pl-PL"/>
    </w:rPr>
  </w:style>
  <w:style w:type="character" w:customStyle="1" w:styleId="06TabeletxtpodstRaportWSZnak">
    <w:name w:val="06_Tabele_txt_podst_Raport_WS Znak"/>
    <w:link w:val="06TabeletxtpodstRaportWS"/>
    <w:locked/>
    <w:rsid w:val="006D48A8"/>
    <w:rPr>
      <w:rFonts w:ascii="Arial" w:hAnsi="Arial"/>
      <w:sz w:val="16"/>
      <w:szCs w:val="16"/>
    </w:rPr>
  </w:style>
  <w:style w:type="character" w:customStyle="1" w:styleId="normaltextrun">
    <w:name w:val="normaltextrun"/>
    <w:basedOn w:val="Domylnaczcionkaakapitu"/>
    <w:rsid w:val="006D48A8"/>
  </w:style>
  <w:style w:type="character" w:customStyle="1" w:styleId="ui-provider">
    <w:name w:val="ui-provider"/>
    <w:basedOn w:val="Domylnaczcionkaakapitu"/>
    <w:rsid w:val="0066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13692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15732</CharactersWithSpaces>
  <SharedDoc>false</SharedDoc>
  <HLinks>
    <vt:vector size="12" baseType="variant">
      <vt:variant>
        <vt:i4>1638433</vt:i4>
      </vt:variant>
      <vt:variant>
        <vt:i4>141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138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2023-08-29T13:51:00Z</dcterms:created>
  <dcterms:modified xsi:type="dcterms:W3CDTF">2023-08-29T13:51:00Z</dcterms:modified>
</cp:coreProperties>
</file>