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79B3" w14:textId="77777777" w:rsidR="007A3AE9" w:rsidRDefault="007A3AE9" w:rsidP="007A3AE9">
      <w:pPr>
        <w:jc w:val="center"/>
        <w:rPr>
          <w:rStyle w:val="Ppogrubienie"/>
          <w:szCs w:val="24"/>
        </w:rPr>
      </w:pPr>
      <w:r w:rsidRPr="007A3AE9">
        <w:rPr>
          <w:rStyle w:val="Ppogrubienie"/>
          <w:szCs w:val="24"/>
        </w:rPr>
        <w:t>UZASADNIENIE</w:t>
      </w:r>
    </w:p>
    <w:p w14:paraId="4E40DE25" w14:textId="77777777" w:rsidR="00FA34DF" w:rsidRPr="007A3AE9" w:rsidRDefault="00FA34DF" w:rsidP="007A3AE9">
      <w:pPr>
        <w:jc w:val="center"/>
        <w:rPr>
          <w:rStyle w:val="Ppogrubienie"/>
          <w:szCs w:val="24"/>
        </w:rPr>
      </w:pPr>
    </w:p>
    <w:p w14:paraId="66E1798D" w14:textId="37E2A452" w:rsidR="00432E25" w:rsidRDefault="007A3AE9" w:rsidP="002617FE">
      <w:pPr>
        <w:ind w:firstLine="567"/>
        <w:jc w:val="both"/>
        <w:rPr>
          <w:rFonts w:cs="Times New Roman"/>
        </w:rPr>
      </w:pPr>
      <w:r w:rsidRPr="007A3AE9">
        <w:rPr>
          <w:rFonts w:cs="Times New Roman"/>
        </w:rPr>
        <w:t xml:space="preserve">Projekt stanowi wykonanie delegacji zawartej art. 116 ust. 3 ustawy z dnia 20 lutego </w:t>
      </w:r>
      <w:r w:rsidR="007A64EA">
        <w:rPr>
          <w:rFonts w:cs="Times New Roman"/>
        </w:rPr>
        <w:br/>
      </w:r>
      <w:r w:rsidRPr="007A3AE9">
        <w:rPr>
          <w:rFonts w:cs="Times New Roman"/>
        </w:rPr>
        <w:t>2015 r. o odnawialnych źródłach energii (Dz. U. z 2022 r. poz. 1378, 1383, 2370, 2687 oraz z 2023 r. poz. 1762)</w:t>
      </w:r>
      <w:r w:rsidR="007A64EA">
        <w:rPr>
          <w:rFonts w:cs="Times New Roman"/>
        </w:rPr>
        <w:t>,</w:t>
      </w:r>
      <w:r w:rsidRPr="007A3AE9">
        <w:rPr>
          <w:rFonts w:cs="Times New Roman"/>
        </w:rPr>
        <w:t xml:space="preserve"> zwanej dalej ,,ustawą OZE". </w:t>
      </w:r>
      <w:r w:rsidR="006E6630">
        <w:rPr>
          <w:rFonts w:cs="Times New Roman"/>
        </w:rPr>
        <w:t>Na skutek nowelizacji przepisu art. 116</w:t>
      </w:r>
      <w:r w:rsidR="0073651C">
        <w:rPr>
          <w:rFonts w:cs="Times New Roman"/>
        </w:rPr>
        <w:t xml:space="preserve"> ustawy OZE</w:t>
      </w:r>
      <w:r w:rsidR="006E6630">
        <w:rPr>
          <w:rFonts w:cs="Times New Roman"/>
        </w:rPr>
        <w:t>, a co za tym idzie zmiany</w:t>
      </w:r>
      <w:r w:rsidR="00CB0749">
        <w:rPr>
          <w:rFonts w:cs="Times New Roman"/>
        </w:rPr>
        <w:t xml:space="preserve"> brzmienia</w:t>
      </w:r>
      <w:r w:rsidR="006E6630">
        <w:rPr>
          <w:rFonts w:cs="Times New Roman"/>
        </w:rPr>
        <w:t xml:space="preserve"> upoważnienia do wydania </w:t>
      </w:r>
      <w:r w:rsidR="00CB0749">
        <w:rPr>
          <w:rFonts w:cs="Times New Roman"/>
        </w:rPr>
        <w:t xml:space="preserve">rozporządzenia, </w:t>
      </w:r>
      <w:r w:rsidRPr="007A3AE9">
        <w:rPr>
          <w:rFonts w:cs="Times New Roman"/>
        </w:rPr>
        <w:t>przygotowan</w:t>
      </w:r>
      <w:r w:rsidR="00CB0749">
        <w:rPr>
          <w:rFonts w:cs="Times New Roman"/>
        </w:rPr>
        <w:t>o</w:t>
      </w:r>
      <w:r w:rsidRPr="007A3AE9">
        <w:rPr>
          <w:rFonts w:cs="Times New Roman"/>
        </w:rPr>
        <w:t xml:space="preserve"> projekt nowego rozporządzenia. </w:t>
      </w:r>
      <w:r w:rsidR="002356F4">
        <w:rPr>
          <w:rFonts w:cs="Times New Roman"/>
        </w:rPr>
        <w:t>Aktualnie obowiązujące</w:t>
      </w:r>
      <w:r w:rsidR="00F81AD4">
        <w:rPr>
          <w:rFonts w:cs="Times New Roman"/>
        </w:rPr>
        <w:t xml:space="preserve"> </w:t>
      </w:r>
      <w:r w:rsidR="002356F4">
        <w:rPr>
          <w:rFonts w:cs="Times New Roman"/>
        </w:rPr>
        <w:t>r</w:t>
      </w:r>
      <w:r w:rsidR="002356F4" w:rsidRPr="002356F4">
        <w:rPr>
          <w:rFonts w:cs="Times New Roman"/>
        </w:rPr>
        <w:t xml:space="preserve">ozporządzenie Ministra Energii </w:t>
      </w:r>
      <w:r w:rsidR="002356F4">
        <w:rPr>
          <w:rFonts w:cs="Times New Roman"/>
        </w:rPr>
        <w:t xml:space="preserve">z dnia 18 maja 2017 r. </w:t>
      </w:r>
      <w:r w:rsidR="002356F4" w:rsidRPr="002356F4">
        <w:rPr>
          <w:rFonts w:cs="Times New Roman"/>
        </w:rPr>
        <w:t>w sprawie szczegółowego zakresu obowiązku i warunków technicznych zakupu ciepła z odnawialnych źródeł energii oraz warunków przyłączania instalacji do sieci</w:t>
      </w:r>
      <w:r w:rsidR="002356F4">
        <w:rPr>
          <w:rFonts w:cs="Times New Roman"/>
        </w:rPr>
        <w:t xml:space="preserve"> (Dz. U. poz. 1084) </w:t>
      </w:r>
      <w:r w:rsidR="002617FE">
        <w:rPr>
          <w:rFonts w:cs="Times New Roman"/>
        </w:rPr>
        <w:t>pozostanie w mocy</w:t>
      </w:r>
      <w:r w:rsidR="002356F4">
        <w:rPr>
          <w:rFonts w:cs="Times New Roman"/>
        </w:rPr>
        <w:t xml:space="preserve"> do dnia 30 września 2026 r.</w:t>
      </w:r>
      <w:r w:rsidR="00CB0749">
        <w:rPr>
          <w:rFonts w:cs="Times New Roman"/>
        </w:rPr>
        <w:t>,</w:t>
      </w:r>
      <w:r w:rsidR="002356F4">
        <w:rPr>
          <w:rFonts w:cs="Times New Roman"/>
        </w:rPr>
        <w:t xml:space="preserve"> </w:t>
      </w:r>
      <w:r w:rsidR="00CB0749">
        <w:rPr>
          <w:rFonts w:cs="Times New Roman"/>
        </w:rPr>
        <w:t xml:space="preserve">co wynika bezpośrednio </w:t>
      </w:r>
      <w:r w:rsidR="00C03CA7">
        <w:rPr>
          <w:rFonts w:cs="Times New Roman"/>
        </w:rPr>
        <w:t xml:space="preserve">z </w:t>
      </w:r>
      <w:r w:rsidR="002356F4">
        <w:rPr>
          <w:rFonts w:cs="Times New Roman"/>
        </w:rPr>
        <w:t xml:space="preserve">art. 47 pkt 5 ustawy </w:t>
      </w:r>
      <w:r w:rsidR="00C03CA7" w:rsidRPr="00C03CA7">
        <w:rPr>
          <w:rFonts w:cs="Times New Roman"/>
        </w:rPr>
        <w:t xml:space="preserve">z dnia 17 sierpnia 2023 r. o zmianie ustawy o odnawialnych źródłach energii oraz niektórych innych ustaw (Dz. U. r. poz. 1762), </w:t>
      </w:r>
      <w:r w:rsidR="00432E25">
        <w:rPr>
          <w:rFonts w:cs="Times New Roman"/>
        </w:rPr>
        <w:t xml:space="preserve">który </w:t>
      </w:r>
      <w:r w:rsidR="002356F4">
        <w:rPr>
          <w:rFonts w:cs="Times New Roman"/>
        </w:rPr>
        <w:t>stanowi, iż</w:t>
      </w:r>
      <w:r w:rsidR="00F81AD4">
        <w:rPr>
          <w:rFonts w:cs="Times New Roman"/>
        </w:rPr>
        <w:t xml:space="preserve"> </w:t>
      </w:r>
      <w:r w:rsidR="002356F4" w:rsidRPr="002356F4">
        <w:rPr>
          <w:rFonts w:cs="Times New Roman"/>
        </w:rPr>
        <w:t>dotychczasowe przepisy wykonawcze wydane na podstawie art. 116 ust. 3 ustawy zmienianej w art. 1 w brzmieniu dotychczasowym zachowują moc do dnia wejścia w życie przepisów wydanych na podstawie art. 116 ust. 3 ustawy zmienianej w art. 1 w brzmieniu nadanym niniejszą ustawą, jednak nie dłużej niż przez 36 miesięcy od dnia wejścia w życie niniejszej ustawy, i mogą być zmieniane w granicach określonych w art. 116 ust. 3 ustawy zmienianej w art. 1 w brzmieniu nadanym niniejszą ustawą.</w:t>
      </w:r>
      <w:r w:rsidRPr="007A3AE9">
        <w:rPr>
          <w:rFonts w:cs="Times New Roman"/>
        </w:rPr>
        <w:tab/>
      </w:r>
      <w:r w:rsidR="002617FE">
        <w:rPr>
          <w:rFonts w:cs="Times New Roman"/>
        </w:rPr>
        <w:tab/>
      </w:r>
      <w:r w:rsidR="002617FE">
        <w:rPr>
          <w:rFonts w:cs="Times New Roman"/>
        </w:rPr>
        <w:tab/>
      </w:r>
      <w:r w:rsidR="002617FE">
        <w:rPr>
          <w:rFonts w:cs="Times New Roman"/>
        </w:rPr>
        <w:tab/>
      </w:r>
    </w:p>
    <w:p w14:paraId="501F9C81" w14:textId="5DD04926" w:rsidR="00F81AD4" w:rsidRDefault="007A3AE9" w:rsidP="002617FE">
      <w:pPr>
        <w:ind w:firstLine="567"/>
        <w:jc w:val="both"/>
        <w:rPr>
          <w:rFonts w:cs="Times New Roman"/>
        </w:rPr>
      </w:pPr>
      <w:r w:rsidRPr="007A3AE9">
        <w:rPr>
          <w:rFonts w:cs="Times New Roman"/>
        </w:rPr>
        <w:t>W uzasadnieniu do</w:t>
      </w:r>
      <w:r w:rsidR="003A42BF">
        <w:rPr>
          <w:rFonts w:cs="Times New Roman"/>
        </w:rPr>
        <w:t xml:space="preserve"> ww. </w:t>
      </w:r>
      <w:r w:rsidRPr="007A3AE9">
        <w:rPr>
          <w:rFonts w:cs="Times New Roman"/>
        </w:rPr>
        <w:t xml:space="preserve">nowelizacji ustawy OZE zaznaczono, że zmiana w zakresie treści art. 116 ust. 1 tej ustawy ma na celu implementację wymogu wynikającego z art. 24 ust. 4 </w:t>
      </w:r>
      <w:r w:rsidR="0073651C">
        <w:rPr>
          <w:rFonts w:cs="Times New Roman"/>
        </w:rPr>
        <w:br/>
      </w:r>
      <w:r w:rsidRPr="007A3AE9">
        <w:rPr>
          <w:rFonts w:cs="Times New Roman"/>
        </w:rPr>
        <w:t>lit. b dyrektywy Parlamentu Europejskiego i Rady (UE) 2018/2001 z dnia 11 grudnia 2018 r. w sprawie promowania stosowania energii ze źródeł odnawialnych (Dz. Urz. UE L 328 z 21.12.2018, str. 82, z późn. zm.), w zakresie nałożenia na przedsiębiorstwa ciepłownicze obowiązku zakupu ciepła wytwarzanego z instalacji odnawialnego źródła energii, w tym instalacji termicznego przekształcania odpadów.</w:t>
      </w:r>
    </w:p>
    <w:p w14:paraId="6136AB37" w14:textId="78417D28" w:rsidR="00F81AD4" w:rsidRDefault="007A3AE9" w:rsidP="007A3AE9">
      <w:pPr>
        <w:ind w:firstLine="567"/>
        <w:jc w:val="both"/>
        <w:rPr>
          <w:rFonts w:cs="Times New Roman"/>
        </w:rPr>
      </w:pPr>
      <w:r w:rsidRPr="007A3AE9">
        <w:rPr>
          <w:rFonts w:cs="Times New Roman"/>
        </w:rPr>
        <w:t>Przepisy art. 116 ust. 1a i</w:t>
      </w:r>
      <w:r w:rsidR="00074AAB">
        <w:rPr>
          <w:rFonts w:cs="Times New Roman"/>
        </w:rPr>
        <w:t xml:space="preserve"> </w:t>
      </w:r>
      <w:r w:rsidRPr="007A3AE9">
        <w:rPr>
          <w:rFonts w:cs="Times New Roman"/>
        </w:rPr>
        <w:t xml:space="preserve">1b ustawy OZE uszczegóławiają podejście do obliczenia ciepła z OZE w przypadkach, gdy ciepło zostanie wytworzone w instalacji odnawialnego źródła energii wykorzystującej pompę ciepła. Wprowadzone przepisy implementują metodologię wyliczania ilości energii ze źródeł odnawialnych, wytworzonej przez pompy ciepła przez wychwytywanie energii </w:t>
      </w:r>
      <w:proofErr w:type="spellStart"/>
      <w:r w:rsidRPr="007A3AE9">
        <w:rPr>
          <w:rFonts w:cs="Times New Roman"/>
        </w:rPr>
        <w:t>aerotermalnej</w:t>
      </w:r>
      <w:proofErr w:type="spellEnd"/>
      <w:r w:rsidRPr="007A3AE9">
        <w:rPr>
          <w:rFonts w:cs="Times New Roman"/>
        </w:rPr>
        <w:t xml:space="preserve">, geotermalnej i hydrotermalnej, zawartą w załączniku VII do dyrektywy RED II. W ustawie uwzględniono również instalacje spalania wielopaliwowego inne niż instalacje wysokosprawnej kogeneracji (analogicznie jak w przypadku obowiązku zakupu ciepła z OZE). Z kolei przepis art. 116 ust. 2a stanowi </w:t>
      </w:r>
      <w:r w:rsidRPr="007A3AE9">
        <w:rPr>
          <w:rFonts w:cs="Times New Roman"/>
        </w:rPr>
        <w:lastRenderedPageBreak/>
        <w:t xml:space="preserve">implementację wymogu wynikającego z akapitu drugiego art. 24 ust. 5 dyrektywy RED II w zakresie powiadomienia o warunkach, które należałoby spełnić i środkach, które należałoby wprowadzić w systemie, aby umożliwić przyłączenie instalacji odnawialnego źródła energii. W pozostałym zakresie implementacja powyższego przepisu dyrektywy RED II jest zapewniona przez normę wynikającą z art. 7 ust. 1 </w:t>
      </w:r>
      <w:r w:rsidRPr="00074AAB">
        <w:rPr>
          <w:rFonts w:cs="Times New Roman"/>
          <w:i/>
          <w:iCs/>
        </w:rPr>
        <w:t>in fine</w:t>
      </w:r>
      <w:r w:rsidRPr="007A3AE9">
        <w:rPr>
          <w:rFonts w:cs="Times New Roman"/>
        </w:rPr>
        <w:t xml:space="preserve"> ustawy z dnia 10 kwietnia 1997 r. – Prawo energetyczne (Dz. U. z 2022 r. poz. 1385, z późn. zm.), zwanej dalej ,,ustawą</w:t>
      </w:r>
      <w:r w:rsidR="00C81A13">
        <w:rPr>
          <w:rFonts w:cs="Times New Roman"/>
        </w:rPr>
        <w:t xml:space="preserve"> </w:t>
      </w:r>
      <w:r w:rsidRPr="007A3AE9">
        <w:rPr>
          <w:rFonts w:cs="Times New Roman"/>
        </w:rPr>
        <w:t xml:space="preserve">– Prawo energetyczne". </w:t>
      </w:r>
      <w:r w:rsidR="00074AAB">
        <w:rPr>
          <w:rFonts w:cs="Times New Roman"/>
        </w:rPr>
        <w:t>Ustalając</w:t>
      </w:r>
      <w:r w:rsidR="00074AAB" w:rsidRPr="007A3AE9">
        <w:rPr>
          <w:rFonts w:cs="Times New Roman"/>
        </w:rPr>
        <w:t xml:space="preserve"> </w:t>
      </w:r>
      <w:r w:rsidRPr="007A3AE9">
        <w:rPr>
          <w:rFonts w:cs="Times New Roman"/>
        </w:rPr>
        <w:t>warunki przyłączenia instalacji do sieci ciepłowniczej, uwzględnia się ocenę wpływu przyłączanej instalacji na warunki techniczne funkcjonowania systemu ciepłowniczego, a także możliwości wpływu przyłączanej instalacji na wzrost opłat za dostarczanie ciepła, ponoszonych przez odbiorców końcowych w tym systemie ciepłowniczym, sporządzoną przez dystrybutora ciepła.</w:t>
      </w:r>
      <w:r w:rsidRPr="007A3AE9">
        <w:rPr>
          <w:rFonts w:cs="Times New Roman"/>
        </w:rPr>
        <w:tab/>
      </w:r>
      <w:r w:rsidRPr="007A3AE9">
        <w:rPr>
          <w:rFonts w:cs="Times New Roman"/>
        </w:rPr>
        <w:tab/>
      </w:r>
      <w:r w:rsidRPr="007A3AE9">
        <w:rPr>
          <w:rFonts w:cs="Times New Roman"/>
        </w:rPr>
        <w:tab/>
      </w:r>
      <w:r w:rsidRPr="007A3AE9">
        <w:rPr>
          <w:rFonts w:cs="Times New Roman"/>
        </w:rPr>
        <w:tab/>
      </w:r>
      <w:r w:rsidRPr="007A3AE9">
        <w:rPr>
          <w:rFonts w:cs="Times New Roman"/>
        </w:rPr>
        <w:tab/>
        <w:t xml:space="preserve">Projekt rozporządzenia określa warunki techniczne i szczegółowy zakres opisanego w ustawie OZE obowiązku, w tym sposób ustalania rzeczywistej ilości ciepła i chłodu oraz ciepła odpadowego, objętych tym obowiązkiem, sposób uwzględniania w kalkulacji cen ciepła ustalanych w taryfach przedsiębiorstwa energetycznego, zajmującego się w obszarze danej sieci ciepłowniczej obrotem ciepłem lub chłodem lub wytwarzaniem ciepła lub chłodu i jego sprzedażą odbiorcom końcowym, kosztów realizacji obowiązku zakupu ciepła, a także sposób prowadzenia przez Prezesa Urzędu Regulacji Energetyki </w:t>
      </w:r>
      <w:r w:rsidR="00585070">
        <w:rPr>
          <w:rFonts w:cs="Times New Roman"/>
        </w:rPr>
        <w:t xml:space="preserve">(dalej: „Prezes URE”) </w:t>
      </w:r>
      <w:r w:rsidRPr="007A3AE9">
        <w:rPr>
          <w:rFonts w:cs="Times New Roman"/>
        </w:rPr>
        <w:t>kontroli warunków technicznych</w:t>
      </w:r>
      <w:r w:rsidR="0086278C">
        <w:rPr>
          <w:rFonts w:cs="Times New Roman"/>
        </w:rPr>
        <w:t>.</w:t>
      </w:r>
      <w:r w:rsidRPr="007A3AE9">
        <w:rPr>
          <w:rFonts w:cs="Times New Roman"/>
        </w:rPr>
        <w:t xml:space="preserve"> </w:t>
      </w:r>
    </w:p>
    <w:p w14:paraId="595C5D19" w14:textId="3B414BDD" w:rsidR="00F81AD4" w:rsidRDefault="00603031" w:rsidP="007A3AE9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Na podstawie delegacji ustawowej dotyczącej sposobu prowadzenia przez Prezesa URE kontroli warunków technicznych </w:t>
      </w:r>
      <w:r w:rsidR="0073651C">
        <w:rPr>
          <w:rFonts w:cs="Times New Roman"/>
        </w:rPr>
        <w:t xml:space="preserve">realizacji obowiązku </w:t>
      </w:r>
      <w:r>
        <w:rPr>
          <w:rFonts w:cs="Times New Roman"/>
        </w:rPr>
        <w:t>zakupu oferowanego ciepła lub chłodu oraz ciepła odpadowego</w:t>
      </w:r>
      <w:r w:rsidR="00D20D17">
        <w:rPr>
          <w:rFonts w:cs="Times New Roman"/>
        </w:rPr>
        <w:t>,</w:t>
      </w:r>
      <w:r>
        <w:rPr>
          <w:rFonts w:cs="Times New Roman"/>
        </w:rPr>
        <w:t xml:space="preserve"> w projekcie rozporządzenia określono konieczność posiadani</w:t>
      </w:r>
      <w:r w:rsidR="00D20D17">
        <w:rPr>
          <w:rFonts w:cs="Times New Roman"/>
        </w:rPr>
        <w:t>a</w:t>
      </w:r>
      <w:r>
        <w:rPr>
          <w:rFonts w:cs="Times New Roman"/>
        </w:rPr>
        <w:t xml:space="preserve"> przez osoby dokonujące kontroli pisemnego upoważnienia wydanego przez Prezesa URE, które </w:t>
      </w:r>
      <w:r w:rsidR="00D20D17">
        <w:rPr>
          <w:rFonts w:cs="Times New Roman"/>
        </w:rPr>
        <w:t xml:space="preserve">powinno </w:t>
      </w:r>
      <w:r>
        <w:rPr>
          <w:rFonts w:cs="Times New Roman"/>
        </w:rPr>
        <w:t>wskaz</w:t>
      </w:r>
      <w:r w:rsidR="00D20D17">
        <w:rPr>
          <w:rFonts w:cs="Times New Roman"/>
        </w:rPr>
        <w:t>ywać</w:t>
      </w:r>
      <w:r>
        <w:rPr>
          <w:rFonts w:cs="Times New Roman"/>
        </w:rPr>
        <w:t xml:space="preserve"> osoby dokonujące kontroli,</w:t>
      </w:r>
      <w:r w:rsidR="00D20D17">
        <w:rPr>
          <w:rFonts w:cs="Times New Roman"/>
        </w:rPr>
        <w:t xml:space="preserve"> dane</w:t>
      </w:r>
      <w:r>
        <w:rPr>
          <w:rFonts w:cs="Times New Roman"/>
        </w:rPr>
        <w:t xml:space="preserve"> kontrolowane</w:t>
      </w:r>
      <w:r w:rsidR="00D20D17">
        <w:rPr>
          <w:rFonts w:cs="Times New Roman"/>
        </w:rPr>
        <w:t>go</w:t>
      </w:r>
      <w:r>
        <w:rPr>
          <w:rFonts w:cs="Times New Roman"/>
        </w:rPr>
        <w:t xml:space="preserve"> </w:t>
      </w:r>
      <w:r w:rsidR="00D20D17">
        <w:rPr>
          <w:rFonts w:cs="Times New Roman"/>
        </w:rPr>
        <w:t>przedsiębiorstwa</w:t>
      </w:r>
      <w:r>
        <w:rPr>
          <w:rFonts w:cs="Times New Roman"/>
        </w:rPr>
        <w:t xml:space="preserve"> energetyczne</w:t>
      </w:r>
      <w:r w:rsidR="004C6CF9">
        <w:rPr>
          <w:rFonts w:cs="Times New Roman"/>
        </w:rPr>
        <w:t>go</w:t>
      </w:r>
      <w:r>
        <w:rPr>
          <w:rFonts w:cs="Times New Roman"/>
        </w:rPr>
        <w:t xml:space="preserve"> oraz zakres</w:t>
      </w:r>
      <w:r w:rsidR="004C6CF9">
        <w:rPr>
          <w:rFonts w:cs="Times New Roman"/>
        </w:rPr>
        <w:t xml:space="preserve"> przeprowadzanej</w:t>
      </w:r>
      <w:r>
        <w:rPr>
          <w:rFonts w:cs="Times New Roman"/>
        </w:rPr>
        <w:t xml:space="preserve"> kontroli. Kontrola, zgodnie z przepisami projektu rozporządzenia jest przeprowadzona w miejscu zamontowania układów </w:t>
      </w:r>
      <w:r w:rsidR="00D20D17">
        <w:rPr>
          <w:rFonts w:cs="Times New Roman"/>
        </w:rPr>
        <w:t>pomiarowo</w:t>
      </w:r>
      <w:r w:rsidR="00E5614C">
        <w:rPr>
          <w:rFonts w:cs="Times New Roman"/>
        </w:rPr>
        <w:t>-</w:t>
      </w:r>
      <w:r>
        <w:rPr>
          <w:rFonts w:cs="Times New Roman"/>
        </w:rPr>
        <w:t>rozliczeniowych oraz w czasie wykonywania działalności gospodarczej przez przedsiębiorcę na podstawie analiz</w:t>
      </w:r>
      <w:r w:rsidR="00D20D17">
        <w:rPr>
          <w:rFonts w:cs="Times New Roman"/>
        </w:rPr>
        <w:t>y</w:t>
      </w:r>
      <w:r>
        <w:rPr>
          <w:rFonts w:cs="Times New Roman"/>
        </w:rPr>
        <w:t xml:space="preserve"> dokumentów, a także w oparciu o ust</w:t>
      </w:r>
      <w:r w:rsidR="00D20D17">
        <w:rPr>
          <w:rFonts w:cs="Times New Roman"/>
        </w:rPr>
        <w:t>n</w:t>
      </w:r>
      <w:r>
        <w:rPr>
          <w:rFonts w:cs="Times New Roman"/>
        </w:rPr>
        <w:t>e i pisemne wyjaśnienia</w:t>
      </w:r>
      <w:r w:rsidR="00D20D17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D20D17">
        <w:rPr>
          <w:rFonts w:cs="Times New Roman"/>
        </w:rPr>
        <w:t>P</w:t>
      </w:r>
      <w:r>
        <w:rPr>
          <w:rFonts w:cs="Times New Roman"/>
        </w:rPr>
        <w:t>o przeprowadzonej kontroli sporządz</w:t>
      </w:r>
      <w:r w:rsidR="00140C5E">
        <w:rPr>
          <w:rFonts w:cs="Times New Roman"/>
        </w:rPr>
        <w:t>a się</w:t>
      </w:r>
      <w:r>
        <w:rPr>
          <w:rFonts w:cs="Times New Roman"/>
        </w:rPr>
        <w:t xml:space="preserve"> protokół</w:t>
      </w:r>
      <w:r w:rsidR="00140C5E">
        <w:rPr>
          <w:rFonts w:cs="Times New Roman"/>
        </w:rPr>
        <w:t>, który</w:t>
      </w:r>
      <w:r>
        <w:rPr>
          <w:rFonts w:cs="Times New Roman"/>
        </w:rPr>
        <w:t xml:space="preserve"> powinien być przedstawiony organom </w:t>
      </w:r>
      <w:r w:rsidR="00D20D17">
        <w:rPr>
          <w:rFonts w:cs="Times New Roman"/>
        </w:rPr>
        <w:t>kontrolowanego</w:t>
      </w:r>
      <w:r>
        <w:rPr>
          <w:rFonts w:cs="Times New Roman"/>
        </w:rPr>
        <w:t xml:space="preserve"> przedsiębiorstwa energetycznego. </w:t>
      </w:r>
    </w:p>
    <w:p w14:paraId="71F1E18F" w14:textId="3F3A5A73" w:rsidR="00F81AD4" w:rsidRDefault="00140C5E" w:rsidP="00F81AD4">
      <w:pPr>
        <w:ind w:firstLine="567"/>
        <w:jc w:val="both"/>
        <w:rPr>
          <w:rFonts w:cs="Times New Roman"/>
        </w:rPr>
      </w:pPr>
      <w:r>
        <w:rPr>
          <w:rFonts w:cs="Times New Roman"/>
        </w:rPr>
        <w:t>Załatwianie</w:t>
      </w:r>
      <w:r w:rsidR="007A3AE9" w:rsidRPr="007A3AE9">
        <w:rPr>
          <w:rFonts w:cs="Times New Roman"/>
        </w:rPr>
        <w:t xml:space="preserve"> reklamacji w zakresie przyłączania do sieci ciepłowniczej</w:t>
      </w:r>
      <w:r w:rsidR="00585070">
        <w:rPr>
          <w:rFonts w:cs="Times New Roman"/>
        </w:rPr>
        <w:t xml:space="preserve"> zostało przypisane dystrybutorowi sieci ciepłowniczej, ze względu na fakt, iż to dystrybutor wydaje warunki techniczne przyłączenia do sieci ciepłowniczej i to dystrybutor powinien na pierwszym etapie </w:t>
      </w:r>
      <w:r w:rsidR="00585070">
        <w:rPr>
          <w:rFonts w:cs="Times New Roman"/>
        </w:rPr>
        <w:lastRenderedPageBreak/>
        <w:t xml:space="preserve">powtórnie przeanalizować ewentualną odmowę zawarcia umowy o przyłączenie do sieci. </w:t>
      </w:r>
      <w:r w:rsidR="0073651C">
        <w:rPr>
          <w:rFonts w:cs="Times New Roman"/>
        </w:rPr>
        <w:br/>
      </w:r>
      <w:r w:rsidR="00D20D17">
        <w:rPr>
          <w:rFonts w:cs="Times New Roman"/>
        </w:rPr>
        <w:t>N</w:t>
      </w:r>
      <w:r w:rsidR="00585070">
        <w:rPr>
          <w:rFonts w:cs="Times New Roman"/>
        </w:rPr>
        <w:t xml:space="preserve">a kolejnym </w:t>
      </w:r>
      <w:r w:rsidR="00D20D17">
        <w:rPr>
          <w:rFonts w:cs="Times New Roman"/>
        </w:rPr>
        <w:t xml:space="preserve">etapie podmiot wnoszący o przyłączenie </w:t>
      </w:r>
      <w:r w:rsidR="00585070">
        <w:rPr>
          <w:rFonts w:cs="Times New Roman"/>
        </w:rPr>
        <w:t xml:space="preserve">ma możliwość wnosić do Prezesa </w:t>
      </w:r>
      <w:r w:rsidR="00603031">
        <w:rPr>
          <w:rFonts w:cs="Times New Roman"/>
        </w:rPr>
        <w:t>URE</w:t>
      </w:r>
      <w:r w:rsidR="00585070">
        <w:rPr>
          <w:rFonts w:cs="Times New Roman"/>
        </w:rPr>
        <w:t xml:space="preserve"> o rozstrzygnięcie sporu dotyczącego odmowy zawarcia umowy przyłączenia do sieci </w:t>
      </w:r>
      <w:r w:rsidR="0073651C">
        <w:rPr>
          <w:rFonts w:cs="Times New Roman"/>
        </w:rPr>
        <w:br/>
      </w:r>
      <w:r w:rsidR="00585070">
        <w:rPr>
          <w:rFonts w:cs="Times New Roman"/>
        </w:rPr>
        <w:t>na podstawie art. 8 ust. 1 ustawy – Prawo energetyczne.</w:t>
      </w:r>
    </w:p>
    <w:p w14:paraId="444249E0" w14:textId="2F6279BB" w:rsidR="00A243C1" w:rsidRPr="00F81AD4" w:rsidRDefault="007A3AE9" w:rsidP="00F81AD4">
      <w:pPr>
        <w:ind w:firstLine="567"/>
        <w:jc w:val="both"/>
        <w:rPr>
          <w:rStyle w:val="Ppogrubienie"/>
          <w:rFonts w:cs="Times New Roman"/>
          <w:b w:val="0"/>
        </w:rPr>
      </w:pPr>
      <w:r w:rsidRPr="007A3AE9">
        <w:rPr>
          <w:rFonts w:cs="Times New Roman"/>
        </w:rPr>
        <w:t xml:space="preserve">Należy podkreślić, że celem nowelizacji ustawy OZE było m. in. stworzenie warunków umożliwiających realizację obowiązków wynikających z dyrektywy RED II. Treść art. 116 </w:t>
      </w:r>
      <w:r w:rsidR="0073651C">
        <w:rPr>
          <w:rFonts w:cs="Times New Roman"/>
        </w:rPr>
        <w:br/>
      </w:r>
      <w:r w:rsidRPr="007A3AE9">
        <w:rPr>
          <w:rFonts w:cs="Times New Roman"/>
        </w:rPr>
        <w:t>ust. 2a ustawy OZE</w:t>
      </w:r>
      <w:r w:rsidR="00113ED5">
        <w:rPr>
          <w:rFonts w:cs="Times New Roman"/>
        </w:rPr>
        <w:t>, który</w:t>
      </w:r>
      <w:r w:rsidRPr="007A3AE9">
        <w:rPr>
          <w:rFonts w:cs="Times New Roman"/>
        </w:rPr>
        <w:t xml:space="preserve"> implementuje wymóg zawarty w tej dyrektywie, dotyczący  powiadomienia o warunkach, które należy spełnić i środkach, które należy wprowadzić w systemie, aby umożliwić przyłączenie instalacji odnawialnego źródła energii. Ta materia został</w:t>
      </w:r>
      <w:r w:rsidR="00C81A13">
        <w:rPr>
          <w:rFonts w:cs="Times New Roman"/>
        </w:rPr>
        <w:t>a</w:t>
      </w:r>
      <w:r w:rsidRPr="007A3AE9">
        <w:rPr>
          <w:rFonts w:cs="Times New Roman"/>
        </w:rPr>
        <w:t xml:space="preserve"> również uregulowana w ustawie</w:t>
      </w:r>
      <w:r w:rsidR="00F81AD4">
        <w:rPr>
          <w:rFonts w:cs="Times New Roman"/>
        </w:rPr>
        <w:t xml:space="preserve"> – </w:t>
      </w:r>
      <w:r w:rsidRPr="007A3AE9">
        <w:rPr>
          <w:rFonts w:cs="Times New Roman"/>
        </w:rPr>
        <w:t xml:space="preserve">Prawo energetyczne. </w:t>
      </w:r>
      <w:r w:rsidRPr="007A3AE9">
        <w:rPr>
          <w:rFonts w:cs="Times New Roman"/>
        </w:rPr>
        <w:tab/>
      </w:r>
      <w:r w:rsidRPr="007A3AE9">
        <w:rPr>
          <w:rFonts w:cs="Times New Roman"/>
        </w:rPr>
        <w:tab/>
      </w:r>
      <w:r w:rsidRPr="007A3AE9">
        <w:rPr>
          <w:rFonts w:cs="Times New Roman"/>
        </w:rPr>
        <w:tab/>
      </w:r>
      <w:r w:rsidRPr="007A3AE9">
        <w:rPr>
          <w:rFonts w:cs="Times New Roman"/>
        </w:rPr>
        <w:tab/>
      </w:r>
      <w:r w:rsidRPr="007A3AE9">
        <w:rPr>
          <w:rFonts w:cs="Times New Roman"/>
        </w:rPr>
        <w:tab/>
        <w:t>Osiągnięcie wskazanego celu w przepisach wykonawczych, uwzględniających ponadto politykę energetyczną państwa, bezpieczeństwo pracy sieci ciepłowniczych, potrzebę ochrony środowiska naturalnego, cele gospodarcze i społeczne, w tym ochronę interesów odbiorców ciepła lub chłodu, a także udział wykorzystywanych technologii do wytwarzania ciepła lub chłodu z odnawialnych źródeł energii w tworzeniu nowych miejsc pracy, jak również potrzebę efektywnego wykorzystania energii pierwotnej</w:t>
      </w:r>
      <w:r w:rsidR="00BB3511">
        <w:rPr>
          <w:rFonts w:cs="Times New Roman"/>
        </w:rPr>
        <w:t>,</w:t>
      </w:r>
      <w:r w:rsidRPr="007A3AE9">
        <w:rPr>
          <w:rFonts w:cs="Times New Roman"/>
        </w:rPr>
        <w:t xml:space="preserve"> uzyskanej w wyniku jednoczesnego wytwarzania energii elektrycznej, ciepła lub chłodu lub paliw pochodzących ze źródeł odnawialnych stało się możliwe </w:t>
      </w:r>
      <w:r w:rsidR="007A64EA">
        <w:rPr>
          <w:rFonts w:cs="Times New Roman"/>
        </w:rPr>
        <w:t>przez</w:t>
      </w:r>
      <w:r w:rsidRPr="007A3AE9">
        <w:rPr>
          <w:rFonts w:cs="Times New Roman"/>
        </w:rPr>
        <w:t xml:space="preserve"> wprowadzenie proponowanej treści </w:t>
      </w:r>
      <w:r w:rsidRPr="007A3AE9">
        <w:rPr>
          <w:rStyle w:val="Ppogrubienie"/>
          <w:rFonts w:cs="Times New Roman"/>
          <w:b w:val="0"/>
          <w:bCs/>
        </w:rPr>
        <w:t>§ 3 rozporządzenia</w:t>
      </w:r>
      <w:r w:rsidR="00A243C1">
        <w:rPr>
          <w:rStyle w:val="Ppogrubienie"/>
          <w:rFonts w:cs="Times New Roman"/>
          <w:b w:val="0"/>
          <w:bCs/>
        </w:rPr>
        <w:t>.</w:t>
      </w:r>
    </w:p>
    <w:p w14:paraId="558885B3" w14:textId="699236B1" w:rsidR="007A3AE9" w:rsidRPr="007A3AE9" w:rsidRDefault="007A3AE9" w:rsidP="007A3AE9">
      <w:pPr>
        <w:ind w:firstLine="567"/>
        <w:jc w:val="both"/>
        <w:rPr>
          <w:rFonts w:cs="Times New Roman"/>
        </w:rPr>
      </w:pPr>
      <w:r w:rsidRPr="007A3AE9">
        <w:rPr>
          <w:rFonts w:cs="Times New Roman"/>
        </w:rPr>
        <w:t>Aby uzyskać cel w postaci ochrony interesu odbiorców w projektowanym rozporządzeniu zawarto regulację, na mocy której zakup ciepła lub chłodu objętych obowiązkiem zakupu powinien być oferowany po cenie nie wyższej od średniej ceny ciepła lub chłodu z innych źródeł zasilających sieć ciepłowniczą lub chłodniczą, powiększonej o średnioroczny wskaźnik cen towarów i usług konsumpcyjnych ogółem, określony w komunikacie Prezesa Głównego Urzędu Statystycznego i ogłoszony w Dzienniku Urzędowym Rzeczypospolitej Polskiej „Monitor Polski”, dla roku kalendarzowego poprzedzającego odpowiednio rok zatwierdzenia taryfy lub rok ustalenia cen i stawek opłat dla ciepła wytworzonego w instalacji. Zaś w przypadku, gdy wskaźnik ten jest ujemny - po cenie nie wyższej od średniej ceny ciepła z innych źródeł zasilających sieć.</w:t>
      </w:r>
      <w:r w:rsidRPr="007A3AE9">
        <w:rPr>
          <w:rFonts w:cs="Times New Roman"/>
        </w:rPr>
        <w:tab/>
      </w:r>
      <w:r w:rsidRPr="007A3AE9">
        <w:rPr>
          <w:rFonts w:cs="Times New Roman"/>
        </w:rPr>
        <w:tab/>
      </w:r>
      <w:r w:rsidRPr="007A3AE9">
        <w:rPr>
          <w:rFonts w:cs="Times New Roman"/>
        </w:rPr>
        <w:tab/>
      </w:r>
      <w:r w:rsidRPr="007A3AE9">
        <w:rPr>
          <w:rFonts w:cs="Times New Roman"/>
        </w:rPr>
        <w:tab/>
        <w:t xml:space="preserve">Ustawa OZE definiuje dedykowaną instalację spalania wielopaliwowego jako instalację spalania wielopaliwowego, w której udział liczony według wartości energetycznej biomasy, </w:t>
      </w:r>
      <w:proofErr w:type="spellStart"/>
      <w:r w:rsidRPr="007A3AE9">
        <w:rPr>
          <w:rFonts w:cs="Times New Roman"/>
        </w:rPr>
        <w:t>biopłynów</w:t>
      </w:r>
      <w:proofErr w:type="spellEnd"/>
      <w:r w:rsidRPr="007A3AE9">
        <w:rPr>
          <w:rFonts w:cs="Times New Roman"/>
        </w:rPr>
        <w:t xml:space="preserve">, biogazu lub biogazu rolniczego jest większy niż 15% w łącznej wartości energetycznej wszystkich spalonych paliw zużytych do wytworzenia energii elektrycznej lub ciepła w tej instalacji w okresie rozliczeniowym określonym we wniosku, o którym mowa w </w:t>
      </w:r>
      <w:r w:rsidRPr="007A3AE9">
        <w:rPr>
          <w:rFonts w:cs="Times New Roman"/>
        </w:rPr>
        <w:lastRenderedPageBreak/>
        <w:t>art. 45 ust. 1</w:t>
      </w:r>
      <w:r w:rsidR="004C613C">
        <w:rPr>
          <w:rFonts w:cs="Times New Roman"/>
        </w:rPr>
        <w:t xml:space="preserve"> ww. ustawy</w:t>
      </w:r>
      <w:r w:rsidRPr="007A3AE9">
        <w:rPr>
          <w:rFonts w:cs="Times New Roman"/>
        </w:rPr>
        <w:t>, albo w okresie rozliczeniowym, o którym mowa w art. 83 ust. 2</w:t>
      </w:r>
      <w:r w:rsidR="004C613C">
        <w:rPr>
          <w:rFonts w:cs="Times New Roman"/>
        </w:rPr>
        <w:t xml:space="preserve"> tej ustawy</w:t>
      </w:r>
      <w:r w:rsidRPr="007A3AE9">
        <w:rPr>
          <w:rFonts w:cs="Times New Roman"/>
        </w:rPr>
        <w:t>, o ile instalacja ta:</w:t>
      </w:r>
    </w:p>
    <w:p w14:paraId="5314B04E" w14:textId="77777777" w:rsidR="004A0A5F" w:rsidRDefault="007A3AE9" w:rsidP="004A0A5F">
      <w:pPr>
        <w:pStyle w:val="NIEARTTEKSTtekstnieartykuowanynppodstprawnarozplubpreambu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7A3AE9">
        <w:rPr>
          <w:rFonts w:ascii="Times New Roman" w:hAnsi="Times New Roman" w:cs="Times New Roman"/>
        </w:rPr>
        <w:t xml:space="preserve">jest wyposażona w odrębne linie technologiczne służące do transportu do komory paleniskowej biomasy, </w:t>
      </w:r>
      <w:proofErr w:type="spellStart"/>
      <w:r w:rsidRPr="007A3AE9">
        <w:rPr>
          <w:rFonts w:ascii="Times New Roman" w:hAnsi="Times New Roman" w:cs="Times New Roman"/>
        </w:rPr>
        <w:t>biopłynu</w:t>
      </w:r>
      <w:proofErr w:type="spellEnd"/>
      <w:r w:rsidRPr="007A3AE9">
        <w:rPr>
          <w:rFonts w:ascii="Times New Roman" w:hAnsi="Times New Roman" w:cs="Times New Roman"/>
        </w:rPr>
        <w:t>, biogazu lub biogazu rolniczego lub</w:t>
      </w:r>
    </w:p>
    <w:p w14:paraId="096A005C" w14:textId="26C79E68" w:rsidR="007A3AE9" w:rsidRPr="004A0A5F" w:rsidRDefault="007A3AE9" w:rsidP="004A0A5F">
      <w:pPr>
        <w:pStyle w:val="NIEARTTEKSTtekstnieartykuowanynppodstprawnarozplubpreambu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4A0A5F">
        <w:rPr>
          <w:rFonts w:ascii="Times New Roman" w:hAnsi="Times New Roman" w:cs="Times New Roman"/>
        </w:rPr>
        <w:t xml:space="preserve">wykorzystuje technologię fluidalną przeznaczoną do spalania odpadów przemysłowych wspólnie z paliwami kopalnymi lub paliwami powstałymi z ich przetworzenia oraz z biomasą, </w:t>
      </w:r>
      <w:proofErr w:type="spellStart"/>
      <w:r w:rsidRPr="004A0A5F">
        <w:rPr>
          <w:rFonts w:ascii="Times New Roman" w:hAnsi="Times New Roman" w:cs="Times New Roman"/>
        </w:rPr>
        <w:t>biopłynem</w:t>
      </w:r>
      <w:proofErr w:type="spellEnd"/>
      <w:r w:rsidRPr="004A0A5F">
        <w:rPr>
          <w:rFonts w:ascii="Times New Roman" w:hAnsi="Times New Roman" w:cs="Times New Roman"/>
        </w:rPr>
        <w:t>, biogazem lub z biogazem rolniczym.</w:t>
      </w:r>
    </w:p>
    <w:p w14:paraId="2847F001" w14:textId="74976B37" w:rsidR="00113ED5" w:rsidRDefault="00D20D17" w:rsidP="008340C8">
      <w:pPr>
        <w:pStyle w:val="NIEARTTEKSTtekstnieartykuowanynppodstprawnarozplubpreambu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 pkt 6 u</w:t>
      </w:r>
      <w:r w:rsidRPr="00D20D17">
        <w:rPr>
          <w:rFonts w:ascii="Times New Roman" w:hAnsi="Times New Roman" w:cs="Times New Roman"/>
        </w:rPr>
        <w:t>staw</w:t>
      </w:r>
      <w:r>
        <w:rPr>
          <w:rFonts w:ascii="Times New Roman" w:hAnsi="Times New Roman" w:cs="Times New Roman"/>
        </w:rPr>
        <w:t>y</w:t>
      </w:r>
      <w:r w:rsidRPr="00D20D17">
        <w:rPr>
          <w:rFonts w:ascii="Times New Roman" w:hAnsi="Times New Roman" w:cs="Times New Roman"/>
        </w:rPr>
        <w:t xml:space="preserve"> OZE wprowadza</w:t>
      </w:r>
      <w:r w:rsidR="00533507">
        <w:rPr>
          <w:rFonts w:ascii="Times New Roman" w:hAnsi="Times New Roman" w:cs="Times New Roman"/>
        </w:rPr>
        <w:t>jąc</w:t>
      </w:r>
      <w:r w:rsidRPr="00D20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definicję dedykowanej </w:t>
      </w:r>
      <w:r w:rsidRPr="00D20D17">
        <w:rPr>
          <w:rFonts w:ascii="Times New Roman" w:hAnsi="Times New Roman" w:cs="Times New Roman"/>
        </w:rPr>
        <w:t>instalacj</w:t>
      </w:r>
      <w:r>
        <w:rPr>
          <w:rFonts w:ascii="Times New Roman" w:hAnsi="Times New Roman" w:cs="Times New Roman"/>
        </w:rPr>
        <w:t>i</w:t>
      </w:r>
      <w:r w:rsidRPr="00D20D17">
        <w:rPr>
          <w:rFonts w:ascii="Times New Roman" w:hAnsi="Times New Roman" w:cs="Times New Roman"/>
        </w:rPr>
        <w:t xml:space="preserve"> spalania wielopaliwowego, w której udział liczony według wartości energetycznej biomasy, </w:t>
      </w:r>
      <w:proofErr w:type="spellStart"/>
      <w:r w:rsidRPr="00D20D17">
        <w:rPr>
          <w:rFonts w:ascii="Times New Roman" w:hAnsi="Times New Roman" w:cs="Times New Roman"/>
        </w:rPr>
        <w:t>biopłynów</w:t>
      </w:r>
      <w:proofErr w:type="spellEnd"/>
      <w:r w:rsidRPr="00D20D17">
        <w:rPr>
          <w:rFonts w:ascii="Times New Roman" w:hAnsi="Times New Roman" w:cs="Times New Roman"/>
        </w:rPr>
        <w:t>, biogazu lub biogazu rolniczego w łącznej wartości energetycznej wszystkich spalonych paliw zużytych do wytworzenia energii elektrycznej lub ciepła w tej instalacji</w:t>
      </w:r>
      <w:r w:rsidR="00533507">
        <w:rPr>
          <w:rFonts w:ascii="Times New Roman" w:hAnsi="Times New Roman" w:cs="Times New Roman"/>
        </w:rPr>
        <w:t xml:space="preserve"> wskazał na sposób uwzględnienia tylko energii OZE przy spalaniu wielopaliwowym</w:t>
      </w:r>
      <w:r>
        <w:rPr>
          <w:rFonts w:ascii="Times New Roman" w:hAnsi="Times New Roman" w:cs="Times New Roman"/>
        </w:rPr>
        <w:t>. W związku z koniecznością</w:t>
      </w:r>
      <w:r w:rsidRPr="00D20D17">
        <w:rPr>
          <w:rFonts w:ascii="Times New Roman" w:hAnsi="Times New Roman" w:cs="Times New Roman"/>
        </w:rPr>
        <w:t xml:space="preserve"> doprecyzowa</w:t>
      </w:r>
      <w:r>
        <w:rPr>
          <w:rFonts w:ascii="Times New Roman" w:hAnsi="Times New Roman" w:cs="Times New Roman"/>
        </w:rPr>
        <w:t>nia</w:t>
      </w:r>
      <w:r w:rsidRPr="00D20D17">
        <w:rPr>
          <w:rFonts w:ascii="Times New Roman" w:hAnsi="Times New Roman" w:cs="Times New Roman"/>
        </w:rPr>
        <w:t xml:space="preserve">, że obowiązek zakupu ciepła powinien dotyczyć tylko ciepła odpowiadającego </w:t>
      </w:r>
      <w:r>
        <w:rPr>
          <w:rFonts w:ascii="Times New Roman" w:hAnsi="Times New Roman" w:cs="Times New Roman"/>
        </w:rPr>
        <w:t xml:space="preserve">wartości energetycznej </w:t>
      </w:r>
      <w:r w:rsidRPr="00D20D17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odnawialnego źródła energii, w</w:t>
      </w:r>
      <w:r w:rsidR="007A3AE9" w:rsidRPr="007A3AE9">
        <w:rPr>
          <w:rFonts w:ascii="Times New Roman" w:hAnsi="Times New Roman" w:cs="Times New Roman"/>
        </w:rPr>
        <w:t xml:space="preserve"> projektowanym rozporządzeniu treść </w:t>
      </w:r>
      <w:r w:rsidR="007A3AE9" w:rsidRPr="007A3AE9">
        <w:rPr>
          <w:rStyle w:val="Ppogrubienie"/>
          <w:rFonts w:ascii="Times New Roman" w:hAnsi="Times New Roman" w:cs="Times New Roman"/>
          <w:b w:val="0"/>
          <w:bCs w:val="0"/>
        </w:rPr>
        <w:t>§ 3</w:t>
      </w:r>
      <w:r w:rsidR="004A0A5F">
        <w:rPr>
          <w:rStyle w:val="Ppogrubienie"/>
          <w:rFonts w:ascii="Times New Roman" w:hAnsi="Times New Roman" w:cs="Times New Roman"/>
          <w:b w:val="0"/>
          <w:bCs w:val="0"/>
        </w:rPr>
        <w:t xml:space="preserve"> ust. 4</w:t>
      </w:r>
      <w:r w:rsidR="007A3AE9" w:rsidRPr="007A3AE9">
        <w:rPr>
          <w:rStyle w:val="Ppogrubienie"/>
          <w:rFonts w:ascii="Times New Roman" w:hAnsi="Times New Roman" w:cs="Times New Roman"/>
          <w:b w:val="0"/>
          <w:bCs w:val="0"/>
        </w:rPr>
        <w:t xml:space="preserve"> nawiązuje do</w:t>
      </w:r>
      <w:r>
        <w:rPr>
          <w:rStyle w:val="Ppogrubienie"/>
          <w:rFonts w:ascii="Times New Roman" w:hAnsi="Times New Roman" w:cs="Times New Roman"/>
          <w:b w:val="0"/>
          <w:bCs w:val="0"/>
        </w:rPr>
        <w:t xml:space="preserve"> tego rozwiązania, </w:t>
      </w:r>
      <w:r w:rsidR="007A3AE9" w:rsidRPr="007A3AE9">
        <w:rPr>
          <w:rStyle w:val="Ppogrubienie"/>
          <w:rFonts w:ascii="Times New Roman" w:hAnsi="Times New Roman" w:cs="Times New Roman"/>
          <w:b w:val="0"/>
          <w:bCs w:val="0"/>
        </w:rPr>
        <w:t xml:space="preserve">aby zakres wypełnienia obowiązku </w:t>
      </w:r>
      <w:r>
        <w:rPr>
          <w:rStyle w:val="Ppogrubienie"/>
          <w:rFonts w:ascii="Times New Roman" w:hAnsi="Times New Roman" w:cs="Times New Roman"/>
          <w:b w:val="0"/>
          <w:bCs w:val="0"/>
        </w:rPr>
        <w:t>w przypadku</w:t>
      </w:r>
      <w:r w:rsidRPr="007A3AE9">
        <w:rPr>
          <w:rStyle w:val="Ppogrubienie"/>
          <w:rFonts w:ascii="Times New Roman" w:hAnsi="Times New Roman" w:cs="Times New Roman"/>
          <w:b w:val="0"/>
          <w:bCs w:val="0"/>
        </w:rPr>
        <w:t xml:space="preserve"> </w:t>
      </w:r>
      <w:r w:rsidR="007A3AE9" w:rsidRPr="007A3AE9">
        <w:rPr>
          <w:rStyle w:val="Ppogrubienie"/>
          <w:rFonts w:ascii="Times New Roman" w:hAnsi="Times New Roman" w:cs="Times New Roman"/>
          <w:b w:val="0"/>
          <w:bCs w:val="0"/>
        </w:rPr>
        <w:t>współspalania mógł być wypełniony zgodnie z intencją ustawodawcy.</w:t>
      </w:r>
      <w:r w:rsidR="008340C8">
        <w:rPr>
          <w:rStyle w:val="Ppogrubienie"/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</w:rPr>
        <w:t xml:space="preserve">W </w:t>
      </w:r>
      <w:r w:rsidR="00BF7797">
        <w:rPr>
          <w:rFonts w:ascii="Times New Roman" w:hAnsi="Times New Roman" w:cs="Times New Roman"/>
        </w:rPr>
        <w:t xml:space="preserve">§ 4 </w:t>
      </w:r>
      <w:r w:rsidR="007A3AE9" w:rsidRPr="007A3AE9">
        <w:rPr>
          <w:rFonts w:ascii="Times New Roman" w:hAnsi="Times New Roman" w:cs="Times New Roman"/>
        </w:rPr>
        <w:t>projektowan</w:t>
      </w:r>
      <w:r w:rsidR="00BF7797">
        <w:rPr>
          <w:rFonts w:ascii="Times New Roman" w:hAnsi="Times New Roman" w:cs="Times New Roman"/>
        </w:rPr>
        <w:t>ego</w:t>
      </w:r>
      <w:r w:rsidR="007A3AE9" w:rsidRPr="007A3AE9">
        <w:rPr>
          <w:rFonts w:ascii="Times New Roman" w:hAnsi="Times New Roman" w:cs="Times New Roman"/>
        </w:rPr>
        <w:t xml:space="preserve"> rozporządzeni</w:t>
      </w:r>
      <w:r w:rsidR="00BF7797">
        <w:rPr>
          <w:rFonts w:ascii="Times New Roman" w:hAnsi="Times New Roman" w:cs="Times New Roman"/>
        </w:rPr>
        <w:t>a</w:t>
      </w:r>
      <w:r w:rsidR="007A3AE9" w:rsidRPr="007A3AE9">
        <w:rPr>
          <w:rFonts w:ascii="Times New Roman" w:hAnsi="Times New Roman" w:cs="Times New Roman"/>
        </w:rPr>
        <w:t xml:space="preserve"> wskazano, że na potrzeby ustalenia rzeczywistej ilości zakupionego ciepła lub chłodu oraz ciepła odpadowego przyjmuje się wskazania układu pomiarowo-rozliczeniowego i miejsce określone w ww. umowie</w:t>
      </w:r>
      <w:r w:rsidR="00BF7797">
        <w:rPr>
          <w:rFonts w:ascii="Times New Roman" w:hAnsi="Times New Roman" w:cs="Times New Roman"/>
        </w:rPr>
        <w:t xml:space="preserve"> zawartej na podstawie art. 5 ust. 2 pkt 1 ustawy – Prawo energetyczne</w:t>
      </w:r>
      <w:r w:rsidR="007A3AE9" w:rsidRPr="007A3AE9">
        <w:rPr>
          <w:rFonts w:ascii="Times New Roman" w:hAnsi="Times New Roman" w:cs="Times New Roman"/>
        </w:rPr>
        <w:t>.</w:t>
      </w:r>
      <w:r w:rsidR="007A3AE9" w:rsidRPr="007A3AE9">
        <w:rPr>
          <w:rFonts w:ascii="Times New Roman" w:hAnsi="Times New Roman" w:cs="Times New Roman"/>
        </w:rPr>
        <w:tab/>
      </w:r>
      <w:r w:rsidR="007A3AE9" w:rsidRPr="007A3AE9">
        <w:rPr>
          <w:rFonts w:ascii="Times New Roman" w:hAnsi="Times New Roman" w:cs="Times New Roman"/>
        </w:rPr>
        <w:tab/>
      </w:r>
      <w:r w:rsidR="007A3AE9" w:rsidRPr="007A3AE9">
        <w:rPr>
          <w:rFonts w:ascii="Times New Roman" w:hAnsi="Times New Roman" w:cs="Times New Roman"/>
        </w:rPr>
        <w:tab/>
      </w:r>
      <w:r w:rsidR="007A3AE9" w:rsidRPr="007A3AE9">
        <w:rPr>
          <w:rFonts w:ascii="Times New Roman" w:hAnsi="Times New Roman" w:cs="Times New Roman"/>
        </w:rPr>
        <w:tab/>
      </w:r>
      <w:r w:rsidR="007A3AE9" w:rsidRPr="007A3AE9">
        <w:rPr>
          <w:rFonts w:ascii="Times New Roman" w:hAnsi="Times New Roman" w:cs="Times New Roman"/>
        </w:rPr>
        <w:tab/>
      </w:r>
      <w:r w:rsidR="007A3AE9" w:rsidRPr="007A3AE9">
        <w:rPr>
          <w:rFonts w:ascii="Times New Roman" w:hAnsi="Times New Roman" w:cs="Times New Roman"/>
        </w:rPr>
        <w:tab/>
      </w:r>
      <w:r w:rsidR="007A3AE9" w:rsidRPr="007A3AE9">
        <w:rPr>
          <w:rFonts w:ascii="Times New Roman" w:hAnsi="Times New Roman" w:cs="Times New Roman"/>
        </w:rPr>
        <w:tab/>
      </w:r>
      <w:r w:rsidR="00BF7797">
        <w:rPr>
          <w:rFonts w:ascii="Times New Roman" w:hAnsi="Times New Roman" w:cs="Times New Roman"/>
        </w:rPr>
        <w:t xml:space="preserve">Wprowadzony przez art. 116 ustawy OZE obowiązek zakupu i wydane na jego podstawie rozporządzenie wykonawcze, dzięki preferowaniu źródeł ciepła stosujących </w:t>
      </w:r>
      <w:r w:rsidR="00113ED5">
        <w:rPr>
          <w:rFonts w:ascii="Times New Roman" w:hAnsi="Times New Roman" w:cs="Times New Roman"/>
        </w:rPr>
        <w:t>nośniki energii</w:t>
      </w:r>
      <w:r w:rsidR="00BF7797">
        <w:rPr>
          <w:rFonts w:ascii="Times New Roman" w:hAnsi="Times New Roman" w:cs="Times New Roman"/>
        </w:rPr>
        <w:t xml:space="preserve"> będące odnawialnymi źródłami energii umożliwi </w:t>
      </w:r>
      <w:r w:rsidR="00113ED5">
        <w:rPr>
          <w:rFonts w:ascii="Times New Roman" w:hAnsi="Times New Roman" w:cs="Times New Roman"/>
        </w:rPr>
        <w:t>ograniczanie wykorzystywania</w:t>
      </w:r>
      <w:r w:rsidR="007A3AE9" w:rsidRPr="007A3AE9">
        <w:rPr>
          <w:rFonts w:ascii="Times New Roman" w:hAnsi="Times New Roman" w:cs="Times New Roman"/>
        </w:rPr>
        <w:t xml:space="preserve"> paliw kopalnych</w:t>
      </w:r>
      <w:r w:rsidR="00BF7797">
        <w:rPr>
          <w:rFonts w:ascii="Times New Roman" w:hAnsi="Times New Roman" w:cs="Times New Roman"/>
        </w:rPr>
        <w:t xml:space="preserve"> stosowanych do wytwarzania ciepła</w:t>
      </w:r>
      <w:r w:rsidR="007A3AE9" w:rsidRPr="007A3AE9">
        <w:rPr>
          <w:rFonts w:ascii="Times New Roman" w:hAnsi="Times New Roman" w:cs="Times New Roman"/>
        </w:rPr>
        <w:t xml:space="preserve">. Aktualnie </w:t>
      </w:r>
      <w:r w:rsidR="00113ED5">
        <w:rPr>
          <w:rFonts w:ascii="Times New Roman" w:hAnsi="Times New Roman" w:cs="Times New Roman"/>
        </w:rPr>
        <w:t>około</w:t>
      </w:r>
      <w:r w:rsidR="007A3AE9" w:rsidRPr="007A3AE9">
        <w:rPr>
          <w:rFonts w:ascii="Times New Roman" w:hAnsi="Times New Roman" w:cs="Times New Roman"/>
        </w:rPr>
        <w:t xml:space="preserve"> 70% ciepła systemowego jest wytwarzane z węgla, a </w:t>
      </w:r>
      <w:r w:rsidR="00113ED5">
        <w:rPr>
          <w:rFonts w:ascii="Times New Roman" w:hAnsi="Times New Roman" w:cs="Times New Roman"/>
        </w:rPr>
        <w:t>tylko nieliczne</w:t>
      </w:r>
      <w:r w:rsidR="007A3AE9" w:rsidRPr="007A3AE9">
        <w:rPr>
          <w:rFonts w:ascii="Times New Roman" w:hAnsi="Times New Roman" w:cs="Times New Roman"/>
        </w:rPr>
        <w:t xml:space="preserve"> </w:t>
      </w:r>
      <w:r w:rsidR="00113ED5" w:rsidRPr="007A3AE9">
        <w:rPr>
          <w:rFonts w:ascii="Times New Roman" w:hAnsi="Times New Roman" w:cs="Times New Roman"/>
        </w:rPr>
        <w:t>system</w:t>
      </w:r>
      <w:r w:rsidR="00113ED5">
        <w:rPr>
          <w:rFonts w:ascii="Times New Roman" w:hAnsi="Times New Roman" w:cs="Times New Roman"/>
        </w:rPr>
        <w:t xml:space="preserve">y </w:t>
      </w:r>
      <w:r w:rsidR="007A3AE9" w:rsidRPr="007A3AE9">
        <w:rPr>
          <w:rFonts w:ascii="Times New Roman" w:hAnsi="Times New Roman" w:cs="Times New Roman"/>
        </w:rPr>
        <w:t>ciepłownicz</w:t>
      </w:r>
      <w:r w:rsidR="00113ED5">
        <w:rPr>
          <w:rFonts w:ascii="Times New Roman" w:hAnsi="Times New Roman" w:cs="Times New Roman"/>
        </w:rPr>
        <w:t>e</w:t>
      </w:r>
      <w:r w:rsidR="007A3AE9" w:rsidRPr="007A3AE9">
        <w:rPr>
          <w:rFonts w:ascii="Times New Roman" w:hAnsi="Times New Roman" w:cs="Times New Roman"/>
        </w:rPr>
        <w:t xml:space="preserve"> </w:t>
      </w:r>
      <w:r w:rsidR="00113ED5">
        <w:rPr>
          <w:rFonts w:ascii="Times New Roman" w:hAnsi="Times New Roman" w:cs="Times New Roman"/>
        </w:rPr>
        <w:t>mogą</w:t>
      </w:r>
      <w:r w:rsidR="007A3AE9" w:rsidRPr="007A3AE9">
        <w:rPr>
          <w:rFonts w:ascii="Times New Roman" w:hAnsi="Times New Roman" w:cs="Times New Roman"/>
        </w:rPr>
        <w:t xml:space="preserve"> być uznan</w:t>
      </w:r>
      <w:r w:rsidR="00113ED5">
        <w:rPr>
          <w:rFonts w:ascii="Times New Roman" w:hAnsi="Times New Roman" w:cs="Times New Roman"/>
        </w:rPr>
        <w:t>e</w:t>
      </w:r>
      <w:r w:rsidR="007A3AE9" w:rsidRPr="007A3AE9">
        <w:rPr>
          <w:rFonts w:ascii="Times New Roman" w:hAnsi="Times New Roman" w:cs="Times New Roman"/>
        </w:rPr>
        <w:t xml:space="preserve"> za systemy efektywne</w:t>
      </w:r>
      <w:r w:rsidR="00113ED5">
        <w:rPr>
          <w:rFonts w:ascii="Times New Roman" w:hAnsi="Times New Roman" w:cs="Times New Roman"/>
        </w:rPr>
        <w:t xml:space="preserve"> energetycznie</w:t>
      </w:r>
      <w:r w:rsidR="007A3AE9" w:rsidRPr="007A3AE9">
        <w:rPr>
          <w:rFonts w:ascii="Times New Roman" w:hAnsi="Times New Roman" w:cs="Times New Roman"/>
        </w:rPr>
        <w:t xml:space="preserve">. Ten stan rzeczy wymaga poprawy, a jednym z narzędzi umożliwiających zmianę i rozwój </w:t>
      </w:r>
      <w:r w:rsidR="00113ED5">
        <w:rPr>
          <w:rFonts w:ascii="Times New Roman" w:hAnsi="Times New Roman" w:cs="Times New Roman"/>
        </w:rPr>
        <w:t>źródeł alternatywnych</w:t>
      </w:r>
      <w:r w:rsidR="007A3AE9" w:rsidRPr="007A3AE9">
        <w:rPr>
          <w:rFonts w:ascii="Times New Roman" w:hAnsi="Times New Roman" w:cs="Times New Roman"/>
        </w:rPr>
        <w:t xml:space="preserve"> są odpowiednie środki legislacyjne, wdrażane niniejszym projektem rozporządzenia. Określenie zakresu obowiązków i warunków zakupu i zasad priorytetowego przyłączania odnawialnych źródeł energii wpłynie</w:t>
      </w:r>
      <w:r w:rsidR="00113ED5">
        <w:rPr>
          <w:rFonts w:ascii="Times New Roman" w:hAnsi="Times New Roman" w:cs="Times New Roman"/>
        </w:rPr>
        <w:t xml:space="preserve"> ponadto</w:t>
      </w:r>
      <w:r w:rsidR="007A3AE9" w:rsidRPr="007A3AE9">
        <w:rPr>
          <w:rFonts w:ascii="Times New Roman" w:hAnsi="Times New Roman" w:cs="Times New Roman"/>
        </w:rPr>
        <w:t xml:space="preserve"> pozytywnie na jakość powietrza.</w:t>
      </w:r>
      <w:r w:rsidR="00113ED5">
        <w:rPr>
          <w:rFonts w:ascii="Times New Roman" w:hAnsi="Times New Roman" w:cs="Times New Roman"/>
        </w:rPr>
        <w:t xml:space="preserve"> </w:t>
      </w:r>
    </w:p>
    <w:p w14:paraId="09F24E51" w14:textId="6D5D1DAA" w:rsidR="004A0A5F" w:rsidRDefault="007A3AE9" w:rsidP="007A3AE9">
      <w:pPr>
        <w:pStyle w:val="NIEARTTEKSTtekstnieartykuowanynppodstprawnarozplubpreambua"/>
        <w:rPr>
          <w:rFonts w:ascii="Times New Roman" w:hAnsi="Times New Roman" w:cs="Times New Roman"/>
        </w:rPr>
      </w:pPr>
      <w:r w:rsidRPr="007A3AE9">
        <w:rPr>
          <w:rFonts w:ascii="Times New Roman" w:hAnsi="Times New Roman" w:cs="Times New Roman"/>
        </w:rPr>
        <w:t xml:space="preserve">Projekt rozporządzenia nie zawiera przepisów technicznych w rozumieniu rozporządzenia Rady Ministrów z dnia 23 grudnia 2002 r. w sprawie sposobu funkcjonowania krajowego </w:t>
      </w:r>
      <w:r w:rsidRPr="007A3AE9">
        <w:rPr>
          <w:rFonts w:ascii="Times New Roman" w:hAnsi="Times New Roman" w:cs="Times New Roman"/>
        </w:rPr>
        <w:lastRenderedPageBreak/>
        <w:t xml:space="preserve">systemu notyfikacji norm i aktów prawnych (Dz. U. poz. 2039, z późn. zm.) i nie podlega notyfikacji technicznej Komisji Europejskiej. </w:t>
      </w:r>
    </w:p>
    <w:p w14:paraId="47810C70" w14:textId="3CC70D23" w:rsidR="004A0A5F" w:rsidRDefault="007A3AE9" w:rsidP="007A3AE9">
      <w:pPr>
        <w:pStyle w:val="NIEARTTEKSTtekstnieartykuowanynppodstprawnarozplubpreambua"/>
        <w:rPr>
          <w:rFonts w:ascii="Times New Roman" w:hAnsi="Times New Roman" w:cs="Times New Roman"/>
        </w:rPr>
      </w:pPr>
      <w:r w:rsidRPr="007A3AE9">
        <w:rPr>
          <w:rFonts w:ascii="Times New Roman" w:hAnsi="Times New Roman" w:cs="Times New Roman"/>
        </w:rPr>
        <w:t>Projekt rozporządzenia nie wymaga przedstawienia właściwym instytucjom i organom Unii Europejskiej, w tym Europejskiemu Bankowi Centralnemu, celem uzyskania opinii, dokonania powiadomienia, konsultacji oraz uzgodnienia projektu.</w:t>
      </w:r>
      <w:r w:rsidRPr="007A3AE9">
        <w:rPr>
          <w:rFonts w:ascii="Times New Roman" w:hAnsi="Times New Roman" w:cs="Times New Roman"/>
        </w:rPr>
        <w:tab/>
      </w:r>
      <w:r w:rsidRPr="007A3AE9">
        <w:rPr>
          <w:rFonts w:ascii="Times New Roman" w:hAnsi="Times New Roman" w:cs="Times New Roman"/>
        </w:rPr>
        <w:tab/>
      </w:r>
      <w:r w:rsidRPr="007A3AE9">
        <w:rPr>
          <w:rFonts w:ascii="Times New Roman" w:hAnsi="Times New Roman" w:cs="Times New Roman"/>
        </w:rPr>
        <w:tab/>
      </w:r>
    </w:p>
    <w:p w14:paraId="09011653" w14:textId="77777777" w:rsidR="004A0A5F" w:rsidRDefault="004A0A5F" w:rsidP="007A3AE9">
      <w:pPr>
        <w:pStyle w:val="NIEARTTEKSTtekstnieartykuowanynppodstprawnarozplubpreambu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A3AE9" w:rsidRPr="007A3AE9">
        <w:rPr>
          <w:rFonts w:ascii="Times New Roman" w:hAnsi="Times New Roman" w:cs="Times New Roman"/>
        </w:rPr>
        <w:t>rojektowane przepisy zostały przeanalizowane pod kątem wpływu na mikro, małe i średnie przedsiębiorstwa. Regulacje zawarte w projekcie rozporządzenia nie będą miały wpływu na ich funkcjonowanie.</w:t>
      </w:r>
    </w:p>
    <w:p w14:paraId="210A737F" w14:textId="77777777" w:rsidR="00533507" w:rsidRDefault="007A3AE9" w:rsidP="007A3AE9">
      <w:pPr>
        <w:pStyle w:val="NIEARTTEKSTtekstnieartykuowanynppodstprawnarozplubpreambua"/>
        <w:rPr>
          <w:rFonts w:ascii="Times New Roman" w:hAnsi="Times New Roman" w:cs="Times New Roman"/>
        </w:rPr>
      </w:pPr>
      <w:r w:rsidRPr="007A3AE9">
        <w:rPr>
          <w:rFonts w:ascii="Times New Roman" w:hAnsi="Times New Roman" w:cs="Times New Roman"/>
        </w:rPr>
        <w:t>Projekt przedmiotowej regulacji, zgodnie z wymogami określonymi w art. 5 ustawy z dnia 7 lipca 2005 o działalności lobbingowej w procesie stosowania prawa (Dz. U. z 2017 r. poz. 248), zostanie udostępniony w Biuletynie Informacji Publicznej na stronie podmiotowej Rządowego Centrum Legislacji, w serwisie Rządowy Proces Legislacyjny.</w:t>
      </w:r>
    </w:p>
    <w:p w14:paraId="59675930" w14:textId="77777777" w:rsidR="00533507" w:rsidRDefault="007A3AE9" w:rsidP="007A3AE9">
      <w:pPr>
        <w:pStyle w:val="NIEARTTEKSTtekstnieartykuowanynppodstprawnarozplubpreambua"/>
        <w:rPr>
          <w:rFonts w:ascii="Times New Roman" w:hAnsi="Times New Roman" w:cs="Times New Roman"/>
        </w:rPr>
      </w:pPr>
      <w:r w:rsidRPr="007A3AE9">
        <w:rPr>
          <w:rFonts w:ascii="Times New Roman" w:hAnsi="Times New Roman" w:cs="Times New Roman"/>
        </w:rPr>
        <w:t>Projekt rozporządzenia jest zgodny z przepisami Unii Europejskiej.</w:t>
      </w:r>
    </w:p>
    <w:p w14:paraId="66392870" w14:textId="674B9386" w:rsidR="007A3AE9" w:rsidRPr="007A3AE9" w:rsidRDefault="007A3AE9" w:rsidP="007A3AE9">
      <w:pPr>
        <w:pStyle w:val="NIEARTTEKSTtekstnieartykuowanynppodstprawnarozplubpreambua"/>
        <w:rPr>
          <w:rFonts w:ascii="Times New Roman" w:hAnsi="Times New Roman" w:cs="Times New Roman"/>
        </w:rPr>
      </w:pPr>
      <w:r w:rsidRPr="007A3AE9">
        <w:rPr>
          <w:rFonts w:ascii="Times New Roman" w:hAnsi="Times New Roman" w:cs="Times New Roman"/>
        </w:rPr>
        <w:t>Planuje się, że projektowane rozporządzenie wejdzie w życie po upływie 14 dni od dnia ogłoszenia w Dzienniku Ustaw.</w:t>
      </w:r>
    </w:p>
    <w:p w14:paraId="39D12CDA" w14:textId="77777777" w:rsidR="007A3AE9" w:rsidRPr="00FC581D" w:rsidRDefault="007A3AE9" w:rsidP="007A3AE9">
      <w:pPr>
        <w:pStyle w:val="NIEARTTEKSTtekstnieartykuowanynppodstprawnarozplubpreambua"/>
      </w:pPr>
    </w:p>
    <w:p w14:paraId="28B26AB5" w14:textId="77777777" w:rsidR="007A3AE9" w:rsidRPr="00915329" w:rsidRDefault="007A3AE9" w:rsidP="007A3AE9">
      <w:pPr>
        <w:pStyle w:val="NIEARTTEKSTtekstnieartykuowanynppodstprawnarozplubpreambua"/>
      </w:pPr>
    </w:p>
    <w:p w14:paraId="5FB46E7B" w14:textId="77777777" w:rsidR="007A3AE9" w:rsidRPr="00737F6A" w:rsidRDefault="007A3AE9" w:rsidP="007A3AE9">
      <w:pPr>
        <w:pStyle w:val="NIEARTTEKSTtekstnieartykuowanynppodstprawnarozplubpreambua"/>
      </w:pPr>
    </w:p>
    <w:p w14:paraId="46042787" w14:textId="77777777" w:rsidR="006C00EB" w:rsidRDefault="006C00EB"/>
    <w:sectPr w:rsidR="006C00EB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D2C3" w14:textId="77777777" w:rsidR="00DD01DE" w:rsidRDefault="00DD01DE">
      <w:pPr>
        <w:spacing w:line="240" w:lineRule="auto"/>
      </w:pPr>
      <w:r>
        <w:separator/>
      </w:r>
    </w:p>
  </w:endnote>
  <w:endnote w:type="continuationSeparator" w:id="0">
    <w:p w14:paraId="3D773C66" w14:textId="77777777" w:rsidR="00DD01DE" w:rsidRDefault="00DD0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3E5A" w14:textId="77777777" w:rsidR="00DD01DE" w:rsidRDefault="00DD01DE">
      <w:pPr>
        <w:spacing w:line="240" w:lineRule="auto"/>
      </w:pPr>
      <w:r>
        <w:separator/>
      </w:r>
    </w:p>
  </w:footnote>
  <w:footnote w:type="continuationSeparator" w:id="0">
    <w:p w14:paraId="6F1FD9DB" w14:textId="77777777" w:rsidR="00DD01DE" w:rsidRDefault="00DD0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3E86" w14:textId="77777777" w:rsidR="009F5FAF" w:rsidRPr="00B371CC" w:rsidRDefault="0000000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2442"/>
    <w:multiLevelType w:val="hybridMultilevel"/>
    <w:tmpl w:val="FCCE1C74"/>
    <w:lvl w:ilvl="0" w:tplc="6A64EA2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578722F3"/>
    <w:multiLevelType w:val="hybridMultilevel"/>
    <w:tmpl w:val="8AC053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7917539">
    <w:abstractNumId w:val="1"/>
  </w:num>
  <w:num w:numId="2" w16cid:durableId="194341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EB"/>
    <w:rsid w:val="00053EF9"/>
    <w:rsid w:val="000609F0"/>
    <w:rsid w:val="00074AAB"/>
    <w:rsid w:val="00077B46"/>
    <w:rsid w:val="00101B18"/>
    <w:rsid w:val="00113ED5"/>
    <w:rsid w:val="00140C5E"/>
    <w:rsid w:val="00151995"/>
    <w:rsid w:val="001532B0"/>
    <w:rsid w:val="001D4853"/>
    <w:rsid w:val="00227917"/>
    <w:rsid w:val="002356F4"/>
    <w:rsid w:val="002617FE"/>
    <w:rsid w:val="00286348"/>
    <w:rsid w:val="003A42BF"/>
    <w:rsid w:val="003E4C5A"/>
    <w:rsid w:val="00432E25"/>
    <w:rsid w:val="004A0A5F"/>
    <w:rsid w:val="004C613C"/>
    <w:rsid w:val="004C6CF9"/>
    <w:rsid w:val="004E7A6A"/>
    <w:rsid w:val="00533507"/>
    <w:rsid w:val="005531F9"/>
    <w:rsid w:val="00561FF9"/>
    <w:rsid w:val="00585070"/>
    <w:rsid w:val="00603031"/>
    <w:rsid w:val="00632480"/>
    <w:rsid w:val="006C00EB"/>
    <w:rsid w:val="006E6630"/>
    <w:rsid w:val="0073651C"/>
    <w:rsid w:val="00770296"/>
    <w:rsid w:val="0079689B"/>
    <w:rsid w:val="007A3AE9"/>
    <w:rsid w:val="007A64EA"/>
    <w:rsid w:val="007C605C"/>
    <w:rsid w:val="008340C8"/>
    <w:rsid w:val="0086278C"/>
    <w:rsid w:val="008E78B8"/>
    <w:rsid w:val="009830DA"/>
    <w:rsid w:val="009F5FAF"/>
    <w:rsid w:val="00A243C1"/>
    <w:rsid w:val="00A31DAE"/>
    <w:rsid w:val="00B30D3D"/>
    <w:rsid w:val="00B90E62"/>
    <w:rsid w:val="00BB3511"/>
    <w:rsid w:val="00BD7CCF"/>
    <w:rsid w:val="00BF7797"/>
    <w:rsid w:val="00C03CA7"/>
    <w:rsid w:val="00C42C6F"/>
    <w:rsid w:val="00C81A13"/>
    <w:rsid w:val="00CB0749"/>
    <w:rsid w:val="00D20D17"/>
    <w:rsid w:val="00D32304"/>
    <w:rsid w:val="00DB2DC2"/>
    <w:rsid w:val="00DC6556"/>
    <w:rsid w:val="00DD01DE"/>
    <w:rsid w:val="00E5614C"/>
    <w:rsid w:val="00F81AD4"/>
    <w:rsid w:val="00F87346"/>
    <w:rsid w:val="00FA34DF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4419"/>
  <w15:chartTrackingRefBased/>
  <w15:docId w15:val="{2FE9699D-7A03-4A7F-98E8-259588B0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AE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A3AE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A3AE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7A3AE9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7A3AE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character" w:customStyle="1" w:styleId="Ppogrubienie">
    <w:name w:val="_P_ – pogrubienie"/>
    <w:basedOn w:val="Domylnaczcionkaakapitu"/>
    <w:uiPriority w:val="1"/>
    <w:qFormat/>
    <w:rsid w:val="007A3AE9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64E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64EA"/>
    <w:rPr>
      <w:rFonts w:ascii="Times New Roman" w:eastAsiaTheme="minorEastAsia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4EA"/>
    <w:rPr>
      <w:rFonts w:ascii="Times New Roman" w:eastAsiaTheme="minorEastAsia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2356F4"/>
    <w:pPr>
      <w:spacing w:after="0" w:line="240" w:lineRule="auto"/>
    </w:pPr>
    <w:rPr>
      <w:rFonts w:ascii="Times New Roman" w:eastAsiaTheme="minorEastAsia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2590-613B-48AF-B932-4BEBCAF4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1678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Aleksandra</dc:creator>
  <cp:keywords/>
  <dc:description/>
  <cp:lastModifiedBy>Banaszak Wojciech</cp:lastModifiedBy>
  <cp:revision>9</cp:revision>
  <dcterms:created xsi:type="dcterms:W3CDTF">2023-11-06T08:10:00Z</dcterms:created>
  <dcterms:modified xsi:type="dcterms:W3CDTF">2023-11-16T11:44:00Z</dcterms:modified>
</cp:coreProperties>
</file>