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91A6" w14:textId="77777777" w:rsidR="00A057B2" w:rsidRPr="00B452A5" w:rsidRDefault="00A057B2" w:rsidP="00A057B2">
      <w:pPr>
        <w:jc w:val="center"/>
        <w:rPr>
          <w:rFonts w:ascii="Times New Roman" w:hAnsi="Times New Roman" w:cs="Times New Roman"/>
          <w:b/>
          <w:sz w:val="24"/>
          <w:szCs w:val="24"/>
          <w:lang w:eastAsia="pl-PL"/>
        </w:rPr>
      </w:pPr>
      <w:r w:rsidRPr="00B452A5">
        <w:rPr>
          <w:rFonts w:ascii="Times New Roman" w:hAnsi="Times New Roman" w:cs="Times New Roman"/>
          <w:b/>
          <w:sz w:val="24"/>
          <w:szCs w:val="24"/>
          <w:lang w:eastAsia="pl-PL"/>
        </w:rPr>
        <w:t>UZASADNIENIE</w:t>
      </w:r>
    </w:p>
    <w:p w14:paraId="2CFA4F65" w14:textId="77777777" w:rsidR="00B452A5" w:rsidRDefault="00B452A5" w:rsidP="00A057B2">
      <w:pPr>
        <w:ind w:firstLine="426"/>
        <w:jc w:val="both"/>
        <w:rPr>
          <w:rFonts w:ascii="Times New Roman" w:hAnsi="Times New Roman" w:cs="Times New Roman"/>
          <w:sz w:val="24"/>
          <w:szCs w:val="24"/>
          <w:lang w:eastAsia="pl-PL"/>
        </w:rPr>
      </w:pPr>
    </w:p>
    <w:p w14:paraId="6215B363" w14:textId="0BE80E96" w:rsidR="004A5912" w:rsidRPr="00CF0BC6" w:rsidRDefault="007036EF" w:rsidP="004A5912">
      <w:pPr>
        <w:ind w:firstLine="42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Proponowany projekt rozporządzenia stanowi realizację </w:t>
      </w:r>
      <w:r w:rsidR="00E24227">
        <w:rPr>
          <w:rFonts w:ascii="Times New Roman" w:hAnsi="Times New Roman" w:cs="Times New Roman"/>
          <w:sz w:val="24"/>
          <w:szCs w:val="24"/>
          <w:lang w:eastAsia="pl-PL"/>
        </w:rPr>
        <w:t>upoważnienia</w:t>
      </w:r>
      <w:r w:rsidR="004A5912" w:rsidRPr="00CF0BC6">
        <w:rPr>
          <w:rFonts w:ascii="Times New Roman" w:hAnsi="Times New Roman" w:cs="Times New Roman"/>
          <w:sz w:val="24"/>
          <w:szCs w:val="24"/>
          <w:lang w:eastAsia="pl-PL"/>
        </w:rPr>
        <w:t xml:space="preserve"> ustawowe</w:t>
      </w:r>
      <w:r w:rsidR="00E24227">
        <w:rPr>
          <w:rFonts w:ascii="Times New Roman" w:hAnsi="Times New Roman" w:cs="Times New Roman"/>
          <w:sz w:val="24"/>
          <w:szCs w:val="24"/>
          <w:lang w:eastAsia="pl-PL"/>
        </w:rPr>
        <w:t>go</w:t>
      </w:r>
      <w:r w:rsidR="004A5912" w:rsidRPr="00CF0BC6">
        <w:rPr>
          <w:rFonts w:ascii="Times New Roman" w:hAnsi="Times New Roman" w:cs="Times New Roman"/>
          <w:sz w:val="24"/>
          <w:szCs w:val="24"/>
          <w:lang w:eastAsia="pl-PL"/>
        </w:rPr>
        <w:t xml:space="preserve"> zawarte</w:t>
      </w:r>
      <w:r w:rsidR="00E24227">
        <w:rPr>
          <w:rFonts w:ascii="Times New Roman" w:hAnsi="Times New Roman" w:cs="Times New Roman"/>
          <w:sz w:val="24"/>
          <w:szCs w:val="24"/>
          <w:lang w:eastAsia="pl-PL"/>
        </w:rPr>
        <w:t>go</w:t>
      </w:r>
      <w:r w:rsidR="004A5912" w:rsidRPr="00CF0BC6">
        <w:rPr>
          <w:rFonts w:ascii="Times New Roman" w:hAnsi="Times New Roman" w:cs="Times New Roman"/>
          <w:sz w:val="24"/>
          <w:szCs w:val="24"/>
          <w:lang w:eastAsia="pl-PL"/>
        </w:rPr>
        <w:t xml:space="preserve"> w art. 14d ustawy z dnia 19 sierpnia 2011 r. o usługach płatniczych</w:t>
      </w:r>
      <w:r w:rsidR="00D62737">
        <w:rPr>
          <w:rFonts w:ascii="Times New Roman" w:hAnsi="Times New Roman" w:cs="Times New Roman"/>
          <w:sz w:val="24"/>
          <w:szCs w:val="24"/>
          <w:lang w:eastAsia="pl-PL"/>
        </w:rPr>
        <w:t>.</w:t>
      </w:r>
      <w:r w:rsidR="00EF1FCF">
        <w:rPr>
          <w:rFonts w:ascii="Times New Roman" w:hAnsi="Times New Roman" w:cs="Times New Roman"/>
          <w:sz w:val="24"/>
          <w:szCs w:val="24"/>
          <w:lang w:eastAsia="pl-PL"/>
        </w:rPr>
        <w:t xml:space="preserve"> </w:t>
      </w:r>
      <w:r w:rsidR="004A5912" w:rsidRPr="00CF0BC6">
        <w:rPr>
          <w:rFonts w:ascii="Times New Roman" w:hAnsi="Times New Roman" w:cs="Times New Roman"/>
          <w:sz w:val="24"/>
          <w:szCs w:val="24"/>
          <w:lang w:eastAsia="pl-PL"/>
        </w:rPr>
        <w:t xml:space="preserve">Zgodnie z </w:t>
      </w:r>
      <w:r w:rsidR="009B14A7">
        <w:rPr>
          <w:rFonts w:ascii="Times New Roman" w:hAnsi="Times New Roman" w:cs="Times New Roman"/>
          <w:sz w:val="24"/>
          <w:szCs w:val="24"/>
          <w:lang w:eastAsia="pl-PL"/>
        </w:rPr>
        <w:t xml:space="preserve">jego </w:t>
      </w:r>
      <w:r w:rsidR="004A5912" w:rsidRPr="00CF0BC6">
        <w:rPr>
          <w:rFonts w:ascii="Times New Roman" w:hAnsi="Times New Roman" w:cs="Times New Roman"/>
          <w:sz w:val="24"/>
          <w:szCs w:val="24"/>
          <w:lang w:eastAsia="pl-PL"/>
        </w:rPr>
        <w:t>treścią, minister właściwy do spraw instytucji finansowych, po zasięgnięciu opinii Prezesa N</w:t>
      </w:r>
      <w:r w:rsidR="00E24227">
        <w:rPr>
          <w:rFonts w:ascii="Times New Roman" w:hAnsi="Times New Roman" w:cs="Times New Roman"/>
          <w:sz w:val="24"/>
          <w:szCs w:val="24"/>
          <w:lang w:eastAsia="pl-PL"/>
        </w:rPr>
        <w:t xml:space="preserve">arodowego </w:t>
      </w:r>
      <w:r w:rsidR="004A5912" w:rsidRPr="00CF0BC6">
        <w:rPr>
          <w:rFonts w:ascii="Times New Roman" w:hAnsi="Times New Roman" w:cs="Times New Roman"/>
          <w:sz w:val="24"/>
          <w:szCs w:val="24"/>
          <w:lang w:eastAsia="pl-PL"/>
        </w:rPr>
        <w:t>B</w:t>
      </w:r>
      <w:r w:rsidR="00E24227">
        <w:rPr>
          <w:rFonts w:ascii="Times New Roman" w:hAnsi="Times New Roman" w:cs="Times New Roman"/>
          <w:sz w:val="24"/>
          <w:szCs w:val="24"/>
          <w:lang w:eastAsia="pl-PL"/>
        </w:rPr>
        <w:t xml:space="preserve">anku </w:t>
      </w:r>
      <w:r w:rsidR="004A5912" w:rsidRPr="00CF0BC6">
        <w:rPr>
          <w:rFonts w:ascii="Times New Roman" w:hAnsi="Times New Roman" w:cs="Times New Roman"/>
          <w:sz w:val="24"/>
          <w:szCs w:val="24"/>
          <w:lang w:eastAsia="pl-PL"/>
        </w:rPr>
        <w:t>P</w:t>
      </w:r>
      <w:r w:rsidR="00E24227">
        <w:rPr>
          <w:rFonts w:ascii="Times New Roman" w:hAnsi="Times New Roman" w:cs="Times New Roman"/>
          <w:sz w:val="24"/>
          <w:szCs w:val="24"/>
          <w:lang w:eastAsia="pl-PL"/>
        </w:rPr>
        <w:t>olskiego</w:t>
      </w:r>
      <w:r w:rsidR="004A5912" w:rsidRPr="00CF0BC6">
        <w:rPr>
          <w:rFonts w:ascii="Times New Roman" w:hAnsi="Times New Roman" w:cs="Times New Roman"/>
          <w:sz w:val="24"/>
          <w:szCs w:val="24"/>
          <w:lang w:eastAsia="pl-PL"/>
        </w:rPr>
        <w:t xml:space="preserve">, określi, w drodze rozporządzenia, </w:t>
      </w:r>
      <w:r w:rsidR="00650E44">
        <w:rPr>
          <w:rFonts w:ascii="Times New Roman" w:hAnsi="Times New Roman" w:cs="Times New Roman"/>
          <w:sz w:val="24"/>
          <w:szCs w:val="24"/>
          <w:lang w:eastAsia="pl-PL"/>
        </w:rPr>
        <w:t xml:space="preserve">szczegółowy </w:t>
      </w:r>
      <w:r w:rsidR="00C60BB2">
        <w:rPr>
          <w:rFonts w:ascii="Times New Roman" w:hAnsi="Times New Roman" w:cs="Times New Roman"/>
          <w:sz w:val="24"/>
          <w:szCs w:val="24"/>
          <w:lang w:eastAsia="pl-PL"/>
        </w:rPr>
        <w:t>zakres informacji</w:t>
      </w:r>
      <w:r w:rsidR="00C60BB2" w:rsidRPr="00CF0BC6">
        <w:rPr>
          <w:rFonts w:ascii="Times New Roman" w:hAnsi="Times New Roman" w:cs="Times New Roman"/>
          <w:sz w:val="24"/>
          <w:szCs w:val="24"/>
          <w:lang w:eastAsia="pl-PL"/>
        </w:rPr>
        <w:t>, o których mowa w art. 14a–14c</w:t>
      </w:r>
      <w:r w:rsidR="00650E44" w:rsidRPr="00650E44">
        <w:rPr>
          <w:rFonts w:ascii="Times New Roman" w:hAnsi="Times New Roman" w:cs="Times New Roman"/>
          <w:sz w:val="24"/>
          <w:szCs w:val="24"/>
          <w:lang w:eastAsia="pl-PL"/>
        </w:rPr>
        <w:t xml:space="preserve"> </w:t>
      </w:r>
      <w:r w:rsidR="00EF1FCF" w:rsidRPr="00EF1FCF">
        <w:rPr>
          <w:rFonts w:ascii="Times New Roman" w:hAnsi="Times New Roman" w:cs="Times New Roman"/>
          <w:sz w:val="24"/>
          <w:szCs w:val="24"/>
          <w:lang w:eastAsia="pl-PL"/>
        </w:rPr>
        <w:t>z dnia 19 sierpnia 2011 r. o usługach płatniczych</w:t>
      </w:r>
      <w:r w:rsidR="00C60BB2" w:rsidRPr="00CF0BC6">
        <w:rPr>
          <w:rFonts w:ascii="Times New Roman" w:hAnsi="Times New Roman" w:cs="Times New Roman"/>
          <w:sz w:val="24"/>
          <w:szCs w:val="24"/>
          <w:lang w:eastAsia="pl-PL"/>
        </w:rPr>
        <w:t xml:space="preserve"> </w:t>
      </w:r>
      <w:r w:rsidR="00EF1FCF">
        <w:rPr>
          <w:rFonts w:ascii="Times New Roman" w:hAnsi="Times New Roman" w:cs="Times New Roman"/>
          <w:sz w:val="24"/>
          <w:szCs w:val="24"/>
          <w:lang w:eastAsia="pl-PL"/>
        </w:rPr>
        <w:t xml:space="preserve">przekazywanych </w:t>
      </w:r>
      <w:r w:rsidR="00EF4C35" w:rsidRPr="00EF4C35">
        <w:rPr>
          <w:rFonts w:ascii="Times New Roman" w:hAnsi="Times New Roman" w:cs="Times New Roman"/>
          <w:sz w:val="24"/>
          <w:szCs w:val="24"/>
          <w:lang w:eastAsia="pl-PL"/>
        </w:rPr>
        <w:t>Narodowemu Bankowi Polskiemu</w:t>
      </w:r>
      <w:r w:rsidR="005C231E">
        <w:rPr>
          <w:rFonts w:ascii="Times New Roman" w:hAnsi="Times New Roman" w:cs="Times New Roman"/>
          <w:sz w:val="24"/>
          <w:szCs w:val="24"/>
          <w:lang w:eastAsia="pl-PL"/>
        </w:rPr>
        <w:t xml:space="preserve"> (dalej: NBP)</w:t>
      </w:r>
      <w:r w:rsidR="00005966">
        <w:rPr>
          <w:rFonts w:ascii="Times New Roman" w:hAnsi="Times New Roman" w:cs="Times New Roman"/>
          <w:sz w:val="24"/>
          <w:szCs w:val="24"/>
          <w:lang w:eastAsia="pl-PL"/>
        </w:rPr>
        <w:t xml:space="preserve">, </w:t>
      </w:r>
      <w:r w:rsidR="00005966" w:rsidRPr="00005966">
        <w:rPr>
          <w:rFonts w:ascii="Times New Roman" w:hAnsi="Times New Roman" w:cs="Times New Roman"/>
          <w:sz w:val="24"/>
          <w:szCs w:val="24"/>
          <w:lang w:eastAsia="pl-PL"/>
        </w:rPr>
        <w:t xml:space="preserve">a także sposób realizacji obowiązku ich przekazywania, kierując się potrzebą zapewnienia </w:t>
      </w:r>
      <w:r w:rsidR="005C231E">
        <w:rPr>
          <w:rFonts w:ascii="Times New Roman" w:hAnsi="Times New Roman" w:cs="Times New Roman"/>
          <w:sz w:val="24"/>
          <w:szCs w:val="24"/>
          <w:lang w:eastAsia="pl-PL"/>
        </w:rPr>
        <w:t>NBP</w:t>
      </w:r>
      <w:r w:rsidR="00005966" w:rsidRPr="00005966">
        <w:rPr>
          <w:rFonts w:ascii="Times New Roman" w:hAnsi="Times New Roman" w:cs="Times New Roman"/>
          <w:sz w:val="24"/>
          <w:szCs w:val="24"/>
          <w:lang w:eastAsia="pl-PL"/>
        </w:rPr>
        <w:t xml:space="preserve"> </w:t>
      </w:r>
      <w:r w:rsidR="00EF4C35" w:rsidRPr="00EF4C35">
        <w:rPr>
          <w:rFonts w:ascii="Times New Roman" w:hAnsi="Times New Roman" w:cs="Times New Roman"/>
          <w:sz w:val="24"/>
          <w:szCs w:val="24"/>
          <w:lang w:eastAsia="pl-PL"/>
        </w:rPr>
        <w:t>dostępu do danych niezbędnych do dokonywania okresowych ocen rozliczeń pieniężnych</w:t>
      </w:r>
      <w:r w:rsidR="00775030">
        <w:rPr>
          <w:rFonts w:ascii="Times New Roman" w:hAnsi="Times New Roman" w:cs="Times New Roman"/>
          <w:sz w:val="24"/>
          <w:szCs w:val="24"/>
          <w:lang w:eastAsia="pl-PL"/>
        </w:rPr>
        <w:t>.</w:t>
      </w:r>
      <w:r w:rsidR="00D96510">
        <w:rPr>
          <w:rFonts w:ascii="Times New Roman" w:hAnsi="Times New Roman" w:cs="Times New Roman"/>
          <w:sz w:val="24"/>
          <w:szCs w:val="24"/>
          <w:lang w:eastAsia="pl-PL"/>
        </w:rPr>
        <w:t xml:space="preserve"> </w:t>
      </w:r>
      <w:bookmarkStart w:id="0" w:name="_Hlk149829205"/>
      <w:r w:rsidR="00B24C81">
        <w:rPr>
          <w:rFonts w:ascii="Times New Roman" w:hAnsi="Times New Roman" w:cs="Times New Roman"/>
          <w:sz w:val="24"/>
          <w:szCs w:val="24"/>
          <w:lang w:eastAsia="pl-PL"/>
        </w:rPr>
        <w:t xml:space="preserve">Zmiany </w:t>
      </w:r>
      <w:r w:rsidR="00647C5A">
        <w:rPr>
          <w:rFonts w:ascii="Times New Roman" w:hAnsi="Times New Roman" w:cs="Times New Roman"/>
          <w:sz w:val="24"/>
          <w:szCs w:val="24"/>
          <w:lang w:eastAsia="pl-PL"/>
        </w:rPr>
        <w:t xml:space="preserve">rozszerzające zakres rozporządzenia </w:t>
      </w:r>
      <w:r w:rsidR="00B24C81">
        <w:rPr>
          <w:rFonts w:ascii="Times New Roman" w:hAnsi="Times New Roman" w:cs="Times New Roman"/>
          <w:sz w:val="24"/>
          <w:szCs w:val="24"/>
          <w:lang w:eastAsia="pl-PL"/>
        </w:rPr>
        <w:t>został</w:t>
      </w:r>
      <w:r w:rsidR="00965544">
        <w:rPr>
          <w:rFonts w:ascii="Times New Roman" w:hAnsi="Times New Roman" w:cs="Times New Roman"/>
          <w:sz w:val="24"/>
          <w:szCs w:val="24"/>
          <w:lang w:eastAsia="pl-PL"/>
        </w:rPr>
        <w:t>y</w:t>
      </w:r>
      <w:r w:rsidR="00B24C81">
        <w:rPr>
          <w:rFonts w:ascii="Times New Roman" w:hAnsi="Times New Roman" w:cs="Times New Roman"/>
          <w:sz w:val="24"/>
          <w:szCs w:val="24"/>
          <w:lang w:eastAsia="pl-PL"/>
        </w:rPr>
        <w:t xml:space="preserve"> </w:t>
      </w:r>
      <w:r w:rsidR="00965544">
        <w:rPr>
          <w:rFonts w:ascii="Times New Roman" w:hAnsi="Times New Roman" w:cs="Times New Roman"/>
          <w:sz w:val="24"/>
          <w:szCs w:val="24"/>
          <w:lang w:eastAsia="pl-PL"/>
        </w:rPr>
        <w:t xml:space="preserve">wprowadzone </w:t>
      </w:r>
      <w:r w:rsidR="00B24C81">
        <w:rPr>
          <w:rFonts w:ascii="Times New Roman" w:hAnsi="Times New Roman" w:cs="Times New Roman"/>
          <w:sz w:val="24"/>
          <w:szCs w:val="24"/>
          <w:lang w:eastAsia="pl-PL"/>
        </w:rPr>
        <w:t>ustawą z dnia 16 sierpnia 2023 r. o zmianie niektórych ustaw w związku z zapewnieniem rozwoju rynku finansowego oraz ochrony inwestorów na tym rynku (Dz. U. poz. 1723). Na mocy</w:t>
      </w:r>
      <w:r w:rsidR="00647C5A">
        <w:rPr>
          <w:rFonts w:ascii="Times New Roman" w:hAnsi="Times New Roman" w:cs="Times New Roman"/>
          <w:sz w:val="24"/>
          <w:szCs w:val="24"/>
          <w:lang w:eastAsia="pl-PL"/>
        </w:rPr>
        <w:t xml:space="preserve"> tej ustawy do ustawy o usługach płatniczych d</w:t>
      </w:r>
      <w:r w:rsidR="00B24C81">
        <w:rPr>
          <w:rFonts w:ascii="Times New Roman" w:hAnsi="Times New Roman" w:cs="Times New Roman"/>
          <w:sz w:val="24"/>
          <w:szCs w:val="24"/>
          <w:lang w:eastAsia="pl-PL"/>
        </w:rPr>
        <w:t>odane zostały m.in. art.14aa</w:t>
      </w:r>
      <w:r w:rsidR="00965544">
        <w:rPr>
          <w:rFonts w:ascii="Times New Roman" w:hAnsi="Times New Roman" w:cs="Times New Roman"/>
          <w:sz w:val="24"/>
          <w:szCs w:val="24"/>
          <w:lang w:eastAsia="pl-PL"/>
        </w:rPr>
        <w:t>-</w:t>
      </w:r>
      <w:r w:rsidR="00B24C81">
        <w:rPr>
          <w:rFonts w:ascii="Times New Roman" w:hAnsi="Times New Roman" w:cs="Times New Roman"/>
          <w:sz w:val="24"/>
          <w:szCs w:val="24"/>
          <w:lang w:eastAsia="pl-PL"/>
        </w:rPr>
        <w:t>14ad</w:t>
      </w:r>
      <w:r w:rsidR="00647C5A">
        <w:rPr>
          <w:rFonts w:ascii="Times New Roman" w:hAnsi="Times New Roman" w:cs="Times New Roman"/>
          <w:sz w:val="24"/>
          <w:szCs w:val="24"/>
          <w:lang w:eastAsia="pl-PL"/>
        </w:rPr>
        <w:t xml:space="preserve"> w celu objęcia </w:t>
      </w:r>
      <w:r w:rsidR="00B24C81">
        <w:rPr>
          <w:rFonts w:ascii="Times New Roman" w:hAnsi="Times New Roman" w:cs="Times New Roman"/>
          <w:sz w:val="24"/>
          <w:szCs w:val="24"/>
          <w:lang w:eastAsia="pl-PL"/>
        </w:rPr>
        <w:t>obowiązkami sprawozdawczymi</w:t>
      </w:r>
      <w:r w:rsidR="00647C5A">
        <w:rPr>
          <w:rFonts w:ascii="Times New Roman" w:hAnsi="Times New Roman" w:cs="Times New Roman"/>
          <w:sz w:val="24"/>
          <w:szCs w:val="24"/>
          <w:lang w:eastAsia="pl-PL"/>
        </w:rPr>
        <w:t xml:space="preserve"> podmiotów świadczących usług</w:t>
      </w:r>
      <w:r w:rsidR="00D61532">
        <w:rPr>
          <w:rFonts w:ascii="Times New Roman" w:hAnsi="Times New Roman" w:cs="Times New Roman"/>
          <w:sz w:val="24"/>
          <w:szCs w:val="24"/>
          <w:lang w:eastAsia="pl-PL"/>
        </w:rPr>
        <w:t>i</w:t>
      </w:r>
      <w:r w:rsidR="00647C5A">
        <w:rPr>
          <w:rFonts w:ascii="Times New Roman" w:hAnsi="Times New Roman" w:cs="Times New Roman"/>
          <w:sz w:val="24"/>
          <w:szCs w:val="24"/>
          <w:lang w:eastAsia="pl-PL"/>
        </w:rPr>
        <w:t xml:space="preserve"> inicjowania transakcji płatniczej i dostępu do informacji o</w:t>
      </w:r>
      <w:r w:rsidR="007F7CD9">
        <w:rPr>
          <w:rFonts w:ascii="Times New Roman" w:hAnsi="Times New Roman" w:cs="Times New Roman"/>
          <w:sz w:val="24"/>
          <w:szCs w:val="24"/>
          <w:lang w:eastAsia="pl-PL"/>
        </w:rPr>
        <w:t> </w:t>
      </w:r>
      <w:r w:rsidR="00647C5A">
        <w:rPr>
          <w:rFonts w:ascii="Times New Roman" w:hAnsi="Times New Roman" w:cs="Times New Roman"/>
          <w:sz w:val="24"/>
          <w:szCs w:val="24"/>
          <w:lang w:eastAsia="pl-PL"/>
        </w:rPr>
        <w:t>rachunku oraz operatorów bankomatu</w:t>
      </w:r>
      <w:bookmarkEnd w:id="0"/>
      <w:r w:rsidR="00647C5A">
        <w:rPr>
          <w:rFonts w:ascii="Times New Roman" w:hAnsi="Times New Roman" w:cs="Times New Roman"/>
          <w:sz w:val="24"/>
          <w:szCs w:val="24"/>
          <w:lang w:eastAsia="pl-PL"/>
        </w:rPr>
        <w:t>.</w:t>
      </w:r>
    </w:p>
    <w:p w14:paraId="2606BB6D" w14:textId="43D8604F" w:rsidR="00775030" w:rsidRDefault="00775030" w:rsidP="001C09F3">
      <w:pPr>
        <w:ind w:firstLine="426"/>
        <w:jc w:val="both"/>
        <w:rPr>
          <w:rFonts w:ascii="Times New Roman" w:hAnsi="Times New Roman" w:cs="Times New Roman"/>
          <w:sz w:val="24"/>
          <w:szCs w:val="24"/>
          <w:lang w:eastAsia="pl-PL"/>
        </w:rPr>
      </w:pPr>
      <w:r w:rsidRPr="00775030">
        <w:rPr>
          <w:rFonts w:ascii="Times New Roman" w:hAnsi="Times New Roman" w:cs="Times New Roman"/>
          <w:sz w:val="24"/>
          <w:szCs w:val="24"/>
          <w:lang w:eastAsia="pl-PL"/>
        </w:rPr>
        <w:t>Celem proponowanego projektu rozporządzenia jest realizacja powinności wskazanych w</w:t>
      </w:r>
      <w:r w:rsidR="007F7CD9">
        <w:rPr>
          <w:rFonts w:ascii="Times New Roman" w:hAnsi="Times New Roman" w:cs="Times New Roman"/>
          <w:sz w:val="24"/>
          <w:szCs w:val="24"/>
          <w:lang w:eastAsia="pl-PL"/>
        </w:rPr>
        <w:t> </w:t>
      </w:r>
      <w:r w:rsidR="00005966">
        <w:rPr>
          <w:rFonts w:ascii="Times New Roman" w:hAnsi="Times New Roman" w:cs="Times New Roman"/>
          <w:sz w:val="24"/>
          <w:szCs w:val="24"/>
          <w:lang w:eastAsia="pl-PL"/>
        </w:rPr>
        <w:t>r</w:t>
      </w:r>
      <w:r w:rsidRPr="00775030">
        <w:rPr>
          <w:rFonts w:ascii="Times New Roman" w:hAnsi="Times New Roman" w:cs="Times New Roman"/>
          <w:sz w:val="24"/>
          <w:szCs w:val="24"/>
          <w:lang w:eastAsia="pl-PL"/>
        </w:rPr>
        <w:t>ozporządzeniu Europejskiego Banku Centralnego (EU) 2020</w:t>
      </w:r>
      <w:r w:rsidR="00005966">
        <w:rPr>
          <w:rFonts w:ascii="Times New Roman" w:hAnsi="Times New Roman" w:cs="Times New Roman"/>
          <w:sz w:val="24"/>
          <w:szCs w:val="24"/>
          <w:lang w:eastAsia="pl-PL"/>
        </w:rPr>
        <w:t>/2011</w:t>
      </w:r>
      <w:r w:rsidRPr="00775030">
        <w:rPr>
          <w:rFonts w:ascii="Times New Roman" w:hAnsi="Times New Roman" w:cs="Times New Roman"/>
          <w:sz w:val="24"/>
          <w:szCs w:val="24"/>
          <w:lang w:eastAsia="pl-PL"/>
        </w:rPr>
        <w:t xml:space="preserve"> </w:t>
      </w:r>
      <w:r w:rsidR="00005966">
        <w:rPr>
          <w:rFonts w:ascii="Times New Roman" w:hAnsi="Times New Roman" w:cs="Times New Roman"/>
          <w:sz w:val="24"/>
          <w:szCs w:val="24"/>
          <w:lang w:eastAsia="pl-PL"/>
        </w:rPr>
        <w:t xml:space="preserve">z dnia 1 grudnia 2020 r. </w:t>
      </w:r>
      <w:r w:rsidRPr="00775030">
        <w:rPr>
          <w:rFonts w:ascii="Times New Roman" w:hAnsi="Times New Roman" w:cs="Times New Roman"/>
          <w:sz w:val="24"/>
          <w:szCs w:val="24"/>
          <w:lang w:eastAsia="pl-PL"/>
        </w:rPr>
        <w:t>zmieniając</w:t>
      </w:r>
      <w:r w:rsidR="00005966">
        <w:rPr>
          <w:rFonts w:ascii="Times New Roman" w:hAnsi="Times New Roman" w:cs="Times New Roman"/>
          <w:sz w:val="24"/>
          <w:szCs w:val="24"/>
          <w:lang w:eastAsia="pl-PL"/>
        </w:rPr>
        <w:t>e</w:t>
      </w:r>
      <w:r w:rsidRPr="00775030">
        <w:rPr>
          <w:rFonts w:ascii="Times New Roman" w:hAnsi="Times New Roman" w:cs="Times New Roman"/>
          <w:sz w:val="24"/>
          <w:szCs w:val="24"/>
          <w:lang w:eastAsia="pl-PL"/>
        </w:rPr>
        <w:t xml:space="preserve"> rozporządzenie (EU) nr 1409/2013 w sprawie statystyki płatności (EBC/2013/43)</w:t>
      </w:r>
      <w:r w:rsidR="00005966">
        <w:rPr>
          <w:rFonts w:ascii="Times New Roman" w:hAnsi="Times New Roman" w:cs="Times New Roman"/>
          <w:sz w:val="24"/>
          <w:szCs w:val="24"/>
          <w:lang w:eastAsia="pl-PL"/>
        </w:rPr>
        <w:t xml:space="preserve"> (EBC/2020/59)</w:t>
      </w:r>
      <w:r w:rsidRPr="00775030">
        <w:rPr>
          <w:rFonts w:ascii="Times New Roman" w:hAnsi="Times New Roman" w:cs="Times New Roman"/>
          <w:sz w:val="24"/>
          <w:szCs w:val="24"/>
          <w:lang w:eastAsia="pl-PL"/>
        </w:rPr>
        <w:t xml:space="preserve">. Należy również wskazać, że zgodnie z </w:t>
      </w:r>
      <w:r w:rsidR="00005966">
        <w:rPr>
          <w:rFonts w:ascii="Times New Roman" w:hAnsi="Times New Roman" w:cs="Times New Roman"/>
          <w:sz w:val="24"/>
          <w:szCs w:val="24"/>
          <w:lang w:eastAsia="pl-PL"/>
        </w:rPr>
        <w:t>z</w:t>
      </w:r>
      <w:r w:rsidRPr="00775030">
        <w:rPr>
          <w:rFonts w:ascii="Times New Roman" w:hAnsi="Times New Roman" w:cs="Times New Roman"/>
          <w:sz w:val="24"/>
          <w:szCs w:val="24"/>
          <w:lang w:eastAsia="pl-PL"/>
        </w:rPr>
        <w:t>aleceniem Europejskiego Banku Centralnego z dnia 28 listopada 2013 r. w sprawie statystyki płatności (EBC/2013/44) rekomenduje się, aby banki centralne z krajów spoza strefy euro przekazywały dane z zakresu statystyki płatności do Europejskiego Banku Centralnego (</w:t>
      </w:r>
      <w:r w:rsidR="00005966">
        <w:rPr>
          <w:rFonts w:ascii="Times New Roman" w:hAnsi="Times New Roman" w:cs="Times New Roman"/>
          <w:sz w:val="24"/>
          <w:szCs w:val="24"/>
          <w:lang w:eastAsia="pl-PL"/>
        </w:rPr>
        <w:t xml:space="preserve">dalej: </w:t>
      </w:r>
      <w:r w:rsidRPr="00775030">
        <w:rPr>
          <w:rFonts w:ascii="Times New Roman" w:hAnsi="Times New Roman" w:cs="Times New Roman"/>
          <w:sz w:val="24"/>
          <w:szCs w:val="24"/>
          <w:lang w:eastAsia="pl-PL"/>
        </w:rPr>
        <w:t xml:space="preserve">EBC) i aby były one zgodne z zakresem rozporządzenia. </w:t>
      </w:r>
    </w:p>
    <w:p w14:paraId="2552731D" w14:textId="35E320C2" w:rsidR="00865330" w:rsidRPr="00543AAD" w:rsidRDefault="005C231E" w:rsidP="00DD4770">
      <w:pPr>
        <w:ind w:firstLine="426"/>
        <w:jc w:val="both"/>
        <w:rPr>
          <w:rFonts w:ascii="Times New Roman" w:hAnsi="Times New Roman" w:cs="Times New Roman"/>
          <w:sz w:val="24"/>
          <w:szCs w:val="24"/>
          <w:lang w:eastAsia="pl-PL"/>
        </w:rPr>
      </w:pPr>
      <w:r>
        <w:rPr>
          <w:rFonts w:ascii="Times New Roman" w:hAnsi="Times New Roman" w:cs="Times New Roman"/>
          <w:sz w:val="24"/>
          <w:szCs w:val="24"/>
          <w:lang w:eastAsia="pl-PL"/>
        </w:rPr>
        <w:t>NBP</w:t>
      </w:r>
      <w:r w:rsidR="00D44CFE" w:rsidRPr="00543AAD">
        <w:rPr>
          <w:rFonts w:ascii="Times New Roman" w:hAnsi="Times New Roman" w:cs="Times New Roman"/>
          <w:sz w:val="24"/>
          <w:szCs w:val="24"/>
          <w:lang w:eastAsia="pl-PL"/>
        </w:rPr>
        <w:t>, zgodnie z powyższą regulacją i zaleceniem, będzie gromadził dane statystyczne, a</w:t>
      </w:r>
      <w:r w:rsidR="007F7CD9">
        <w:rPr>
          <w:rFonts w:ascii="Times New Roman" w:hAnsi="Times New Roman" w:cs="Times New Roman"/>
          <w:sz w:val="24"/>
          <w:szCs w:val="24"/>
          <w:lang w:eastAsia="pl-PL"/>
        </w:rPr>
        <w:t> </w:t>
      </w:r>
      <w:r w:rsidR="00D44CFE" w:rsidRPr="00543AAD">
        <w:rPr>
          <w:rFonts w:ascii="Times New Roman" w:hAnsi="Times New Roman" w:cs="Times New Roman"/>
          <w:sz w:val="24"/>
          <w:szCs w:val="24"/>
          <w:lang w:eastAsia="pl-PL"/>
        </w:rPr>
        <w:t xml:space="preserve">następnie przekazywał je do EBC. </w:t>
      </w:r>
      <w:r w:rsidR="00656219" w:rsidRPr="00543AAD">
        <w:rPr>
          <w:rFonts w:ascii="Times New Roman" w:hAnsi="Times New Roman" w:cs="Times New Roman"/>
          <w:sz w:val="24"/>
          <w:szCs w:val="24"/>
          <w:lang w:eastAsia="pl-PL"/>
        </w:rPr>
        <w:t xml:space="preserve">Rozporządzenie ma na celu </w:t>
      </w:r>
      <w:r w:rsidR="004B4F63">
        <w:rPr>
          <w:rFonts w:ascii="Times New Roman" w:hAnsi="Times New Roman" w:cs="Times New Roman"/>
          <w:sz w:val="24"/>
          <w:szCs w:val="24"/>
          <w:lang w:eastAsia="pl-PL"/>
        </w:rPr>
        <w:t xml:space="preserve">zatem </w:t>
      </w:r>
      <w:r w:rsidR="00656219" w:rsidRPr="00543AAD">
        <w:rPr>
          <w:rFonts w:ascii="Times New Roman" w:hAnsi="Times New Roman" w:cs="Times New Roman"/>
          <w:sz w:val="24"/>
          <w:szCs w:val="24"/>
          <w:lang w:eastAsia="pl-PL"/>
        </w:rPr>
        <w:t xml:space="preserve">objęcie zakresem sprawozdawczości </w:t>
      </w:r>
      <w:r w:rsidR="004B4F63">
        <w:rPr>
          <w:rFonts w:ascii="Times New Roman" w:hAnsi="Times New Roman" w:cs="Times New Roman"/>
          <w:sz w:val="24"/>
          <w:szCs w:val="24"/>
          <w:lang w:eastAsia="pl-PL"/>
        </w:rPr>
        <w:t xml:space="preserve">w szczególności </w:t>
      </w:r>
      <w:r w:rsidR="00656219" w:rsidRPr="00543AAD">
        <w:rPr>
          <w:rFonts w:ascii="Times New Roman" w:hAnsi="Times New Roman" w:cs="Times New Roman"/>
          <w:sz w:val="24"/>
          <w:szCs w:val="24"/>
          <w:lang w:eastAsia="pl-PL"/>
        </w:rPr>
        <w:t>nowych rozwiązań na rynku usług płatniczych</w:t>
      </w:r>
      <w:r w:rsidR="0019509C">
        <w:rPr>
          <w:rFonts w:ascii="Times New Roman" w:hAnsi="Times New Roman" w:cs="Times New Roman"/>
          <w:sz w:val="24"/>
          <w:szCs w:val="24"/>
          <w:lang w:eastAsia="pl-PL"/>
        </w:rPr>
        <w:t xml:space="preserve"> dotycz</w:t>
      </w:r>
      <w:r w:rsidR="000B07CC">
        <w:rPr>
          <w:rFonts w:ascii="Times New Roman" w:hAnsi="Times New Roman" w:cs="Times New Roman"/>
          <w:sz w:val="24"/>
          <w:szCs w:val="24"/>
          <w:lang w:eastAsia="pl-PL"/>
        </w:rPr>
        <w:t>ą</w:t>
      </w:r>
      <w:r w:rsidR="0019509C">
        <w:rPr>
          <w:rFonts w:ascii="Times New Roman" w:hAnsi="Times New Roman" w:cs="Times New Roman"/>
          <w:sz w:val="24"/>
          <w:szCs w:val="24"/>
          <w:lang w:eastAsia="pl-PL"/>
        </w:rPr>
        <w:t xml:space="preserve">cych funkcjonowania nowych </w:t>
      </w:r>
      <w:r w:rsidR="000B07CC">
        <w:rPr>
          <w:rFonts w:ascii="Times New Roman" w:hAnsi="Times New Roman" w:cs="Times New Roman"/>
          <w:sz w:val="24"/>
          <w:szCs w:val="24"/>
          <w:lang w:eastAsia="pl-PL"/>
        </w:rPr>
        <w:t>usługodawców świadczących usługę dostępu do informacji o</w:t>
      </w:r>
      <w:r w:rsidR="007F7CD9">
        <w:rPr>
          <w:rFonts w:ascii="Times New Roman" w:hAnsi="Times New Roman" w:cs="Times New Roman"/>
          <w:sz w:val="24"/>
          <w:szCs w:val="24"/>
          <w:lang w:eastAsia="pl-PL"/>
        </w:rPr>
        <w:t> </w:t>
      </w:r>
      <w:r w:rsidR="000B07CC">
        <w:rPr>
          <w:rFonts w:ascii="Times New Roman" w:hAnsi="Times New Roman" w:cs="Times New Roman"/>
          <w:sz w:val="24"/>
          <w:szCs w:val="24"/>
          <w:lang w:eastAsia="pl-PL"/>
        </w:rPr>
        <w:t xml:space="preserve">rachunku </w:t>
      </w:r>
      <w:r w:rsidR="008C665E">
        <w:rPr>
          <w:rFonts w:ascii="Times New Roman" w:hAnsi="Times New Roman" w:cs="Times New Roman"/>
          <w:sz w:val="24"/>
          <w:szCs w:val="24"/>
          <w:lang w:eastAsia="pl-PL"/>
        </w:rPr>
        <w:t xml:space="preserve">lub </w:t>
      </w:r>
      <w:r w:rsidR="008C665E" w:rsidRPr="008C665E">
        <w:rPr>
          <w:rFonts w:ascii="Times New Roman" w:hAnsi="Times New Roman" w:cs="Times New Roman"/>
          <w:sz w:val="24"/>
          <w:szCs w:val="24"/>
          <w:lang w:eastAsia="pl-PL"/>
        </w:rPr>
        <w:t>usługę inicjowania transakcji płatniczej</w:t>
      </w:r>
      <w:r w:rsidR="004B4F63">
        <w:rPr>
          <w:rFonts w:ascii="Times New Roman" w:hAnsi="Times New Roman" w:cs="Times New Roman"/>
          <w:sz w:val="24"/>
          <w:szCs w:val="24"/>
          <w:lang w:eastAsia="pl-PL"/>
        </w:rPr>
        <w:t xml:space="preserve">. </w:t>
      </w:r>
      <w:r w:rsidR="00DD4770" w:rsidRPr="00543AAD">
        <w:rPr>
          <w:rFonts w:ascii="Times New Roman" w:hAnsi="Times New Roman" w:cs="Times New Roman"/>
          <w:sz w:val="24"/>
          <w:szCs w:val="24"/>
          <w:lang w:eastAsia="pl-PL"/>
        </w:rPr>
        <w:t>Informacje te są niezbędne z punktu widzenia przeprowadzania przez NBP oceny funkcjonowania polskiego systemu płatniczego i</w:t>
      </w:r>
      <w:r w:rsidR="007F7CD9">
        <w:rPr>
          <w:rFonts w:ascii="Times New Roman" w:hAnsi="Times New Roman" w:cs="Times New Roman"/>
          <w:sz w:val="24"/>
          <w:szCs w:val="24"/>
          <w:lang w:eastAsia="pl-PL"/>
        </w:rPr>
        <w:t> </w:t>
      </w:r>
      <w:r w:rsidR="00DD4770" w:rsidRPr="00543AAD">
        <w:rPr>
          <w:rFonts w:ascii="Times New Roman" w:hAnsi="Times New Roman" w:cs="Times New Roman"/>
          <w:sz w:val="24"/>
          <w:szCs w:val="24"/>
          <w:lang w:eastAsia="pl-PL"/>
        </w:rPr>
        <w:t>będą stanowiły podstawę do dokonywania okresowej oceny rozliczeń pieniężnych</w:t>
      </w:r>
      <w:r w:rsidR="00E34414" w:rsidRPr="00543AAD">
        <w:rPr>
          <w:rStyle w:val="Odwoanieprzypisudolnego"/>
          <w:rFonts w:ascii="Times New Roman" w:hAnsi="Times New Roman" w:cs="Times New Roman"/>
          <w:sz w:val="24"/>
          <w:szCs w:val="24"/>
          <w:lang w:eastAsia="pl-PL"/>
        </w:rPr>
        <w:footnoteReference w:id="1"/>
      </w:r>
      <w:r w:rsidR="00DD4770" w:rsidRPr="00543AAD">
        <w:rPr>
          <w:rFonts w:ascii="Times New Roman" w:hAnsi="Times New Roman" w:cs="Times New Roman"/>
          <w:sz w:val="24"/>
          <w:szCs w:val="24"/>
          <w:lang w:eastAsia="pl-PL"/>
        </w:rPr>
        <w:t>, tj. realizacji przez Zarząd NBP zadania określonego w art. 17 ust. 4 pkt 3 ustawy o NBP</w:t>
      </w:r>
      <w:r w:rsidR="00865330">
        <w:rPr>
          <w:rFonts w:ascii="Times New Roman" w:hAnsi="Times New Roman" w:cs="Times New Roman"/>
          <w:sz w:val="24"/>
          <w:szCs w:val="24"/>
          <w:lang w:eastAsia="pl-PL"/>
        </w:rPr>
        <w:t>.</w:t>
      </w:r>
      <w:r w:rsidR="003C7598">
        <w:rPr>
          <w:rFonts w:ascii="Times New Roman" w:hAnsi="Times New Roman" w:cs="Times New Roman"/>
          <w:sz w:val="24"/>
          <w:szCs w:val="24"/>
          <w:lang w:eastAsia="pl-PL"/>
        </w:rPr>
        <w:t xml:space="preserve"> </w:t>
      </w:r>
      <w:r w:rsidR="00EF1FCF">
        <w:rPr>
          <w:rFonts w:ascii="Times New Roman" w:hAnsi="Times New Roman" w:cs="Times New Roman"/>
          <w:sz w:val="24"/>
          <w:szCs w:val="24"/>
          <w:lang w:eastAsia="pl-PL"/>
        </w:rPr>
        <w:t xml:space="preserve">Ponadto szerszy zakres danych umożliwi pozyskanie bardziej szczegółowych danych </w:t>
      </w:r>
      <w:r w:rsidR="00BD3E28">
        <w:rPr>
          <w:rFonts w:ascii="Times New Roman" w:hAnsi="Times New Roman" w:cs="Times New Roman"/>
          <w:sz w:val="24"/>
          <w:szCs w:val="24"/>
          <w:lang w:eastAsia="pl-PL"/>
        </w:rPr>
        <w:t>wykorzystywanych do sporządzania bilansu płatniczego.</w:t>
      </w:r>
      <w:r w:rsidR="005064D5" w:rsidRPr="005064D5">
        <w:rPr>
          <w:rFonts w:ascii="Times New Roman" w:hAnsi="Times New Roman" w:cs="Times New Roman"/>
          <w:sz w:val="24"/>
          <w:szCs w:val="24"/>
          <w:lang w:eastAsia="pl-PL"/>
        </w:rPr>
        <w:t xml:space="preserve"> </w:t>
      </w:r>
      <w:r w:rsidR="006F3D91">
        <w:rPr>
          <w:rFonts w:ascii="Times New Roman" w:hAnsi="Times New Roman" w:cs="Times New Roman"/>
          <w:sz w:val="24"/>
          <w:szCs w:val="24"/>
        </w:rPr>
        <w:t>Zmiany wpr</w:t>
      </w:r>
      <w:r w:rsidR="006F3D91">
        <w:rPr>
          <w:rFonts w:ascii="Times New Roman" w:hAnsi="Times New Roman" w:cs="Times New Roman"/>
          <w:sz w:val="24"/>
          <w:szCs w:val="24"/>
          <w:lang w:eastAsia="pl-PL"/>
        </w:rPr>
        <w:t xml:space="preserve">owadzone wspomnianą ustawą </w:t>
      </w:r>
      <w:r w:rsidR="00965544">
        <w:rPr>
          <w:rFonts w:ascii="Times New Roman" w:hAnsi="Times New Roman" w:cs="Times New Roman"/>
          <w:sz w:val="24"/>
          <w:szCs w:val="24"/>
          <w:lang w:eastAsia="pl-PL"/>
        </w:rPr>
        <w:t xml:space="preserve">z dnia 16 sierpnia 2023 r. </w:t>
      </w:r>
      <w:r w:rsidR="006F3D91">
        <w:rPr>
          <w:rFonts w:ascii="Times New Roman" w:hAnsi="Times New Roman" w:cs="Times New Roman"/>
          <w:sz w:val="24"/>
          <w:szCs w:val="24"/>
          <w:lang w:eastAsia="pl-PL"/>
        </w:rPr>
        <w:t>z</w:t>
      </w:r>
      <w:r w:rsidR="00924112">
        <w:rPr>
          <w:rFonts w:ascii="Times New Roman" w:hAnsi="Times New Roman" w:cs="Times New Roman"/>
          <w:sz w:val="24"/>
          <w:szCs w:val="24"/>
          <w:lang w:eastAsia="pl-PL"/>
        </w:rPr>
        <w:t>nalazły odzwierciedlenie w</w:t>
      </w:r>
      <w:r w:rsidR="006F3D91">
        <w:rPr>
          <w:rFonts w:ascii="Times New Roman" w:hAnsi="Times New Roman" w:cs="Times New Roman"/>
          <w:sz w:val="24"/>
          <w:szCs w:val="24"/>
          <w:lang w:eastAsia="pl-PL"/>
        </w:rPr>
        <w:t xml:space="preserve"> projektowan</w:t>
      </w:r>
      <w:r w:rsidR="00924112">
        <w:rPr>
          <w:rFonts w:ascii="Times New Roman" w:hAnsi="Times New Roman" w:cs="Times New Roman"/>
          <w:sz w:val="24"/>
          <w:szCs w:val="24"/>
          <w:lang w:eastAsia="pl-PL"/>
        </w:rPr>
        <w:t>ym</w:t>
      </w:r>
      <w:r w:rsidR="006F3D91">
        <w:rPr>
          <w:rFonts w:ascii="Times New Roman" w:hAnsi="Times New Roman" w:cs="Times New Roman"/>
          <w:sz w:val="24"/>
          <w:szCs w:val="24"/>
          <w:lang w:eastAsia="pl-PL"/>
        </w:rPr>
        <w:t xml:space="preserve"> rozporządzeni</w:t>
      </w:r>
      <w:r w:rsidR="00924112">
        <w:rPr>
          <w:rFonts w:ascii="Times New Roman" w:hAnsi="Times New Roman" w:cs="Times New Roman"/>
          <w:sz w:val="24"/>
          <w:szCs w:val="24"/>
          <w:lang w:eastAsia="pl-PL"/>
        </w:rPr>
        <w:t>u i stanowią uzupełnienie</w:t>
      </w:r>
      <w:r w:rsidR="006F3D91" w:rsidRPr="006F3D91">
        <w:rPr>
          <w:rFonts w:ascii="Times New Roman" w:hAnsi="Times New Roman" w:cs="Times New Roman"/>
          <w:sz w:val="24"/>
          <w:szCs w:val="24"/>
          <w:lang w:eastAsia="pl-PL"/>
        </w:rPr>
        <w:t xml:space="preserve"> rozporządzenia Ministra Finansów z dnia 22 grudnia 2022 r. w sprawie przekazywania informacji NBP przez agentów rozliczeniowych, wydawców instrumentów płatniczych oraz wydawców pieniądza elektronicznego</w:t>
      </w:r>
      <w:r w:rsidR="00BD3E28">
        <w:rPr>
          <w:rFonts w:ascii="Times New Roman" w:hAnsi="Times New Roman" w:cs="Times New Roman"/>
          <w:sz w:val="24"/>
          <w:szCs w:val="24"/>
          <w:lang w:eastAsia="pl-PL"/>
        </w:rPr>
        <w:t xml:space="preserve"> </w:t>
      </w:r>
      <w:r w:rsidR="007A4D2F" w:rsidRPr="007A4D2F">
        <w:rPr>
          <w:rFonts w:ascii="Times New Roman" w:hAnsi="Times New Roman" w:cs="Times New Roman"/>
          <w:sz w:val="24"/>
          <w:szCs w:val="24"/>
        </w:rPr>
        <w:t xml:space="preserve">Zakres danych rozszerzono </w:t>
      </w:r>
      <w:r w:rsidR="006F3D91">
        <w:rPr>
          <w:rFonts w:ascii="Times New Roman" w:hAnsi="Times New Roman" w:cs="Times New Roman"/>
          <w:sz w:val="24"/>
          <w:szCs w:val="24"/>
        </w:rPr>
        <w:t>również</w:t>
      </w:r>
      <w:r w:rsidR="00DA387C">
        <w:rPr>
          <w:rFonts w:ascii="Times New Roman" w:hAnsi="Times New Roman" w:cs="Times New Roman"/>
          <w:sz w:val="24"/>
          <w:szCs w:val="24"/>
        </w:rPr>
        <w:t xml:space="preserve"> </w:t>
      </w:r>
      <w:r w:rsidR="007A4D2F" w:rsidRPr="007A4D2F">
        <w:rPr>
          <w:rFonts w:ascii="Times New Roman" w:hAnsi="Times New Roman" w:cs="Times New Roman"/>
          <w:sz w:val="24"/>
          <w:szCs w:val="24"/>
        </w:rPr>
        <w:t xml:space="preserve">o informacje zgodnie z rozporządzeniem delegowanym Komisji (UE) 2018/389 z dnia 27 listopada 2017 r. uzupełniającym dyrektywę Parlamentu Europejskiego i Rady (UE) </w:t>
      </w:r>
      <w:r w:rsidR="007A4D2F" w:rsidRPr="007A4D2F">
        <w:rPr>
          <w:rFonts w:ascii="Times New Roman" w:hAnsi="Times New Roman" w:cs="Times New Roman"/>
          <w:sz w:val="24"/>
          <w:szCs w:val="24"/>
        </w:rPr>
        <w:lastRenderedPageBreak/>
        <w:t xml:space="preserve">2015/2366 w odniesieniu do regulacyjnych standardów technicznych dotyczących silnego uwierzytelniania klienta i wspólnych i bezpiecznych otwartych standardów komunikacji. </w:t>
      </w:r>
      <w:r w:rsidR="00824028">
        <w:rPr>
          <w:rFonts w:ascii="Times New Roman" w:hAnsi="Times New Roman" w:cs="Times New Roman"/>
          <w:sz w:val="24"/>
          <w:szCs w:val="24"/>
        </w:rPr>
        <w:t>P</w:t>
      </w:r>
      <w:r w:rsidR="007A4D2F" w:rsidRPr="007A4D2F">
        <w:rPr>
          <w:rFonts w:ascii="Times New Roman" w:hAnsi="Times New Roman" w:cs="Times New Roman"/>
          <w:sz w:val="24"/>
          <w:szCs w:val="24"/>
        </w:rPr>
        <w:t xml:space="preserve">rzekazywane </w:t>
      </w:r>
      <w:r w:rsidR="00824028">
        <w:rPr>
          <w:rFonts w:ascii="Times New Roman" w:hAnsi="Times New Roman" w:cs="Times New Roman"/>
          <w:sz w:val="24"/>
          <w:szCs w:val="24"/>
        </w:rPr>
        <w:t>będą</w:t>
      </w:r>
      <w:r w:rsidR="007A4D2F" w:rsidRPr="007A4D2F">
        <w:rPr>
          <w:rFonts w:ascii="Times New Roman" w:hAnsi="Times New Roman" w:cs="Times New Roman"/>
          <w:sz w:val="24"/>
          <w:szCs w:val="24"/>
        </w:rPr>
        <w:t xml:space="preserve"> informacje o transakcjach płatniczych dokonanych w oparciu o zastosowanie mechanizmu tzw. silnego uwierzytelnienia użytkownika (ang. </w:t>
      </w:r>
      <w:proofErr w:type="spellStart"/>
      <w:r w:rsidR="007A4D2F" w:rsidRPr="007A4D2F">
        <w:rPr>
          <w:rFonts w:ascii="Times New Roman" w:hAnsi="Times New Roman" w:cs="Times New Roman"/>
          <w:sz w:val="24"/>
          <w:szCs w:val="24"/>
        </w:rPr>
        <w:t>Strong</w:t>
      </w:r>
      <w:proofErr w:type="spellEnd"/>
      <w:r w:rsidR="007A4D2F" w:rsidRPr="007A4D2F">
        <w:rPr>
          <w:rFonts w:ascii="Times New Roman" w:hAnsi="Times New Roman" w:cs="Times New Roman"/>
          <w:sz w:val="24"/>
          <w:szCs w:val="24"/>
        </w:rPr>
        <w:t xml:space="preserve"> </w:t>
      </w:r>
      <w:proofErr w:type="spellStart"/>
      <w:r w:rsidR="007A4D2F" w:rsidRPr="007A4D2F">
        <w:rPr>
          <w:rFonts w:ascii="Times New Roman" w:hAnsi="Times New Roman" w:cs="Times New Roman"/>
          <w:sz w:val="24"/>
          <w:szCs w:val="24"/>
        </w:rPr>
        <w:t>Customer</w:t>
      </w:r>
      <w:proofErr w:type="spellEnd"/>
      <w:r w:rsidR="007A4D2F" w:rsidRPr="007A4D2F">
        <w:rPr>
          <w:rFonts w:ascii="Times New Roman" w:hAnsi="Times New Roman" w:cs="Times New Roman"/>
          <w:sz w:val="24"/>
          <w:szCs w:val="24"/>
        </w:rPr>
        <w:t xml:space="preserve"> </w:t>
      </w:r>
      <w:proofErr w:type="spellStart"/>
      <w:r w:rsidR="007A4D2F" w:rsidRPr="007A4D2F">
        <w:rPr>
          <w:rFonts w:ascii="Times New Roman" w:hAnsi="Times New Roman" w:cs="Times New Roman"/>
          <w:sz w:val="24"/>
          <w:szCs w:val="24"/>
        </w:rPr>
        <w:t>Authenticaion</w:t>
      </w:r>
      <w:proofErr w:type="spellEnd"/>
      <w:r w:rsidR="007A4D2F" w:rsidRPr="007A4D2F">
        <w:rPr>
          <w:rFonts w:ascii="Times New Roman" w:hAnsi="Times New Roman" w:cs="Times New Roman"/>
          <w:sz w:val="24"/>
          <w:szCs w:val="24"/>
        </w:rPr>
        <w:t>, SCA) oraz bez zastosowania ww. mechanizmu (non-SCA</w:t>
      </w:r>
      <w:r w:rsidR="00BD3E28">
        <w:rPr>
          <w:rFonts w:ascii="Times New Roman" w:hAnsi="Times New Roman" w:cs="Times New Roman"/>
          <w:sz w:val="24"/>
          <w:szCs w:val="24"/>
        </w:rPr>
        <w:t>)</w:t>
      </w:r>
      <w:r w:rsidR="007A4D2F" w:rsidRPr="007A4D2F">
        <w:rPr>
          <w:rFonts w:ascii="Times New Roman" w:hAnsi="Times New Roman" w:cs="Times New Roman"/>
          <w:sz w:val="24"/>
          <w:szCs w:val="24"/>
        </w:rPr>
        <w:t xml:space="preserve">. </w:t>
      </w:r>
    </w:p>
    <w:p w14:paraId="00E33E0C" w14:textId="256B8DFF" w:rsidR="00C20F3B" w:rsidRPr="008F2DDB" w:rsidRDefault="00C20F3B" w:rsidP="00C20F3B">
      <w:pPr>
        <w:ind w:firstLine="426"/>
        <w:jc w:val="both"/>
        <w:rPr>
          <w:rFonts w:ascii="Times New Roman" w:hAnsi="Times New Roman" w:cs="Times New Roman"/>
          <w:color w:val="000000" w:themeColor="text1"/>
          <w:sz w:val="24"/>
          <w:szCs w:val="24"/>
          <w:lang w:eastAsia="pl-PL"/>
        </w:rPr>
      </w:pPr>
      <w:r w:rsidRPr="008F2DDB">
        <w:rPr>
          <w:rFonts w:ascii="Times New Roman" w:hAnsi="Times New Roman" w:cs="Times New Roman"/>
          <w:color w:val="000000" w:themeColor="text1"/>
          <w:sz w:val="24"/>
          <w:szCs w:val="24"/>
          <w:lang w:eastAsia="pl-PL"/>
        </w:rPr>
        <w:t xml:space="preserve">W projekcie rozporządzenia proponuje się następujące </w:t>
      </w:r>
      <w:r w:rsidR="009B14A7">
        <w:rPr>
          <w:rFonts w:ascii="Times New Roman" w:hAnsi="Times New Roman" w:cs="Times New Roman"/>
          <w:color w:val="000000" w:themeColor="text1"/>
          <w:sz w:val="24"/>
          <w:szCs w:val="24"/>
          <w:lang w:eastAsia="pl-PL"/>
        </w:rPr>
        <w:t>regulacje</w:t>
      </w:r>
      <w:r w:rsidRPr="008F2DDB">
        <w:rPr>
          <w:rFonts w:ascii="Times New Roman" w:hAnsi="Times New Roman" w:cs="Times New Roman"/>
          <w:color w:val="000000" w:themeColor="text1"/>
          <w:sz w:val="24"/>
          <w:szCs w:val="24"/>
          <w:lang w:eastAsia="pl-PL"/>
        </w:rPr>
        <w:t>:</w:t>
      </w:r>
    </w:p>
    <w:p w14:paraId="625EE226" w14:textId="0FFDA5DF" w:rsidR="00C13FB6" w:rsidRPr="000E3E59" w:rsidRDefault="00C60BB2" w:rsidP="00C20F3B">
      <w:pPr>
        <w:pStyle w:val="Akapitzlist"/>
        <w:numPr>
          <w:ilvl w:val="0"/>
          <w:numId w:val="2"/>
        </w:numPr>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w </w:t>
      </w:r>
      <w:r w:rsidR="00455B20" w:rsidRPr="00455B20">
        <w:rPr>
          <w:rFonts w:ascii="Times New Roman" w:hAnsi="Times New Roman" w:cs="Times New Roman"/>
          <w:color w:val="000000" w:themeColor="text1"/>
          <w:sz w:val="24"/>
          <w:szCs w:val="24"/>
          <w:lang w:eastAsia="pl-PL"/>
        </w:rPr>
        <w:t>§</w:t>
      </w:r>
      <w:r w:rsidR="00C20F3B" w:rsidRPr="000E3E59">
        <w:rPr>
          <w:rFonts w:ascii="Times New Roman" w:hAnsi="Times New Roman" w:cs="Times New Roman"/>
          <w:color w:val="000000" w:themeColor="text1"/>
          <w:sz w:val="24"/>
          <w:szCs w:val="24"/>
          <w:lang w:eastAsia="pl-PL"/>
        </w:rPr>
        <w:t xml:space="preserve"> </w:t>
      </w:r>
      <w:r w:rsidR="003F3F44">
        <w:rPr>
          <w:rFonts w:ascii="Times New Roman" w:hAnsi="Times New Roman" w:cs="Times New Roman"/>
          <w:color w:val="000000" w:themeColor="text1"/>
          <w:sz w:val="24"/>
          <w:szCs w:val="24"/>
          <w:lang w:eastAsia="pl-PL"/>
        </w:rPr>
        <w:t>3</w:t>
      </w:r>
      <w:r w:rsidR="00C20F3B" w:rsidRPr="000E3E59">
        <w:rPr>
          <w:rFonts w:ascii="Times New Roman" w:hAnsi="Times New Roman" w:cs="Times New Roman"/>
          <w:color w:val="000000" w:themeColor="text1"/>
          <w:sz w:val="24"/>
          <w:szCs w:val="24"/>
          <w:lang w:eastAsia="pl-PL"/>
        </w:rPr>
        <w:t xml:space="preserve"> projektu dla </w:t>
      </w:r>
      <w:r w:rsidR="008F2DDB" w:rsidRPr="000E3E59">
        <w:rPr>
          <w:rFonts w:ascii="Times New Roman" w:hAnsi="Times New Roman" w:cs="Times New Roman"/>
          <w:color w:val="000000" w:themeColor="text1"/>
          <w:sz w:val="24"/>
          <w:szCs w:val="24"/>
          <w:lang w:eastAsia="pl-PL"/>
        </w:rPr>
        <w:t>podmiotu będącego właścicielem lub posiadaczem bankomatu lub wpłatomatu</w:t>
      </w:r>
      <w:r w:rsidR="00C20F3B" w:rsidRPr="000E3E59">
        <w:rPr>
          <w:rFonts w:ascii="Times New Roman" w:hAnsi="Times New Roman" w:cs="Times New Roman"/>
          <w:color w:val="000000" w:themeColor="text1"/>
          <w:sz w:val="24"/>
          <w:szCs w:val="24"/>
          <w:lang w:eastAsia="pl-PL"/>
        </w:rPr>
        <w:t xml:space="preserve">, </w:t>
      </w:r>
      <w:r w:rsidR="00327D68" w:rsidRPr="000E3E59">
        <w:rPr>
          <w:rFonts w:ascii="Times New Roman" w:hAnsi="Times New Roman" w:cs="Times New Roman"/>
          <w:color w:val="000000" w:themeColor="text1"/>
          <w:sz w:val="24"/>
          <w:szCs w:val="24"/>
          <w:lang w:eastAsia="pl-PL"/>
        </w:rPr>
        <w:t xml:space="preserve">wprowadzono </w:t>
      </w:r>
      <w:r w:rsidR="00BD3E28">
        <w:rPr>
          <w:rFonts w:ascii="Times New Roman" w:hAnsi="Times New Roman" w:cs="Times New Roman"/>
          <w:color w:val="000000" w:themeColor="text1"/>
          <w:sz w:val="24"/>
          <w:szCs w:val="24"/>
          <w:lang w:eastAsia="pl-PL"/>
        </w:rPr>
        <w:t xml:space="preserve">obowiązek przekazywania </w:t>
      </w:r>
      <w:r w:rsidR="00327D68" w:rsidRPr="000E3E59">
        <w:rPr>
          <w:rFonts w:ascii="Times New Roman" w:hAnsi="Times New Roman" w:cs="Times New Roman"/>
          <w:color w:val="000000" w:themeColor="text1"/>
          <w:sz w:val="24"/>
          <w:szCs w:val="24"/>
          <w:lang w:eastAsia="pl-PL"/>
        </w:rPr>
        <w:t>informacj</w:t>
      </w:r>
      <w:r w:rsidR="00BD3E28">
        <w:rPr>
          <w:rFonts w:ascii="Times New Roman" w:hAnsi="Times New Roman" w:cs="Times New Roman"/>
          <w:color w:val="000000" w:themeColor="text1"/>
          <w:sz w:val="24"/>
          <w:szCs w:val="24"/>
          <w:lang w:eastAsia="pl-PL"/>
        </w:rPr>
        <w:t>i</w:t>
      </w:r>
      <w:r w:rsidR="00327D68" w:rsidRPr="000E3E59">
        <w:rPr>
          <w:rFonts w:ascii="Times New Roman" w:hAnsi="Times New Roman" w:cs="Times New Roman"/>
          <w:color w:val="000000" w:themeColor="text1"/>
          <w:sz w:val="24"/>
          <w:szCs w:val="24"/>
          <w:lang w:eastAsia="pl-PL"/>
        </w:rPr>
        <w:t xml:space="preserve"> dotycząc</w:t>
      </w:r>
      <w:r w:rsidR="00BD3E28">
        <w:rPr>
          <w:rFonts w:ascii="Times New Roman" w:hAnsi="Times New Roman" w:cs="Times New Roman"/>
          <w:color w:val="000000" w:themeColor="text1"/>
          <w:sz w:val="24"/>
          <w:szCs w:val="24"/>
          <w:lang w:eastAsia="pl-PL"/>
        </w:rPr>
        <w:t>ych</w:t>
      </w:r>
      <w:r w:rsidR="00C13FB6" w:rsidRPr="000E3E59">
        <w:rPr>
          <w:rFonts w:ascii="Times New Roman" w:hAnsi="Times New Roman" w:cs="Times New Roman"/>
          <w:color w:val="000000" w:themeColor="text1"/>
          <w:sz w:val="24"/>
          <w:szCs w:val="24"/>
          <w:lang w:eastAsia="pl-PL"/>
        </w:rPr>
        <w:t>:</w:t>
      </w:r>
    </w:p>
    <w:p w14:paraId="02F4C71C" w14:textId="5E2C8B14" w:rsidR="00C13FB6" w:rsidRPr="00C13FB6" w:rsidRDefault="00C13FB6" w:rsidP="00C13FB6">
      <w:pPr>
        <w:pStyle w:val="Akapitzlist"/>
        <w:numPr>
          <w:ilvl w:val="0"/>
          <w:numId w:val="3"/>
        </w:numPr>
        <w:jc w:val="both"/>
        <w:rPr>
          <w:rFonts w:ascii="Times New Roman" w:hAnsi="Times New Roman" w:cs="Times New Roman"/>
          <w:sz w:val="24"/>
          <w:szCs w:val="24"/>
          <w:lang w:eastAsia="pl-PL"/>
        </w:rPr>
      </w:pPr>
      <w:r w:rsidRPr="00C13FB6">
        <w:rPr>
          <w:rFonts w:ascii="Times New Roman" w:hAnsi="Times New Roman" w:cs="Times New Roman"/>
          <w:sz w:val="24"/>
          <w:szCs w:val="24"/>
          <w:lang w:eastAsia="pl-PL"/>
        </w:rPr>
        <w:t>liczb</w:t>
      </w:r>
      <w:r>
        <w:rPr>
          <w:rFonts w:ascii="Times New Roman" w:hAnsi="Times New Roman" w:cs="Times New Roman"/>
          <w:sz w:val="24"/>
          <w:szCs w:val="24"/>
          <w:lang w:eastAsia="pl-PL"/>
        </w:rPr>
        <w:t>y</w:t>
      </w:r>
      <w:r w:rsidRPr="00C13FB6">
        <w:rPr>
          <w:rFonts w:ascii="Times New Roman" w:hAnsi="Times New Roman" w:cs="Times New Roman"/>
          <w:sz w:val="24"/>
          <w:szCs w:val="24"/>
          <w:lang w:eastAsia="pl-PL"/>
        </w:rPr>
        <w:t xml:space="preserve"> bankomatów i wpłatomatów</w:t>
      </w:r>
      <w:r w:rsidR="00803EC0" w:rsidRPr="00803EC0">
        <w:rPr>
          <w:rFonts w:ascii="Times New Roman" w:eastAsia="Times New Roman" w:hAnsi="Times New Roman" w:cs="Arial"/>
          <w:sz w:val="24"/>
          <w:szCs w:val="20"/>
          <w:lang w:eastAsia="pl-PL"/>
        </w:rPr>
        <w:t xml:space="preserve"> </w:t>
      </w:r>
      <w:r w:rsidR="00CC404C" w:rsidRPr="00CC404C">
        <w:rPr>
          <w:rFonts w:ascii="Times New Roman" w:eastAsia="Times New Roman" w:hAnsi="Times New Roman" w:cs="Arial"/>
          <w:sz w:val="24"/>
          <w:szCs w:val="20"/>
          <w:lang w:eastAsia="pl-PL"/>
        </w:rPr>
        <w:t xml:space="preserve">zlokalizowanych na terytorium Rzeczypospolitej Polskiej i poza nim </w:t>
      </w:r>
      <w:r w:rsidR="00803EC0" w:rsidRPr="00803EC0">
        <w:rPr>
          <w:rFonts w:ascii="Times New Roman" w:eastAsia="Times New Roman" w:hAnsi="Times New Roman" w:cs="Arial"/>
          <w:sz w:val="24"/>
          <w:szCs w:val="20"/>
          <w:lang w:eastAsia="pl-PL"/>
        </w:rPr>
        <w:t xml:space="preserve">w podziale na </w:t>
      </w:r>
      <w:r w:rsidR="00CC404C" w:rsidRPr="00CC404C">
        <w:rPr>
          <w:rFonts w:ascii="Times New Roman" w:eastAsia="Times New Roman" w:hAnsi="Times New Roman" w:cs="Arial"/>
          <w:sz w:val="24"/>
          <w:szCs w:val="20"/>
          <w:lang w:eastAsia="pl-PL"/>
        </w:rPr>
        <w:t>kraje</w:t>
      </w:r>
      <w:r w:rsidR="00CC404C">
        <w:rPr>
          <w:rFonts w:ascii="Times New Roman" w:eastAsia="Times New Roman" w:hAnsi="Times New Roman" w:cs="Arial"/>
          <w:sz w:val="24"/>
          <w:szCs w:val="20"/>
          <w:lang w:eastAsia="pl-PL"/>
        </w:rPr>
        <w:t>,</w:t>
      </w:r>
      <w:r w:rsidR="00CC404C" w:rsidRPr="00CC404C">
        <w:rPr>
          <w:rFonts w:ascii="Times New Roman" w:eastAsia="Times New Roman" w:hAnsi="Times New Roman" w:cs="Arial"/>
          <w:sz w:val="24"/>
          <w:szCs w:val="20"/>
          <w:lang w:eastAsia="pl-PL"/>
        </w:rPr>
        <w:t xml:space="preserve"> </w:t>
      </w:r>
      <w:r w:rsidR="00803EC0" w:rsidRPr="00803EC0">
        <w:rPr>
          <w:rFonts w:ascii="Times New Roman" w:eastAsia="Times New Roman" w:hAnsi="Times New Roman" w:cs="Arial"/>
          <w:sz w:val="24"/>
          <w:szCs w:val="20"/>
          <w:lang w:eastAsia="pl-PL"/>
        </w:rPr>
        <w:t>typ i funkcj</w:t>
      </w:r>
      <w:r w:rsidR="00CC404C">
        <w:rPr>
          <w:rFonts w:ascii="Times New Roman" w:eastAsia="Times New Roman" w:hAnsi="Times New Roman" w:cs="Arial"/>
          <w:sz w:val="24"/>
          <w:szCs w:val="20"/>
          <w:lang w:eastAsia="pl-PL"/>
        </w:rPr>
        <w:t>ę</w:t>
      </w:r>
      <w:r w:rsidR="00803EC0" w:rsidRPr="00803EC0">
        <w:rPr>
          <w:rFonts w:ascii="Times New Roman" w:eastAsia="Times New Roman" w:hAnsi="Times New Roman" w:cs="Arial"/>
          <w:sz w:val="24"/>
          <w:szCs w:val="20"/>
          <w:lang w:eastAsia="pl-PL"/>
        </w:rPr>
        <w:t>;</w:t>
      </w:r>
    </w:p>
    <w:p w14:paraId="03872796" w14:textId="091EF413" w:rsidR="00C13FB6" w:rsidRPr="00C13FB6" w:rsidRDefault="00C13FB6" w:rsidP="00C13FB6">
      <w:pPr>
        <w:pStyle w:val="Akapitzlist"/>
        <w:numPr>
          <w:ilvl w:val="0"/>
          <w:numId w:val="3"/>
        </w:numPr>
        <w:jc w:val="both"/>
        <w:rPr>
          <w:rFonts w:ascii="Times New Roman" w:hAnsi="Times New Roman" w:cs="Times New Roman"/>
          <w:sz w:val="24"/>
          <w:szCs w:val="24"/>
          <w:lang w:eastAsia="pl-PL"/>
        </w:rPr>
      </w:pPr>
      <w:r w:rsidRPr="00C13FB6">
        <w:rPr>
          <w:rFonts w:ascii="Times New Roman" w:hAnsi="Times New Roman" w:cs="Times New Roman"/>
          <w:sz w:val="24"/>
          <w:szCs w:val="24"/>
          <w:lang w:eastAsia="pl-PL"/>
        </w:rPr>
        <w:t>liczb</w:t>
      </w:r>
      <w:r>
        <w:rPr>
          <w:rFonts w:ascii="Times New Roman" w:hAnsi="Times New Roman" w:cs="Times New Roman"/>
          <w:sz w:val="24"/>
          <w:szCs w:val="24"/>
          <w:lang w:eastAsia="pl-PL"/>
        </w:rPr>
        <w:t>y</w:t>
      </w:r>
      <w:r w:rsidRPr="00C13FB6">
        <w:rPr>
          <w:rFonts w:ascii="Times New Roman" w:hAnsi="Times New Roman" w:cs="Times New Roman"/>
          <w:sz w:val="24"/>
          <w:szCs w:val="24"/>
          <w:lang w:eastAsia="pl-PL"/>
        </w:rPr>
        <w:t xml:space="preserve"> i wartoś</w:t>
      </w:r>
      <w:r w:rsidR="00CA1AFB">
        <w:rPr>
          <w:rFonts w:ascii="Times New Roman" w:hAnsi="Times New Roman" w:cs="Times New Roman"/>
          <w:sz w:val="24"/>
          <w:szCs w:val="24"/>
          <w:lang w:eastAsia="pl-PL"/>
        </w:rPr>
        <w:t>ci</w:t>
      </w:r>
      <w:r w:rsidRPr="00C13FB6">
        <w:rPr>
          <w:rFonts w:ascii="Times New Roman" w:hAnsi="Times New Roman" w:cs="Times New Roman"/>
          <w:sz w:val="24"/>
          <w:szCs w:val="24"/>
          <w:lang w:eastAsia="pl-PL"/>
        </w:rPr>
        <w:t xml:space="preserve"> transakcji </w:t>
      </w:r>
      <w:r w:rsidR="00CC404C">
        <w:rPr>
          <w:rFonts w:ascii="Times New Roman" w:hAnsi="Times New Roman" w:cs="Times New Roman"/>
          <w:sz w:val="24"/>
          <w:szCs w:val="24"/>
          <w:lang w:eastAsia="pl-PL"/>
        </w:rPr>
        <w:t xml:space="preserve">płatniczych </w:t>
      </w:r>
      <w:r w:rsidR="003F3F44">
        <w:rPr>
          <w:rFonts w:ascii="Times New Roman" w:hAnsi="Times New Roman" w:cs="Times New Roman"/>
          <w:sz w:val="24"/>
          <w:szCs w:val="24"/>
          <w:lang w:eastAsia="pl-PL"/>
        </w:rPr>
        <w:t>do</w:t>
      </w:r>
      <w:r w:rsidRPr="00C13FB6">
        <w:rPr>
          <w:rFonts w:ascii="Times New Roman" w:hAnsi="Times New Roman" w:cs="Times New Roman"/>
          <w:sz w:val="24"/>
          <w:szCs w:val="24"/>
          <w:lang w:eastAsia="pl-PL"/>
        </w:rPr>
        <w:t xml:space="preserve">konanych w bankomatach </w:t>
      </w:r>
      <w:r w:rsidR="00CC404C">
        <w:rPr>
          <w:rFonts w:ascii="Times New Roman" w:hAnsi="Times New Roman" w:cs="Times New Roman"/>
          <w:sz w:val="24"/>
          <w:szCs w:val="24"/>
          <w:lang w:eastAsia="pl-PL"/>
        </w:rPr>
        <w:t>i</w:t>
      </w:r>
      <w:r w:rsidR="007F7CD9">
        <w:rPr>
          <w:rFonts w:ascii="Times New Roman" w:hAnsi="Times New Roman" w:cs="Times New Roman"/>
          <w:sz w:val="24"/>
          <w:szCs w:val="24"/>
          <w:lang w:eastAsia="pl-PL"/>
        </w:rPr>
        <w:t> </w:t>
      </w:r>
      <w:r w:rsidR="00CC404C">
        <w:rPr>
          <w:rFonts w:ascii="Times New Roman" w:hAnsi="Times New Roman" w:cs="Times New Roman"/>
          <w:sz w:val="24"/>
          <w:szCs w:val="24"/>
          <w:lang w:eastAsia="pl-PL"/>
        </w:rPr>
        <w:t xml:space="preserve">wpłatomatach </w:t>
      </w:r>
      <w:r w:rsidRPr="00C13FB6">
        <w:rPr>
          <w:rFonts w:ascii="Times New Roman" w:hAnsi="Times New Roman" w:cs="Times New Roman"/>
          <w:sz w:val="24"/>
          <w:szCs w:val="24"/>
          <w:lang w:eastAsia="pl-PL"/>
        </w:rPr>
        <w:t>zlokalizowanych na terytorium Rzeczypospolitej Polskiej i</w:t>
      </w:r>
      <w:r w:rsidR="007F7CD9">
        <w:rPr>
          <w:rFonts w:ascii="Times New Roman" w:hAnsi="Times New Roman" w:cs="Times New Roman"/>
          <w:sz w:val="24"/>
          <w:szCs w:val="24"/>
          <w:lang w:eastAsia="pl-PL"/>
        </w:rPr>
        <w:t> </w:t>
      </w:r>
      <w:r w:rsidRPr="00C13FB6">
        <w:rPr>
          <w:rFonts w:ascii="Times New Roman" w:hAnsi="Times New Roman" w:cs="Times New Roman"/>
          <w:sz w:val="24"/>
          <w:szCs w:val="24"/>
          <w:lang w:eastAsia="pl-PL"/>
        </w:rPr>
        <w:t>poza nim</w:t>
      </w:r>
      <w:r w:rsidR="00E34414">
        <w:rPr>
          <w:rFonts w:ascii="Times New Roman" w:hAnsi="Times New Roman" w:cs="Times New Roman"/>
          <w:sz w:val="24"/>
          <w:szCs w:val="24"/>
          <w:lang w:eastAsia="pl-PL"/>
        </w:rPr>
        <w:t>,</w:t>
      </w:r>
      <w:r w:rsidR="002B6CCA" w:rsidRPr="002B6CCA">
        <w:rPr>
          <w:rFonts w:ascii="Times New Roman" w:hAnsi="Times New Roman" w:cs="Times New Roman"/>
          <w:sz w:val="24"/>
          <w:szCs w:val="24"/>
          <w:lang w:eastAsia="pl-PL"/>
        </w:rPr>
        <w:t xml:space="preserve"> </w:t>
      </w:r>
      <w:r w:rsidR="009866F6">
        <w:rPr>
          <w:rFonts w:ascii="Times New Roman" w:hAnsi="Times New Roman" w:cs="Times New Roman"/>
          <w:sz w:val="24"/>
          <w:szCs w:val="24"/>
          <w:lang w:eastAsia="pl-PL"/>
        </w:rPr>
        <w:t>w podziale na kraje</w:t>
      </w:r>
      <w:r w:rsidR="00A51814">
        <w:rPr>
          <w:rFonts w:ascii="Times New Roman" w:hAnsi="Times New Roman" w:cs="Times New Roman"/>
          <w:sz w:val="24"/>
          <w:szCs w:val="24"/>
          <w:lang w:eastAsia="pl-PL"/>
        </w:rPr>
        <w:t>,</w:t>
      </w:r>
      <w:r w:rsidR="009866F6">
        <w:rPr>
          <w:rFonts w:ascii="Times New Roman" w:hAnsi="Times New Roman" w:cs="Times New Roman"/>
          <w:sz w:val="24"/>
          <w:szCs w:val="24"/>
          <w:lang w:eastAsia="pl-PL"/>
        </w:rPr>
        <w:t xml:space="preserve"> </w:t>
      </w:r>
      <w:r w:rsidR="002B6CCA" w:rsidRPr="002B6CCA">
        <w:rPr>
          <w:rFonts w:ascii="Times New Roman" w:hAnsi="Times New Roman" w:cs="Times New Roman"/>
          <w:sz w:val="24"/>
          <w:szCs w:val="24"/>
          <w:lang w:eastAsia="pl-PL"/>
        </w:rPr>
        <w:t>przy użyciu instrumentów płatniczych wydanych na terytorium Rzeczypospolitej Polskiej i poza nim</w:t>
      </w:r>
      <w:r w:rsidR="00E34414">
        <w:rPr>
          <w:rFonts w:ascii="Times New Roman" w:hAnsi="Times New Roman" w:cs="Times New Roman"/>
          <w:sz w:val="24"/>
          <w:szCs w:val="24"/>
          <w:lang w:eastAsia="pl-PL"/>
        </w:rPr>
        <w:t>,</w:t>
      </w:r>
      <w:r w:rsidR="002B6CCA" w:rsidRPr="002B6CCA">
        <w:rPr>
          <w:rFonts w:ascii="Times New Roman" w:hAnsi="Times New Roman" w:cs="Times New Roman"/>
          <w:sz w:val="24"/>
          <w:szCs w:val="24"/>
          <w:lang w:eastAsia="pl-PL"/>
        </w:rPr>
        <w:t xml:space="preserve"> w podziale na </w:t>
      </w:r>
      <w:r w:rsidR="00CA1AFB">
        <w:rPr>
          <w:rFonts w:ascii="Times New Roman" w:hAnsi="Times New Roman" w:cs="Times New Roman"/>
          <w:sz w:val="24"/>
          <w:szCs w:val="24"/>
          <w:lang w:eastAsia="pl-PL"/>
        </w:rPr>
        <w:t xml:space="preserve">kraje, </w:t>
      </w:r>
      <w:r w:rsidR="002B6CCA" w:rsidRPr="002B6CCA">
        <w:rPr>
          <w:rFonts w:ascii="Times New Roman" w:hAnsi="Times New Roman" w:cs="Times New Roman"/>
          <w:sz w:val="24"/>
          <w:szCs w:val="24"/>
          <w:lang w:eastAsia="pl-PL"/>
        </w:rPr>
        <w:t>formę</w:t>
      </w:r>
      <w:r w:rsidR="00CC404C">
        <w:rPr>
          <w:rFonts w:ascii="Times New Roman" w:hAnsi="Times New Roman" w:cs="Times New Roman"/>
          <w:sz w:val="24"/>
          <w:szCs w:val="24"/>
          <w:lang w:eastAsia="pl-PL"/>
        </w:rPr>
        <w:t xml:space="preserve"> inicjowania płatności</w:t>
      </w:r>
      <w:r w:rsidR="002B6CCA" w:rsidRPr="002B6CCA">
        <w:rPr>
          <w:rFonts w:ascii="Times New Roman" w:hAnsi="Times New Roman" w:cs="Times New Roman"/>
          <w:sz w:val="24"/>
          <w:szCs w:val="24"/>
          <w:lang w:eastAsia="pl-PL"/>
        </w:rPr>
        <w:t xml:space="preserve">, </w:t>
      </w:r>
      <w:r w:rsidR="00CC404C" w:rsidRPr="00CC404C">
        <w:rPr>
          <w:rFonts w:ascii="Times New Roman" w:hAnsi="Times New Roman" w:cs="Times New Roman"/>
          <w:sz w:val="24"/>
          <w:szCs w:val="24"/>
          <w:lang w:eastAsia="pl-PL"/>
        </w:rPr>
        <w:t>rodzaj uwierzytelnienia</w:t>
      </w:r>
      <w:r w:rsidR="00CC404C">
        <w:rPr>
          <w:rFonts w:ascii="Times New Roman" w:hAnsi="Times New Roman" w:cs="Times New Roman"/>
          <w:sz w:val="24"/>
          <w:szCs w:val="24"/>
          <w:lang w:eastAsia="pl-PL"/>
        </w:rPr>
        <w:t>,</w:t>
      </w:r>
      <w:r w:rsidR="00CC404C" w:rsidRPr="00CC404C">
        <w:rPr>
          <w:rFonts w:ascii="Times New Roman" w:hAnsi="Times New Roman" w:cs="Times New Roman"/>
          <w:sz w:val="24"/>
          <w:szCs w:val="24"/>
          <w:lang w:eastAsia="pl-PL"/>
        </w:rPr>
        <w:t xml:space="preserve"> </w:t>
      </w:r>
      <w:r w:rsidR="002B6CCA" w:rsidRPr="002B6CCA">
        <w:rPr>
          <w:rFonts w:ascii="Times New Roman" w:hAnsi="Times New Roman" w:cs="Times New Roman"/>
          <w:sz w:val="24"/>
          <w:szCs w:val="24"/>
          <w:lang w:eastAsia="pl-PL"/>
        </w:rPr>
        <w:t>sposób i rodzaj transakcji</w:t>
      </w:r>
      <w:r w:rsidR="00CC404C">
        <w:rPr>
          <w:rFonts w:ascii="Times New Roman" w:hAnsi="Times New Roman" w:cs="Times New Roman"/>
          <w:sz w:val="24"/>
          <w:szCs w:val="24"/>
          <w:lang w:eastAsia="pl-PL"/>
        </w:rPr>
        <w:t xml:space="preserve"> płatniczych</w:t>
      </w:r>
      <w:r w:rsidR="00CA1AFB">
        <w:rPr>
          <w:rFonts w:ascii="Times New Roman" w:hAnsi="Times New Roman" w:cs="Times New Roman"/>
          <w:sz w:val="24"/>
          <w:szCs w:val="24"/>
          <w:lang w:eastAsia="pl-PL"/>
        </w:rPr>
        <w:t>,</w:t>
      </w:r>
      <w:r w:rsidR="002B6CCA" w:rsidRPr="002B6CCA">
        <w:rPr>
          <w:rFonts w:ascii="Times New Roman" w:hAnsi="Times New Roman" w:cs="Times New Roman"/>
          <w:sz w:val="24"/>
          <w:szCs w:val="24"/>
          <w:lang w:eastAsia="pl-PL"/>
        </w:rPr>
        <w:t xml:space="preserve"> </w:t>
      </w:r>
      <w:r w:rsidR="000E3E59">
        <w:rPr>
          <w:rFonts w:ascii="Times New Roman" w:hAnsi="Times New Roman" w:cs="Times New Roman"/>
          <w:sz w:val="24"/>
          <w:szCs w:val="24"/>
          <w:lang w:eastAsia="pl-PL"/>
        </w:rPr>
        <w:t xml:space="preserve">transakcje </w:t>
      </w:r>
      <w:r w:rsidR="00CC404C">
        <w:rPr>
          <w:rFonts w:ascii="Times New Roman" w:hAnsi="Times New Roman" w:cs="Times New Roman"/>
          <w:sz w:val="24"/>
          <w:szCs w:val="24"/>
          <w:lang w:eastAsia="pl-PL"/>
        </w:rPr>
        <w:t xml:space="preserve">płatnicze </w:t>
      </w:r>
      <w:r w:rsidR="000E3E59">
        <w:rPr>
          <w:rFonts w:ascii="Times New Roman" w:hAnsi="Times New Roman" w:cs="Times New Roman"/>
          <w:sz w:val="24"/>
          <w:szCs w:val="24"/>
          <w:lang w:eastAsia="pl-PL"/>
        </w:rPr>
        <w:t>gotówkow</w:t>
      </w:r>
      <w:r w:rsidR="002B6CCA" w:rsidRPr="002B6CCA">
        <w:rPr>
          <w:rFonts w:ascii="Times New Roman" w:hAnsi="Times New Roman" w:cs="Times New Roman"/>
          <w:sz w:val="24"/>
          <w:szCs w:val="24"/>
          <w:lang w:eastAsia="pl-PL"/>
        </w:rPr>
        <w:t xml:space="preserve">e i bezgotówkowe, oraz schematy </w:t>
      </w:r>
      <w:r w:rsidR="009866F6">
        <w:rPr>
          <w:rFonts w:ascii="Times New Roman" w:hAnsi="Times New Roman" w:cs="Times New Roman"/>
          <w:sz w:val="24"/>
          <w:szCs w:val="24"/>
          <w:lang w:eastAsia="pl-PL"/>
        </w:rPr>
        <w:t>płatnicze</w:t>
      </w:r>
      <w:r w:rsidR="002B6CCA" w:rsidRPr="002B6CCA">
        <w:rPr>
          <w:rFonts w:ascii="Times New Roman" w:hAnsi="Times New Roman" w:cs="Times New Roman"/>
          <w:sz w:val="24"/>
          <w:szCs w:val="24"/>
          <w:lang w:eastAsia="pl-PL"/>
        </w:rPr>
        <w:t>;</w:t>
      </w:r>
    </w:p>
    <w:p w14:paraId="1B55E02A" w14:textId="1B8E441D" w:rsidR="00C13FB6" w:rsidRPr="00C13FB6" w:rsidRDefault="002B6CCA" w:rsidP="00C13FB6">
      <w:pPr>
        <w:pStyle w:val="Akapitzlist"/>
        <w:numPr>
          <w:ilvl w:val="0"/>
          <w:numId w:val="3"/>
        </w:numPr>
        <w:jc w:val="both"/>
        <w:rPr>
          <w:rFonts w:ascii="Times New Roman" w:hAnsi="Times New Roman" w:cs="Times New Roman"/>
          <w:sz w:val="24"/>
          <w:szCs w:val="24"/>
          <w:lang w:eastAsia="pl-PL"/>
        </w:rPr>
      </w:pPr>
      <w:r w:rsidRPr="002B6CCA">
        <w:rPr>
          <w:rFonts w:ascii="Times New Roman" w:hAnsi="Times New Roman" w:cs="Times New Roman"/>
          <w:sz w:val="24"/>
          <w:szCs w:val="24"/>
          <w:lang w:eastAsia="pl-PL"/>
        </w:rPr>
        <w:t>liczb</w:t>
      </w:r>
      <w:r w:rsidR="00F22DF3">
        <w:rPr>
          <w:rFonts w:ascii="Times New Roman" w:hAnsi="Times New Roman" w:cs="Times New Roman"/>
          <w:sz w:val="24"/>
          <w:szCs w:val="24"/>
          <w:lang w:eastAsia="pl-PL"/>
        </w:rPr>
        <w:t>y</w:t>
      </w:r>
      <w:r w:rsidRPr="002B6CCA">
        <w:rPr>
          <w:rFonts w:ascii="Times New Roman" w:hAnsi="Times New Roman" w:cs="Times New Roman"/>
          <w:sz w:val="24"/>
          <w:szCs w:val="24"/>
          <w:lang w:eastAsia="pl-PL"/>
        </w:rPr>
        <w:t xml:space="preserve"> i wartoś</w:t>
      </w:r>
      <w:r w:rsidR="00F22DF3">
        <w:rPr>
          <w:rFonts w:ascii="Times New Roman" w:hAnsi="Times New Roman" w:cs="Times New Roman"/>
          <w:sz w:val="24"/>
          <w:szCs w:val="24"/>
          <w:lang w:eastAsia="pl-PL"/>
        </w:rPr>
        <w:t xml:space="preserve">ci </w:t>
      </w:r>
      <w:r w:rsidRPr="002B6CCA">
        <w:rPr>
          <w:rFonts w:ascii="Times New Roman" w:hAnsi="Times New Roman" w:cs="Times New Roman"/>
          <w:sz w:val="24"/>
          <w:szCs w:val="24"/>
          <w:lang w:eastAsia="pl-PL"/>
        </w:rPr>
        <w:t>transakcji płatniczych</w:t>
      </w:r>
      <w:r w:rsidR="00BD3E28">
        <w:rPr>
          <w:rFonts w:ascii="Times New Roman" w:hAnsi="Times New Roman" w:cs="Times New Roman"/>
          <w:sz w:val="24"/>
          <w:szCs w:val="24"/>
          <w:lang w:eastAsia="pl-PL"/>
        </w:rPr>
        <w:t>,</w:t>
      </w:r>
      <w:r w:rsidRPr="002B6CCA">
        <w:rPr>
          <w:rFonts w:ascii="Times New Roman" w:hAnsi="Times New Roman" w:cs="Times New Roman"/>
          <w:sz w:val="24"/>
          <w:szCs w:val="24"/>
          <w:lang w:eastAsia="pl-PL"/>
        </w:rPr>
        <w:t xml:space="preserve"> </w:t>
      </w:r>
      <w:r w:rsidR="00BD3E28">
        <w:rPr>
          <w:rFonts w:ascii="Times New Roman" w:hAnsi="Times New Roman" w:cs="Times New Roman"/>
          <w:sz w:val="24"/>
          <w:szCs w:val="24"/>
          <w:lang w:eastAsia="pl-PL"/>
        </w:rPr>
        <w:t xml:space="preserve">naruszających przepisy prawa lub reguły uczciwego obrotu, </w:t>
      </w:r>
      <w:r w:rsidRPr="002B6CCA">
        <w:rPr>
          <w:rFonts w:ascii="Times New Roman" w:hAnsi="Times New Roman" w:cs="Times New Roman"/>
          <w:sz w:val="24"/>
          <w:szCs w:val="24"/>
          <w:lang w:eastAsia="pl-PL"/>
        </w:rPr>
        <w:t xml:space="preserve">zarejestrowanych w bankomatach </w:t>
      </w:r>
      <w:r w:rsidR="00BD3E28">
        <w:rPr>
          <w:rFonts w:ascii="Times New Roman" w:hAnsi="Times New Roman" w:cs="Times New Roman"/>
          <w:sz w:val="24"/>
          <w:szCs w:val="24"/>
          <w:lang w:eastAsia="pl-PL"/>
        </w:rPr>
        <w:t xml:space="preserve">lub wpłatomatach </w:t>
      </w:r>
      <w:r w:rsidRPr="002B6CCA">
        <w:rPr>
          <w:rFonts w:ascii="Times New Roman" w:hAnsi="Times New Roman" w:cs="Times New Roman"/>
          <w:sz w:val="24"/>
          <w:szCs w:val="24"/>
          <w:lang w:eastAsia="pl-PL"/>
        </w:rPr>
        <w:t>zlokalizowanych na terytorium Rzeczypospolitej Polskiej i poza nim</w:t>
      </w:r>
      <w:r w:rsidR="009866F6">
        <w:rPr>
          <w:rFonts w:ascii="Times New Roman" w:hAnsi="Times New Roman" w:cs="Times New Roman"/>
          <w:sz w:val="24"/>
          <w:szCs w:val="24"/>
          <w:lang w:eastAsia="pl-PL"/>
        </w:rPr>
        <w:t>, w</w:t>
      </w:r>
      <w:r w:rsidR="007F7CD9">
        <w:rPr>
          <w:rFonts w:ascii="Times New Roman" w:hAnsi="Times New Roman" w:cs="Times New Roman"/>
          <w:sz w:val="24"/>
          <w:szCs w:val="24"/>
          <w:lang w:eastAsia="pl-PL"/>
        </w:rPr>
        <w:t> </w:t>
      </w:r>
      <w:r w:rsidR="009866F6">
        <w:rPr>
          <w:rFonts w:ascii="Times New Roman" w:hAnsi="Times New Roman" w:cs="Times New Roman"/>
          <w:sz w:val="24"/>
          <w:szCs w:val="24"/>
          <w:lang w:eastAsia="pl-PL"/>
        </w:rPr>
        <w:t>podziale na kraje</w:t>
      </w:r>
      <w:r w:rsidRPr="002B6CCA">
        <w:rPr>
          <w:rFonts w:ascii="Times New Roman" w:hAnsi="Times New Roman" w:cs="Times New Roman"/>
          <w:sz w:val="24"/>
          <w:szCs w:val="24"/>
          <w:lang w:eastAsia="pl-PL"/>
        </w:rPr>
        <w:t xml:space="preserve">, </w:t>
      </w:r>
      <w:r w:rsidR="00BA47F7">
        <w:rPr>
          <w:rFonts w:ascii="Times New Roman" w:hAnsi="Times New Roman" w:cs="Times New Roman"/>
          <w:sz w:val="24"/>
          <w:szCs w:val="24"/>
          <w:lang w:eastAsia="pl-PL"/>
        </w:rPr>
        <w:t xml:space="preserve">Transakcje klasyfikowane są ze względu na </w:t>
      </w:r>
      <w:r w:rsidRPr="002B6CCA">
        <w:rPr>
          <w:rFonts w:ascii="Times New Roman" w:hAnsi="Times New Roman" w:cs="Times New Roman"/>
          <w:sz w:val="24"/>
          <w:szCs w:val="24"/>
          <w:lang w:eastAsia="pl-PL"/>
        </w:rPr>
        <w:t>formę, sposób i rodzaj transakcji</w:t>
      </w:r>
      <w:r w:rsidR="00BA47F7">
        <w:rPr>
          <w:rFonts w:ascii="Times New Roman" w:hAnsi="Times New Roman" w:cs="Times New Roman"/>
          <w:sz w:val="24"/>
          <w:szCs w:val="24"/>
          <w:lang w:eastAsia="pl-PL"/>
        </w:rPr>
        <w:t xml:space="preserve"> płatniczych</w:t>
      </w:r>
      <w:r w:rsidR="00D53DFC">
        <w:rPr>
          <w:rFonts w:ascii="Times New Roman" w:hAnsi="Times New Roman" w:cs="Times New Roman"/>
          <w:sz w:val="24"/>
          <w:szCs w:val="24"/>
          <w:lang w:eastAsia="pl-PL"/>
        </w:rPr>
        <w:t>,</w:t>
      </w:r>
      <w:r w:rsidRPr="002B6CCA">
        <w:rPr>
          <w:rFonts w:ascii="Times New Roman" w:hAnsi="Times New Roman" w:cs="Times New Roman"/>
          <w:sz w:val="24"/>
          <w:szCs w:val="24"/>
          <w:lang w:eastAsia="pl-PL"/>
        </w:rPr>
        <w:t xml:space="preserve"> </w:t>
      </w:r>
      <w:r w:rsidR="000E3E59">
        <w:rPr>
          <w:rFonts w:ascii="Times New Roman" w:hAnsi="Times New Roman" w:cs="Times New Roman"/>
          <w:sz w:val="24"/>
          <w:szCs w:val="24"/>
          <w:lang w:eastAsia="pl-PL"/>
        </w:rPr>
        <w:t>transakcje</w:t>
      </w:r>
      <w:r w:rsidRPr="002B6CCA">
        <w:rPr>
          <w:rFonts w:ascii="Times New Roman" w:hAnsi="Times New Roman" w:cs="Times New Roman"/>
          <w:sz w:val="24"/>
          <w:szCs w:val="24"/>
          <w:lang w:eastAsia="pl-PL"/>
        </w:rPr>
        <w:t xml:space="preserve"> </w:t>
      </w:r>
      <w:r w:rsidR="00BA47F7">
        <w:rPr>
          <w:rFonts w:ascii="Times New Roman" w:hAnsi="Times New Roman" w:cs="Times New Roman"/>
          <w:sz w:val="24"/>
          <w:szCs w:val="24"/>
          <w:lang w:eastAsia="pl-PL"/>
        </w:rPr>
        <w:t xml:space="preserve">płatnicze </w:t>
      </w:r>
      <w:r w:rsidRPr="002B6CCA">
        <w:rPr>
          <w:rFonts w:ascii="Times New Roman" w:hAnsi="Times New Roman" w:cs="Times New Roman"/>
          <w:sz w:val="24"/>
          <w:szCs w:val="24"/>
          <w:lang w:eastAsia="pl-PL"/>
        </w:rPr>
        <w:t>gotówkowe i</w:t>
      </w:r>
      <w:r w:rsidR="007F7CD9">
        <w:rPr>
          <w:rFonts w:ascii="Times New Roman" w:hAnsi="Times New Roman" w:cs="Times New Roman"/>
          <w:sz w:val="24"/>
          <w:szCs w:val="24"/>
          <w:lang w:eastAsia="pl-PL"/>
        </w:rPr>
        <w:t> </w:t>
      </w:r>
      <w:r w:rsidRPr="002B6CCA">
        <w:rPr>
          <w:rFonts w:ascii="Times New Roman" w:hAnsi="Times New Roman" w:cs="Times New Roman"/>
          <w:sz w:val="24"/>
          <w:szCs w:val="24"/>
          <w:lang w:eastAsia="pl-PL"/>
        </w:rPr>
        <w:t xml:space="preserve">bezgotówkowe, </w:t>
      </w:r>
      <w:r w:rsidR="000E3E59">
        <w:rPr>
          <w:rFonts w:ascii="Times New Roman" w:hAnsi="Times New Roman" w:cs="Times New Roman"/>
          <w:sz w:val="24"/>
          <w:szCs w:val="24"/>
          <w:lang w:eastAsia="pl-PL"/>
        </w:rPr>
        <w:t>transakcje</w:t>
      </w:r>
      <w:r w:rsidR="00D53DFC">
        <w:rPr>
          <w:rFonts w:ascii="Times New Roman" w:hAnsi="Times New Roman" w:cs="Times New Roman"/>
          <w:sz w:val="24"/>
          <w:szCs w:val="24"/>
          <w:lang w:eastAsia="pl-PL"/>
        </w:rPr>
        <w:t xml:space="preserve"> </w:t>
      </w:r>
      <w:r w:rsidR="00BA47F7">
        <w:rPr>
          <w:rFonts w:ascii="Times New Roman" w:hAnsi="Times New Roman" w:cs="Times New Roman"/>
          <w:sz w:val="24"/>
          <w:szCs w:val="24"/>
          <w:lang w:eastAsia="pl-PL"/>
        </w:rPr>
        <w:t xml:space="preserve">płatnicze </w:t>
      </w:r>
      <w:r w:rsidRPr="002B6CCA">
        <w:rPr>
          <w:rFonts w:ascii="Times New Roman" w:hAnsi="Times New Roman" w:cs="Times New Roman"/>
          <w:sz w:val="24"/>
          <w:szCs w:val="24"/>
          <w:lang w:eastAsia="pl-PL"/>
        </w:rPr>
        <w:t>zdalne</w:t>
      </w:r>
      <w:r w:rsidR="00D53DFC">
        <w:rPr>
          <w:rFonts w:ascii="Times New Roman" w:hAnsi="Times New Roman" w:cs="Times New Roman"/>
          <w:sz w:val="24"/>
          <w:szCs w:val="24"/>
          <w:lang w:eastAsia="pl-PL"/>
        </w:rPr>
        <w:t xml:space="preserve"> i</w:t>
      </w:r>
      <w:r w:rsidRPr="002B6CCA">
        <w:rPr>
          <w:rFonts w:ascii="Times New Roman" w:hAnsi="Times New Roman" w:cs="Times New Roman"/>
          <w:sz w:val="24"/>
          <w:szCs w:val="24"/>
          <w:lang w:eastAsia="pl-PL"/>
        </w:rPr>
        <w:t xml:space="preserve"> niezdalne, rodzaj uwierzytelnienia, sposób dokonania płatności oraz schematy </w:t>
      </w:r>
      <w:r w:rsidR="009866F6">
        <w:rPr>
          <w:rFonts w:ascii="Times New Roman" w:hAnsi="Times New Roman" w:cs="Times New Roman"/>
          <w:sz w:val="24"/>
          <w:szCs w:val="24"/>
          <w:lang w:eastAsia="pl-PL"/>
        </w:rPr>
        <w:t>płatnicze</w:t>
      </w:r>
      <w:r w:rsidRPr="002B6CCA">
        <w:rPr>
          <w:rFonts w:ascii="Times New Roman" w:hAnsi="Times New Roman" w:cs="Times New Roman"/>
          <w:sz w:val="24"/>
          <w:szCs w:val="24"/>
          <w:lang w:eastAsia="pl-PL"/>
        </w:rPr>
        <w:t xml:space="preserve">, sposób wykonania oszustwa z wyszczególnieniem rodzaju źródła </w:t>
      </w:r>
      <w:r w:rsidR="00BA47F7">
        <w:rPr>
          <w:rFonts w:ascii="Times New Roman" w:hAnsi="Times New Roman" w:cs="Times New Roman"/>
          <w:sz w:val="24"/>
          <w:szCs w:val="24"/>
          <w:lang w:eastAsia="pl-PL"/>
        </w:rPr>
        <w:t xml:space="preserve">naruszenia prawa lub reguł uczciwego obrotu </w:t>
      </w:r>
      <w:r w:rsidRPr="002B6CCA">
        <w:rPr>
          <w:rFonts w:ascii="Times New Roman" w:hAnsi="Times New Roman" w:cs="Times New Roman"/>
          <w:sz w:val="24"/>
          <w:szCs w:val="24"/>
          <w:lang w:eastAsia="pl-PL"/>
        </w:rPr>
        <w:t xml:space="preserve"> oraz </w:t>
      </w:r>
      <w:r w:rsidR="00BA47F7">
        <w:rPr>
          <w:rFonts w:ascii="Times New Roman" w:hAnsi="Times New Roman" w:cs="Times New Roman"/>
          <w:sz w:val="24"/>
          <w:szCs w:val="24"/>
          <w:lang w:eastAsia="pl-PL"/>
        </w:rPr>
        <w:t xml:space="preserve">wysokości spowodowanych nimi strat </w:t>
      </w:r>
      <w:r w:rsidR="00BA47F7" w:rsidRPr="00BA47F7">
        <w:rPr>
          <w:rFonts w:ascii="Times New Roman" w:hAnsi="Times New Roman" w:cs="Times New Roman"/>
          <w:sz w:val="24"/>
          <w:szCs w:val="24"/>
          <w:lang w:eastAsia="pl-PL"/>
        </w:rPr>
        <w:t>oraz w</w:t>
      </w:r>
      <w:r w:rsidR="007F7CD9">
        <w:rPr>
          <w:rFonts w:ascii="Times New Roman" w:hAnsi="Times New Roman" w:cs="Times New Roman"/>
          <w:sz w:val="24"/>
          <w:szCs w:val="24"/>
          <w:lang w:eastAsia="pl-PL"/>
        </w:rPr>
        <w:t> </w:t>
      </w:r>
      <w:r w:rsidR="00BA47F7" w:rsidRPr="00BA47F7">
        <w:rPr>
          <w:rFonts w:ascii="Times New Roman" w:hAnsi="Times New Roman" w:cs="Times New Roman"/>
          <w:sz w:val="24"/>
          <w:szCs w:val="24"/>
          <w:lang w:eastAsia="pl-PL"/>
        </w:rPr>
        <w:t>podziale na użyty instrument płatniczy wydany na terytorium Rzeczypospolitej Polskiej i poza terytorium Rzeczypospolitej Polskiej, w</w:t>
      </w:r>
      <w:r w:rsidR="007F7CD9">
        <w:rPr>
          <w:rFonts w:ascii="Times New Roman" w:hAnsi="Times New Roman" w:cs="Times New Roman"/>
          <w:sz w:val="24"/>
          <w:szCs w:val="24"/>
          <w:lang w:eastAsia="pl-PL"/>
        </w:rPr>
        <w:t> </w:t>
      </w:r>
      <w:r w:rsidR="00BA47F7" w:rsidRPr="00BA47F7">
        <w:rPr>
          <w:rFonts w:ascii="Times New Roman" w:hAnsi="Times New Roman" w:cs="Times New Roman"/>
          <w:sz w:val="24"/>
          <w:szCs w:val="24"/>
          <w:lang w:eastAsia="pl-PL"/>
        </w:rPr>
        <w:t>podziale na kraje.</w:t>
      </w:r>
    </w:p>
    <w:p w14:paraId="733BA1FE" w14:textId="3111663B" w:rsidR="00C13FB6" w:rsidRPr="00C13FB6" w:rsidRDefault="00C60BB2" w:rsidP="00C13FB6">
      <w:pPr>
        <w:pStyle w:val="Akapitzlist"/>
        <w:numPr>
          <w:ilvl w:val="0"/>
          <w:numId w:val="2"/>
        </w:numPr>
        <w:jc w:val="both"/>
        <w:rPr>
          <w:rFonts w:ascii="Times New Roman" w:hAnsi="Times New Roman" w:cs="Times New Roman"/>
          <w:bCs/>
          <w:color w:val="000000" w:themeColor="text1"/>
          <w:sz w:val="24"/>
          <w:szCs w:val="24"/>
          <w:lang w:eastAsia="pl-PL"/>
        </w:rPr>
      </w:pPr>
      <w:r>
        <w:rPr>
          <w:rFonts w:ascii="Times New Roman" w:hAnsi="Times New Roman" w:cs="Times New Roman"/>
          <w:color w:val="000000" w:themeColor="text1"/>
          <w:sz w:val="24"/>
          <w:szCs w:val="24"/>
          <w:lang w:eastAsia="pl-PL"/>
        </w:rPr>
        <w:t xml:space="preserve">w </w:t>
      </w:r>
      <w:r w:rsidR="00455B20" w:rsidRPr="00455B20">
        <w:rPr>
          <w:rFonts w:ascii="Times New Roman" w:hAnsi="Times New Roman" w:cs="Times New Roman"/>
          <w:color w:val="000000" w:themeColor="text1"/>
          <w:sz w:val="24"/>
          <w:szCs w:val="24"/>
          <w:lang w:eastAsia="pl-PL"/>
        </w:rPr>
        <w:t>§</w:t>
      </w:r>
      <w:r>
        <w:rPr>
          <w:rFonts w:ascii="Times New Roman" w:hAnsi="Times New Roman" w:cs="Times New Roman"/>
          <w:color w:val="000000" w:themeColor="text1"/>
          <w:sz w:val="24"/>
          <w:szCs w:val="24"/>
          <w:lang w:eastAsia="pl-PL"/>
        </w:rPr>
        <w:t xml:space="preserve"> </w:t>
      </w:r>
      <w:r w:rsidR="003F3F44">
        <w:rPr>
          <w:rFonts w:ascii="Times New Roman" w:hAnsi="Times New Roman" w:cs="Times New Roman"/>
          <w:color w:val="000000" w:themeColor="text1"/>
          <w:sz w:val="24"/>
          <w:szCs w:val="24"/>
          <w:lang w:eastAsia="pl-PL"/>
        </w:rPr>
        <w:t>4</w:t>
      </w:r>
      <w:r w:rsidR="00C13FB6">
        <w:rPr>
          <w:rFonts w:ascii="Times New Roman" w:hAnsi="Times New Roman" w:cs="Times New Roman"/>
          <w:color w:val="000000" w:themeColor="text1"/>
          <w:sz w:val="24"/>
          <w:szCs w:val="24"/>
          <w:lang w:eastAsia="pl-PL"/>
        </w:rPr>
        <w:t xml:space="preserve"> projektu </w:t>
      </w:r>
      <w:r w:rsidR="003D0FB0">
        <w:rPr>
          <w:rFonts w:ascii="Times New Roman" w:hAnsi="Times New Roman" w:cs="Times New Roman"/>
          <w:color w:val="000000" w:themeColor="text1"/>
          <w:sz w:val="24"/>
          <w:szCs w:val="24"/>
          <w:lang w:eastAsia="pl-PL"/>
        </w:rPr>
        <w:t xml:space="preserve">dla </w:t>
      </w:r>
      <w:r w:rsidR="00C632ED">
        <w:rPr>
          <w:rFonts w:ascii="Times New Roman" w:hAnsi="Times New Roman" w:cs="Times New Roman"/>
          <w:color w:val="000000" w:themeColor="text1"/>
          <w:sz w:val="24"/>
          <w:szCs w:val="24"/>
          <w:lang w:eastAsia="pl-PL"/>
        </w:rPr>
        <w:t xml:space="preserve">dostawcy prowadzącego rachunek płatniczy, w tym </w:t>
      </w:r>
      <w:r w:rsidR="003D0FB0">
        <w:rPr>
          <w:rFonts w:ascii="Times New Roman" w:hAnsi="Times New Roman" w:cs="Times New Roman"/>
          <w:color w:val="000000" w:themeColor="text1"/>
          <w:sz w:val="24"/>
          <w:szCs w:val="24"/>
          <w:lang w:eastAsia="pl-PL"/>
        </w:rPr>
        <w:t xml:space="preserve">dostawcy </w:t>
      </w:r>
      <w:r w:rsidR="00C13FB6" w:rsidRPr="00C13FB6">
        <w:rPr>
          <w:rFonts w:ascii="Times New Roman" w:hAnsi="Times New Roman" w:cs="Times New Roman"/>
          <w:bCs/>
          <w:color w:val="000000" w:themeColor="text1"/>
          <w:sz w:val="24"/>
          <w:szCs w:val="24"/>
          <w:lang w:eastAsia="pl-PL"/>
        </w:rPr>
        <w:t>świadcząc</w:t>
      </w:r>
      <w:r w:rsidR="00C13FB6">
        <w:rPr>
          <w:rFonts w:ascii="Times New Roman" w:hAnsi="Times New Roman" w:cs="Times New Roman"/>
          <w:bCs/>
          <w:color w:val="000000" w:themeColor="text1"/>
          <w:sz w:val="24"/>
          <w:szCs w:val="24"/>
          <w:lang w:eastAsia="pl-PL"/>
        </w:rPr>
        <w:t>e</w:t>
      </w:r>
      <w:r w:rsidR="003D0FB0">
        <w:rPr>
          <w:rFonts w:ascii="Times New Roman" w:hAnsi="Times New Roman" w:cs="Times New Roman"/>
          <w:bCs/>
          <w:color w:val="000000" w:themeColor="text1"/>
          <w:sz w:val="24"/>
          <w:szCs w:val="24"/>
          <w:lang w:eastAsia="pl-PL"/>
        </w:rPr>
        <w:t>go</w:t>
      </w:r>
      <w:r w:rsidR="00C13FB6" w:rsidRPr="00C13FB6">
        <w:rPr>
          <w:rFonts w:ascii="Times New Roman" w:hAnsi="Times New Roman" w:cs="Times New Roman"/>
          <w:bCs/>
          <w:color w:val="000000" w:themeColor="text1"/>
          <w:sz w:val="24"/>
          <w:szCs w:val="24"/>
          <w:lang w:eastAsia="pl-PL"/>
        </w:rPr>
        <w:t xml:space="preserve"> usług</w:t>
      </w:r>
      <w:r w:rsidR="003D0FB0">
        <w:rPr>
          <w:rFonts w:ascii="Times New Roman" w:hAnsi="Times New Roman" w:cs="Times New Roman"/>
          <w:bCs/>
          <w:color w:val="000000" w:themeColor="text1"/>
          <w:sz w:val="24"/>
          <w:szCs w:val="24"/>
          <w:lang w:eastAsia="pl-PL"/>
        </w:rPr>
        <w:t xml:space="preserve">ę </w:t>
      </w:r>
      <w:r w:rsidR="00C13FB6" w:rsidRPr="00C13FB6">
        <w:rPr>
          <w:rFonts w:ascii="Times New Roman" w:hAnsi="Times New Roman" w:cs="Times New Roman"/>
          <w:bCs/>
          <w:color w:val="000000" w:themeColor="text1"/>
          <w:sz w:val="24"/>
          <w:szCs w:val="24"/>
          <w:lang w:eastAsia="pl-PL"/>
        </w:rPr>
        <w:t>płatnicz</w:t>
      </w:r>
      <w:r w:rsidR="007A5483">
        <w:rPr>
          <w:rFonts w:ascii="Times New Roman" w:hAnsi="Times New Roman" w:cs="Times New Roman"/>
          <w:bCs/>
          <w:color w:val="000000" w:themeColor="text1"/>
          <w:sz w:val="24"/>
          <w:szCs w:val="24"/>
          <w:lang w:eastAsia="pl-PL"/>
        </w:rPr>
        <w:t>ą</w:t>
      </w:r>
      <w:r w:rsidR="00C13FB6" w:rsidRPr="00C13FB6">
        <w:rPr>
          <w:rFonts w:ascii="Times New Roman" w:hAnsi="Times New Roman" w:cs="Times New Roman"/>
          <w:bCs/>
          <w:color w:val="000000" w:themeColor="text1"/>
          <w:sz w:val="24"/>
          <w:szCs w:val="24"/>
          <w:lang w:eastAsia="pl-PL"/>
        </w:rPr>
        <w:t xml:space="preserve"> na terytorium Rzeczypospolitej Polskiej w ramach działalności transgranicznej przez oddział lub za pośrednictwem agenta</w:t>
      </w:r>
      <w:bookmarkStart w:id="1" w:name="_Hlk66888249"/>
      <w:r w:rsidR="00D53DFC">
        <w:rPr>
          <w:rFonts w:ascii="Times New Roman" w:hAnsi="Times New Roman" w:cs="Times New Roman"/>
          <w:bCs/>
          <w:color w:val="000000" w:themeColor="text1"/>
          <w:sz w:val="24"/>
          <w:szCs w:val="24"/>
          <w:lang w:eastAsia="pl-PL"/>
        </w:rPr>
        <w:t>,</w:t>
      </w:r>
      <w:r w:rsidR="00710C6C">
        <w:rPr>
          <w:rFonts w:ascii="Times New Roman" w:hAnsi="Times New Roman" w:cs="Times New Roman"/>
          <w:bCs/>
          <w:color w:val="000000" w:themeColor="text1"/>
          <w:sz w:val="24"/>
          <w:szCs w:val="24"/>
          <w:lang w:eastAsia="pl-PL"/>
        </w:rPr>
        <w:t xml:space="preserve"> wprowadzono</w:t>
      </w:r>
      <w:r w:rsidR="00C13FB6" w:rsidRPr="00C13FB6">
        <w:rPr>
          <w:rFonts w:ascii="Times New Roman" w:hAnsi="Times New Roman" w:cs="Times New Roman"/>
          <w:bCs/>
          <w:color w:val="000000" w:themeColor="text1"/>
          <w:sz w:val="24"/>
          <w:szCs w:val="24"/>
          <w:lang w:eastAsia="pl-PL"/>
        </w:rPr>
        <w:t xml:space="preserve"> informacje</w:t>
      </w:r>
      <w:r w:rsidR="00710C6C">
        <w:rPr>
          <w:rFonts w:ascii="Times New Roman" w:hAnsi="Times New Roman" w:cs="Times New Roman"/>
          <w:bCs/>
          <w:color w:val="000000" w:themeColor="text1"/>
          <w:sz w:val="24"/>
          <w:szCs w:val="24"/>
          <w:lang w:eastAsia="pl-PL"/>
        </w:rPr>
        <w:t xml:space="preserve"> </w:t>
      </w:r>
      <w:r w:rsidR="00FA5107">
        <w:rPr>
          <w:rFonts w:ascii="Times New Roman" w:hAnsi="Times New Roman" w:cs="Times New Roman"/>
          <w:bCs/>
          <w:color w:val="000000" w:themeColor="text1"/>
          <w:sz w:val="24"/>
          <w:szCs w:val="24"/>
          <w:lang w:eastAsia="pl-PL"/>
        </w:rPr>
        <w:t>dotyczące</w:t>
      </w:r>
      <w:r w:rsidR="00C13FB6" w:rsidRPr="00C13FB6">
        <w:rPr>
          <w:rFonts w:ascii="Times New Roman" w:hAnsi="Times New Roman" w:cs="Times New Roman"/>
          <w:bCs/>
          <w:color w:val="000000" w:themeColor="text1"/>
          <w:sz w:val="24"/>
          <w:szCs w:val="24"/>
          <w:lang w:eastAsia="pl-PL"/>
        </w:rPr>
        <w:t>:</w:t>
      </w:r>
      <w:bookmarkEnd w:id="1"/>
    </w:p>
    <w:p w14:paraId="51C28BAD" w14:textId="18131721" w:rsidR="00C13FB6" w:rsidRPr="00C13FB6" w:rsidRDefault="00C13FB6" w:rsidP="00FA5107">
      <w:pPr>
        <w:pStyle w:val="Akapitzlist"/>
        <w:numPr>
          <w:ilvl w:val="0"/>
          <w:numId w:val="5"/>
        </w:numPr>
        <w:rPr>
          <w:rFonts w:ascii="Times New Roman" w:hAnsi="Times New Roman" w:cs="Times New Roman"/>
          <w:bCs/>
          <w:color w:val="000000" w:themeColor="text1"/>
          <w:sz w:val="24"/>
          <w:szCs w:val="24"/>
          <w:lang w:eastAsia="pl-PL"/>
        </w:rPr>
      </w:pPr>
      <w:r w:rsidRPr="00C13FB6">
        <w:rPr>
          <w:rFonts w:ascii="Times New Roman" w:hAnsi="Times New Roman" w:cs="Times New Roman"/>
          <w:bCs/>
          <w:color w:val="000000" w:themeColor="text1"/>
          <w:sz w:val="24"/>
          <w:szCs w:val="24"/>
          <w:lang w:eastAsia="pl-PL"/>
        </w:rPr>
        <w:t>liczb</w:t>
      </w:r>
      <w:r w:rsidR="00FA5107">
        <w:rPr>
          <w:rFonts w:ascii="Times New Roman" w:hAnsi="Times New Roman" w:cs="Times New Roman"/>
          <w:bCs/>
          <w:color w:val="000000" w:themeColor="text1"/>
          <w:sz w:val="24"/>
          <w:szCs w:val="24"/>
          <w:lang w:eastAsia="pl-PL"/>
        </w:rPr>
        <w:t>y</w:t>
      </w:r>
      <w:r w:rsidRPr="00C13FB6">
        <w:rPr>
          <w:rFonts w:ascii="Times New Roman" w:hAnsi="Times New Roman" w:cs="Times New Roman"/>
          <w:bCs/>
          <w:color w:val="000000" w:themeColor="text1"/>
          <w:sz w:val="24"/>
          <w:szCs w:val="24"/>
          <w:lang w:eastAsia="pl-PL"/>
        </w:rPr>
        <w:t xml:space="preserve"> prowadzonych rachunków płatniczych;</w:t>
      </w:r>
    </w:p>
    <w:p w14:paraId="28D015B9" w14:textId="22CEB0A6" w:rsidR="00C20F3B" w:rsidRPr="00472238" w:rsidRDefault="00C13FB6" w:rsidP="004C2DB4">
      <w:pPr>
        <w:pStyle w:val="Akapitzlist"/>
        <w:numPr>
          <w:ilvl w:val="0"/>
          <w:numId w:val="5"/>
        </w:numPr>
        <w:spacing w:after="0"/>
        <w:ind w:left="1502" w:hanging="357"/>
        <w:jc w:val="both"/>
        <w:rPr>
          <w:rFonts w:ascii="Times New Roman" w:hAnsi="Times New Roman" w:cs="Times New Roman"/>
          <w:sz w:val="24"/>
          <w:szCs w:val="24"/>
          <w:lang w:eastAsia="pl-PL"/>
        </w:rPr>
      </w:pPr>
      <w:r w:rsidRPr="00C13FB6">
        <w:rPr>
          <w:rFonts w:ascii="Times New Roman" w:hAnsi="Times New Roman" w:cs="Times New Roman"/>
          <w:color w:val="000000" w:themeColor="text1"/>
          <w:sz w:val="24"/>
          <w:szCs w:val="24"/>
          <w:lang w:eastAsia="pl-PL"/>
        </w:rPr>
        <w:t>liczb</w:t>
      </w:r>
      <w:r w:rsidR="00FA5107">
        <w:rPr>
          <w:rFonts w:ascii="Times New Roman" w:hAnsi="Times New Roman" w:cs="Times New Roman"/>
          <w:color w:val="000000" w:themeColor="text1"/>
          <w:sz w:val="24"/>
          <w:szCs w:val="24"/>
          <w:lang w:eastAsia="pl-PL"/>
        </w:rPr>
        <w:t>y</w:t>
      </w:r>
      <w:r w:rsidRPr="00C13FB6">
        <w:rPr>
          <w:rFonts w:ascii="Times New Roman" w:hAnsi="Times New Roman" w:cs="Times New Roman"/>
          <w:color w:val="000000" w:themeColor="text1"/>
          <w:sz w:val="24"/>
          <w:szCs w:val="24"/>
          <w:lang w:eastAsia="pl-PL"/>
        </w:rPr>
        <w:t xml:space="preserve"> rachunków płatniczych, do których dostęp posiada</w:t>
      </w:r>
      <w:r w:rsidR="00455B20">
        <w:rPr>
          <w:rFonts w:ascii="Times New Roman" w:hAnsi="Times New Roman" w:cs="Times New Roman"/>
          <w:color w:val="000000" w:themeColor="text1"/>
          <w:sz w:val="24"/>
          <w:szCs w:val="24"/>
          <w:lang w:eastAsia="pl-PL"/>
        </w:rPr>
        <w:t>ją</w:t>
      </w:r>
      <w:r w:rsidRPr="00C13FB6">
        <w:rPr>
          <w:rFonts w:ascii="Times New Roman" w:hAnsi="Times New Roman" w:cs="Times New Roman"/>
          <w:color w:val="000000" w:themeColor="text1"/>
          <w:sz w:val="24"/>
          <w:szCs w:val="24"/>
          <w:lang w:eastAsia="pl-PL"/>
        </w:rPr>
        <w:t xml:space="preserve"> dostawc</w:t>
      </w:r>
      <w:r w:rsidR="00455B20">
        <w:rPr>
          <w:rFonts w:ascii="Times New Roman" w:hAnsi="Times New Roman" w:cs="Times New Roman"/>
          <w:color w:val="000000" w:themeColor="text1"/>
          <w:sz w:val="24"/>
          <w:szCs w:val="24"/>
          <w:lang w:eastAsia="pl-PL"/>
        </w:rPr>
        <w:t>y</w:t>
      </w:r>
      <w:r w:rsidRPr="00C13FB6">
        <w:rPr>
          <w:rFonts w:ascii="Times New Roman" w:hAnsi="Times New Roman" w:cs="Times New Roman"/>
          <w:color w:val="000000" w:themeColor="text1"/>
          <w:sz w:val="24"/>
          <w:szCs w:val="24"/>
          <w:lang w:eastAsia="pl-PL"/>
        </w:rPr>
        <w:t xml:space="preserve"> świadczący usługę dostępu do informacji o rachunku</w:t>
      </w:r>
      <w:r w:rsidR="00F22DF3" w:rsidRPr="00F22DF3">
        <w:t xml:space="preserve"> </w:t>
      </w:r>
      <w:r w:rsidR="00F22DF3" w:rsidRPr="00F22DF3">
        <w:rPr>
          <w:rFonts w:ascii="Times New Roman" w:hAnsi="Times New Roman" w:cs="Times New Roman"/>
          <w:color w:val="000000" w:themeColor="text1"/>
          <w:sz w:val="24"/>
          <w:szCs w:val="24"/>
          <w:lang w:eastAsia="pl-PL"/>
        </w:rPr>
        <w:t>na terytorium Rzeczypospolitej Polskiej i poza nim, w podziale na kraje</w:t>
      </w:r>
      <w:r w:rsidR="00FA5107">
        <w:rPr>
          <w:rFonts w:ascii="Times New Roman" w:hAnsi="Times New Roman" w:cs="Times New Roman"/>
          <w:color w:val="000000" w:themeColor="text1"/>
          <w:sz w:val="24"/>
          <w:szCs w:val="24"/>
          <w:lang w:eastAsia="pl-PL"/>
        </w:rPr>
        <w:t>;</w:t>
      </w:r>
    </w:p>
    <w:p w14:paraId="40A3B8E1" w14:textId="0F333D5F" w:rsidR="004C2DB4" w:rsidRPr="004C2DB4" w:rsidRDefault="004C2DB4" w:rsidP="004C2DB4">
      <w:pPr>
        <w:pStyle w:val="ARTartustawynprozporzdzenia"/>
        <w:numPr>
          <w:ilvl w:val="0"/>
          <w:numId w:val="5"/>
        </w:numPr>
        <w:spacing w:before="0" w:line="259" w:lineRule="auto"/>
        <w:ind w:left="1502" w:hanging="357"/>
      </w:pPr>
      <w:r>
        <w:t>liczb</w:t>
      </w:r>
      <w:r w:rsidR="00F22DF3">
        <w:t>y</w:t>
      </w:r>
      <w:r>
        <w:t xml:space="preserve"> klientów</w:t>
      </w:r>
      <w:r w:rsidR="00AC4792">
        <w:t>,</w:t>
      </w:r>
      <w:r>
        <w:t xml:space="preserve"> którzy zezwolili na dostęp do informacji o swoim rachunku.</w:t>
      </w:r>
    </w:p>
    <w:p w14:paraId="50A1E61A" w14:textId="3BD7DD9C" w:rsidR="00FA5107" w:rsidRPr="00FA5107" w:rsidRDefault="00C60BB2" w:rsidP="00FA5107">
      <w:pPr>
        <w:pStyle w:val="Akapitzlist"/>
        <w:numPr>
          <w:ilvl w:val="0"/>
          <w:numId w:val="2"/>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w:t>
      </w:r>
      <w:r w:rsidR="00455B20" w:rsidRPr="00455B20">
        <w:rPr>
          <w:rFonts w:ascii="Times New Roman" w:hAnsi="Times New Roman" w:cs="Times New Roman"/>
          <w:sz w:val="24"/>
          <w:szCs w:val="24"/>
          <w:lang w:eastAsia="pl-PL"/>
        </w:rPr>
        <w:t>§</w:t>
      </w:r>
      <w:r w:rsidR="00FA5107">
        <w:rPr>
          <w:rFonts w:ascii="Times New Roman" w:hAnsi="Times New Roman" w:cs="Times New Roman"/>
          <w:sz w:val="24"/>
          <w:szCs w:val="24"/>
          <w:lang w:eastAsia="pl-PL"/>
        </w:rPr>
        <w:t xml:space="preserve"> </w:t>
      </w:r>
      <w:r w:rsidR="003F3F44">
        <w:rPr>
          <w:rFonts w:ascii="Times New Roman" w:hAnsi="Times New Roman" w:cs="Times New Roman"/>
          <w:sz w:val="24"/>
          <w:szCs w:val="24"/>
          <w:lang w:eastAsia="pl-PL"/>
        </w:rPr>
        <w:t>5</w:t>
      </w:r>
      <w:r w:rsidR="00FA5107">
        <w:rPr>
          <w:rFonts w:ascii="Times New Roman" w:hAnsi="Times New Roman" w:cs="Times New Roman"/>
          <w:sz w:val="24"/>
          <w:szCs w:val="24"/>
          <w:lang w:eastAsia="pl-PL"/>
        </w:rPr>
        <w:t xml:space="preserve"> projektu dla d</w:t>
      </w:r>
      <w:r w:rsidR="00FA5107" w:rsidRPr="00FA5107">
        <w:rPr>
          <w:rFonts w:ascii="Times New Roman" w:hAnsi="Times New Roman" w:cs="Times New Roman"/>
          <w:sz w:val="24"/>
          <w:szCs w:val="24"/>
          <w:lang w:eastAsia="pl-PL"/>
        </w:rPr>
        <w:t>ostawc</w:t>
      </w:r>
      <w:r w:rsidR="00FA5107">
        <w:rPr>
          <w:rFonts w:ascii="Times New Roman" w:hAnsi="Times New Roman" w:cs="Times New Roman"/>
          <w:sz w:val="24"/>
          <w:szCs w:val="24"/>
          <w:lang w:eastAsia="pl-PL"/>
        </w:rPr>
        <w:t>y</w:t>
      </w:r>
      <w:r w:rsidR="00FA5107" w:rsidRPr="00FA5107">
        <w:rPr>
          <w:rFonts w:ascii="Times New Roman" w:hAnsi="Times New Roman" w:cs="Times New Roman"/>
          <w:sz w:val="24"/>
          <w:szCs w:val="24"/>
          <w:lang w:eastAsia="pl-PL"/>
        </w:rPr>
        <w:t xml:space="preserve"> świadcząc</w:t>
      </w:r>
      <w:r w:rsidR="00FA5107">
        <w:rPr>
          <w:rFonts w:ascii="Times New Roman" w:hAnsi="Times New Roman" w:cs="Times New Roman"/>
          <w:sz w:val="24"/>
          <w:szCs w:val="24"/>
          <w:lang w:eastAsia="pl-PL"/>
        </w:rPr>
        <w:t>ego</w:t>
      </w:r>
      <w:r w:rsidR="00FA5107" w:rsidRPr="00FA5107">
        <w:rPr>
          <w:rFonts w:ascii="Times New Roman" w:hAnsi="Times New Roman" w:cs="Times New Roman"/>
          <w:sz w:val="24"/>
          <w:szCs w:val="24"/>
          <w:lang w:eastAsia="pl-PL"/>
        </w:rPr>
        <w:t xml:space="preserve"> usługę inicjowania transakcji płatniczej, w</w:t>
      </w:r>
      <w:r w:rsidR="007F7CD9">
        <w:rPr>
          <w:rFonts w:ascii="Times New Roman" w:hAnsi="Times New Roman" w:cs="Times New Roman"/>
          <w:sz w:val="24"/>
          <w:szCs w:val="24"/>
          <w:lang w:eastAsia="pl-PL"/>
        </w:rPr>
        <w:t> </w:t>
      </w:r>
      <w:r w:rsidR="00FA5107" w:rsidRPr="00FA5107">
        <w:rPr>
          <w:rFonts w:ascii="Times New Roman" w:hAnsi="Times New Roman" w:cs="Times New Roman"/>
          <w:sz w:val="24"/>
          <w:szCs w:val="24"/>
          <w:lang w:eastAsia="pl-PL"/>
        </w:rPr>
        <w:t xml:space="preserve">tym </w:t>
      </w:r>
      <w:r w:rsidR="00E12C69">
        <w:rPr>
          <w:rFonts w:ascii="Times New Roman" w:hAnsi="Times New Roman" w:cs="Times New Roman"/>
          <w:sz w:val="24"/>
          <w:szCs w:val="24"/>
          <w:lang w:eastAsia="pl-PL"/>
        </w:rPr>
        <w:t>dostawcy</w:t>
      </w:r>
      <w:r w:rsidR="00FA5107" w:rsidRPr="00FA5107">
        <w:rPr>
          <w:rFonts w:ascii="Times New Roman" w:hAnsi="Times New Roman" w:cs="Times New Roman"/>
          <w:sz w:val="24"/>
          <w:szCs w:val="24"/>
          <w:lang w:eastAsia="pl-PL"/>
        </w:rPr>
        <w:t xml:space="preserve"> świadcząc</w:t>
      </w:r>
      <w:r w:rsidR="00FA5107">
        <w:rPr>
          <w:rFonts w:ascii="Times New Roman" w:hAnsi="Times New Roman" w:cs="Times New Roman"/>
          <w:sz w:val="24"/>
          <w:szCs w:val="24"/>
          <w:lang w:eastAsia="pl-PL"/>
        </w:rPr>
        <w:t>ego</w:t>
      </w:r>
      <w:r w:rsidR="00FA5107" w:rsidRPr="00FA5107">
        <w:rPr>
          <w:rFonts w:ascii="Times New Roman" w:hAnsi="Times New Roman" w:cs="Times New Roman"/>
          <w:sz w:val="24"/>
          <w:szCs w:val="24"/>
          <w:lang w:eastAsia="pl-PL"/>
        </w:rPr>
        <w:t xml:space="preserve"> usługi </w:t>
      </w:r>
      <w:r w:rsidR="00E12C69">
        <w:rPr>
          <w:rFonts w:ascii="Times New Roman" w:hAnsi="Times New Roman" w:cs="Times New Roman"/>
          <w:sz w:val="24"/>
          <w:szCs w:val="24"/>
          <w:lang w:eastAsia="pl-PL"/>
        </w:rPr>
        <w:t xml:space="preserve">inicjowania transakcji </w:t>
      </w:r>
      <w:r w:rsidR="00FA5107" w:rsidRPr="00FA5107">
        <w:rPr>
          <w:rFonts w:ascii="Times New Roman" w:hAnsi="Times New Roman" w:cs="Times New Roman"/>
          <w:sz w:val="24"/>
          <w:szCs w:val="24"/>
          <w:lang w:eastAsia="pl-PL"/>
        </w:rPr>
        <w:t>płatnicze</w:t>
      </w:r>
      <w:r w:rsidR="00E12C69">
        <w:rPr>
          <w:rFonts w:ascii="Times New Roman" w:hAnsi="Times New Roman" w:cs="Times New Roman"/>
          <w:sz w:val="24"/>
          <w:szCs w:val="24"/>
          <w:lang w:eastAsia="pl-PL"/>
        </w:rPr>
        <w:t>j świadczącego</w:t>
      </w:r>
      <w:r w:rsidR="00FA5107" w:rsidRPr="00FA5107">
        <w:rPr>
          <w:rFonts w:ascii="Times New Roman" w:hAnsi="Times New Roman" w:cs="Times New Roman"/>
          <w:sz w:val="24"/>
          <w:szCs w:val="24"/>
          <w:lang w:eastAsia="pl-PL"/>
        </w:rPr>
        <w:t xml:space="preserve"> </w:t>
      </w:r>
      <w:r w:rsidR="00E12C69">
        <w:rPr>
          <w:rFonts w:ascii="Times New Roman" w:hAnsi="Times New Roman" w:cs="Times New Roman"/>
          <w:sz w:val="24"/>
          <w:szCs w:val="24"/>
          <w:lang w:eastAsia="pl-PL"/>
        </w:rPr>
        <w:t xml:space="preserve">usługi płatnicze </w:t>
      </w:r>
      <w:r w:rsidR="00FA5107" w:rsidRPr="00FA5107">
        <w:rPr>
          <w:rFonts w:ascii="Times New Roman" w:hAnsi="Times New Roman" w:cs="Times New Roman"/>
          <w:sz w:val="24"/>
          <w:szCs w:val="24"/>
          <w:lang w:eastAsia="pl-PL"/>
        </w:rPr>
        <w:t>na terytorium Rzeczypospolitej Polskiej w ramach działalności transgranicznej</w:t>
      </w:r>
      <w:r w:rsidR="00E12C69">
        <w:rPr>
          <w:rFonts w:ascii="Times New Roman" w:hAnsi="Times New Roman" w:cs="Times New Roman"/>
          <w:sz w:val="24"/>
          <w:szCs w:val="24"/>
          <w:lang w:eastAsia="pl-PL"/>
        </w:rPr>
        <w:t>, przez oddział</w:t>
      </w:r>
      <w:r w:rsidR="00FA5107" w:rsidRPr="00FA5107">
        <w:rPr>
          <w:rFonts w:ascii="Times New Roman" w:hAnsi="Times New Roman" w:cs="Times New Roman"/>
          <w:sz w:val="24"/>
          <w:szCs w:val="24"/>
          <w:lang w:eastAsia="pl-PL"/>
        </w:rPr>
        <w:t xml:space="preserve"> lub za pośrednictwem agenta,</w:t>
      </w:r>
      <w:r w:rsidR="00FA5107" w:rsidRPr="00FA5107">
        <w:t xml:space="preserve"> </w:t>
      </w:r>
      <w:bookmarkStart w:id="2" w:name="_Hlk66888392"/>
      <w:r w:rsidR="00FA5107" w:rsidRPr="00FA5107">
        <w:rPr>
          <w:rFonts w:ascii="Times New Roman" w:hAnsi="Times New Roman" w:cs="Times New Roman"/>
          <w:sz w:val="24"/>
          <w:szCs w:val="24"/>
          <w:lang w:eastAsia="pl-PL"/>
        </w:rPr>
        <w:t>wprowadzono informacje dotyczące:</w:t>
      </w:r>
      <w:bookmarkEnd w:id="2"/>
    </w:p>
    <w:p w14:paraId="6E0550CE" w14:textId="4D2E71EE" w:rsidR="00FA5107" w:rsidRPr="00FA5107" w:rsidRDefault="00FA5107" w:rsidP="00FA5107">
      <w:pPr>
        <w:pStyle w:val="Akapitzlist"/>
        <w:numPr>
          <w:ilvl w:val="0"/>
          <w:numId w:val="6"/>
        </w:numPr>
        <w:jc w:val="both"/>
        <w:rPr>
          <w:rFonts w:ascii="Times New Roman" w:hAnsi="Times New Roman" w:cs="Times New Roman"/>
          <w:sz w:val="24"/>
          <w:szCs w:val="24"/>
          <w:lang w:eastAsia="pl-PL"/>
        </w:rPr>
      </w:pPr>
      <w:r w:rsidRPr="00FA5107">
        <w:rPr>
          <w:rFonts w:ascii="Times New Roman" w:hAnsi="Times New Roman" w:cs="Times New Roman"/>
          <w:sz w:val="24"/>
          <w:szCs w:val="24"/>
          <w:lang w:eastAsia="pl-PL"/>
        </w:rPr>
        <w:t>liczb</w:t>
      </w:r>
      <w:r>
        <w:rPr>
          <w:rFonts w:ascii="Times New Roman" w:hAnsi="Times New Roman" w:cs="Times New Roman"/>
          <w:sz w:val="24"/>
          <w:szCs w:val="24"/>
          <w:lang w:eastAsia="pl-PL"/>
        </w:rPr>
        <w:t>y</w:t>
      </w:r>
      <w:r w:rsidRPr="00FA5107">
        <w:rPr>
          <w:rFonts w:ascii="Times New Roman" w:hAnsi="Times New Roman" w:cs="Times New Roman"/>
          <w:sz w:val="24"/>
          <w:szCs w:val="24"/>
          <w:lang w:eastAsia="pl-PL"/>
        </w:rPr>
        <w:t xml:space="preserve"> </w:t>
      </w:r>
      <w:r w:rsidR="00302519">
        <w:rPr>
          <w:rFonts w:ascii="Times New Roman" w:hAnsi="Times New Roman" w:cs="Times New Roman"/>
          <w:sz w:val="24"/>
          <w:szCs w:val="24"/>
          <w:lang w:eastAsia="pl-PL"/>
        </w:rPr>
        <w:t>klientów</w:t>
      </w:r>
      <w:r w:rsidRPr="00FA5107">
        <w:rPr>
          <w:rFonts w:ascii="Times New Roman" w:hAnsi="Times New Roman" w:cs="Times New Roman"/>
          <w:sz w:val="24"/>
          <w:szCs w:val="24"/>
          <w:lang w:eastAsia="pl-PL"/>
        </w:rPr>
        <w:t xml:space="preserve">, dla których </w:t>
      </w:r>
      <w:r w:rsidR="00F22DF3">
        <w:rPr>
          <w:rFonts w:ascii="Times New Roman" w:hAnsi="Times New Roman" w:cs="Times New Roman"/>
          <w:sz w:val="24"/>
          <w:szCs w:val="24"/>
          <w:lang w:eastAsia="pl-PL"/>
        </w:rPr>
        <w:t xml:space="preserve">podmiot </w:t>
      </w:r>
      <w:r w:rsidRPr="00FA5107">
        <w:rPr>
          <w:rFonts w:ascii="Times New Roman" w:hAnsi="Times New Roman" w:cs="Times New Roman"/>
          <w:sz w:val="24"/>
          <w:szCs w:val="24"/>
          <w:lang w:eastAsia="pl-PL"/>
        </w:rPr>
        <w:t xml:space="preserve">świadczy usługę inicjowania transakcji płatniczej; </w:t>
      </w:r>
    </w:p>
    <w:p w14:paraId="5CF9D51D" w14:textId="35D3144B" w:rsidR="00FA5107" w:rsidRPr="00FA5107" w:rsidRDefault="00FA5107" w:rsidP="00FA5107">
      <w:pPr>
        <w:pStyle w:val="Akapitzlist"/>
        <w:numPr>
          <w:ilvl w:val="0"/>
          <w:numId w:val="6"/>
        </w:numPr>
        <w:jc w:val="both"/>
        <w:rPr>
          <w:rFonts w:ascii="Times New Roman" w:hAnsi="Times New Roman" w:cs="Times New Roman"/>
          <w:sz w:val="24"/>
          <w:szCs w:val="24"/>
          <w:lang w:eastAsia="pl-PL"/>
        </w:rPr>
      </w:pPr>
      <w:r w:rsidRPr="00FA5107">
        <w:rPr>
          <w:rFonts w:ascii="Times New Roman" w:hAnsi="Times New Roman" w:cs="Times New Roman"/>
          <w:sz w:val="24"/>
          <w:szCs w:val="24"/>
          <w:lang w:eastAsia="pl-PL"/>
        </w:rPr>
        <w:lastRenderedPageBreak/>
        <w:t>liczb</w:t>
      </w:r>
      <w:r>
        <w:rPr>
          <w:rFonts w:ascii="Times New Roman" w:hAnsi="Times New Roman" w:cs="Times New Roman"/>
          <w:sz w:val="24"/>
          <w:szCs w:val="24"/>
          <w:lang w:eastAsia="pl-PL"/>
        </w:rPr>
        <w:t>y</w:t>
      </w:r>
      <w:r w:rsidRPr="00FA5107">
        <w:rPr>
          <w:rFonts w:ascii="Times New Roman" w:hAnsi="Times New Roman" w:cs="Times New Roman"/>
          <w:sz w:val="24"/>
          <w:szCs w:val="24"/>
          <w:lang w:eastAsia="pl-PL"/>
        </w:rPr>
        <w:t xml:space="preserve"> i wartoś</w:t>
      </w:r>
      <w:r>
        <w:rPr>
          <w:rFonts w:ascii="Times New Roman" w:hAnsi="Times New Roman" w:cs="Times New Roman"/>
          <w:sz w:val="24"/>
          <w:szCs w:val="24"/>
          <w:lang w:eastAsia="pl-PL"/>
        </w:rPr>
        <w:t>ci</w:t>
      </w:r>
      <w:r w:rsidRPr="00FA5107">
        <w:rPr>
          <w:rFonts w:ascii="Times New Roman" w:hAnsi="Times New Roman" w:cs="Times New Roman"/>
          <w:sz w:val="24"/>
          <w:szCs w:val="24"/>
          <w:lang w:eastAsia="pl-PL"/>
        </w:rPr>
        <w:t xml:space="preserve"> zainicjowanych </w:t>
      </w:r>
      <w:r w:rsidRPr="001E7FC4">
        <w:rPr>
          <w:rFonts w:ascii="Times New Roman" w:hAnsi="Times New Roman" w:cs="Times New Roman"/>
          <w:sz w:val="24"/>
          <w:szCs w:val="24"/>
          <w:lang w:eastAsia="pl-PL"/>
        </w:rPr>
        <w:t>transakcji płatniczych</w:t>
      </w:r>
      <w:r w:rsidR="00AB645E" w:rsidRPr="001E7FC4">
        <w:rPr>
          <w:rFonts w:ascii="Times New Roman" w:hAnsi="Times New Roman" w:cs="Times New Roman"/>
          <w:sz w:val="24"/>
          <w:szCs w:val="24"/>
        </w:rPr>
        <w:t xml:space="preserve"> </w:t>
      </w:r>
      <w:r w:rsidR="001E7FC4" w:rsidRPr="001E7FC4">
        <w:rPr>
          <w:rFonts w:ascii="Times New Roman" w:hAnsi="Times New Roman" w:cs="Times New Roman"/>
          <w:sz w:val="24"/>
          <w:szCs w:val="24"/>
        </w:rPr>
        <w:t>wykonanych na terytorium Rzeczypospolitej Polskiej i poza nim</w:t>
      </w:r>
      <w:r w:rsidR="006673F0">
        <w:rPr>
          <w:rFonts w:ascii="Times New Roman" w:hAnsi="Times New Roman" w:cs="Times New Roman"/>
          <w:sz w:val="24"/>
          <w:szCs w:val="24"/>
        </w:rPr>
        <w:t xml:space="preserve"> w</w:t>
      </w:r>
      <w:r w:rsidR="001E7FC4" w:rsidRPr="001E7FC4">
        <w:rPr>
          <w:rFonts w:ascii="Times New Roman" w:hAnsi="Times New Roman" w:cs="Times New Roman"/>
          <w:sz w:val="24"/>
          <w:szCs w:val="24"/>
        </w:rPr>
        <w:t xml:space="preserve"> podzia</w:t>
      </w:r>
      <w:r w:rsidR="006673F0">
        <w:rPr>
          <w:rFonts w:ascii="Times New Roman" w:hAnsi="Times New Roman" w:cs="Times New Roman"/>
          <w:sz w:val="24"/>
          <w:szCs w:val="24"/>
        </w:rPr>
        <w:t>le na kraje</w:t>
      </w:r>
      <w:r w:rsidR="001E7FC4" w:rsidRPr="001E7FC4">
        <w:rPr>
          <w:rFonts w:ascii="Times New Roman" w:hAnsi="Times New Roman" w:cs="Times New Roman"/>
          <w:sz w:val="24"/>
          <w:szCs w:val="24"/>
        </w:rPr>
        <w:t xml:space="preserve">, rodzaj płatności, </w:t>
      </w:r>
      <w:r w:rsidR="00A547AA">
        <w:rPr>
          <w:rFonts w:ascii="Times New Roman" w:hAnsi="Times New Roman" w:cs="Times New Roman"/>
          <w:sz w:val="24"/>
          <w:szCs w:val="24"/>
        </w:rPr>
        <w:t>transakcje</w:t>
      </w:r>
      <w:r w:rsidR="006673F0">
        <w:rPr>
          <w:rFonts w:ascii="Times New Roman" w:hAnsi="Times New Roman" w:cs="Times New Roman"/>
          <w:sz w:val="24"/>
          <w:szCs w:val="24"/>
        </w:rPr>
        <w:t xml:space="preserve"> </w:t>
      </w:r>
      <w:r w:rsidR="001E7FC4" w:rsidRPr="001E7FC4">
        <w:rPr>
          <w:rFonts w:ascii="Times New Roman" w:hAnsi="Times New Roman" w:cs="Times New Roman"/>
          <w:sz w:val="24"/>
          <w:szCs w:val="24"/>
        </w:rPr>
        <w:t>zdalne</w:t>
      </w:r>
      <w:r w:rsidR="006673F0">
        <w:rPr>
          <w:rFonts w:ascii="Times New Roman" w:hAnsi="Times New Roman" w:cs="Times New Roman"/>
          <w:sz w:val="24"/>
          <w:szCs w:val="24"/>
        </w:rPr>
        <w:t xml:space="preserve"> i</w:t>
      </w:r>
      <w:r w:rsidR="001E7FC4" w:rsidRPr="001E7FC4">
        <w:rPr>
          <w:rFonts w:ascii="Times New Roman" w:hAnsi="Times New Roman" w:cs="Times New Roman"/>
          <w:sz w:val="24"/>
          <w:szCs w:val="24"/>
        </w:rPr>
        <w:t xml:space="preserve"> niezdalne</w:t>
      </w:r>
      <w:r w:rsidR="00A547AA">
        <w:rPr>
          <w:rFonts w:ascii="Times New Roman" w:hAnsi="Times New Roman" w:cs="Times New Roman"/>
          <w:sz w:val="24"/>
          <w:szCs w:val="24"/>
        </w:rPr>
        <w:t xml:space="preserve"> oraz</w:t>
      </w:r>
      <w:r w:rsidR="001E7FC4" w:rsidRPr="001E7FC4">
        <w:rPr>
          <w:rFonts w:ascii="Times New Roman" w:hAnsi="Times New Roman" w:cs="Times New Roman"/>
          <w:sz w:val="24"/>
          <w:szCs w:val="24"/>
        </w:rPr>
        <w:t xml:space="preserve"> </w:t>
      </w:r>
      <w:r w:rsidR="00C34CAE">
        <w:rPr>
          <w:rFonts w:ascii="Times New Roman" w:hAnsi="Times New Roman" w:cs="Times New Roman"/>
          <w:sz w:val="24"/>
          <w:szCs w:val="24"/>
        </w:rPr>
        <w:t>rodzaj u</w:t>
      </w:r>
      <w:r w:rsidR="00AB645E" w:rsidRPr="00AB645E">
        <w:rPr>
          <w:rFonts w:ascii="Times New Roman" w:hAnsi="Times New Roman" w:cs="Times New Roman"/>
          <w:sz w:val="24"/>
          <w:szCs w:val="24"/>
          <w:lang w:eastAsia="pl-PL"/>
        </w:rPr>
        <w:t>wierzytelnienia</w:t>
      </w:r>
      <w:r w:rsidRPr="00FA5107">
        <w:rPr>
          <w:rFonts w:ascii="Times New Roman" w:hAnsi="Times New Roman" w:cs="Times New Roman"/>
          <w:sz w:val="24"/>
          <w:szCs w:val="24"/>
          <w:lang w:eastAsia="pl-PL"/>
        </w:rPr>
        <w:t>;</w:t>
      </w:r>
    </w:p>
    <w:p w14:paraId="7D5C30D1" w14:textId="4C715A3F" w:rsidR="00B13800" w:rsidRPr="00B13800" w:rsidRDefault="00FA5107" w:rsidP="00B13800">
      <w:pPr>
        <w:pStyle w:val="Akapitzlist"/>
        <w:numPr>
          <w:ilvl w:val="0"/>
          <w:numId w:val="6"/>
        </w:numPr>
        <w:jc w:val="both"/>
        <w:rPr>
          <w:rFonts w:ascii="Times New Roman" w:hAnsi="Times New Roman" w:cs="Times New Roman"/>
          <w:sz w:val="24"/>
          <w:szCs w:val="24"/>
          <w:lang w:eastAsia="pl-PL"/>
        </w:rPr>
      </w:pPr>
      <w:r w:rsidRPr="00B13800">
        <w:rPr>
          <w:rFonts w:ascii="Times New Roman" w:hAnsi="Times New Roman" w:cs="Times New Roman"/>
          <w:sz w:val="24"/>
          <w:szCs w:val="24"/>
          <w:lang w:eastAsia="pl-PL"/>
        </w:rPr>
        <w:t>liczby i wartości zainicjowanych transakcji płatniczych, naruszających przepisy prawa lub reguły uczciwego obrotu</w:t>
      </w:r>
      <w:r w:rsidR="00E34414">
        <w:rPr>
          <w:rFonts w:ascii="Times New Roman" w:hAnsi="Times New Roman" w:cs="Times New Roman"/>
          <w:sz w:val="24"/>
          <w:szCs w:val="24"/>
          <w:lang w:eastAsia="pl-PL"/>
        </w:rPr>
        <w:t>,</w:t>
      </w:r>
      <w:r w:rsidR="00B13800" w:rsidRPr="00B13800">
        <w:t xml:space="preserve"> </w:t>
      </w:r>
      <w:r w:rsidR="00B13800" w:rsidRPr="00B13800">
        <w:rPr>
          <w:rFonts w:ascii="Times New Roman" w:hAnsi="Times New Roman" w:cs="Times New Roman"/>
          <w:sz w:val="24"/>
          <w:szCs w:val="24"/>
          <w:lang w:eastAsia="pl-PL"/>
        </w:rPr>
        <w:t>wykonanych na terytorium Rzeczypospolitej Polskiej i poza nim</w:t>
      </w:r>
      <w:r w:rsidR="000731DB">
        <w:rPr>
          <w:rFonts w:ascii="Times New Roman" w:hAnsi="Times New Roman" w:cs="Times New Roman"/>
          <w:sz w:val="24"/>
          <w:szCs w:val="24"/>
          <w:lang w:eastAsia="pl-PL"/>
        </w:rPr>
        <w:t>,</w:t>
      </w:r>
      <w:r w:rsidR="00B13800" w:rsidRPr="00B13800">
        <w:rPr>
          <w:rFonts w:ascii="Times New Roman" w:hAnsi="Times New Roman" w:cs="Times New Roman"/>
          <w:sz w:val="24"/>
          <w:szCs w:val="24"/>
          <w:lang w:eastAsia="pl-PL"/>
        </w:rPr>
        <w:t xml:space="preserve"> w podziale </w:t>
      </w:r>
      <w:r w:rsidR="006673F0">
        <w:rPr>
          <w:rFonts w:ascii="Times New Roman" w:hAnsi="Times New Roman" w:cs="Times New Roman"/>
          <w:sz w:val="24"/>
          <w:szCs w:val="24"/>
          <w:lang w:eastAsia="pl-PL"/>
        </w:rPr>
        <w:t>kraje,</w:t>
      </w:r>
      <w:r w:rsidR="00B13800" w:rsidRPr="00B13800">
        <w:rPr>
          <w:rFonts w:ascii="Times New Roman" w:hAnsi="Times New Roman" w:cs="Times New Roman"/>
          <w:sz w:val="24"/>
          <w:szCs w:val="24"/>
          <w:lang w:eastAsia="pl-PL"/>
        </w:rPr>
        <w:t xml:space="preserve"> rodzaj płatności, </w:t>
      </w:r>
      <w:r w:rsidR="00A547AA">
        <w:rPr>
          <w:rFonts w:ascii="Times New Roman" w:hAnsi="Times New Roman" w:cs="Times New Roman"/>
          <w:sz w:val="24"/>
          <w:szCs w:val="24"/>
          <w:lang w:eastAsia="pl-PL"/>
        </w:rPr>
        <w:t>transak</w:t>
      </w:r>
      <w:r w:rsidR="006673F0">
        <w:rPr>
          <w:rFonts w:ascii="Times New Roman" w:hAnsi="Times New Roman" w:cs="Times New Roman"/>
          <w:sz w:val="24"/>
          <w:szCs w:val="24"/>
          <w:lang w:eastAsia="pl-PL"/>
        </w:rPr>
        <w:t xml:space="preserve">cje </w:t>
      </w:r>
      <w:r w:rsidR="00B13800" w:rsidRPr="00B13800">
        <w:rPr>
          <w:rFonts w:ascii="Times New Roman" w:hAnsi="Times New Roman" w:cs="Times New Roman"/>
          <w:sz w:val="24"/>
          <w:szCs w:val="24"/>
          <w:lang w:eastAsia="pl-PL"/>
        </w:rPr>
        <w:t>zdalne</w:t>
      </w:r>
      <w:r w:rsidR="006673F0">
        <w:rPr>
          <w:rFonts w:ascii="Times New Roman" w:hAnsi="Times New Roman" w:cs="Times New Roman"/>
          <w:sz w:val="24"/>
          <w:szCs w:val="24"/>
          <w:lang w:eastAsia="pl-PL"/>
        </w:rPr>
        <w:t xml:space="preserve"> i</w:t>
      </w:r>
      <w:r w:rsidR="00B13800" w:rsidRPr="00B13800">
        <w:rPr>
          <w:rFonts w:ascii="Times New Roman" w:hAnsi="Times New Roman" w:cs="Times New Roman"/>
          <w:sz w:val="24"/>
          <w:szCs w:val="24"/>
          <w:lang w:eastAsia="pl-PL"/>
        </w:rPr>
        <w:t xml:space="preserve"> </w:t>
      </w:r>
      <w:r w:rsidR="00B13800" w:rsidRPr="00D02161">
        <w:rPr>
          <w:rFonts w:ascii="Times New Roman" w:hAnsi="Times New Roman" w:cs="Times New Roman"/>
          <w:sz w:val="24"/>
          <w:szCs w:val="24"/>
          <w:lang w:eastAsia="pl-PL"/>
        </w:rPr>
        <w:t>niezdalne</w:t>
      </w:r>
      <w:r w:rsidR="00A547AA" w:rsidRPr="00D02161">
        <w:rPr>
          <w:rFonts w:ascii="Times New Roman" w:hAnsi="Times New Roman" w:cs="Times New Roman"/>
          <w:sz w:val="24"/>
          <w:szCs w:val="24"/>
          <w:lang w:eastAsia="pl-PL"/>
        </w:rPr>
        <w:t>,</w:t>
      </w:r>
      <w:r w:rsidR="00B13800" w:rsidRPr="00D02161">
        <w:rPr>
          <w:rFonts w:ascii="Times New Roman" w:hAnsi="Times New Roman" w:cs="Times New Roman"/>
          <w:sz w:val="24"/>
          <w:szCs w:val="24"/>
        </w:rPr>
        <w:t xml:space="preserve"> </w:t>
      </w:r>
      <w:bookmarkStart w:id="3" w:name="_Hlk77586979"/>
      <w:r w:rsidR="00D02161" w:rsidRPr="00D02161">
        <w:rPr>
          <w:rFonts w:ascii="Times New Roman" w:hAnsi="Times New Roman" w:cs="Times New Roman"/>
          <w:sz w:val="24"/>
          <w:szCs w:val="24"/>
        </w:rPr>
        <w:t>rodzaj uwierzytelnienia</w:t>
      </w:r>
      <w:r w:rsidR="00B13800" w:rsidRPr="00D02161">
        <w:rPr>
          <w:rFonts w:ascii="Times New Roman" w:hAnsi="Times New Roman" w:cs="Times New Roman"/>
          <w:sz w:val="24"/>
          <w:szCs w:val="24"/>
          <w:lang w:eastAsia="pl-PL"/>
        </w:rPr>
        <w:t>;</w:t>
      </w:r>
      <w:bookmarkEnd w:id="3"/>
    </w:p>
    <w:p w14:paraId="2204408D" w14:textId="635D71AD" w:rsidR="00FA5107" w:rsidRPr="00FA5107" w:rsidRDefault="00C60BB2" w:rsidP="00FA5107">
      <w:pPr>
        <w:pStyle w:val="Akapitzlist"/>
        <w:numPr>
          <w:ilvl w:val="0"/>
          <w:numId w:val="2"/>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w:t>
      </w:r>
      <w:r w:rsidR="00455B20" w:rsidRPr="00455B20">
        <w:rPr>
          <w:rFonts w:ascii="Times New Roman" w:hAnsi="Times New Roman" w:cs="Times New Roman"/>
          <w:sz w:val="24"/>
          <w:szCs w:val="24"/>
          <w:lang w:eastAsia="pl-PL"/>
        </w:rPr>
        <w:t>§</w:t>
      </w:r>
      <w:r w:rsidR="00FA5107">
        <w:rPr>
          <w:rFonts w:ascii="Times New Roman" w:hAnsi="Times New Roman" w:cs="Times New Roman"/>
          <w:sz w:val="24"/>
          <w:szCs w:val="24"/>
          <w:lang w:eastAsia="pl-PL"/>
        </w:rPr>
        <w:t xml:space="preserve"> </w:t>
      </w:r>
      <w:r w:rsidR="003F3F44">
        <w:rPr>
          <w:rFonts w:ascii="Times New Roman" w:hAnsi="Times New Roman" w:cs="Times New Roman"/>
          <w:sz w:val="24"/>
          <w:szCs w:val="24"/>
          <w:lang w:eastAsia="pl-PL"/>
        </w:rPr>
        <w:t>6</w:t>
      </w:r>
      <w:r w:rsidR="00FA5107" w:rsidRPr="00FA5107">
        <w:rPr>
          <w:rFonts w:ascii="Times New Roman" w:hAnsi="Times New Roman" w:cs="Times New Roman"/>
          <w:sz w:val="24"/>
          <w:szCs w:val="24"/>
          <w:lang w:eastAsia="pl-PL"/>
        </w:rPr>
        <w:t xml:space="preserve"> </w:t>
      </w:r>
      <w:r w:rsidR="00FA5107">
        <w:rPr>
          <w:rFonts w:ascii="Times New Roman" w:hAnsi="Times New Roman" w:cs="Times New Roman"/>
          <w:sz w:val="24"/>
          <w:szCs w:val="24"/>
          <w:lang w:eastAsia="pl-PL"/>
        </w:rPr>
        <w:t>projektu dla d</w:t>
      </w:r>
      <w:r w:rsidR="00FA5107" w:rsidRPr="00FA5107">
        <w:rPr>
          <w:rFonts w:ascii="Times New Roman" w:hAnsi="Times New Roman" w:cs="Times New Roman"/>
          <w:sz w:val="24"/>
          <w:szCs w:val="24"/>
          <w:lang w:eastAsia="pl-PL"/>
        </w:rPr>
        <w:t>ostawc</w:t>
      </w:r>
      <w:r w:rsidR="00FA5107">
        <w:rPr>
          <w:rFonts w:ascii="Times New Roman" w:hAnsi="Times New Roman" w:cs="Times New Roman"/>
          <w:sz w:val="24"/>
          <w:szCs w:val="24"/>
          <w:lang w:eastAsia="pl-PL"/>
        </w:rPr>
        <w:t>y</w:t>
      </w:r>
      <w:r w:rsidR="00FA5107" w:rsidRPr="00FA5107">
        <w:rPr>
          <w:rFonts w:ascii="Times New Roman" w:hAnsi="Times New Roman" w:cs="Times New Roman"/>
          <w:sz w:val="24"/>
          <w:szCs w:val="24"/>
          <w:lang w:eastAsia="pl-PL"/>
        </w:rPr>
        <w:t xml:space="preserve"> świadcząc</w:t>
      </w:r>
      <w:r w:rsidR="00FA5107">
        <w:rPr>
          <w:rFonts w:ascii="Times New Roman" w:hAnsi="Times New Roman" w:cs="Times New Roman"/>
          <w:sz w:val="24"/>
          <w:szCs w:val="24"/>
          <w:lang w:eastAsia="pl-PL"/>
        </w:rPr>
        <w:t>ego</w:t>
      </w:r>
      <w:r w:rsidR="00FA5107" w:rsidRPr="00FA5107">
        <w:rPr>
          <w:rFonts w:ascii="Times New Roman" w:hAnsi="Times New Roman" w:cs="Times New Roman"/>
          <w:sz w:val="24"/>
          <w:szCs w:val="24"/>
          <w:lang w:eastAsia="pl-PL"/>
        </w:rPr>
        <w:t xml:space="preserve"> usługę dostępu do informacji o rachunku, w tym </w:t>
      </w:r>
      <w:r w:rsidR="00E12C69">
        <w:rPr>
          <w:rFonts w:ascii="Times New Roman" w:hAnsi="Times New Roman" w:cs="Times New Roman"/>
          <w:sz w:val="24"/>
          <w:szCs w:val="24"/>
          <w:lang w:eastAsia="pl-PL"/>
        </w:rPr>
        <w:t>dostawcy</w:t>
      </w:r>
      <w:r w:rsidR="00FA5107" w:rsidRPr="00FA5107">
        <w:rPr>
          <w:rFonts w:ascii="Times New Roman" w:hAnsi="Times New Roman" w:cs="Times New Roman"/>
          <w:sz w:val="24"/>
          <w:szCs w:val="24"/>
          <w:lang w:eastAsia="pl-PL"/>
        </w:rPr>
        <w:t xml:space="preserve"> świadcząc</w:t>
      </w:r>
      <w:r w:rsidR="006673F0">
        <w:rPr>
          <w:rFonts w:ascii="Times New Roman" w:hAnsi="Times New Roman" w:cs="Times New Roman"/>
          <w:sz w:val="24"/>
          <w:szCs w:val="24"/>
          <w:lang w:eastAsia="pl-PL"/>
        </w:rPr>
        <w:t>ego</w:t>
      </w:r>
      <w:r w:rsidR="00FA5107" w:rsidRPr="00FA5107">
        <w:rPr>
          <w:rFonts w:ascii="Times New Roman" w:hAnsi="Times New Roman" w:cs="Times New Roman"/>
          <w:sz w:val="24"/>
          <w:szCs w:val="24"/>
          <w:lang w:eastAsia="pl-PL"/>
        </w:rPr>
        <w:t xml:space="preserve"> usługi płatnicze na terytorium Rzeczypospolitej Polskiej w ramach działalności transgranicznej</w:t>
      </w:r>
      <w:r w:rsidR="00E12C69">
        <w:rPr>
          <w:rFonts w:ascii="Times New Roman" w:hAnsi="Times New Roman" w:cs="Times New Roman"/>
          <w:sz w:val="24"/>
          <w:szCs w:val="24"/>
          <w:lang w:eastAsia="pl-PL"/>
        </w:rPr>
        <w:t>, przez oddział</w:t>
      </w:r>
      <w:r w:rsidR="00FA5107" w:rsidRPr="00FA5107">
        <w:rPr>
          <w:rFonts w:ascii="Times New Roman" w:hAnsi="Times New Roman" w:cs="Times New Roman"/>
          <w:sz w:val="24"/>
          <w:szCs w:val="24"/>
          <w:lang w:eastAsia="pl-PL"/>
        </w:rPr>
        <w:t xml:space="preserve"> lub za pośrednictwem agenta oraz dostawc</w:t>
      </w:r>
      <w:r w:rsidR="00A547AA">
        <w:rPr>
          <w:rFonts w:ascii="Times New Roman" w:hAnsi="Times New Roman" w:cs="Times New Roman"/>
          <w:sz w:val="24"/>
          <w:szCs w:val="24"/>
          <w:lang w:eastAsia="pl-PL"/>
        </w:rPr>
        <w:t>y</w:t>
      </w:r>
      <w:r w:rsidR="00FA5107" w:rsidRPr="00FA5107">
        <w:rPr>
          <w:rFonts w:ascii="Times New Roman" w:hAnsi="Times New Roman" w:cs="Times New Roman"/>
          <w:sz w:val="24"/>
          <w:szCs w:val="24"/>
          <w:lang w:eastAsia="pl-PL"/>
        </w:rPr>
        <w:t xml:space="preserve"> świadcząc</w:t>
      </w:r>
      <w:r w:rsidR="006673F0">
        <w:rPr>
          <w:rFonts w:ascii="Times New Roman" w:hAnsi="Times New Roman" w:cs="Times New Roman"/>
          <w:sz w:val="24"/>
          <w:szCs w:val="24"/>
          <w:lang w:eastAsia="pl-PL"/>
        </w:rPr>
        <w:t>ego</w:t>
      </w:r>
      <w:r w:rsidR="00FA5107" w:rsidRPr="00FA5107">
        <w:rPr>
          <w:rFonts w:ascii="Times New Roman" w:hAnsi="Times New Roman" w:cs="Times New Roman"/>
          <w:sz w:val="24"/>
          <w:szCs w:val="24"/>
          <w:lang w:eastAsia="pl-PL"/>
        </w:rPr>
        <w:t xml:space="preserve"> wyłącznie usługę dostępu do informacji o</w:t>
      </w:r>
      <w:r w:rsidR="007F7CD9">
        <w:rPr>
          <w:rFonts w:ascii="Times New Roman" w:hAnsi="Times New Roman" w:cs="Times New Roman"/>
          <w:sz w:val="24"/>
          <w:szCs w:val="24"/>
          <w:lang w:eastAsia="pl-PL"/>
        </w:rPr>
        <w:t> </w:t>
      </w:r>
      <w:r w:rsidR="00FA5107" w:rsidRPr="00FA5107">
        <w:rPr>
          <w:rFonts w:ascii="Times New Roman" w:hAnsi="Times New Roman" w:cs="Times New Roman"/>
          <w:sz w:val="24"/>
          <w:szCs w:val="24"/>
          <w:lang w:eastAsia="pl-PL"/>
        </w:rPr>
        <w:t>rachunku</w:t>
      </w:r>
      <w:r w:rsidR="006673F0">
        <w:rPr>
          <w:rFonts w:ascii="Times New Roman" w:hAnsi="Times New Roman" w:cs="Times New Roman"/>
          <w:sz w:val="24"/>
          <w:szCs w:val="24"/>
          <w:lang w:eastAsia="pl-PL"/>
        </w:rPr>
        <w:t>,</w:t>
      </w:r>
      <w:r w:rsidR="00FA5107">
        <w:rPr>
          <w:rFonts w:ascii="Times New Roman" w:hAnsi="Times New Roman" w:cs="Times New Roman"/>
          <w:sz w:val="24"/>
          <w:szCs w:val="24"/>
          <w:lang w:eastAsia="pl-PL"/>
        </w:rPr>
        <w:t xml:space="preserve"> </w:t>
      </w:r>
      <w:r w:rsidR="00FA5107" w:rsidRPr="00FA5107">
        <w:rPr>
          <w:rFonts w:ascii="Times New Roman" w:hAnsi="Times New Roman" w:cs="Times New Roman"/>
          <w:sz w:val="24"/>
          <w:szCs w:val="24"/>
          <w:lang w:eastAsia="pl-PL"/>
        </w:rPr>
        <w:t>wprowadzono informacje dotyczące:</w:t>
      </w:r>
    </w:p>
    <w:p w14:paraId="42C8C5EE" w14:textId="4DC594E6" w:rsidR="00E12C69" w:rsidRPr="00E12C69" w:rsidRDefault="00E12C69" w:rsidP="00DE0C9E">
      <w:pPr>
        <w:pStyle w:val="Akapitzlist"/>
        <w:numPr>
          <w:ilvl w:val="0"/>
          <w:numId w:val="7"/>
        </w:numPr>
        <w:jc w:val="both"/>
        <w:rPr>
          <w:rFonts w:ascii="Times New Roman" w:hAnsi="Times New Roman" w:cs="Times New Roman"/>
          <w:sz w:val="24"/>
          <w:szCs w:val="24"/>
          <w:lang w:eastAsia="pl-PL"/>
        </w:rPr>
      </w:pPr>
      <w:r w:rsidRPr="00E12C69">
        <w:rPr>
          <w:rFonts w:ascii="Times New Roman" w:hAnsi="Times New Roman" w:cs="Times New Roman"/>
          <w:sz w:val="24"/>
          <w:szCs w:val="24"/>
          <w:lang w:eastAsia="pl-PL"/>
        </w:rPr>
        <w:t>liczby klientów, którym dostawca świadczy usługę dostępu do informacji o</w:t>
      </w:r>
      <w:r w:rsidR="007F7CD9">
        <w:rPr>
          <w:rFonts w:ascii="Times New Roman" w:hAnsi="Times New Roman" w:cs="Times New Roman"/>
          <w:sz w:val="24"/>
          <w:szCs w:val="24"/>
          <w:lang w:eastAsia="pl-PL"/>
        </w:rPr>
        <w:t> </w:t>
      </w:r>
      <w:r w:rsidRPr="00E12C69">
        <w:rPr>
          <w:rFonts w:ascii="Times New Roman" w:hAnsi="Times New Roman" w:cs="Times New Roman"/>
          <w:sz w:val="24"/>
          <w:szCs w:val="24"/>
          <w:lang w:eastAsia="pl-PL"/>
        </w:rPr>
        <w:t>rachunku na terytorium Rzeczypospolitej Polskiej i poza nim, w podziale na kraje;</w:t>
      </w:r>
    </w:p>
    <w:p w14:paraId="145C6076" w14:textId="5EAD250A" w:rsidR="00D02161" w:rsidRDefault="00D02161" w:rsidP="00FA5107">
      <w:pPr>
        <w:pStyle w:val="Akapitzlist"/>
        <w:numPr>
          <w:ilvl w:val="0"/>
          <w:numId w:val="7"/>
        </w:numPr>
        <w:jc w:val="both"/>
        <w:rPr>
          <w:rFonts w:ascii="Times New Roman" w:hAnsi="Times New Roman" w:cs="Times New Roman"/>
          <w:sz w:val="24"/>
          <w:szCs w:val="24"/>
          <w:lang w:eastAsia="pl-PL"/>
        </w:rPr>
      </w:pPr>
      <w:r w:rsidRPr="00D02161">
        <w:rPr>
          <w:rFonts w:ascii="Times New Roman" w:hAnsi="Times New Roman" w:cs="Times New Roman"/>
          <w:sz w:val="24"/>
          <w:szCs w:val="24"/>
          <w:lang w:eastAsia="pl-PL"/>
        </w:rPr>
        <w:t>liczb</w:t>
      </w:r>
      <w:r>
        <w:rPr>
          <w:rFonts w:ascii="Times New Roman" w:hAnsi="Times New Roman" w:cs="Times New Roman"/>
          <w:sz w:val="24"/>
          <w:szCs w:val="24"/>
          <w:lang w:eastAsia="pl-PL"/>
        </w:rPr>
        <w:t>y</w:t>
      </w:r>
      <w:r w:rsidRPr="00D02161">
        <w:rPr>
          <w:rFonts w:ascii="Times New Roman" w:hAnsi="Times New Roman" w:cs="Times New Roman"/>
          <w:sz w:val="24"/>
          <w:szCs w:val="24"/>
          <w:lang w:eastAsia="pl-PL"/>
        </w:rPr>
        <w:t xml:space="preserve"> rachunków płatniczych, do których dostęp uzyskał dostawca świadczący usługę dostępu do informacji o rachunku</w:t>
      </w:r>
      <w:r w:rsidR="00C60BB2">
        <w:rPr>
          <w:rFonts w:ascii="Times New Roman" w:hAnsi="Times New Roman" w:cs="Times New Roman"/>
          <w:sz w:val="24"/>
          <w:szCs w:val="24"/>
          <w:lang w:eastAsia="pl-PL"/>
        </w:rPr>
        <w:t>;</w:t>
      </w:r>
    </w:p>
    <w:p w14:paraId="071EFD99" w14:textId="7C1BF64C" w:rsidR="00521DD5" w:rsidRDefault="00521DD5" w:rsidP="00C60BB2">
      <w:pPr>
        <w:pStyle w:val="Akapitzlist"/>
        <w:numPr>
          <w:ilvl w:val="0"/>
          <w:numId w:val="2"/>
        </w:numPr>
        <w:jc w:val="both"/>
        <w:rPr>
          <w:rFonts w:ascii="Times New Roman" w:hAnsi="Times New Roman" w:cs="Times New Roman"/>
          <w:sz w:val="24"/>
          <w:szCs w:val="24"/>
          <w:lang w:eastAsia="pl-PL"/>
        </w:rPr>
      </w:pPr>
      <w:bookmarkStart w:id="4" w:name="_Hlk147231270"/>
      <w:bookmarkStart w:id="5" w:name="_Hlk80184550"/>
      <w:r w:rsidRPr="00521DD5">
        <w:rPr>
          <w:rFonts w:ascii="Times New Roman" w:hAnsi="Times New Roman" w:cs="Times New Roman"/>
          <w:sz w:val="24"/>
          <w:szCs w:val="24"/>
          <w:lang w:eastAsia="pl-PL"/>
        </w:rPr>
        <w:t xml:space="preserve">w § </w:t>
      </w:r>
      <w:r>
        <w:rPr>
          <w:rFonts w:ascii="Times New Roman" w:hAnsi="Times New Roman" w:cs="Times New Roman"/>
          <w:sz w:val="24"/>
          <w:szCs w:val="24"/>
          <w:lang w:eastAsia="pl-PL"/>
        </w:rPr>
        <w:t>7</w:t>
      </w:r>
      <w:r w:rsidRPr="00521DD5">
        <w:rPr>
          <w:rFonts w:ascii="Times New Roman" w:hAnsi="Times New Roman" w:cs="Times New Roman"/>
          <w:sz w:val="24"/>
          <w:szCs w:val="24"/>
          <w:lang w:eastAsia="pl-PL"/>
        </w:rPr>
        <w:t xml:space="preserve"> projektu </w:t>
      </w:r>
      <w:r>
        <w:rPr>
          <w:rFonts w:ascii="Times New Roman" w:hAnsi="Times New Roman" w:cs="Times New Roman"/>
          <w:sz w:val="24"/>
          <w:szCs w:val="24"/>
          <w:lang w:eastAsia="pl-PL"/>
        </w:rPr>
        <w:t xml:space="preserve">dla </w:t>
      </w:r>
      <w:r w:rsidRPr="00521DD5">
        <w:rPr>
          <w:rFonts w:ascii="Times New Roman" w:hAnsi="Times New Roman" w:cs="Times New Roman"/>
          <w:sz w:val="24"/>
          <w:szCs w:val="24"/>
          <w:lang w:eastAsia="pl-PL"/>
        </w:rPr>
        <w:t>wydawc</w:t>
      </w:r>
      <w:r>
        <w:rPr>
          <w:rFonts w:ascii="Times New Roman" w:hAnsi="Times New Roman" w:cs="Times New Roman"/>
          <w:sz w:val="24"/>
          <w:szCs w:val="24"/>
          <w:lang w:eastAsia="pl-PL"/>
        </w:rPr>
        <w:t>y</w:t>
      </w:r>
      <w:r w:rsidRPr="00521DD5">
        <w:rPr>
          <w:rFonts w:ascii="Times New Roman" w:hAnsi="Times New Roman" w:cs="Times New Roman"/>
          <w:sz w:val="24"/>
          <w:szCs w:val="24"/>
          <w:lang w:eastAsia="pl-PL"/>
        </w:rPr>
        <w:t xml:space="preserve"> instrumentu płatniczego</w:t>
      </w:r>
      <w:r>
        <w:rPr>
          <w:rFonts w:ascii="Times New Roman" w:hAnsi="Times New Roman" w:cs="Times New Roman"/>
          <w:sz w:val="24"/>
          <w:szCs w:val="24"/>
          <w:lang w:eastAsia="pl-PL"/>
        </w:rPr>
        <w:t xml:space="preserve"> </w:t>
      </w:r>
      <w:r w:rsidR="00862899">
        <w:rPr>
          <w:rFonts w:ascii="Times New Roman" w:hAnsi="Times New Roman" w:cs="Times New Roman"/>
          <w:sz w:val="24"/>
          <w:szCs w:val="24"/>
          <w:lang w:eastAsia="pl-PL"/>
        </w:rPr>
        <w:t>(</w:t>
      </w:r>
      <w:r>
        <w:rPr>
          <w:rFonts w:ascii="Times New Roman" w:hAnsi="Times New Roman" w:cs="Times New Roman"/>
          <w:sz w:val="24"/>
          <w:szCs w:val="24"/>
          <w:lang w:eastAsia="pl-PL"/>
        </w:rPr>
        <w:t>rozszerzono zakres podmiotowy na</w:t>
      </w:r>
      <w:r w:rsidRPr="00521DD5">
        <w:rPr>
          <w:rFonts w:ascii="Times New Roman" w:hAnsi="Times New Roman" w:cs="Times New Roman"/>
          <w:sz w:val="24"/>
          <w:szCs w:val="24"/>
          <w:lang w:eastAsia="pl-PL"/>
        </w:rPr>
        <w:t xml:space="preserve"> </w:t>
      </w:r>
      <w:bookmarkStart w:id="6" w:name="_Hlk147157843"/>
      <w:r w:rsidRPr="00521DD5">
        <w:rPr>
          <w:rFonts w:ascii="Times New Roman" w:hAnsi="Times New Roman" w:cs="Times New Roman"/>
          <w:sz w:val="24"/>
          <w:szCs w:val="24"/>
          <w:lang w:eastAsia="pl-PL"/>
        </w:rPr>
        <w:t>wydawc</w:t>
      </w:r>
      <w:r>
        <w:rPr>
          <w:rFonts w:ascii="Times New Roman" w:hAnsi="Times New Roman" w:cs="Times New Roman"/>
          <w:sz w:val="24"/>
          <w:szCs w:val="24"/>
          <w:lang w:eastAsia="pl-PL"/>
        </w:rPr>
        <w:t>ę</w:t>
      </w:r>
      <w:r w:rsidRPr="00521DD5">
        <w:rPr>
          <w:rFonts w:ascii="Times New Roman" w:hAnsi="Times New Roman" w:cs="Times New Roman"/>
          <w:sz w:val="24"/>
          <w:szCs w:val="24"/>
          <w:lang w:eastAsia="pl-PL"/>
        </w:rPr>
        <w:t xml:space="preserve"> instrumentu płatniczego świadcząc</w:t>
      </w:r>
      <w:r>
        <w:rPr>
          <w:rFonts w:ascii="Times New Roman" w:hAnsi="Times New Roman" w:cs="Times New Roman"/>
          <w:sz w:val="24"/>
          <w:szCs w:val="24"/>
          <w:lang w:eastAsia="pl-PL"/>
        </w:rPr>
        <w:t>ego</w:t>
      </w:r>
      <w:r w:rsidRPr="00521DD5">
        <w:rPr>
          <w:rFonts w:ascii="Times New Roman" w:hAnsi="Times New Roman" w:cs="Times New Roman"/>
          <w:sz w:val="24"/>
          <w:szCs w:val="24"/>
          <w:lang w:eastAsia="pl-PL"/>
        </w:rPr>
        <w:t xml:space="preserve"> usługi płatnicze na terytorium Rzeczypospolitej Polskiej w ramach działalności transgranicznej, przez oddział lub za pośrednictwem agenta</w:t>
      </w:r>
      <w:bookmarkEnd w:id="6"/>
      <w:r w:rsidR="00862899">
        <w:rPr>
          <w:rFonts w:ascii="Times New Roman" w:hAnsi="Times New Roman" w:cs="Times New Roman"/>
          <w:sz w:val="24"/>
          <w:szCs w:val="24"/>
          <w:lang w:eastAsia="pl-PL"/>
        </w:rPr>
        <w:t>)</w:t>
      </w:r>
      <w:r>
        <w:rPr>
          <w:rFonts w:ascii="Times New Roman" w:hAnsi="Times New Roman" w:cs="Times New Roman"/>
          <w:sz w:val="24"/>
          <w:szCs w:val="24"/>
          <w:lang w:eastAsia="pl-PL"/>
        </w:rPr>
        <w:t>;</w:t>
      </w:r>
    </w:p>
    <w:bookmarkEnd w:id="4"/>
    <w:p w14:paraId="736E7679" w14:textId="1FCA86D1" w:rsidR="00521DD5" w:rsidRPr="00521DD5" w:rsidRDefault="00521DD5" w:rsidP="00521DD5">
      <w:pPr>
        <w:pStyle w:val="Akapitzlist"/>
        <w:numPr>
          <w:ilvl w:val="0"/>
          <w:numId w:val="2"/>
        </w:numPr>
        <w:jc w:val="both"/>
        <w:rPr>
          <w:rFonts w:ascii="Times New Roman" w:hAnsi="Times New Roman" w:cs="Times New Roman"/>
          <w:sz w:val="24"/>
          <w:szCs w:val="24"/>
          <w:lang w:eastAsia="pl-PL"/>
        </w:rPr>
      </w:pPr>
      <w:r w:rsidRPr="00521DD5">
        <w:rPr>
          <w:rFonts w:ascii="Times New Roman" w:hAnsi="Times New Roman" w:cs="Times New Roman"/>
          <w:sz w:val="24"/>
          <w:szCs w:val="24"/>
          <w:lang w:eastAsia="pl-PL"/>
        </w:rPr>
        <w:t xml:space="preserve">w § </w:t>
      </w:r>
      <w:r>
        <w:rPr>
          <w:rFonts w:ascii="Times New Roman" w:hAnsi="Times New Roman" w:cs="Times New Roman"/>
          <w:sz w:val="24"/>
          <w:szCs w:val="24"/>
          <w:lang w:eastAsia="pl-PL"/>
        </w:rPr>
        <w:t>8</w:t>
      </w:r>
      <w:r w:rsidRPr="00521DD5">
        <w:rPr>
          <w:rFonts w:ascii="Times New Roman" w:hAnsi="Times New Roman" w:cs="Times New Roman"/>
          <w:sz w:val="24"/>
          <w:szCs w:val="24"/>
          <w:lang w:eastAsia="pl-PL"/>
        </w:rPr>
        <w:t xml:space="preserve"> projektu dla wydawcy </w:t>
      </w:r>
      <w:r w:rsidR="00A95A76">
        <w:rPr>
          <w:rFonts w:ascii="Times New Roman" w:hAnsi="Times New Roman" w:cs="Times New Roman"/>
          <w:sz w:val="24"/>
          <w:szCs w:val="24"/>
          <w:lang w:eastAsia="pl-PL"/>
        </w:rPr>
        <w:t xml:space="preserve">instrumentu płatniczego oraz </w:t>
      </w:r>
      <w:r>
        <w:rPr>
          <w:rFonts w:ascii="Times New Roman" w:hAnsi="Times New Roman" w:cs="Times New Roman"/>
          <w:sz w:val="24"/>
          <w:szCs w:val="24"/>
          <w:lang w:eastAsia="pl-PL"/>
        </w:rPr>
        <w:t>pieniądza elektronicznego</w:t>
      </w:r>
      <w:r w:rsidRPr="00521DD5">
        <w:rPr>
          <w:rFonts w:ascii="Times New Roman" w:hAnsi="Times New Roman" w:cs="Times New Roman"/>
          <w:sz w:val="24"/>
          <w:szCs w:val="24"/>
          <w:lang w:eastAsia="pl-PL"/>
        </w:rPr>
        <w:t xml:space="preserve"> </w:t>
      </w:r>
      <w:r w:rsidR="00862899">
        <w:rPr>
          <w:rFonts w:ascii="Times New Roman" w:hAnsi="Times New Roman" w:cs="Times New Roman"/>
          <w:sz w:val="24"/>
          <w:szCs w:val="24"/>
          <w:lang w:eastAsia="pl-PL"/>
        </w:rPr>
        <w:t>(</w:t>
      </w:r>
      <w:r w:rsidRPr="00521DD5">
        <w:rPr>
          <w:rFonts w:ascii="Times New Roman" w:hAnsi="Times New Roman" w:cs="Times New Roman"/>
          <w:sz w:val="24"/>
          <w:szCs w:val="24"/>
          <w:lang w:eastAsia="pl-PL"/>
        </w:rPr>
        <w:t>rozszerzono zakres podmiotowy na wydawcę instrumentu płatniczego świadczącego usługi płatnicze na terytorium Rzeczypospolitej Polskiej w ramach działalności transgranicznej, przez oddział lub za pośrednictwem agenta</w:t>
      </w:r>
      <w:r w:rsidR="00862899">
        <w:rPr>
          <w:rFonts w:ascii="Times New Roman" w:hAnsi="Times New Roman" w:cs="Times New Roman"/>
          <w:sz w:val="24"/>
          <w:szCs w:val="24"/>
          <w:lang w:eastAsia="pl-PL"/>
        </w:rPr>
        <w:t>)</w:t>
      </w:r>
      <w:r w:rsidRPr="00521DD5">
        <w:rPr>
          <w:rFonts w:ascii="Times New Roman" w:hAnsi="Times New Roman" w:cs="Times New Roman"/>
          <w:sz w:val="24"/>
          <w:szCs w:val="24"/>
          <w:lang w:eastAsia="pl-PL"/>
        </w:rPr>
        <w:t>;</w:t>
      </w:r>
    </w:p>
    <w:p w14:paraId="0D81F514" w14:textId="148BCA6A" w:rsidR="00C20F3B" w:rsidRPr="00684C95" w:rsidRDefault="00C60BB2" w:rsidP="00E739BF">
      <w:pPr>
        <w:pStyle w:val="Akapitzlist"/>
        <w:numPr>
          <w:ilvl w:val="0"/>
          <w:numId w:val="2"/>
        </w:numPr>
        <w:jc w:val="both"/>
        <w:rPr>
          <w:rFonts w:ascii="Times New Roman" w:hAnsi="Times New Roman" w:cs="Times New Roman"/>
          <w:sz w:val="24"/>
          <w:szCs w:val="24"/>
          <w:lang w:eastAsia="pl-PL"/>
        </w:rPr>
      </w:pPr>
      <w:bookmarkStart w:id="7" w:name="_Hlk147230917"/>
      <w:r>
        <w:rPr>
          <w:rFonts w:ascii="Times New Roman" w:hAnsi="Times New Roman" w:cs="Times New Roman"/>
          <w:sz w:val="24"/>
          <w:szCs w:val="24"/>
          <w:lang w:eastAsia="pl-PL"/>
        </w:rPr>
        <w:t xml:space="preserve">w </w:t>
      </w:r>
      <w:r w:rsidRPr="00455B20">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00521DD5">
        <w:rPr>
          <w:rFonts w:ascii="Times New Roman" w:hAnsi="Times New Roman" w:cs="Times New Roman"/>
          <w:sz w:val="24"/>
          <w:szCs w:val="24"/>
          <w:lang w:eastAsia="pl-PL"/>
        </w:rPr>
        <w:t>9</w:t>
      </w:r>
      <w:r>
        <w:rPr>
          <w:rFonts w:ascii="Times New Roman" w:hAnsi="Times New Roman" w:cs="Times New Roman"/>
          <w:sz w:val="24"/>
          <w:szCs w:val="24"/>
          <w:lang w:eastAsia="pl-PL"/>
        </w:rPr>
        <w:t xml:space="preserve"> projektu określono </w:t>
      </w:r>
      <w:bookmarkEnd w:id="5"/>
      <w:bookmarkEnd w:id="7"/>
      <w:r w:rsidR="00684C95">
        <w:rPr>
          <w:rFonts w:ascii="Times New Roman" w:hAnsi="Times New Roman" w:cs="Times New Roman"/>
          <w:sz w:val="24"/>
          <w:szCs w:val="24"/>
          <w:lang w:eastAsia="pl-PL"/>
        </w:rPr>
        <w:t xml:space="preserve">sposób </w:t>
      </w:r>
      <w:r w:rsidR="00684C95" w:rsidRPr="00684C95">
        <w:rPr>
          <w:rFonts w:ascii="Times New Roman" w:hAnsi="Times New Roman" w:cs="Times New Roman"/>
          <w:sz w:val="24"/>
          <w:szCs w:val="24"/>
          <w:lang w:eastAsia="pl-PL"/>
        </w:rPr>
        <w:t>przekazywania</w:t>
      </w:r>
      <w:r w:rsidR="008F5872" w:rsidRPr="008F5872">
        <w:rPr>
          <w:rFonts w:ascii="Times New Roman" w:hAnsi="Times New Roman" w:cs="Times New Roman"/>
          <w:color w:val="000000" w:themeColor="text1"/>
          <w:sz w:val="24"/>
          <w:szCs w:val="24"/>
          <w:lang w:eastAsia="pl-PL"/>
        </w:rPr>
        <w:t xml:space="preserve"> </w:t>
      </w:r>
      <w:r w:rsidR="008F5872" w:rsidRPr="00684C95">
        <w:rPr>
          <w:rFonts w:ascii="Times New Roman" w:hAnsi="Times New Roman" w:cs="Times New Roman"/>
          <w:color w:val="000000" w:themeColor="text1"/>
          <w:sz w:val="24"/>
          <w:szCs w:val="24"/>
          <w:lang w:eastAsia="pl-PL"/>
        </w:rPr>
        <w:t>do NBP</w:t>
      </w:r>
      <w:r w:rsidR="00684C95">
        <w:rPr>
          <w:rFonts w:ascii="Times New Roman" w:hAnsi="Times New Roman" w:cs="Times New Roman"/>
          <w:sz w:val="24"/>
          <w:szCs w:val="24"/>
          <w:lang w:eastAsia="pl-PL"/>
        </w:rPr>
        <w:t>,</w:t>
      </w:r>
      <w:r w:rsidR="00684C95" w:rsidRPr="00684C95">
        <w:rPr>
          <w:rFonts w:ascii="Times New Roman" w:hAnsi="Times New Roman" w:cs="Times New Roman"/>
          <w:sz w:val="24"/>
          <w:szCs w:val="24"/>
          <w:lang w:eastAsia="pl-PL"/>
        </w:rPr>
        <w:t xml:space="preserve"> </w:t>
      </w:r>
      <w:r w:rsidR="00684C95" w:rsidRPr="00684C95">
        <w:rPr>
          <w:rFonts w:ascii="Times New Roman" w:hAnsi="Times New Roman" w:cs="Times New Roman"/>
          <w:color w:val="000000" w:themeColor="text1"/>
          <w:sz w:val="24"/>
          <w:szCs w:val="24"/>
          <w:lang w:eastAsia="pl-PL"/>
        </w:rPr>
        <w:t>przez podmioty sprawozdawcze</w:t>
      </w:r>
      <w:r w:rsidR="00684C95">
        <w:rPr>
          <w:rFonts w:ascii="Times New Roman" w:hAnsi="Times New Roman" w:cs="Times New Roman"/>
          <w:color w:val="000000" w:themeColor="text1"/>
          <w:sz w:val="24"/>
          <w:szCs w:val="24"/>
          <w:lang w:eastAsia="pl-PL"/>
        </w:rPr>
        <w:t>,</w:t>
      </w:r>
      <w:r w:rsidR="00684C95" w:rsidRPr="00684C95">
        <w:rPr>
          <w:rFonts w:ascii="Times New Roman" w:hAnsi="Times New Roman" w:cs="Times New Roman"/>
          <w:color w:val="000000" w:themeColor="text1"/>
          <w:sz w:val="24"/>
          <w:szCs w:val="24"/>
          <w:lang w:eastAsia="pl-PL"/>
        </w:rPr>
        <w:t xml:space="preserve"> </w:t>
      </w:r>
      <w:r w:rsidR="00502737" w:rsidRPr="00684C95">
        <w:rPr>
          <w:rFonts w:ascii="Times New Roman" w:hAnsi="Times New Roman" w:cs="Times New Roman"/>
          <w:color w:val="000000" w:themeColor="text1"/>
          <w:sz w:val="24"/>
          <w:szCs w:val="24"/>
          <w:lang w:eastAsia="pl-PL"/>
        </w:rPr>
        <w:t>wymaganego zakresu danych</w:t>
      </w:r>
      <w:r w:rsidR="00684C95">
        <w:rPr>
          <w:rFonts w:ascii="Times New Roman" w:hAnsi="Times New Roman" w:cs="Times New Roman"/>
          <w:color w:val="000000" w:themeColor="text1"/>
          <w:sz w:val="24"/>
          <w:szCs w:val="24"/>
          <w:lang w:eastAsia="pl-PL"/>
        </w:rPr>
        <w:t>,</w:t>
      </w:r>
      <w:r w:rsidR="00502737" w:rsidRPr="00684C95">
        <w:rPr>
          <w:rFonts w:ascii="Times New Roman" w:hAnsi="Times New Roman" w:cs="Times New Roman"/>
          <w:color w:val="000000" w:themeColor="text1"/>
          <w:sz w:val="24"/>
          <w:szCs w:val="24"/>
          <w:lang w:eastAsia="pl-PL"/>
        </w:rPr>
        <w:t xml:space="preserve"> </w:t>
      </w:r>
      <w:r w:rsidR="00805E9C" w:rsidRPr="00684C95">
        <w:rPr>
          <w:rFonts w:ascii="Times New Roman" w:hAnsi="Times New Roman" w:cs="Times New Roman"/>
          <w:color w:val="000000" w:themeColor="text1"/>
          <w:sz w:val="24"/>
          <w:szCs w:val="24"/>
        </w:rPr>
        <w:t>zgodnie z art. 14</w:t>
      </w:r>
      <w:r w:rsidR="00311956">
        <w:rPr>
          <w:rFonts w:ascii="Times New Roman" w:hAnsi="Times New Roman" w:cs="Times New Roman"/>
          <w:color w:val="000000" w:themeColor="text1"/>
          <w:sz w:val="24"/>
          <w:szCs w:val="24"/>
        </w:rPr>
        <w:t>d</w:t>
      </w:r>
      <w:r w:rsidR="00805E9C" w:rsidRPr="00684C95">
        <w:rPr>
          <w:rFonts w:ascii="Times New Roman" w:hAnsi="Times New Roman" w:cs="Times New Roman"/>
          <w:color w:val="000000" w:themeColor="text1"/>
          <w:sz w:val="24"/>
          <w:szCs w:val="24"/>
        </w:rPr>
        <w:t xml:space="preserve"> ustawy o usługach płatniczych,</w:t>
      </w:r>
      <w:r w:rsidR="00502737" w:rsidRPr="00684C95">
        <w:rPr>
          <w:rFonts w:ascii="Times New Roman" w:hAnsi="Times New Roman" w:cs="Times New Roman"/>
          <w:color w:val="000000" w:themeColor="text1"/>
          <w:sz w:val="24"/>
          <w:szCs w:val="24"/>
        </w:rPr>
        <w:t xml:space="preserve"> </w:t>
      </w:r>
      <w:r w:rsidR="00311956">
        <w:rPr>
          <w:rFonts w:ascii="Times New Roman" w:hAnsi="Times New Roman" w:cs="Times New Roman"/>
          <w:color w:val="000000" w:themeColor="text1"/>
          <w:sz w:val="24"/>
          <w:szCs w:val="24"/>
        </w:rPr>
        <w:t xml:space="preserve">podmioty przekazują informacje </w:t>
      </w:r>
      <w:r w:rsidR="00502737" w:rsidRPr="00684C95">
        <w:rPr>
          <w:rFonts w:ascii="Times New Roman" w:hAnsi="Times New Roman" w:cs="Times New Roman"/>
          <w:color w:val="000000" w:themeColor="text1"/>
          <w:sz w:val="24"/>
          <w:szCs w:val="24"/>
        </w:rPr>
        <w:t>drogą elektroniczną</w:t>
      </w:r>
      <w:r w:rsidR="00A6412B" w:rsidRPr="00684C95">
        <w:rPr>
          <w:rFonts w:ascii="Times New Roman" w:hAnsi="Times New Roman" w:cs="Times New Roman"/>
          <w:color w:val="000000" w:themeColor="text1"/>
          <w:sz w:val="24"/>
          <w:szCs w:val="24"/>
          <w:lang w:eastAsia="pl-PL"/>
        </w:rPr>
        <w:t>. Format sprawozdawczości systemu BSP</w:t>
      </w:r>
      <w:r w:rsidR="00472238" w:rsidRPr="00684C95">
        <w:rPr>
          <w:rFonts w:ascii="Times New Roman" w:hAnsi="Times New Roman" w:cs="Times New Roman"/>
          <w:color w:val="000000" w:themeColor="text1"/>
          <w:sz w:val="24"/>
          <w:szCs w:val="24"/>
          <w:lang w:eastAsia="pl-PL"/>
        </w:rPr>
        <w:t xml:space="preserve"> oparty </w:t>
      </w:r>
      <w:r w:rsidR="00684C95">
        <w:rPr>
          <w:rFonts w:ascii="Times New Roman" w:hAnsi="Times New Roman" w:cs="Times New Roman"/>
          <w:color w:val="000000" w:themeColor="text1"/>
          <w:sz w:val="24"/>
          <w:szCs w:val="24"/>
          <w:lang w:eastAsia="pl-PL"/>
        </w:rPr>
        <w:t>będzie</w:t>
      </w:r>
      <w:r w:rsidR="00A6412B" w:rsidRPr="00684C95">
        <w:rPr>
          <w:rFonts w:ascii="Times New Roman" w:hAnsi="Times New Roman" w:cs="Times New Roman"/>
          <w:color w:val="000000" w:themeColor="text1"/>
          <w:sz w:val="24"/>
          <w:szCs w:val="24"/>
          <w:lang w:eastAsia="pl-PL"/>
        </w:rPr>
        <w:t xml:space="preserve"> o standard XBRL</w:t>
      </w:r>
      <w:r w:rsidR="0035223B">
        <w:rPr>
          <w:rFonts w:ascii="Times New Roman" w:hAnsi="Times New Roman" w:cs="Times New Roman"/>
          <w:color w:val="000000" w:themeColor="text1"/>
          <w:sz w:val="24"/>
          <w:szCs w:val="24"/>
          <w:lang w:eastAsia="pl-PL"/>
        </w:rPr>
        <w:t xml:space="preserve">, z wyjątkiem </w:t>
      </w:r>
      <w:r w:rsidR="00311956">
        <w:rPr>
          <w:rFonts w:ascii="Times New Roman" w:hAnsi="Times New Roman" w:cs="Times New Roman"/>
          <w:color w:val="000000" w:themeColor="text1"/>
          <w:sz w:val="24"/>
          <w:szCs w:val="24"/>
          <w:lang w:eastAsia="pl-PL"/>
        </w:rPr>
        <w:t>małej instytucji płatniczej</w:t>
      </w:r>
      <w:r w:rsidR="0035223B">
        <w:rPr>
          <w:rFonts w:ascii="Times New Roman" w:hAnsi="Times New Roman" w:cs="Times New Roman"/>
          <w:color w:val="000000" w:themeColor="text1"/>
          <w:sz w:val="24"/>
          <w:szCs w:val="24"/>
          <w:lang w:eastAsia="pl-PL"/>
        </w:rPr>
        <w:t>. Może on</w:t>
      </w:r>
      <w:r w:rsidR="00311956">
        <w:rPr>
          <w:rFonts w:ascii="Times New Roman" w:hAnsi="Times New Roman" w:cs="Times New Roman"/>
          <w:color w:val="000000" w:themeColor="text1"/>
          <w:sz w:val="24"/>
          <w:szCs w:val="24"/>
          <w:lang w:eastAsia="pl-PL"/>
        </w:rPr>
        <w:t>a</w:t>
      </w:r>
      <w:r w:rsidR="0035223B">
        <w:rPr>
          <w:rFonts w:ascii="Times New Roman" w:hAnsi="Times New Roman" w:cs="Times New Roman"/>
          <w:color w:val="000000" w:themeColor="text1"/>
          <w:sz w:val="24"/>
          <w:szCs w:val="24"/>
          <w:lang w:eastAsia="pl-PL"/>
        </w:rPr>
        <w:t xml:space="preserve"> użyć taksonomii innej niż XBRL</w:t>
      </w:r>
      <w:r w:rsidR="00311956">
        <w:rPr>
          <w:rFonts w:ascii="Times New Roman" w:hAnsi="Times New Roman" w:cs="Times New Roman"/>
          <w:color w:val="000000" w:themeColor="text1"/>
          <w:sz w:val="24"/>
          <w:szCs w:val="24"/>
          <w:lang w:eastAsia="pl-PL"/>
        </w:rPr>
        <w:t xml:space="preserve"> określon</w:t>
      </w:r>
      <w:r w:rsidR="00BD3E28">
        <w:rPr>
          <w:rFonts w:ascii="Times New Roman" w:hAnsi="Times New Roman" w:cs="Times New Roman"/>
          <w:color w:val="000000" w:themeColor="text1"/>
          <w:sz w:val="24"/>
          <w:szCs w:val="24"/>
          <w:lang w:eastAsia="pl-PL"/>
        </w:rPr>
        <w:t>ej</w:t>
      </w:r>
      <w:r w:rsidR="00311956">
        <w:rPr>
          <w:rFonts w:ascii="Times New Roman" w:hAnsi="Times New Roman" w:cs="Times New Roman"/>
          <w:color w:val="000000" w:themeColor="text1"/>
          <w:sz w:val="24"/>
          <w:szCs w:val="24"/>
          <w:lang w:eastAsia="pl-PL"/>
        </w:rPr>
        <w:t xml:space="preserve"> przez NBP</w:t>
      </w:r>
      <w:r w:rsidR="0035223B">
        <w:rPr>
          <w:rFonts w:ascii="Times New Roman" w:hAnsi="Times New Roman" w:cs="Times New Roman"/>
          <w:color w:val="000000" w:themeColor="text1"/>
          <w:sz w:val="24"/>
          <w:szCs w:val="24"/>
          <w:lang w:eastAsia="pl-PL"/>
        </w:rPr>
        <w:t>.</w:t>
      </w:r>
      <w:r w:rsidR="00A6412B" w:rsidRPr="00684C95">
        <w:rPr>
          <w:rFonts w:ascii="Times New Roman" w:hAnsi="Times New Roman" w:cs="Times New Roman"/>
          <w:color w:val="000000" w:themeColor="text1"/>
          <w:sz w:val="24"/>
          <w:szCs w:val="24"/>
          <w:lang w:eastAsia="pl-PL"/>
        </w:rPr>
        <w:t xml:space="preserve"> </w:t>
      </w:r>
      <w:r w:rsidR="00C91919" w:rsidRPr="00684C95">
        <w:rPr>
          <w:rFonts w:ascii="Times New Roman" w:hAnsi="Times New Roman" w:cs="Times New Roman"/>
          <w:sz w:val="24"/>
          <w:szCs w:val="24"/>
          <w:lang w:eastAsia="pl-PL"/>
        </w:rPr>
        <w:t>Zakres danych sprawozdawczych</w:t>
      </w:r>
      <w:r w:rsidR="00805E9C" w:rsidRPr="00684C95">
        <w:rPr>
          <w:rFonts w:ascii="Times New Roman" w:hAnsi="Times New Roman" w:cs="Times New Roman"/>
          <w:sz w:val="24"/>
          <w:szCs w:val="24"/>
          <w:lang w:eastAsia="pl-PL"/>
        </w:rPr>
        <w:t>,</w:t>
      </w:r>
      <w:r w:rsidR="00C91919" w:rsidRPr="00684C95">
        <w:rPr>
          <w:rFonts w:ascii="Times New Roman" w:hAnsi="Times New Roman" w:cs="Times New Roman"/>
          <w:sz w:val="24"/>
          <w:szCs w:val="24"/>
          <w:lang w:eastAsia="pl-PL"/>
        </w:rPr>
        <w:t xml:space="preserve"> jaki</w:t>
      </w:r>
      <w:r w:rsidR="0035223B">
        <w:rPr>
          <w:rFonts w:ascii="Times New Roman" w:hAnsi="Times New Roman" w:cs="Times New Roman"/>
          <w:sz w:val="24"/>
          <w:szCs w:val="24"/>
          <w:lang w:eastAsia="pl-PL"/>
        </w:rPr>
        <w:t>e</w:t>
      </w:r>
      <w:r w:rsidR="00C91919" w:rsidRPr="00684C95">
        <w:rPr>
          <w:rFonts w:ascii="Times New Roman" w:hAnsi="Times New Roman" w:cs="Times New Roman"/>
          <w:sz w:val="24"/>
          <w:szCs w:val="24"/>
          <w:lang w:eastAsia="pl-PL"/>
        </w:rPr>
        <w:t xml:space="preserve"> podmioty zobowiązane maj</w:t>
      </w:r>
      <w:r w:rsidR="003373AB" w:rsidRPr="00684C95">
        <w:rPr>
          <w:rFonts w:ascii="Times New Roman" w:hAnsi="Times New Roman" w:cs="Times New Roman"/>
          <w:sz w:val="24"/>
          <w:szCs w:val="24"/>
          <w:lang w:eastAsia="pl-PL"/>
        </w:rPr>
        <w:t>ą</w:t>
      </w:r>
      <w:r w:rsidR="00C91919" w:rsidRPr="00684C95">
        <w:rPr>
          <w:rFonts w:ascii="Times New Roman" w:hAnsi="Times New Roman" w:cs="Times New Roman"/>
          <w:sz w:val="24"/>
          <w:szCs w:val="24"/>
          <w:lang w:eastAsia="pl-PL"/>
        </w:rPr>
        <w:t xml:space="preserve"> obowiązek przekazywać do NBP</w:t>
      </w:r>
      <w:r w:rsidR="00805E9C" w:rsidRPr="00684C95">
        <w:rPr>
          <w:rFonts w:ascii="Times New Roman" w:hAnsi="Times New Roman" w:cs="Times New Roman"/>
          <w:sz w:val="24"/>
          <w:szCs w:val="24"/>
          <w:lang w:eastAsia="pl-PL"/>
        </w:rPr>
        <w:t>,</w:t>
      </w:r>
      <w:r w:rsidR="00C91919" w:rsidRPr="00684C95">
        <w:rPr>
          <w:rFonts w:ascii="Times New Roman" w:hAnsi="Times New Roman" w:cs="Times New Roman"/>
          <w:sz w:val="24"/>
          <w:szCs w:val="24"/>
          <w:lang w:eastAsia="pl-PL"/>
        </w:rPr>
        <w:t xml:space="preserve"> zostanie opublikowany </w:t>
      </w:r>
      <w:r w:rsidR="0035223B">
        <w:rPr>
          <w:rFonts w:ascii="Times New Roman" w:hAnsi="Times New Roman" w:cs="Times New Roman"/>
          <w:sz w:val="24"/>
          <w:szCs w:val="24"/>
          <w:lang w:eastAsia="pl-PL"/>
        </w:rPr>
        <w:t xml:space="preserve">w internetowym </w:t>
      </w:r>
      <w:r w:rsidR="00C91919" w:rsidRPr="00684C95">
        <w:rPr>
          <w:rFonts w:ascii="Times New Roman" w:hAnsi="Times New Roman" w:cs="Times New Roman"/>
          <w:sz w:val="24"/>
          <w:szCs w:val="24"/>
          <w:lang w:eastAsia="pl-PL"/>
        </w:rPr>
        <w:t xml:space="preserve">Portalu Systemu Informacji Sprawozdawczej. Dane będą przekazywane </w:t>
      </w:r>
      <w:r w:rsidR="00C91919" w:rsidRPr="00684C95">
        <w:rPr>
          <w:rFonts w:ascii="Times New Roman" w:eastAsia="Times New Roman" w:hAnsi="Times New Roman" w:cs="Arial"/>
          <w:sz w:val="24"/>
          <w:szCs w:val="20"/>
          <w:lang w:eastAsia="pl-PL"/>
        </w:rPr>
        <w:t>w postaci elektronicznej za pośrednictwem Portalu internetowego Systemu Informacji Sprawozdawczej, przy użyciu taksonomii XBRL udostępnionej przez NBP w Portalu internetowym Systemu Informacji Sprawozdawczej.</w:t>
      </w:r>
      <w:r w:rsidR="00805E9C" w:rsidRPr="00684C95">
        <w:rPr>
          <w:rFonts w:ascii="Times New Roman" w:eastAsia="Times New Roman" w:hAnsi="Times New Roman" w:cs="Arial"/>
          <w:sz w:val="24"/>
          <w:szCs w:val="20"/>
          <w:lang w:eastAsia="pl-PL"/>
        </w:rPr>
        <w:t xml:space="preserve"> </w:t>
      </w:r>
      <w:bookmarkStart w:id="8" w:name="_Hlk93341748"/>
      <w:r w:rsidR="00A8464B" w:rsidRPr="00A8464B">
        <w:rPr>
          <w:rFonts w:ascii="Times New Roman" w:eastAsia="Times New Roman" w:hAnsi="Times New Roman" w:cs="Arial"/>
          <w:sz w:val="24"/>
          <w:szCs w:val="20"/>
          <w:lang w:eastAsia="pl-PL"/>
        </w:rPr>
        <w:t>Dla podmiotów</w:t>
      </w:r>
      <w:r w:rsidR="00442AFA">
        <w:rPr>
          <w:rFonts w:ascii="Times New Roman" w:eastAsia="Times New Roman" w:hAnsi="Times New Roman" w:cs="Arial"/>
          <w:sz w:val="24"/>
          <w:szCs w:val="20"/>
          <w:lang w:eastAsia="pl-PL"/>
        </w:rPr>
        <w:t xml:space="preserve"> takich jak</w:t>
      </w:r>
      <w:r w:rsidR="00A8464B" w:rsidRPr="00A8464B">
        <w:rPr>
          <w:rFonts w:ascii="Times New Roman" w:eastAsia="Times New Roman" w:hAnsi="Times New Roman" w:cs="Arial"/>
          <w:sz w:val="24"/>
          <w:szCs w:val="20"/>
          <w:lang w:eastAsia="pl-PL"/>
        </w:rPr>
        <w:t xml:space="preserve"> </w:t>
      </w:r>
      <w:r w:rsidR="00311956">
        <w:rPr>
          <w:rFonts w:ascii="Times New Roman" w:eastAsia="Times New Roman" w:hAnsi="Times New Roman" w:cs="Arial"/>
          <w:sz w:val="24"/>
          <w:szCs w:val="20"/>
          <w:lang w:eastAsia="pl-PL"/>
        </w:rPr>
        <w:t>mał</w:t>
      </w:r>
      <w:r w:rsidR="001D3753">
        <w:rPr>
          <w:rFonts w:ascii="Times New Roman" w:eastAsia="Times New Roman" w:hAnsi="Times New Roman" w:cs="Arial"/>
          <w:sz w:val="24"/>
          <w:szCs w:val="20"/>
          <w:lang w:eastAsia="pl-PL"/>
        </w:rPr>
        <w:t>e</w:t>
      </w:r>
      <w:r w:rsidR="00311956">
        <w:rPr>
          <w:rFonts w:ascii="Times New Roman" w:eastAsia="Times New Roman" w:hAnsi="Times New Roman" w:cs="Arial"/>
          <w:sz w:val="24"/>
          <w:szCs w:val="20"/>
          <w:lang w:eastAsia="pl-PL"/>
        </w:rPr>
        <w:t xml:space="preserve"> instytucj</w:t>
      </w:r>
      <w:r w:rsidR="001D3753">
        <w:rPr>
          <w:rFonts w:ascii="Times New Roman" w:eastAsia="Times New Roman" w:hAnsi="Times New Roman" w:cs="Arial"/>
          <w:sz w:val="24"/>
          <w:szCs w:val="20"/>
          <w:lang w:eastAsia="pl-PL"/>
        </w:rPr>
        <w:t>e</w:t>
      </w:r>
      <w:r w:rsidR="00311956">
        <w:rPr>
          <w:rFonts w:ascii="Times New Roman" w:eastAsia="Times New Roman" w:hAnsi="Times New Roman" w:cs="Arial"/>
          <w:sz w:val="24"/>
          <w:szCs w:val="20"/>
          <w:lang w:eastAsia="pl-PL"/>
        </w:rPr>
        <w:t xml:space="preserve"> płatnicz</w:t>
      </w:r>
      <w:r w:rsidR="001D3753">
        <w:rPr>
          <w:rFonts w:ascii="Times New Roman" w:eastAsia="Times New Roman" w:hAnsi="Times New Roman" w:cs="Arial"/>
          <w:sz w:val="24"/>
          <w:szCs w:val="20"/>
          <w:lang w:eastAsia="pl-PL"/>
        </w:rPr>
        <w:t>e</w:t>
      </w:r>
      <w:r w:rsidR="00311956">
        <w:rPr>
          <w:rFonts w:ascii="Times New Roman" w:eastAsia="Times New Roman" w:hAnsi="Times New Roman" w:cs="Arial"/>
          <w:sz w:val="24"/>
          <w:szCs w:val="20"/>
          <w:lang w:eastAsia="pl-PL"/>
        </w:rPr>
        <w:t>,</w:t>
      </w:r>
      <w:r w:rsidR="00442AFA" w:rsidRPr="00442AFA">
        <w:rPr>
          <w:rFonts w:ascii="Times New Roman" w:eastAsia="Times New Roman" w:hAnsi="Times New Roman" w:cs="Arial"/>
          <w:sz w:val="24"/>
          <w:szCs w:val="20"/>
          <w:lang w:eastAsia="pl-PL"/>
        </w:rPr>
        <w:t xml:space="preserve"> </w:t>
      </w:r>
      <w:r w:rsidR="00A8464B" w:rsidRPr="00A8464B">
        <w:rPr>
          <w:rFonts w:ascii="Times New Roman" w:eastAsia="Times New Roman" w:hAnsi="Times New Roman" w:cs="Arial"/>
          <w:sz w:val="24"/>
          <w:szCs w:val="20"/>
          <w:lang w:eastAsia="pl-PL"/>
        </w:rPr>
        <w:t>które prowadzą działalność w niewielkim zakresie lub dopiero rozpoczynają prowadzenie działalności, sprawozdawanie danych w formacie XBRL może być dużym obciążeniem finansowym</w:t>
      </w:r>
      <w:r w:rsidR="001D3753">
        <w:rPr>
          <w:rFonts w:ascii="Times New Roman" w:eastAsia="Times New Roman" w:hAnsi="Times New Roman" w:cs="Arial"/>
          <w:sz w:val="24"/>
          <w:szCs w:val="20"/>
          <w:lang w:eastAsia="pl-PL"/>
        </w:rPr>
        <w:t>,</w:t>
      </w:r>
      <w:r w:rsidR="00A8464B" w:rsidRPr="00A8464B">
        <w:rPr>
          <w:rFonts w:ascii="Times New Roman" w:eastAsia="Times New Roman" w:hAnsi="Times New Roman" w:cs="Arial"/>
          <w:sz w:val="24"/>
          <w:szCs w:val="20"/>
          <w:lang w:eastAsia="pl-PL"/>
        </w:rPr>
        <w:t xml:space="preserve"> wynikającym z zakupu licencji i zaawansowanego technologicznie sprzętu komputerowego, a czasami podmioty te będą przekazywać dane zawierające tylko kilka pozycji sprawozdawczych. </w:t>
      </w:r>
      <w:r w:rsidR="001D3753">
        <w:rPr>
          <w:rFonts w:ascii="Times New Roman" w:eastAsia="Times New Roman" w:hAnsi="Times New Roman" w:cs="Arial"/>
          <w:sz w:val="24"/>
          <w:szCs w:val="20"/>
          <w:lang w:eastAsia="pl-PL"/>
        </w:rPr>
        <w:t>K</w:t>
      </w:r>
      <w:r w:rsidR="00A8464B" w:rsidRPr="00A8464B">
        <w:rPr>
          <w:rFonts w:ascii="Times New Roman" w:eastAsia="Times New Roman" w:hAnsi="Times New Roman" w:cs="Arial"/>
          <w:sz w:val="24"/>
          <w:szCs w:val="20"/>
          <w:lang w:eastAsia="pl-PL"/>
        </w:rPr>
        <w:t xml:space="preserve">oszt rocznej licencji dla oprogramowania, które wygeneruje sprawozdanie w formacie XBRL, wynosić może około 30 tys. zł, co oznacza, że przekazanie kilku danych za jeden okres sprawozdawczy obciąży podmiot dość znaczną kwotą. Należy uzupełnić, że nie jest konieczne wykupienie wspomnianej licencji przez podmiot w przypadku posiadania wysoko wykwalifikowanych służb informatycznych, które mają możliwość wytworzenia tego typu oprogramowania. Z uwagi na to, że </w:t>
      </w:r>
      <w:r w:rsidR="00311956">
        <w:rPr>
          <w:rFonts w:ascii="Times New Roman" w:eastAsia="Times New Roman" w:hAnsi="Times New Roman" w:cs="Arial"/>
          <w:sz w:val="24"/>
          <w:szCs w:val="20"/>
          <w:lang w:eastAsia="pl-PL"/>
        </w:rPr>
        <w:t>mała instytucja płatnicza</w:t>
      </w:r>
      <w:r w:rsidR="0008703F" w:rsidRPr="0008703F">
        <w:rPr>
          <w:rFonts w:ascii="Times New Roman" w:eastAsia="Times New Roman" w:hAnsi="Times New Roman" w:cs="Arial"/>
          <w:sz w:val="24"/>
          <w:szCs w:val="20"/>
          <w:lang w:eastAsia="pl-PL"/>
        </w:rPr>
        <w:t xml:space="preserve"> </w:t>
      </w:r>
      <w:r w:rsidR="00A8464B" w:rsidRPr="00A8464B">
        <w:rPr>
          <w:rFonts w:ascii="Times New Roman" w:eastAsia="Times New Roman" w:hAnsi="Times New Roman" w:cs="Arial"/>
          <w:sz w:val="24"/>
          <w:szCs w:val="20"/>
          <w:lang w:eastAsia="pl-PL"/>
        </w:rPr>
        <w:lastRenderedPageBreak/>
        <w:t>na początkowym etapie prowadzenia działalności lub z uwagi na jej skalę przeważnie nie dysponuj</w:t>
      </w:r>
      <w:r w:rsidR="00311956">
        <w:rPr>
          <w:rFonts w:ascii="Times New Roman" w:eastAsia="Times New Roman" w:hAnsi="Times New Roman" w:cs="Arial"/>
          <w:sz w:val="24"/>
          <w:szCs w:val="20"/>
          <w:lang w:eastAsia="pl-PL"/>
        </w:rPr>
        <w:t>e</w:t>
      </w:r>
      <w:r w:rsidR="00A8464B" w:rsidRPr="00A8464B">
        <w:rPr>
          <w:rFonts w:ascii="Times New Roman" w:eastAsia="Times New Roman" w:hAnsi="Times New Roman" w:cs="Arial"/>
          <w:sz w:val="24"/>
          <w:szCs w:val="20"/>
          <w:lang w:eastAsia="pl-PL"/>
        </w:rPr>
        <w:t xml:space="preserve"> wysoko wykwalifikowanymi służbami informatycznymi, to obciążenie tych podmiotów tak wysokimi kosztami, związanymi z realizacją rozwiązania podstawowego, może wpłynąć w skrajnych przypadkach </w:t>
      </w:r>
      <w:r w:rsidR="00364FD7">
        <w:rPr>
          <w:rFonts w:ascii="Times New Roman" w:eastAsia="Times New Roman" w:hAnsi="Times New Roman" w:cs="Arial"/>
          <w:sz w:val="24"/>
          <w:szCs w:val="20"/>
          <w:lang w:eastAsia="pl-PL"/>
        </w:rPr>
        <w:t xml:space="preserve">na </w:t>
      </w:r>
      <w:r w:rsidR="00A8464B" w:rsidRPr="00A8464B">
        <w:rPr>
          <w:rFonts w:ascii="Times New Roman" w:eastAsia="Times New Roman" w:hAnsi="Times New Roman" w:cs="Arial"/>
          <w:sz w:val="24"/>
          <w:szCs w:val="20"/>
          <w:lang w:eastAsia="pl-PL"/>
        </w:rPr>
        <w:t>podjęci</w:t>
      </w:r>
      <w:r w:rsidR="00364FD7">
        <w:rPr>
          <w:rFonts w:ascii="Times New Roman" w:eastAsia="Times New Roman" w:hAnsi="Times New Roman" w:cs="Arial"/>
          <w:sz w:val="24"/>
          <w:szCs w:val="20"/>
          <w:lang w:eastAsia="pl-PL"/>
        </w:rPr>
        <w:t>e</w:t>
      </w:r>
      <w:r w:rsidR="00A8464B" w:rsidRPr="00A8464B">
        <w:rPr>
          <w:rFonts w:ascii="Times New Roman" w:eastAsia="Times New Roman" w:hAnsi="Times New Roman" w:cs="Arial"/>
          <w:sz w:val="24"/>
          <w:szCs w:val="20"/>
          <w:lang w:eastAsia="pl-PL"/>
        </w:rPr>
        <w:t xml:space="preserve"> decyzji o</w:t>
      </w:r>
      <w:r w:rsidR="00DE0C9E">
        <w:rPr>
          <w:rFonts w:ascii="Times New Roman" w:eastAsia="Times New Roman" w:hAnsi="Times New Roman" w:cs="Arial"/>
          <w:sz w:val="24"/>
          <w:szCs w:val="20"/>
          <w:lang w:eastAsia="pl-PL"/>
        </w:rPr>
        <w:t> </w:t>
      </w:r>
      <w:r w:rsidR="00A8464B" w:rsidRPr="00A8464B">
        <w:rPr>
          <w:rFonts w:ascii="Times New Roman" w:eastAsia="Times New Roman" w:hAnsi="Times New Roman" w:cs="Arial"/>
          <w:sz w:val="24"/>
          <w:szCs w:val="20"/>
          <w:lang w:eastAsia="pl-PL"/>
        </w:rPr>
        <w:t>rezygnacji z prowadzenia tego typu działalności.</w:t>
      </w:r>
      <w:bookmarkEnd w:id="8"/>
      <w:r w:rsidR="00A8464B" w:rsidRPr="00A8464B">
        <w:rPr>
          <w:rFonts w:ascii="Times New Roman" w:eastAsia="Times New Roman" w:hAnsi="Times New Roman" w:cs="Arial"/>
          <w:sz w:val="24"/>
          <w:szCs w:val="20"/>
          <w:lang w:eastAsia="pl-PL"/>
        </w:rPr>
        <w:t xml:space="preserve"> </w:t>
      </w:r>
      <w:r w:rsidR="0008703F">
        <w:rPr>
          <w:rFonts w:ascii="Times New Roman" w:eastAsia="Times New Roman" w:hAnsi="Times New Roman" w:cs="Arial"/>
          <w:sz w:val="24"/>
          <w:szCs w:val="20"/>
          <w:lang w:eastAsia="pl-PL"/>
        </w:rPr>
        <w:t xml:space="preserve">Ponadto, </w:t>
      </w:r>
      <w:r w:rsidR="00805E9C" w:rsidRPr="00684C95">
        <w:rPr>
          <w:rFonts w:ascii="Times New Roman" w:eastAsia="Times New Roman" w:hAnsi="Times New Roman" w:cs="Arial"/>
          <w:sz w:val="24"/>
          <w:szCs w:val="20"/>
          <w:lang w:eastAsia="pl-PL"/>
        </w:rPr>
        <w:t xml:space="preserve">na stronie internetowej NBP </w:t>
      </w:r>
      <w:r w:rsidR="0008703F">
        <w:rPr>
          <w:rFonts w:ascii="Times New Roman" w:eastAsia="Times New Roman" w:hAnsi="Times New Roman" w:cs="Arial"/>
          <w:sz w:val="24"/>
          <w:szCs w:val="20"/>
          <w:lang w:eastAsia="pl-PL"/>
        </w:rPr>
        <w:t xml:space="preserve">w </w:t>
      </w:r>
      <w:r w:rsidR="00805E9C" w:rsidRPr="00684C95">
        <w:rPr>
          <w:rFonts w:ascii="Times New Roman" w:eastAsia="Times New Roman" w:hAnsi="Times New Roman" w:cs="Arial"/>
          <w:sz w:val="24"/>
          <w:szCs w:val="20"/>
          <w:lang w:eastAsia="pl-PL"/>
        </w:rPr>
        <w:t>opublikowany</w:t>
      </w:r>
      <w:r w:rsidR="0008703F">
        <w:rPr>
          <w:rFonts w:ascii="Times New Roman" w:eastAsia="Times New Roman" w:hAnsi="Times New Roman" w:cs="Arial"/>
          <w:sz w:val="24"/>
          <w:szCs w:val="20"/>
          <w:lang w:eastAsia="pl-PL"/>
        </w:rPr>
        <w:t>m</w:t>
      </w:r>
      <w:r w:rsidR="00805E9C" w:rsidRPr="00684C95">
        <w:rPr>
          <w:rFonts w:ascii="Times New Roman" w:eastAsia="Times New Roman" w:hAnsi="Times New Roman" w:cs="Arial"/>
          <w:sz w:val="24"/>
          <w:szCs w:val="20"/>
          <w:lang w:eastAsia="pl-PL"/>
        </w:rPr>
        <w:t xml:space="preserve"> dokumen</w:t>
      </w:r>
      <w:r w:rsidR="0008703F">
        <w:rPr>
          <w:rFonts w:ascii="Times New Roman" w:eastAsia="Times New Roman" w:hAnsi="Times New Roman" w:cs="Arial"/>
          <w:sz w:val="24"/>
          <w:szCs w:val="20"/>
          <w:lang w:eastAsia="pl-PL"/>
        </w:rPr>
        <w:t>cie</w:t>
      </w:r>
      <w:r w:rsidR="00805E9C" w:rsidRPr="00684C95">
        <w:rPr>
          <w:rFonts w:ascii="Times New Roman" w:eastAsia="Times New Roman" w:hAnsi="Times New Roman" w:cs="Arial"/>
          <w:sz w:val="24"/>
          <w:szCs w:val="20"/>
          <w:lang w:eastAsia="pl-PL"/>
        </w:rPr>
        <w:t xml:space="preserve"> pn. </w:t>
      </w:r>
      <w:r w:rsidR="00805E9C" w:rsidRPr="00684C95">
        <w:rPr>
          <w:rFonts w:ascii="Times New Roman" w:eastAsia="Times New Roman" w:hAnsi="Times New Roman" w:cs="Arial"/>
          <w:i/>
          <w:iCs/>
          <w:sz w:val="24"/>
          <w:szCs w:val="20"/>
          <w:lang w:eastAsia="pl-PL"/>
        </w:rPr>
        <w:t>Instrukcja dla podmiotów sprawozdawczych</w:t>
      </w:r>
      <w:r w:rsidR="00805E9C" w:rsidRPr="00684C95">
        <w:rPr>
          <w:rFonts w:ascii="Times New Roman" w:eastAsia="Times New Roman" w:hAnsi="Times New Roman" w:cs="Arial"/>
          <w:sz w:val="24"/>
          <w:szCs w:val="20"/>
          <w:lang w:eastAsia="pl-PL"/>
        </w:rPr>
        <w:t xml:space="preserve">, </w:t>
      </w:r>
      <w:r w:rsidR="0008703F">
        <w:rPr>
          <w:rFonts w:ascii="Times New Roman" w:eastAsia="Times New Roman" w:hAnsi="Times New Roman" w:cs="Arial"/>
          <w:sz w:val="24"/>
          <w:szCs w:val="20"/>
          <w:lang w:eastAsia="pl-PL"/>
        </w:rPr>
        <w:t xml:space="preserve">zostaną </w:t>
      </w:r>
      <w:r w:rsidR="00805E9C" w:rsidRPr="00684C95">
        <w:rPr>
          <w:rFonts w:ascii="Times New Roman" w:eastAsia="Times New Roman" w:hAnsi="Times New Roman" w:cs="Arial"/>
          <w:sz w:val="24"/>
          <w:szCs w:val="20"/>
          <w:lang w:eastAsia="pl-PL"/>
        </w:rPr>
        <w:t>zamieszczone szczegółowe informacje dotyczące wypełniania poszczególnych formularzy jak również informacje związane z funkcjonowaniem i działaniem w</w:t>
      </w:r>
      <w:r w:rsidR="006A5DB1">
        <w:rPr>
          <w:rFonts w:ascii="Times New Roman" w:eastAsia="Times New Roman" w:hAnsi="Times New Roman" w:cs="Arial"/>
          <w:sz w:val="24"/>
          <w:szCs w:val="20"/>
          <w:lang w:eastAsia="pl-PL"/>
        </w:rPr>
        <w:t> </w:t>
      </w:r>
      <w:r w:rsidR="00805E9C" w:rsidRPr="00684C95">
        <w:rPr>
          <w:rFonts w:ascii="Times New Roman" w:eastAsia="Times New Roman" w:hAnsi="Times New Roman" w:cs="Arial"/>
          <w:sz w:val="24"/>
          <w:szCs w:val="20"/>
          <w:lang w:eastAsia="pl-PL"/>
        </w:rPr>
        <w:t>systemach: Baza Statystyki Płatniczej BSP i Portalu internetowym Systemu Informacji Sprawozdawczej.</w:t>
      </w:r>
    </w:p>
    <w:p w14:paraId="6A23814D" w14:textId="5E7AB58C" w:rsidR="00AC2B36" w:rsidRDefault="00AC2B36" w:rsidP="00E739BF">
      <w:pPr>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Propozycja uszczegółowienia wspomnianych nowych regulacji </w:t>
      </w:r>
      <w:r w:rsidR="008A0CA3">
        <w:rPr>
          <w:rFonts w:ascii="Times New Roman" w:hAnsi="Times New Roman" w:cs="Times New Roman"/>
          <w:color w:val="000000" w:themeColor="text1"/>
          <w:sz w:val="24"/>
          <w:szCs w:val="24"/>
        </w:rPr>
        <w:t>wynika przede wszystkim z oczekiwań EBC wskazanych w rozporządzeniu EBC w sprawie statystyki płatności</w:t>
      </w:r>
      <w:r w:rsidR="00DE32A8">
        <w:rPr>
          <w:rFonts w:ascii="Times New Roman" w:hAnsi="Times New Roman" w:cs="Times New Roman"/>
          <w:color w:val="000000" w:themeColor="text1"/>
          <w:sz w:val="24"/>
          <w:szCs w:val="24"/>
        </w:rPr>
        <w:t>,</w:t>
      </w:r>
      <w:r w:rsidR="008A0CA3">
        <w:rPr>
          <w:rFonts w:ascii="Times New Roman" w:hAnsi="Times New Roman" w:cs="Times New Roman"/>
          <w:color w:val="000000" w:themeColor="text1"/>
          <w:sz w:val="24"/>
          <w:szCs w:val="24"/>
        </w:rPr>
        <w:t xml:space="preserve"> jak również potrzeb NBP w zakresie </w:t>
      </w:r>
      <w:r w:rsidR="008A0CA3" w:rsidRPr="008A0CA3">
        <w:rPr>
          <w:rFonts w:ascii="Times New Roman" w:hAnsi="Times New Roman" w:cs="Times New Roman"/>
          <w:color w:val="000000" w:themeColor="text1"/>
          <w:sz w:val="24"/>
          <w:szCs w:val="24"/>
        </w:rPr>
        <w:t>oceny funkcjonowania polskiego systemu płatniczego</w:t>
      </w:r>
      <w:r w:rsidR="008A0CA3">
        <w:rPr>
          <w:rFonts w:ascii="Times New Roman" w:hAnsi="Times New Roman" w:cs="Times New Roman"/>
          <w:color w:val="000000" w:themeColor="text1"/>
          <w:sz w:val="24"/>
          <w:szCs w:val="24"/>
        </w:rPr>
        <w:t xml:space="preserve"> i</w:t>
      </w:r>
      <w:r w:rsidR="006A5DB1">
        <w:rPr>
          <w:rFonts w:ascii="Times New Roman" w:hAnsi="Times New Roman" w:cs="Times New Roman"/>
          <w:color w:val="000000" w:themeColor="text1"/>
          <w:sz w:val="24"/>
          <w:szCs w:val="24"/>
        </w:rPr>
        <w:t> </w:t>
      </w:r>
      <w:r w:rsidR="008A0CA3">
        <w:rPr>
          <w:rFonts w:ascii="Times New Roman" w:hAnsi="Times New Roman" w:cs="Times New Roman"/>
          <w:color w:val="000000" w:themeColor="text1"/>
          <w:sz w:val="24"/>
          <w:szCs w:val="24"/>
        </w:rPr>
        <w:t>sporządzania bilansu płatniczego.</w:t>
      </w:r>
    </w:p>
    <w:p w14:paraId="3AB1FF6A" w14:textId="2493AB48" w:rsidR="00E739BF" w:rsidRDefault="00E739BF" w:rsidP="00AD6DB6">
      <w:pPr>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Poza wymienionymi powyżej nowymi pr</w:t>
      </w:r>
      <w:r w:rsidR="00323CC5">
        <w:rPr>
          <w:rFonts w:ascii="Times New Roman" w:hAnsi="Times New Roman" w:cs="Times New Roman"/>
          <w:color w:val="000000" w:themeColor="text1"/>
          <w:sz w:val="24"/>
          <w:szCs w:val="24"/>
        </w:rPr>
        <w:t>zepisami</w:t>
      </w:r>
      <w:r>
        <w:rPr>
          <w:rFonts w:ascii="Times New Roman" w:hAnsi="Times New Roman" w:cs="Times New Roman"/>
          <w:color w:val="000000" w:themeColor="text1"/>
          <w:sz w:val="24"/>
          <w:szCs w:val="24"/>
        </w:rPr>
        <w:t xml:space="preserve"> </w:t>
      </w:r>
      <w:r w:rsidR="00AC567C">
        <w:rPr>
          <w:rFonts w:ascii="Times New Roman" w:hAnsi="Times New Roman" w:cs="Times New Roman"/>
          <w:color w:val="000000" w:themeColor="text1"/>
          <w:sz w:val="24"/>
          <w:szCs w:val="24"/>
        </w:rPr>
        <w:t xml:space="preserve">dotyczącymi zakresu przekazywania danych pozostałe przepisy w projektowanym rozporządzeniu </w:t>
      </w:r>
      <w:r w:rsidR="00A95A76">
        <w:rPr>
          <w:rFonts w:ascii="Times New Roman" w:hAnsi="Times New Roman" w:cs="Times New Roman"/>
          <w:color w:val="000000" w:themeColor="text1"/>
          <w:sz w:val="24"/>
          <w:szCs w:val="24"/>
        </w:rPr>
        <w:t xml:space="preserve">zasadniczo </w:t>
      </w:r>
      <w:r w:rsidR="00BF20B9">
        <w:rPr>
          <w:rFonts w:ascii="Times New Roman" w:hAnsi="Times New Roman" w:cs="Times New Roman"/>
          <w:color w:val="000000" w:themeColor="text1"/>
          <w:sz w:val="24"/>
          <w:szCs w:val="24"/>
        </w:rPr>
        <w:t>nie uległy zmianie i</w:t>
      </w:r>
      <w:r w:rsidR="006A5DB1">
        <w:rPr>
          <w:rFonts w:ascii="Times New Roman" w:hAnsi="Times New Roman" w:cs="Times New Roman"/>
          <w:color w:val="000000" w:themeColor="text1"/>
          <w:sz w:val="24"/>
          <w:szCs w:val="24"/>
        </w:rPr>
        <w:t> </w:t>
      </w:r>
      <w:r w:rsidR="00BF20B9">
        <w:rPr>
          <w:rFonts w:ascii="Times New Roman" w:hAnsi="Times New Roman" w:cs="Times New Roman"/>
          <w:color w:val="000000" w:themeColor="text1"/>
          <w:sz w:val="24"/>
          <w:szCs w:val="24"/>
        </w:rPr>
        <w:t xml:space="preserve">większość </w:t>
      </w:r>
      <w:r w:rsidR="00DE32A8">
        <w:rPr>
          <w:rFonts w:ascii="Times New Roman" w:hAnsi="Times New Roman" w:cs="Times New Roman"/>
          <w:color w:val="000000" w:themeColor="text1"/>
          <w:sz w:val="24"/>
          <w:szCs w:val="24"/>
        </w:rPr>
        <w:t xml:space="preserve">tych </w:t>
      </w:r>
      <w:r w:rsidR="00BF20B9">
        <w:rPr>
          <w:rFonts w:ascii="Times New Roman" w:hAnsi="Times New Roman" w:cs="Times New Roman"/>
          <w:color w:val="000000" w:themeColor="text1"/>
          <w:sz w:val="24"/>
          <w:szCs w:val="24"/>
        </w:rPr>
        <w:t xml:space="preserve">przepisów została </w:t>
      </w:r>
      <w:r w:rsidRPr="00E739BF">
        <w:rPr>
          <w:rFonts w:ascii="Times New Roman" w:hAnsi="Times New Roman" w:cs="Times New Roman"/>
          <w:color w:val="000000" w:themeColor="text1"/>
          <w:sz w:val="24"/>
          <w:szCs w:val="24"/>
        </w:rPr>
        <w:t>powielona z obecnie obowiązującego rozporządzenia</w:t>
      </w:r>
      <w:r w:rsidR="00BF20B9">
        <w:rPr>
          <w:rFonts w:ascii="Times New Roman" w:hAnsi="Times New Roman" w:cs="Times New Roman"/>
          <w:color w:val="000000" w:themeColor="text1"/>
          <w:sz w:val="24"/>
          <w:szCs w:val="24"/>
        </w:rPr>
        <w:t xml:space="preserve">. </w:t>
      </w:r>
      <w:r w:rsidR="00323CC5">
        <w:rPr>
          <w:rFonts w:ascii="Times New Roman" w:hAnsi="Times New Roman" w:cs="Times New Roman"/>
          <w:color w:val="000000" w:themeColor="text1"/>
          <w:sz w:val="24"/>
          <w:szCs w:val="24"/>
        </w:rPr>
        <w:t xml:space="preserve">Należy podkreślić, </w:t>
      </w:r>
      <w:r w:rsidR="008C0C93">
        <w:rPr>
          <w:rFonts w:ascii="Times New Roman" w:hAnsi="Times New Roman" w:cs="Times New Roman"/>
          <w:color w:val="000000" w:themeColor="text1"/>
          <w:sz w:val="24"/>
          <w:szCs w:val="24"/>
        </w:rPr>
        <w:t>ż</w:t>
      </w:r>
      <w:r w:rsidR="00323CC5">
        <w:rPr>
          <w:rFonts w:ascii="Times New Roman" w:hAnsi="Times New Roman" w:cs="Times New Roman"/>
          <w:color w:val="000000" w:themeColor="text1"/>
          <w:sz w:val="24"/>
          <w:szCs w:val="24"/>
        </w:rPr>
        <w:t xml:space="preserve">e </w:t>
      </w:r>
      <w:r w:rsidR="008C0C93">
        <w:rPr>
          <w:rFonts w:ascii="Times New Roman" w:hAnsi="Times New Roman" w:cs="Times New Roman"/>
          <w:color w:val="000000" w:themeColor="text1"/>
          <w:sz w:val="24"/>
          <w:szCs w:val="24"/>
        </w:rPr>
        <w:t>stosowany do tej pory sposób przekazywania danych umożliwia realizację ustawowych zadań NBP oraz publikowanie danych zbiorczych w materiałach analitycznych NBP. Publikacj</w:t>
      </w:r>
      <w:r w:rsidR="00D61532">
        <w:rPr>
          <w:rFonts w:ascii="Times New Roman" w:hAnsi="Times New Roman" w:cs="Times New Roman"/>
          <w:color w:val="000000" w:themeColor="text1"/>
          <w:sz w:val="24"/>
          <w:szCs w:val="24"/>
        </w:rPr>
        <w:t>a</w:t>
      </w:r>
      <w:r w:rsidR="008C0C93">
        <w:rPr>
          <w:rFonts w:ascii="Times New Roman" w:hAnsi="Times New Roman" w:cs="Times New Roman"/>
          <w:color w:val="000000" w:themeColor="text1"/>
          <w:sz w:val="24"/>
          <w:szCs w:val="24"/>
        </w:rPr>
        <w:t xml:space="preserve"> tych danych </w:t>
      </w:r>
      <w:r w:rsidR="00ED208F">
        <w:rPr>
          <w:rFonts w:ascii="Times New Roman" w:hAnsi="Times New Roman" w:cs="Times New Roman"/>
          <w:color w:val="000000" w:themeColor="text1"/>
          <w:sz w:val="24"/>
          <w:szCs w:val="24"/>
        </w:rPr>
        <w:t>pozwala</w:t>
      </w:r>
      <w:r w:rsidR="008C0C93">
        <w:rPr>
          <w:rFonts w:ascii="Times New Roman" w:hAnsi="Times New Roman" w:cs="Times New Roman"/>
          <w:color w:val="000000" w:themeColor="text1"/>
          <w:sz w:val="24"/>
          <w:szCs w:val="24"/>
        </w:rPr>
        <w:t xml:space="preserve"> podmiotom rynkowym </w:t>
      </w:r>
      <w:r w:rsidR="00D61532">
        <w:rPr>
          <w:rFonts w:ascii="Times New Roman" w:hAnsi="Times New Roman" w:cs="Times New Roman"/>
          <w:color w:val="000000" w:themeColor="text1"/>
          <w:sz w:val="24"/>
          <w:szCs w:val="24"/>
        </w:rPr>
        <w:t xml:space="preserve">na </w:t>
      </w:r>
      <w:r w:rsidR="008C0C93">
        <w:rPr>
          <w:rFonts w:ascii="Times New Roman" w:hAnsi="Times New Roman" w:cs="Times New Roman"/>
          <w:color w:val="000000" w:themeColor="text1"/>
          <w:sz w:val="24"/>
          <w:szCs w:val="24"/>
        </w:rPr>
        <w:t>śledz</w:t>
      </w:r>
      <w:r w:rsidR="00D61532">
        <w:rPr>
          <w:rFonts w:ascii="Times New Roman" w:hAnsi="Times New Roman" w:cs="Times New Roman"/>
          <w:color w:val="000000" w:themeColor="text1"/>
          <w:sz w:val="24"/>
          <w:szCs w:val="24"/>
        </w:rPr>
        <w:t>enie</w:t>
      </w:r>
      <w:r w:rsidR="008C0C93">
        <w:rPr>
          <w:rFonts w:ascii="Times New Roman" w:hAnsi="Times New Roman" w:cs="Times New Roman"/>
          <w:color w:val="000000" w:themeColor="text1"/>
          <w:sz w:val="24"/>
          <w:szCs w:val="24"/>
        </w:rPr>
        <w:t xml:space="preserve"> trendów zachodzących na rynku usług płatniczych.</w:t>
      </w:r>
    </w:p>
    <w:p w14:paraId="1901539E" w14:textId="57C4B3A6" w:rsidR="00A95A76" w:rsidRDefault="00A95A76" w:rsidP="00563710">
      <w:pPr>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ramach zmian obowiązujących przepisów dotyczących przekazywania danych,</w:t>
      </w:r>
      <w:r w:rsidR="00563710" w:rsidRPr="00563710">
        <w:t xml:space="preserve"> </w:t>
      </w:r>
      <w:r w:rsidR="00563710">
        <w:rPr>
          <w:rFonts w:ascii="Times New Roman" w:hAnsi="Times New Roman" w:cs="Times New Roman"/>
          <w:color w:val="000000" w:themeColor="text1"/>
          <w:sz w:val="24"/>
          <w:szCs w:val="24"/>
        </w:rPr>
        <w:t>d</w:t>
      </w:r>
      <w:r w:rsidR="00563710" w:rsidRPr="00563710">
        <w:rPr>
          <w:rFonts w:ascii="Times New Roman" w:hAnsi="Times New Roman" w:cs="Times New Roman"/>
          <w:color w:val="000000" w:themeColor="text1"/>
          <w:sz w:val="24"/>
          <w:szCs w:val="24"/>
        </w:rPr>
        <w:t>ostosowan</w:t>
      </w:r>
      <w:r w:rsidR="00563710">
        <w:rPr>
          <w:rFonts w:ascii="Times New Roman" w:hAnsi="Times New Roman" w:cs="Times New Roman"/>
          <w:color w:val="000000" w:themeColor="text1"/>
          <w:sz w:val="24"/>
          <w:szCs w:val="24"/>
        </w:rPr>
        <w:t>o</w:t>
      </w:r>
      <w:r w:rsidR="00563710" w:rsidRPr="00563710">
        <w:rPr>
          <w:rFonts w:ascii="Times New Roman" w:hAnsi="Times New Roman" w:cs="Times New Roman"/>
          <w:color w:val="000000" w:themeColor="text1"/>
          <w:sz w:val="24"/>
          <w:szCs w:val="24"/>
        </w:rPr>
        <w:t xml:space="preserve">, zgodnie z brzmieniem art. 14b ust. 1 pkt 2 ustawy, obowiązek przekazywania danych, precyzując, że chodzi o „transakcje wykonane”, a nie „dokonane” (obecne brzmienie rozporządzenia).  </w:t>
      </w:r>
      <w:r w:rsidR="00234B7E">
        <w:rPr>
          <w:rFonts w:ascii="Times New Roman" w:hAnsi="Times New Roman" w:cs="Times New Roman"/>
          <w:color w:val="000000" w:themeColor="text1"/>
          <w:sz w:val="24"/>
          <w:szCs w:val="24"/>
        </w:rPr>
        <w:t xml:space="preserve">Dookreślono również, gdy chodzi o nowe brzmienie art. 14aa ust. 1 pkt 3, że przekazywane informacje powinny dotyczyć transakcji „zarejestrowanych” w bankomatach lub wpłatomatach. </w:t>
      </w:r>
      <w:r w:rsidR="00563710">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dy chodzi o transakcje „zarejestrowane w” bankomatach lub wpłatomatach (</w:t>
      </w:r>
      <w:r w:rsidRPr="00A95A76">
        <w:rPr>
          <w:rFonts w:ascii="Times New Roman" w:hAnsi="Times New Roman" w:cs="Times New Roman"/>
          <w:color w:val="000000" w:themeColor="text1"/>
          <w:sz w:val="24"/>
          <w:szCs w:val="24"/>
        </w:rPr>
        <w:t>§</w:t>
      </w:r>
      <w:r w:rsidR="006A5DB1">
        <w:rPr>
          <w:rFonts w:ascii="Times New Roman" w:hAnsi="Times New Roman" w:cs="Times New Roman"/>
          <w:color w:val="000000" w:themeColor="text1"/>
          <w:sz w:val="24"/>
          <w:szCs w:val="24"/>
        </w:rPr>
        <w:t> </w:t>
      </w:r>
      <w:r w:rsidRPr="00A95A7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projektu), zrezygnowano z doprecyzowania że chodzi o transakcje wykonywane przez klientów indywidualnych, ponieważ operator bankomatów oraz wpłatomatów nie posiada informacji odnośnie tego czy klient który wykonuje ww. transakcję jest klientem indywidualnym czy biznesowym. </w:t>
      </w:r>
      <w:r w:rsidR="00234B7E">
        <w:rPr>
          <w:rFonts w:ascii="Times New Roman" w:hAnsi="Times New Roman" w:cs="Times New Roman"/>
          <w:color w:val="000000" w:themeColor="text1"/>
          <w:sz w:val="24"/>
          <w:szCs w:val="24"/>
        </w:rPr>
        <w:t xml:space="preserve">Obecne przepisy rozporządzenia posługują się pojęciem „udostępnionych bankomatów”, projektowane przepisy dostosowane zostały w tym zakresie do nowego brzmienia </w:t>
      </w:r>
      <w:r w:rsidR="00CE7536" w:rsidRPr="00CE7536">
        <w:rPr>
          <w:rFonts w:ascii="Times New Roman" w:hAnsi="Times New Roman" w:cs="Times New Roman"/>
          <w:color w:val="000000" w:themeColor="text1"/>
          <w:sz w:val="24"/>
          <w:szCs w:val="24"/>
        </w:rPr>
        <w:t>art. 14aa ust 1 pkt 1 ustawy</w:t>
      </w:r>
      <w:r w:rsidR="00CE7536">
        <w:rPr>
          <w:rFonts w:ascii="Times New Roman" w:hAnsi="Times New Roman" w:cs="Times New Roman"/>
          <w:color w:val="000000" w:themeColor="text1"/>
          <w:sz w:val="24"/>
          <w:szCs w:val="24"/>
        </w:rPr>
        <w:t>.</w:t>
      </w:r>
    </w:p>
    <w:p w14:paraId="238F769C" w14:textId="3F0D9E2E" w:rsidR="00AD6DB6" w:rsidRPr="00AD6DB6" w:rsidRDefault="003D6BA5" w:rsidP="00AD6DB6">
      <w:pPr>
        <w:ind w:firstLine="425"/>
        <w:jc w:val="both"/>
        <w:rPr>
          <w:rFonts w:ascii="Times New Roman" w:hAnsi="Times New Roman" w:cs="Times New Roman"/>
          <w:color w:val="000000" w:themeColor="text1"/>
          <w:sz w:val="24"/>
          <w:szCs w:val="24"/>
        </w:rPr>
      </w:pPr>
      <w:r w:rsidRPr="00543AAD">
        <w:rPr>
          <w:rFonts w:ascii="Times New Roman" w:hAnsi="Times New Roman" w:cs="Times New Roman"/>
          <w:color w:val="000000" w:themeColor="text1"/>
          <w:sz w:val="24"/>
          <w:szCs w:val="24"/>
        </w:rPr>
        <w:t xml:space="preserve">Rozporządzenie wejdzie w życie z dniem </w:t>
      </w:r>
      <w:r w:rsidR="00AD6DB6">
        <w:rPr>
          <w:rFonts w:ascii="Times New Roman" w:hAnsi="Times New Roman" w:cs="Times New Roman"/>
          <w:color w:val="000000" w:themeColor="text1"/>
          <w:sz w:val="24"/>
          <w:szCs w:val="24"/>
        </w:rPr>
        <w:t>1</w:t>
      </w:r>
      <w:r w:rsidR="009866F6">
        <w:rPr>
          <w:rFonts w:ascii="Times New Roman" w:hAnsi="Times New Roman" w:cs="Times New Roman"/>
          <w:color w:val="000000" w:themeColor="text1"/>
          <w:sz w:val="24"/>
          <w:szCs w:val="24"/>
        </w:rPr>
        <w:t xml:space="preserve"> stycznia 202</w:t>
      </w:r>
      <w:r w:rsidR="0008703F">
        <w:rPr>
          <w:rFonts w:ascii="Times New Roman" w:hAnsi="Times New Roman" w:cs="Times New Roman"/>
          <w:color w:val="000000" w:themeColor="text1"/>
          <w:sz w:val="24"/>
          <w:szCs w:val="24"/>
        </w:rPr>
        <w:t>4</w:t>
      </w:r>
      <w:r w:rsidR="009866F6">
        <w:rPr>
          <w:rFonts w:ascii="Times New Roman" w:hAnsi="Times New Roman" w:cs="Times New Roman"/>
          <w:color w:val="000000" w:themeColor="text1"/>
          <w:sz w:val="24"/>
          <w:szCs w:val="24"/>
        </w:rPr>
        <w:t xml:space="preserve"> r.</w:t>
      </w:r>
      <w:r w:rsidR="00A8464B" w:rsidRPr="00A8464B">
        <w:rPr>
          <w:rFonts w:ascii="Times New Roman" w:hAnsi="Times New Roman" w:cs="Times New Roman"/>
          <w:sz w:val="24"/>
          <w:szCs w:val="24"/>
        </w:rPr>
        <w:t xml:space="preserve"> </w:t>
      </w:r>
      <w:r w:rsidR="0008703F" w:rsidRPr="0008703F">
        <w:rPr>
          <w:rFonts w:ascii="Times New Roman" w:hAnsi="Times New Roman" w:cs="Times New Roman"/>
          <w:sz w:val="24"/>
          <w:szCs w:val="24"/>
        </w:rPr>
        <w:t xml:space="preserve">Przewidziany termin wejścia w życie projektowanego rozporządzenia </w:t>
      </w:r>
      <w:r w:rsidR="00DA387C">
        <w:rPr>
          <w:rFonts w:ascii="Times New Roman" w:hAnsi="Times New Roman" w:cs="Times New Roman"/>
          <w:sz w:val="24"/>
          <w:szCs w:val="24"/>
        </w:rPr>
        <w:t xml:space="preserve">potencjalnie będzie </w:t>
      </w:r>
      <w:r w:rsidR="0008703F" w:rsidRPr="0008703F">
        <w:rPr>
          <w:rFonts w:ascii="Times New Roman" w:hAnsi="Times New Roman" w:cs="Times New Roman"/>
          <w:sz w:val="24"/>
          <w:szCs w:val="24"/>
        </w:rPr>
        <w:t xml:space="preserve">krótszy niż rekomendowany 14-dniowy okres </w:t>
      </w:r>
      <w:r w:rsidR="0008703F" w:rsidRPr="0008703F">
        <w:rPr>
          <w:rFonts w:ascii="Times New Roman" w:hAnsi="Times New Roman" w:cs="Times New Roman"/>
          <w:i/>
          <w:sz w:val="24"/>
          <w:szCs w:val="24"/>
        </w:rPr>
        <w:t>vacatio legis</w:t>
      </w:r>
      <w:r w:rsidR="0008703F" w:rsidRPr="0008703F">
        <w:rPr>
          <w:rFonts w:ascii="Times New Roman" w:hAnsi="Times New Roman" w:cs="Times New Roman"/>
          <w:sz w:val="24"/>
          <w:szCs w:val="24"/>
        </w:rPr>
        <w:t>, jednak zainteresowane podmioty były informowane z</w:t>
      </w:r>
      <w:r w:rsidR="006A5DB1">
        <w:rPr>
          <w:rFonts w:ascii="Times New Roman" w:hAnsi="Times New Roman" w:cs="Times New Roman"/>
          <w:sz w:val="24"/>
          <w:szCs w:val="24"/>
        </w:rPr>
        <w:t> </w:t>
      </w:r>
      <w:r w:rsidR="0008703F" w:rsidRPr="0008703F">
        <w:rPr>
          <w:rFonts w:ascii="Times New Roman" w:hAnsi="Times New Roman" w:cs="Times New Roman"/>
          <w:sz w:val="24"/>
          <w:szCs w:val="24"/>
        </w:rPr>
        <w:t>wyprzedzeniem przez NBP o projektowanych zmianach w zakresie przekazywania danych, o</w:t>
      </w:r>
      <w:r w:rsidR="00DE0C9E">
        <w:rPr>
          <w:rFonts w:ascii="Times New Roman" w:hAnsi="Times New Roman" w:cs="Times New Roman"/>
          <w:sz w:val="24"/>
          <w:szCs w:val="24"/>
        </w:rPr>
        <w:t> </w:t>
      </w:r>
      <w:r w:rsidR="0008703F" w:rsidRPr="0008703F">
        <w:rPr>
          <w:rFonts w:ascii="Times New Roman" w:hAnsi="Times New Roman" w:cs="Times New Roman"/>
          <w:sz w:val="24"/>
          <w:szCs w:val="24"/>
        </w:rPr>
        <w:t xml:space="preserve">których mowa w projekcie. </w:t>
      </w:r>
      <w:r w:rsidR="00A8464B" w:rsidRPr="00A8464B">
        <w:rPr>
          <w:rFonts w:ascii="Times New Roman" w:hAnsi="Times New Roman" w:cs="Times New Roman"/>
          <w:color w:val="000000" w:themeColor="text1"/>
          <w:sz w:val="24"/>
          <w:szCs w:val="24"/>
        </w:rPr>
        <w:t>Pierwsze przekazanie danych do NBP będzie dotyczyło</w:t>
      </w:r>
      <w:r w:rsidR="00862899">
        <w:rPr>
          <w:rFonts w:ascii="Times New Roman" w:hAnsi="Times New Roman" w:cs="Times New Roman"/>
          <w:color w:val="000000" w:themeColor="text1"/>
          <w:sz w:val="24"/>
          <w:szCs w:val="24"/>
        </w:rPr>
        <w:t xml:space="preserve"> zatem</w:t>
      </w:r>
      <w:r w:rsidR="00A8464B" w:rsidRPr="00A8464B">
        <w:rPr>
          <w:rFonts w:ascii="Times New Roman" w:hAnsi="Times New Roman" w:cs="Times New Roman"/>
          <w:color w:val="000000" w:themeColor="text1"/>
          <w:sz w:val="24"/>
          <w:szCs w:val="24"/>
        </w:rPr>
        <w:t xml:space="preserve"> I kwartału 202</w:t>
      </w:r>
      <w:r w:rsidR="0008703F">
        <w:rPr>
          <w:rFonts w:ascii="Times New Roman" w:hAnsi="Times New Roman" w:cs="Times New Roman"/>
          <w:color w:val="000000" w:themeColor="text1"/>
          <w:sz w:val="24"/>
          <w:szCs w:val="24"/>
        </w:rPr>
        <w:t>4</w:t>
      </w:r>
      <w:r w:rsidR="00A8464B" w:rsidRPr="00A8464B">
        <w:rPr>
          <w:rFonts w:ascii="Times New Roman" w:hAnsi="Times New Roman" w:cs="Times New Roman"/>
          <w:color w:val="000000" w:themeColor="text1"/>
          <w:sz w:val="24"/>
          <w:szCs w:val="24"/>
        </w:rPr>
        <w:t xml:space="preserve"> r. </w:t>
      </w:r>
      <w:r w:rsidR="00AD6DB6" w:rsidRPr="00AD6DB6">
        <w:rPr>
          <w:rFonts w:ascii="Times New Roman" w:hAnsi="Times New Roman" w:cs="Times New Roman"/>
          <w:color w:val="000000" w:themeColor="text1"/>
          <w:sz w:val="24"/>
          <w:szCs w:val="24"/>
        </w:rPr>
        <w:t xml:space="preserve">w przypadku danych kwartalnych i </w:t>
      </w:r>
      <w:proofErr w:type="spellStart"/>
      <w:r w:rsidR="00AD6DB6" w:rsidRPr="00AD6DB6">
        <w:rPr>
          <w:rFonts w:ascii="Times New Roman" w:hAnsi="Times New Roman" w:cs="Times New Roman"/>
          <w:color w:val="000000" w:themeColor="text1"/>
          <w:sz w:val="24"/>
          <w:szCs w:val="24"/>
        </w:rPr>
        <w:t>I</w:t>
      </w:r>
      <w:proofErr w:type="spellEnd"/>
      <w:r w:rsidR="00AD6DB6" w:rsidRPr="00AD6DB6">
        <w:rPr>
          <w:rFonts w:ascii="Times New Roman" w:hAnsi="Times New Roman" w:cs="Times New Roman"/>
          <w:color w:val="000000" w:themeColor="text1"/>
          <w:sz w:val="24"/>
          <w:szCs w:val="24"/>
        </w:rPr>
        <w:t xml:space="preserve"> półrocza 202</w:t>
      </w:r>
      <w:r w:rsidR="0008703F">
        <w:rPr>
          <w:rFonts w:ascii="Times New Roman" w:hAnsi="Times New Roman" w:cs="Times New Roman"/>
          <w:color w:val="000000" w:themeColor="text1"/>
          <w:sz w:val="24"/>
          <w:szCs w:val="24"/>
        </w:rPr>
        <w:t>4</w:t>
      </w:r>
      <w:r w:rsidR="00AD6DB6" w:rsidRPr="00AD6DB6">
        <w:rPr>
          <w:rFonts w:ascii="Times New Roman" w:hAnsi="Times New Roman" w:cs="Times New Roman"/>
          <w:color w:val="000000" w:themeColor="text1"/>
          <w:sz w:val="24"/>
          <w:szCs w:val="24"/>
        </w:rPr>
        <w:t xml:space="preserve"> r. w przypadku danych półrocznych.</w:t>
      </w:r>
      <w:r w:rsidR="00540C65">
        <w:rPr>
          <w:rFonts w:ascii="Times New Roman" w:hAnsi="Times New Roman" w:cs="Times New Roman"/>
          <w:color w:val="000000" w:themeColor="text1"/>
          <w:sz w:val="24"/>
          <w:szCs w:val="24"/>
        </w:rPr>
        <w:t xml:space="preserve"> Przekazanie danych </w:t>
      </w:r>
      <w:r w:rsidR="002E06B7">
        <w:rPr>
          <w:rFonts w:ascii="Times New Roman" w:hAnsi="Times New Roman" w:cs="Times New Roman"/>
          <w:color w:val="000000" w:themeColor="text1"/>
          <w:sz w:val="24"/>
          <w:szCs w:val="24"/>
        </w:rPr>
        <w:t xml:space="preserve">za I kwartał i </w:t>
      </w:r>
      <w:proofErr w:type="spellStart"/>
      <w:r w:rsidR="00ED208F">
        <w:rPr>
          <w:rFonts w:ascii="Times New Roman" w:hAnsi="Times New Roman" w:cs="Times New Roman"/>
          <w:color w:val="000000" w:themeColor="text1"/>
          <w:sz w:val="24"/>
          <w:szCs w:val="24"/>
        </w:rPr>
        <w:t>I</w:t>
      </w:r>
      <w:proofErr w:type="spellEnd"/>
      <w:r w:rsidR="00ED208F">
        <w:rPr>
          <w:rFonts w:ascii="Times New Roman" w:hAnsi="Times New Roman" w:cs="Times New Roman"/>
          <w:color w:val="000000" w:themeColor="text1"/>
          <w:sz w:val="24"/>
          <w:szCs w:val="24"/>
        </w:rPr>
        <w:t xml:space="preserve"> </w:t>
      </w:r>
      <w:r w:rsidR="002E06B7">
        <w:rPr>
          <w:rFonts w:ascii="Times New Roman" w:hAnsi="Times New Roman" w:cs="Times New Roman"/>
          <w:color w:val="000000" w:themeColor="text1"/>
          <w:sz w:val="24"/>
          <w:szCs w:val="24"/>
        </w:rPr>
        <w:t>półrocze</w:t>
      </w:r>
      <w:r w:rsidR="00ED208F">
        <w:rPr>
          <w:rFonts w:ascii="Times New Roman" w:hAnsi="Times New Roman" w:cs="Times New Roman"/>
          <w:color w:val="000000" w:themeColor="text1"/>
          <w:sz w:val="24"/>
          <w:szCs w:val="24"/>
        </w:rPr>
        <w:t xml:space="preserve"> 202</w:t>
      </w:r>
      <w:r w:rsidR="00EA199C">
        <w:rPr>
          <w:rFonts w:ascii="Times New Roman" w:hAnsi="Times New Roman" w:cs="Times New Roman"/>
          <w:color w:val="000000" w:themeColor="text1"/>
          <w:sz w:val="24"/>
          <w:szCs w:val="24"/>
        </w:rPr>
        <w:t>4</w:t>
      </w:r>
      <w:r w:rsidR="00ED208F">
        <w:rPr>
          <w:rFonts w:ascii="Times New Roman" w:hAnsi="Times New Roman" w:cs="Times New Roman"/>
          <w:color w:val="000000" w:themeColor="text1"/>
          <w:sz w:val="24"/>
          <w:szCs w:val="24"/>
        </w:rPr>
        <w:t xml:space="preserve"> r.</w:t>
      </w:r>
      <w:r w:rsidR="002E06B7">
        <w:rPr>
          <w:rFonts w:ascii="Times New Roman" w:hAnsi="Times New Roman" w:cs="Times New Roman"/>
          <w:color w:val="000000" w:themeColor="text1"/>
          <w:sz w:val="24"/>
          <w:szCs w:val="24"/>
        </w:rPr>
        <w:t xml:space="preserve"> pozwoli NBP dokonać oceny funkcjonowania systemu płatniczego</w:t>
      </w:r>
      <w:r w:rsidR="00D61532">
        <w:rPr>
          <w:rFonts w:ascii="Times New Roman" w:hAnsi="Times New Roman" w:cs="Times New Roman"/>
          <w:color w:val="000000" w:themeColor="text1"/>
          <w:sz w:val="24"/>
          <w:szCs w:val="24"/>
        </w:rPr>
        <w:t>,</w:t>
      </w:r>
      <w:r w:rsidR="002E06B7">
        <w:rPr>
          <w:rFonts w:ascii="Times New Roman" w:hAnsi="Times New Roman" w:cs="Times New Roman"/>
          <w:color w:val="000000" w:themeColor="text1"/>
          <w:sz w:val="24"/>
          <w:szCs w:val="24"/>
        </w:rPr>
        <w:t xml:space="preserve"> zaspokoić potrzeby w zakresie danych do sporządzania bilansu płatniczego</w:t>
      </w:r>
      <w:r w:rsidR="00ED208F">
        <w:rPr>
          <w:rFonts w:ascii="Times New Roman" w:hAnsi="Times New Roman" w:cs="Times New Roman"/>
          <w:color w:val="000000" w:themeColor="text1"/>
          <w:sz w:val="24"/>
          <w:szCs w:val="24"/>
        </w:rPr>
        <w:t xml:space="preserve"> oraz terminow</w:t>
      </w:r>
      <w:r w:rsidR="00D61532">
        <w:rPr>
          <w:rFonts w:ascii="Times New Roman" w:hAnsi="Times New Roman" w:cs="Times New Roman"/>
          <w:color w:val="000000" w:themeColor="text1"/>
          <w:sz w:val="24"/>
          <w:szCs w:val="24"/>
        </w:rPr>
        <w:t>o</w:t>
      </w:r>
      <w:r w:rsidR="002E06B7">
        <w:rPr>
          <w:rFonts w:ascii="Times New Roman" w:hAnsi="Times New Roman" w:cs="Times New Roman"/>
          <w:color w:val="000000" w:themeColor="text1"/>
          <w:sz w:val="24"/>
          <w:szCs w:val="24"/>
        </w:rPr>
        <w:t xml:space="preserve"> </w:t>
      </w:r>
      <w:r w:rsidR="00540C65">
        <w:rPr>
          <w:rFonts w:ascii="Times New Roman" w:hAnsi="Times New Roman" w:cs="Times New Roman"/>
          <w:color w:val="000000" w:themeColor="text1"/>
          <w:sz w:val="24"/>
          <w:szCs w:val="24"/>
        </w:rPr>
        <w:t>przekaz</w:t>
      </w:r>
      <w:r w:rsidR="00D61532">
        <w:rPr>
          <w:rFonts w:ascii="Times New Roman" w:hAnsi="Times New Roman" w:cs="Times New Roman"/>
          <w:color w:val="000000" w:themeColor="text1"/>
          <w:sz w:val="24"/>
          <w:szCs w:val="24"/>
        </w:rPr>
        <w:t>ać</w:t>
      </w:r>
      <w:r w:rsidR="00540C65">
        <w:rPr>
          <w:rFonts w:ascii="Times New Roman" w:hAnsi="Times New Roman" w:cs="Times New Roman"/>
          <w:color w:val="000000" w:themeColor="text1"/>
          <w:sz w:val="24"/>
          <w:szCs w:val="24"/>
        </w:rPr>
        <w:t xml:space="preserve"> </w:t>
      </w:r>
      <w:r w:rsidR="002E06B7">
        <w:rPr>
          <w:rFonts w:ascii="Times New Roman" w:hAnsi="Times New Roman" w:cs="Times New Roman"/>
          <w:color w:val="000000" w:themeColor="text1"/>
          <w:sz w:val="24"/>
          <w:szCs w:val="24"/>
        </w:rPr>
        <w:t>dan</w:t>
      </w:r>
      <w:r w:rsidR="00D61532">
        <w:rPr>
          <w:rFonts w:ascii="Times New Roman" w:hAnsi="Times New Roman" w:cs="Times New Roman"/>
          <w:color w:val="000000" w:themeColor="text1"/>
          <w:sz w:val="24"/>
          <w:szCs w:val="24"/>
        </w:rPr>
        <w:t>e</w:t>
      </w:r>
      <w:r w:rsidR="00ED208F">
        <w:rPr>
          <w:rFonts w:ascii="Times New Roman" w:hAnsi="Times New Roman" w:cs="Times New Roman"/>
          <w:color w:val="000000" w:themeColor="text1"/>
          <w:sz w:val="24"/>
          <w:szCs w:val="24"/>
        </w:rPr>
        <w:t xml:space="preserve"> do</w:t>
      </w:r>
      <w:r w:rsidR="002E06B7">
        <w:rPr>
          <w:rFonts w:ascii="Times New Roman" w:hAnsi="Times New Roman" w:cs="Times New Roman"/>
          <w:color w:val="000000" w:themeColor="text1"/>
          <w:sz w:val="24"/>
          <w:szCs w:val="24"/>
        </w:rPr>
        <w:t xml:space="preserve"> EBC.</w:t>
      </w:r>
      <w:r w:rsidR="00563710">
        <w:rPr>
          <w:rFonts w:ascii="Times New Roman" w:hAnsi="Times New Roman" w:cs="Times New Roman"/>
          <w:color w:val="000000" w:themeColor="text1"/>
          <w:sz w:val="24"/>
          <w:szCs w:val="24"/>
        </w:rPr>
        <w:t xml:space="preserve"> Informacje obejmujące okres czwartego kwartału 2023 r. przekazuje się na zasadach zawartych w rozporządzeniu obecnie obowiązującym.</w:t>
      </w:r>
    </w:p>
    <w:p w14:paraId="283CDEAF" w14:textId="17D31EBA" w:rsidR="003D6BA5" w:rsidRPr="00543AAD" w:rsidRDefault="003D6BA5" w:rsidP="007E4721">
      <w:pPr>
        <w:ind w:firstLine="425"/>
        <w:jc w:val="both"/>
        <w:rPr>
          <w:rFonts w:ascii="Times New Roman" w:hAnsi="Times New Roman" w:cs="Times New Roman"/>
          <w:color w:val="000000" w:themeColor="text1"/>
          <w:sz w:val="24"/>
          <w:szCs w:val="24"/>
        </w:rPr>
      </w:pPr>
      <w:r w:rsidRPr="00543AAD">
        <w:rPr>
          <w:rFonts w:ascii="Times New Roman" w:hAnsi="Times New Roman" w:cs="Times New Roman"/>
          <w:color w:val="000000" w:themeColor="text1"/>
          <w:sz w:val="24"/>
          <w:szCs w:val="24"/>
        </w:rPr>
        <w:lastRenderedPageBreak/>
        <w:t>Rozporządzenie nie wymaga przedstawiania go organom i instytucjom Unii Europejskiej w celu uzyskania opinii, dokonania powiadomienia, konsultacji albo uzgodnienia. W</w:t>
      </w:r>
      <w:r w:rsidR="00FB3EE7" w:rsidRPr="00543AAD">
        <w:rPr>
          <w:rFonts w:ascii="Times New Roman" w:hAnsi="Times New Roman" w:cs="Times New Roman"/>
          <w:color w:val="000000" w:themeColor="text1"/>
          <w:sz w:val="24"/>
          <w:szCs w:val="24"/>
        </w:rPr>
        <w:t> </w:t>
      </w:r>
      <w:r w:rsidRPr="00543AAD">
        <w:rPr>
          <w:rFonts w:ascii="Times New Roman" w:hAnsi="Times New Roman" w:cs="Times New Roman"/>
          <w:color w:val="000000" w:themeColor="text1"/>
          <w:sz w:val="24"/>
          <w:szCs w:val="24"/>
        </w:rPr>
        <w:t xml:space="preserve">szczególności regulacja nie mieści się w zakresie przedmiotowym zagadnień podlegających konsultacjom z EBC, zgodnie z art. 2 ust. 1 decyzji Rady z dnia 29 czerwca 1998 r. (98/415/WE) w sprawie konsultacji EBC udzielanych władzom krajowym w sprawie projektów przepisów prawnych (Dz. Urz. UE L 189 z 03.07.1998, s. 42). </w:t>
      </w:r>
    </w:p>
    <w:p w14:paraId="4237A6FB" w14:textId="4C17AB1E" w:rsidR="003D6BA5" w:rsidRPr="00543AAD" w:rsidRDefault="00FB3EE7" w:rsidP="007D4D32">
      <w:pPr>
        <w:ind w:firstLine="426"/>
        <w:jc w:val="both"/>
        <w:rPr>
          <w:rFonts w:ascii="Times New Roman" w:hAnsi="Times New Roman" w:cs="Times New Roman"/>
          <w:color w:val="000000" w:themeColor="text1"/>
          <w:sz w:val="24"/>
          <w:szCs w:val="24"/>
        </w:rPr>
      </w:pPr>
      <w:r w:rsidRPr="00543AAD">
        <w:rPr>
          <w:rFonts w:ascii="Times New Roman" w:hAnsi="Times New Roman" w:cs="Times New Roman"/>
          <w:color w:val="000000" w:themeColor="text1"/>
          <w:sz w:val="24"/>
          <w:szCs w:val="24"/>
        </w:rPr>
        <w:t>Rozporządzenie zostanie wydane po zasięgnięciu opinii Prezesa NBP.</w:t>
      </w:r>
    </w:p>
    <w:p w14:paraId="6C0DC8FE" w14:textId="56663A7E" w:rsidR="00FB3EE7" w:rsidRPr="00543AAD" w:rsidRDefault="00FB3EE7" w:rsidP="00FB3EE7">
      <w:pPr>
        <w:ind w:firstLine="426"/>
        <w:jc w:val="both"/>
        <w:rPr>
          <w:rFonts w:ascii="Times New Roman" w:hAnsi="Times New Roman" w:cs="Times New Roman"/>
          <w:color w:val="000000" w:themeColor="text1"/>
          <w:sz w:val="24"/>
          <w:szCs w:val="24"/>
        </w:rPr>
      </w:pPr>
      <w:r w:rsidRPr="00543AAD">
        <w:rPr>
          <w:rFonts w:ascii="Times New Roman" w:hAnsi="Times New Roman" w:cs="Times New Roman"/>
          <w:color w:val="000000" w:themeColor="text1"/>
          <w:sz w:val="24"/>
          <w:szCs w:val="24"/>
        </w:rPr>
        <w:t>Zawarte w projekcie regulacje nie stanowią przepisów technicznych w rozumieniu rozporządzenia Rady Ministrów z dnia 23 grudnia 2002 r. w sprawie sposobu funkcjonowania krajowego systemu notyfikacji norm i aktów prawnych (Dz. U. poz. 2039 oraz z 2004 r. poz.</w:t>
      </w:r>
      <w:r w:rsidR="006A5DB1">
        <w:rPr>
          <w:rFonts w:ascii="Times New Roman" w:hAnsi="Times New Roman" w:cs="Times New Roman"/>
          <w:color w:val="000000" w:themeColor="text1"/>
          <w:sz w:val="24"/>
          <w:szCs w:val="24"/>
        </w:rPr>
        <w:t> </w:t>
      </w:r>
      <w:r w:rsidRPr="00543AAD">
        <w:rPr>
          <w:rFonts w:ascii="Times New Roman" w:hAnsi="Times New Roman" w:cs="Times New Roman"/>
          <w:color w:val="000000" w:themeColor="text1"/>
          <w:sz w:val="24"/>
          <w:szCs w:val="24"/>
        </w:rPr>
        <w:t>597), dlatego też projekt nie podlega procedurze notyfikacji.</w:t>
      </w:r>
    </w:p>
    <w:p w14:paraId="67E4A1FF" w14:textId="628A5F2A" w:rsidR="003D6BA5" w:rsidRPr="00543AAD" w:rsidRDefault="00FB3EE7" w:rsidP="00FB3EE7">
      <w:pPr>
        <w:ind w:firstLine="426"/>
        <w:jc w:val="both"/>
        <w:rPr>
          <w:rFonts w:ascii="Times New Roman" w:hAnsi="Times New Roman" w:cs="Times New Roman"/>
          <w:color w:val="000000" w:themeColor="text1"/>
          <w:sz w:val="24"/>
          <w:szCs w:val="24"/>
        </w:rPr>
      </w:pPr>
      <w:r w:rsidRPr="00543AAD">
        <w:rPr>
          <w:rFonts w:ascii="Times New Roman" w:hAnsi="Times New Roman" w:cs="Times New Roman"/>
          <w:color w:val="000000" w:themeColor="text1"/>
          <w:sz w:val="24"/>
          <w:szCs w:val="24"/>
        </w:rPr>
        <w:t>Stosownie do art. 4 ustawy z dnia 7 lipca 2005 r. o działalności lobbingowej w procesie stanowienia prawa (Dz. U.</w:t>
      </w:r>
      <w:r w:rsidR="00FB26E8" w:rsidRPr="00543AAD">
        <w:rPr>
          <w:rFonts w:ascii="Times New Roman" w:hAnsi="Times New Roman" w:cs="Times New Roman"/>
          <w:color w:val="000000" w:themeColor="text1"/>
          <w:sz w:val="24"/>
          <w:szCs w:val="24"/>
        </w:rPr>
        <w:t xml:space="preserve"> z 2017 r. poz. 248</w:t>
      </w:r>
      <w:r w:rsidRPr="00543AAD">
        <w:rPr>
          <w:rFonts w:ascii="Times New Roman" w:hAnsi="Times New Roman" w:cs="Times New Roman"/>
          <w:color w:val="000000" w:themeColor="text1"/>
          <w:sz w:val="24"/>
          <w:szCs w:val="24"/>
        </w:rPr>
        <w:t>) projekt został zamieszczony w wykazie prac legislacyjnych dotyczącym rozporządzeń Ministra Finansów.</w:t>
      </w:r>
    </w:p>
    <w:p w14:paraId="492798DD" w14:textId="64854FF2" w:rsidR="003D6BA5" w:rsidRDefault="003D6BA5" w:rsidP="007D4D32">
      <w:pPr>
        <w:ind w:firstLine="426"/>
        <w:jc w:val="both"/>
        <w:rPr>
          <w:rFonts w:ascii="Times New Roman" w:hAnsi="Times New Roman" w:cs="Times New Roman"/>
          <w:color w:val="000000" w:themeColor="text1"/>
          <w:sz w:val="24"/>
          <w:szCs w:val="24"/>
        </w:rPr>
      </w:pPr>
      <w:r w:rsidRPr="00543AAD">
        <w:rPr>
          <w:rFonts w:ascii="Times New Roman" w:hAnsi="Times New Roman" w:cs="Times New Roman"/>
          <w:color w:val="000000" w:themeColor="text1"/>
          <w:sz w:val="24"/>
          <w:szCs w:val="24"/>
        </w:rPr>
        <w:t>Zgodnie z art. 5 ustawy z dnia 7 lipca 2005 r. o działalności lobbingowej w procesie stanowienia prawa, w związku z art. § 52 uchwały Nr 190 Rady Ministrów z dnia 29</w:t>
      </w:r>
      <w:r w:rsidR="006A5DB1">
        <w:rPr>
          <w:rFonts w:ascii="Times New Roman" w:hAnsi="Times New Roman" w:cs="Times New Roman"/>
          <w:color w:val="000000" w:themeColor="text1"/>
          <w:sz w:val="24"/>
          <w:szCs w:val="24"/>
        </w:rPr>
        <w:t> </w:t>
      </w:r>
      <w:r w:rsidRPr="00543AAD">
        <w:rPr>
          <w:rFonts w:ascii="Times New Roman" w:hAnsi="Times New Roman" w:cs="Times New Roman"/>
          <w:color w:val="000000" w:themeColor="text1"/>
          <w:sz w:val="24"/>
          <w:szCs w:val="24"/>
        </w:rPr>
        <w:t>października 2013 r. – Regulamin pracy Rady Ministrów (M. P. z 20</w:t>
      </w:r>
      <w:r w:rsidR="0008703F">
        <w:rPr>
          <w:rFonts w:ascii="Times New Roman" w:hAnsi="Times New Roman" w:cs="Times New Roman"/>
          <w:color w:val="000000" w:themeColor="text1"/>
          <w:sz w:val="24"/>
          <w:szCs w:val="24"/>
        </w:rPr>
        <w:t>22</w:t>
      </w:r>
      <w:r w:rsidRPr="00543AAD">
        <w:rPr>
          <w:rFonts w:ascii="Times New Roman" w:hAnsi="Times New Roman" w:cs="Times New Roman"/>
          <w:color w:val="000000" w:themeColor="text1"/>
          <w:sz w:val="24"/>
          <w:szCs w:val="24"/>
        </w:rPr>
        <w:t xml:space="preserve"> </w:t>
      </w:r>
      <w:r w:rsidR="00DE0C9E">
        <w:rPr>
          <w:rFonts w:ascii="Times New Roman" w:hAnsi="Times New Roman" w:cs="Times New Roman"/>
          <w:color w:val="000000" w:themeColor="text1"/>
          <w:sz w:val="24"/>
          <w:szCs w:val="24"/>
        </w:rPr>
        <w:t xml:space="preserve">r. </w:t>
      </w:r>
      <w:r w:rsidRPr="00543AAD">
        <w:rPr>
          <w:rFonts w:ascii="Times New Roman" w:hAnsi="Times New Roman" w:cs="Times New Roman"/>
          <w:color w:val="000000" w:themeColor="text1"/>
          <w:sz w:val="24"/>
          <w:szCs w:val="24"/>
        </w:rPr>
        <w:t xml:space="preserve">poz. </w:t>
      </w:r>
      <w:r w:rsidR="0008703F">
        <w:rPr>
          <w:rFonts w:ascii="Times New Roman" w:hAnsi="Times New Roman" w:cs="Times New Roman"/>
          <w:color w:val="000000" w:themeColor="text1"/>
          <w:sz w:val="24"/>
          <w:szCs w:val="24"/>
        </w:rPr>
        <w:t>348</w:t>
      </w:r>
      <w:r w:rsidRPr="00543AAD">
        <w:rPr>
          <w:rFonts w:ascii="Times New Roman" w:hAnsi="Times New Roman" w:cs="Times New Roman"/>
          <w:color w:val="000000" w:themeColor="text1"/>
          <w:sz w:val="24"/>
          <w:szCs w:val="24"/>
        </w:rPr>
        <w:t xml:space="preserve">), projekt został udostępniony na stronie podmiotowej Rządowego Centrum Legislacji </w:t>
      </w:r>
      <w:r w:rsidR="0008703F" w:rsidRPr="0008703F">
        <w:rPr>
          <w:rFonts w:ascii="Times New Roman" w:hAnsi="Times New Roman" w:cs="Times New Roman"/>
          <w:color w:val="000000" w:themeColor="text1"/>
          <w:sz w:val="24"/>
          <w:szCs w:val="24"/>
        </w:rPr>
        <w:t xml:space="preserve">Biuletynu Informacji Publicznej </w:t>
      </w:r>
      <w:r w:rsidRPr="00543AAD">
        <w:rPr>
          <w:rFonts w:ascii="Times New Roman" w:hAnsi="Times New Roman" w:cs="Times New Roman"/>
          <w:color w:val="000000" w:themeColor="text1"/>
          <w:sz w:val="24"/>
          <w:szCs w:val="24"/>
        </w:rPr>
        <w:t>w</w:t>
      </w:r>
      <w:r w:rsidR="00FB3EE7" w:rsidRPr="00543AAD">
        <w:rPr>
          <w:rFonts w:ascii="Times New Roman" w:hAnsi="Times New Roman" w:cs="Times New Roman"/>
          <w:color w:val="000000" w:themeColor="text1"/>
          <w:sz w:val="24"/>
          <w:szCs w:val="24"/>
        </w:rPr>
        <w:t> </w:t>
      </w:r>
      <w:r w:rsidRPr="00543AAD">
        <w:rPr>
          <w:rFonts w:ascii="Times New Roman" w:hAnsi="Times New Roman" w:cs="Times New Roman"/>
          <w:color w:val="000000" w:themeColor="text1"/>
          <w:sz w:val="24"/>
          <w:szCs w:val="24"/>
        </w:rPr>
        <w:t xml:space="preserve">serwisie Rządowy Proces Legislacyjny. </w:t>
      </w:r>
    </w:p>
    <w:p w14:paraId="40EB87EF" w14:textId="41A244C6" w:rsidR="001C08C4" w:rsidRPr="00543AAD" w:rsidRDefault="001C08C4" w:rsidP="007D4D32">
      <w:pPr>
        <w:ind w:firstLine="426"/>
        <w:jc w:val="both"/>
        <w:rPr>
          <w:rFonts w:ascii="Times New Roman" w:hAnsi="Times New Roman" w:cs="Times New Roman"/>
          <w:color w:val="000000" w:themeColor="text1"/>
          <w:sz w:val="24"/>
          <w:szCs w:val="24"/>
        </w:rPr>
      </w:pPr>
      <w:r w:rsidRPr="001C08C4">
        <w:rPr>
          <w:rFonts w:ascii="Times New Roman" w:hAnsi="Times New Roman" w:cs="Times New Roman"/>
          <w:color w:val="000000" w:themeColor="text1"/>
          <w:sz w:val="24"/>
          <w:szCs w:val="24"/>
        </w:rPr>
        <w:t xml:space="preserve">Zawarte w projekcie regulacje nie wpłyną na działalność </w:t>
      </w:r>
      <w:proofErr w:type="spellStart"/>
      <w:r w:rsidRPr="001C08C4">
        <w:rPr>
          <w:rFonts w:ascii="Times New Roman" w:hAnsi="Times New Roman" w:cs="Times New Roman"/>
          <w:color w:val="000000" w:themeColor="text1"/>
          <w:sz w:val="24"/>
          <w:szCs w:val="24"/>
        </w:rPr>
        <w:t>mikroprzedsiębiorców</w:t>
      </w:r>
      <w:proofErr w:type="spellEnd"/>
      <w:r w:rsidRPr="001C08C4">
        <w:rPr>
          <w:rFonts w:ascii="Times New Roman" w:hAnsi="Times New Roman" w:cs="Times New Roman"/>
          <w:color w:val="000000" w:themeColor="text1"/>
          <w:sz w:val="24"/>
          <w:szCs w:val="24"/>
        </w:rPr>
        <w:t>, małych i</w:t>
      </w:r>
      <w:r w:rsidR="006A5DB1">
        <w:rPr>
          <w:rFonts w:ascii="Times New Roman" w:hAnsi="Times New Roman" w:cs="Times New Roman"/>
          <w:color w:val="000000" w:themeColor="text1"/>
          <w:sz w:val="24"/>
          <w:szCs w:val="24"/>
        </w:rPr>
        <w:t> </w:t>
      </w:r>
      <w:r w:rsidRPr="001C08C4">
        <w:rPr>
          <w:rFonts w:ascii="Times New Roman" w:hAnsi="Times New Roman" w:cs="Times New Roman"/>
          <w:color w:val="000000" w:themeColor="text1"/>
          <w:sz w:val="24"/>
          <w:szCs w:val="24"/>
        </w:rPr>
        <w:t>średnich przedsiębiorców zgodnie z art. 66 ust. 1 pkt 2 ustawy z dnia 6 marca 2018 r. – Prawo przedsiębiorców (Dz. U. 2018 poz. 646).</w:t>
      </w:r>
    </w:p>
    <w:p w14:paraId="6527D102" w14:textId="3311C32A" w:rsidR="00C20F3B" w:rsidRPr="00543AAD" w:rsidRDefault="003D6BA5" w:rsidP="0008703F">
      <w:pPr>
        <w:ind w:firstLine="426"/>
        <w:jc w:val="both"/>
        <w:rPr>
          <w:rFonts w:ascii="Times New Roman" w:hAnsi="Times New Roman" w:cs="Times New Roman"/>
          <w:color w:val="000000" w:themeColor="text1"/>
          <w:sz w:val="24"/>
          <w:szCs w:val="24"/>
        </w:rPr>
      </w:pPr>
      <w:r w:rsidRPr="00543AAD">
        <w:rPr>
          <w:rFonts w:ascii="Times New Roman" w:hAnsi="Times New Roman" w:cs="Times New Roman"/>
          <w:color w:val="000000" w:themeColor="text1"/>
          <w:sz w:val="24"/>
          <w:szCs w:val="24"/>
        </w:rPr>
        <w:t>Projekt</w:t>
      </w:r>
      <w:r w:rsidR="00FB3EE7" w:rsidRPr="00543AAD">
        <w:rPr>
          <w:rFonts w:ascii="Times New Roman" w:hAnsi="Times New Roman" w:cs="Times New Roman"/>
          <w:color w:val="000000" w:themeColor="text1"/>
          <w:sz w:val="24"/>
          <w:szCs w:val="24"/>
        </w:rPr>
        <w:t xml:space="preserve"> rozporządzenia</w:t>
      </w:r>
      <w:r w:rsidRPr="00543AAD">
        <w:rPr>
          <w:rFonts w:ascii="Times New Roman" w:hAnsi="Times New Roman" w:cs="Times New Roman"/>
          <w:color w:val="000000" w:themeColor="text1"/>
          <w:sz w:val="24"/>
          <w:szCs w:val="24"/>
        </w:rPr>
        <w:t xml:space="preserve"> jest zgodny z prawem Unii Europejskiej.</w:t>
      </w:r>
    </w:p>
    <w:sectPr w:rsidR="00C20F3B" w:rsidRPr="00543A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E66B" w14:textId="77777777" w:rsidR="00EF06A8" w:rsidRDefault="00EF06A8" w:rsidP="00C330B4">
      <w:pPr>
        <w:spacing w:after="0" w:line="240" w:lineRule="auto"/>
      </w:pPr>
      <w:r>
        <w:separator/>
      </w:r>
    </w:p>
  </w:endnote>
  <w:endnote w:type="continuationSeparator" w:id="0">
    <w:p w14:paraId="25CA91EF" w14:textId="77777777" w:rsidR="00EF06A8" w:rsidRDefault="00EF06A8" w:rsidP="00C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003413"/>
      <w:docPartObj>
        <w:docPartGallery w:val="Page Numbers (Bottom of Page)"/>
        <w:docPartUnique/>
      </w:docPartObj>
    </w:sdtPr>
    <w:sdtEndPr/>
    <w:sdtContent>
      <w:p w14:paraId="0B2D68DB" w14:textId="23818463" w:rsidR="004B4F63" w:rsidRDefault="004B4F63">
        <w:pPr>
          <w:pStyle w:val="Stopka"/>
          <w:jc w:val="right"/>
        </w:pPr>
        <w:r>
          <w:fldChar w:fldCharType="begin"/>
        </w:r>
        <w:r>
          <w:instrText>PAGE   \* MERGEFORMAT</w:instrText>
        </w:r>
        <w:r>
          <w:fldChar w:fldCharType="separate"/>
        </w:r>
        <w:r>
          <w:t>2</w:t>
        </w:r>
        <w:r>
          <w:fldChar w:fldCharType="end"/>
        </w:r>
      </w:p>
    </w:sdtContent>
  </w:sdt>
  <w:p w14:paraId="0D4E8B7E" w14:textId="77777777" w:rsidR="004B4F63" w:rsidRDefault="004B4F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8D5C" w14:textId="77777777" w:rsidR="00EF06A8" w:rsidRDefault="00EF06A8" w:rsidP="00C330B4">
      <w:pPr>
        <w:spacing w:after="0" w:line="240" w:lineRule="auto"/>
      </w:pPr>
      <w:r>
        <w:separator/>
      </w:r>
    </w:p>
  </w:footnote>
  <w:footnote w:type="continuationSeparator" w:id="0">
    <w:p w14:paraId="5ECF8057" w14:textId="77777777" w:rsidR="00EF06A8" w:rsidRDefault="00EF06A8" w:rsidP="00C330B4">
      <w:pPr>
        <w:spacing w:after="0" w:line="240" w:lineRule="auto"/>
      </w:pPr>
      <w:r>
        <w:continuationSeparator/>
      </w:r>
    </w:p>
  </w:footnote>
  <w:footnote w:id="1">
    <w:p w14:paraId="300C5617" w14:textId="15BF7ED9" w:rsidR="00E34414" w:rsidRDefault="00E34414" w:rsidP="00E34414">
      <w:pPr>
        <w:pStyle w:val="Tekstprzypisudolnego"/>
      </w:pPr>
      <w:r>
        <w:rPr>
          <w:rStyle w:val="Odwoanieprzypisudolnego"/>
        </w:rPr>
        <w:footnoteRef/>
      </w:r>
      <w:r>
        <w:t xml:space="preserve"> Zadanie to jest realizowane poprzez przyjmowanie przez Zarząd NBP półrocznych ocen funkcjonowania polskiego systemu płatniczego, które są następnie publikowane na stronie NBP</w:t>
      </w:r>
      <w:r w:rsidR="005E0B0A">
        <w:t xml:space="preserve">: </w:t>
      </w:r>
      <w:r w:rsidR="005E0B0A" w:rsidRPr="005E0B0A">
        <w:t>https://www.nbp.pl/home.aspx?f=/systemplatniczy/ocena/ocena.html</w:t>
      </w:r>
      <w:r>
        <w:t xml:space="preserve"> </w:t>
      </w:r>
    </w:p>
    <w:p w14:paraId="644F8D31" w14:textId="77777777" w:rsidR="00E34414" w:rsidRDefault="00E34414" w:rsidP="00E3441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1" w15:restartNumberingAfterBreak="0">
    <w:nsid w:val="3D257CB1"/>
    <w:multiLevelType w:val="hybridMultilevel"/>
    <w:tmpl w:val="C9460F80"/>
    <w:lvl w:ilvl="0" w:tplc="4D263FF8">
      <w:start w:val="1"/>
      <w:numFmt w:val="bullet"/>
      <w:lvlText w:val=""/>
      <w:lvlJc w:val="left"/>
      <w:pPr>
        <w:ind w:left="1567" w:hanging="360"/>
      </w:pPr>
      <w:rPr>
        <w:rFonts w:ascii="Wingdings" w:hAnsi="Wingdings" w:hint="default"/>
      </w:rPr>
    </w:lvl>
    <w:lvl w:ilvl="1" w:tplc="04150003" w:tentative="1">
      <w:start w:val="1"/>
      <w:numFmt w:val="bullet"/>
      <w:lvlText w:val="o"/>
      <w:lvlJc w:val="left"/>
      <w:pPr>
        <w:ind w:left="2287" w:hanging="360"/>
      </w:pPr>
      <w:rPr>
        <w:rFonts w:ascii="Courier New" w:hAnsi="Courier New" w:cs="Courier New" w:hint="default"/>
      </w:rPr>
    </w:lvl>
    <w:lvl w:ilvl="2" w:tplc="04150005" w:tentative="1">
      <w:start w:val="1"/>
      <w:numFmt w:val="bullet"/>
      <w:lvlText w:val=""/>
      <w:lvlJc w:val="left"/>
      <w:pPr>
        <w:ind w:left="3007" w:hanging="360"/>
      </w:pPr>
      <w:rPr>
        <w:rFonts w:ascii="Wingdings" w:hAnsi="Wingdings" w:hint="default"/>
      </w:rPr>
    </w:lvl>
    <w:lvl w:ilvl="3" w:tplc="04150001" w:tentative="1">
      <w:start w:val="1"/>
      <w:numFmt w:val="bullet"/>
      <w:lvlText w:val=""/>
      <w:lvlJc w:val="left"/>
      <w:pPr>
        <w:ind w:left="3727" w:hanging="360"/>
      </w:pPr>
      <w:rPr>
        <w:rFonts w:ascii="Symbol" w:hAnsi="Symbol" w:hint="default"/>
      </w:rPr>
    </w:lvl>
    <w:lvl w:ilvl="4" w:tplc="04150003" w:tentative="1">
      <w:start w:val="1"/>
      <w:numFmt w:val="bullet"/>
      <w:lvlText w:val="o"/>
      <w:lvlJc w:val="left"/>
      <w:pPr>
        <w:ind w:left="4447" w:hanging="360"/>
      </w:pPr>
      <w:rPr>
        <w:rFonts w:ascii="Courier New" w:hAnsi="Courier New" w:cs="Courier New" w:hint="default"/>
      </w:rPr>
    </w:lvl>
    <w:lvl w:ilvl="5" w:tplc="04150005" w:tentative="1">
      <w:start w:val="1"/>
      <w:numFmt w:val="bullet"/>
      <w:lvlText w:val=""/>
      <w:lvlJc w:val="left"/>
      <w:pPr>
        <w:ind w:left="5167" w:hanging="360"/>
      </w:pPr>
      <w:rPr>
        <w:rFonts w:ascii="Wingdings" w:hAnsi="Wingdings" w:hint="default"/>
      </w:rPr>
    </w:lvl>
    <w:lvl w:ilvl="6" w:tplc="04150001" w:tentative="1">
      <w:start w:val="1"/>
      <w:numFmt w:val="bullet"/>
      <w:lvlText w:val=""/>
      <w:lvlJc w:val="left"/>
      <w:pPr>
        <w:ind w:left="5887" w:hanging="360"/>
      </w:pPr>
      <w:rPr>
        <w:rFonts w:ascii="Symbol" w:hAnsi="Symbol" w:hint="default"/>
      </w:rPr>
    </w:lvl>
    <w:lvl w:ilvl="7" w:tplc="04150003" w:tentative="1">
      <w:start w:val="1"/>
      <w:numFmt w:val="bullet"/>
      <w:lvlText w:val="o"/>
      <w:lvlJc w:val="left"/>
      <w:pPr>
        <w:ind w:left="6607" w:hanging="360"/>
      </w:pPr>
      <w:rPr>
        <w:rFonts w:ascii="Courier New" w:hAnsi="Courier New" w:cs="Courier New" w:hint="default"/>
      </w:rPr>
    </w:lvl>
    <w:lvl w:ilvl="8" w:tplc="04150005" w:tentative="1">
      <w:start w:val="1"/>
      <w:numFmt w:val="bullet"/>
      <w:lvlText w:val=""/>
      <w:lvlJc w:val="left"/>
      <w:pPr>
        <w:ind w:left="7327" w:hanging="360"/>
      </w:pPr>
      <w:rPr>
        <w:rFonts w:ascii="Wingdings" w:hAnsi="Wingdings" w:hint="default"/>
      </w:rPr>
    </w:lvl>
  </w:abstractNum>
  <w:abstractNum w:abstractNumId="2" w15:restartNumberingAfterBreak="0">
    <w:nsid w:val="42F330A9"/>
    <w:multiLevelType w:val="hybridMultilevel"/>
    <w:tmpl w:val="02E2F5BA"/>
    <w:lvl w:ilvl="0" w:tplc="4D263FF8">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 w15:restartNumberingAfterBreak="0">
    <w:nsid w:val="43096343"/>
    <w:multiLevelType w:val="hybridMultilevel"/>
    <w:tmpl w:val="4F9CAB84"/>
    <w:lvl w:ilvl="0" w:tplc="31E22110">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579714FC"/>
    <w:multiLevelType w:val="hybridMultilevel"/>
    <w:tmpl w:val="8842ACB2"/>
    <w:lvl w:ilvl="0" w:tplc="4D263FF8">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 w15:restartNumberingAfterBreak="0">
    <w:nsid w:val="63D12120"/>
    <w:multiLevelType w:val="hybridMultilevel"/>
    <w:tmpl w:val="1D9AF4F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6AB568AA"/>
    <w:multiLevelType w:val="hybridMultilevel"/>
    <w:tmpl w:val="DCB22D0E"/>
    <w:lvl w:ilvl="0" w:tplc="4D263FF8">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 w15:restartNumberingAfterBreak="0">
    <w:nsid w:val="6D145E0A"/>
    <w:multiLevelType w:val="hybridMultilevel"/>
    <w:tmpl w:val="BABA1028"/>
    <w:lvl w:ilvl="0" w:tplc="4D263FF8">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 w15:restartNumberingAfterBreak="0">
    <w:nsid w:val="6F090012"/>
    <w:multiLevelType w:val="hybridMultilevel"/>
    <w:tmpl w:val="A7D62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667980"/>
    <w:multiLevelType w:val="hybridMultilevel"/>
    <w:tmpl w:val="8DFA1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2"/>
  </w:num>
  <w:num w:numId="6">
    <w:abstractNumId w:val="4"/>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B2"/>
    <w:rsid w:val="00005966"/>
    <w:rsid w:val="00020014"/>
    <w:rsid w:val="000270C0"/>
    <w:rsid w:val="000351E8"/>
    <w:rsid w:val="00052324"/>
    <w:rsid w:val="000523CB"/>
    <w:rsid w:val="00053ECF"/>
    <w:rsid w:val="000731DB"/>
    <w:rsid w:val="00086833"/>
    <w:rsid w:val="0008703F"/>
    <w:rsid w:val="000B07CC"/>
    <w:rsid w:val="000C0274"/>
    <w:rsid w:val="000E3E59"/>
    <w:rsid w:val="000E62F3"/>
    <w:rsid w:val="000E6651"/>
    <w:rsid w:val="001238C4"/>
    <w:rsid w:val="00132B87"/>
    <w:rsid w:val="00183DF4"/>
    <w:rsid w:val="0019509C"/>
    <w:rsid w:val="00195146"/>
    <w:rsid w:val="001B181C"/>
    <w:rsid w:val="001C08C4"/>
    <w:rsid w:val="001C09F3"/>
    <w:rsid w:val="001D3753"/>
    <w:rsid w:val="001D3C1C"/>
    <w:rsid w:val="001E7FC4"/>
    <w:rsid w:val="001F0B36"/>
    <w:rsid w:val="00234B7E"/>
    <w:rsid w:val="002509C4"/>
    <w:rsid w:val="002B6CCA"/>
    <w:rsid w:val="002E06B7"/>
    <w:rsid w:val="00302519"/>
    <w:rsid w:val="00311956"/>
    <w:rsid w:val="00315A00"/>
    <w:rsid w:val="00323CC5"/>
    <w:rsid w:val="00327D68"/>
    <w:rsid w:val="003373AB"/>
    <w:rsid w:val="00342148"/>
    <w:rsid w:val="0035223B"/>
    <w:rsid w:val="00364FD7"/>
    <w:rsid w:val="00383E0F"/>
    <w:rsid w:val="0038600D"/>
    <w:rsid w:val="0039117A"/>
    <w:rsid w:val="003A7CF0"/>
    <w:rsid w:val="003C7598"/>
    <w:rsid w:val="003D0FB0"/>
    <w:rsid w:val="003D6BA5"/>
    <w:rsid w:val="003F23F4"/>
    <w:rsid w:val="003F3F44"/>
    <w:rsid w:val="00442AFA"/>
    <w:rsid w:val="00455B20"/>
    <w:rsid w:val="00472238"/>
    <w:rsid w:val="004819A1"/>
    <w:rsid w:val="004A1675"/>
    <w:rsid w:val="004A5912"/>
    <w:rsid w:val="004B3FD4"/>
    <w:rsid w:val="004B4F63"/>
    <w:rsid w:val="004C07D0"/>
    <w:rsid w:val="004C2DB4"/>
    <w:rsid w:val="004C7C6A"/>
    <w:rsid w:val="004D6361"/>
    <w:rsid w:val="004E6431"/>
    <w:rsid w:val="004F6016"/>
    <w:rsid w:val="005020C4"/>
    <w:rsid w:val="00502737"/>
    <w:rsid w:val="005064D5"/>
    <w:rsid w:val="00521DD5"/>
    <w:rsid w:val="0052203D"/>
    <w:rsid w:val="00531B99"/>
    <w:rsid w:val="0053715E"/>
    <w:rsid w:val="00540C65"/>
    <w:rsid w:val="00543AAD"/>
    <w:rsid w:val="00563710"/>
    <w:rsid w:val="00596940"/>
    <w:rsid w:val="005A63B5"/>
    <w:rsid w:val="005C231E"/>
    <w:rsid w:val="005E0B0A"/>
    <w:rsid w:val="0061132D"/>
    <w:rsid w:val="006252A0"/>
    <w:rsid w:val="00647C5A"/>
    <w:rsid w:val="00650E44"/>
    <w:rsid w:val="00656219"/>
    <w:rsid w:val="006673F0"/>
    <w:rsid w:val="00680A65"/>
    <w:rsid w:val="00684C95"/>
    <w:rsid w:val="006A5DB1"/>
    <w:rsid w:val="006C0E0D"/>
    <w:rsid w:val="006D4A21"/>
    <w:rsid w:val="006F3D91"/>
    <w:rsid w:val="007036EF"/>
    <w:rsid w:val="00704647"/>
    <w:rsid w:val="00710C6C"/>
    <w:rsid w:val="00714B1F"/>
    <w:rsid w:val="00721774"/>
    <w:rsid w:val="00736F41"/>
    <w:rsid w:val="00747BBF"/>
    <w:rsid w:val="00771522"/>
    <w:rsid w:val="00775030"/>
    <w:rsid w:val="007A4D2F"/>
    <w:rsid w:val="007A5483"/>
    <w:rsid w:val="007A6C4E"/>
    <w:rsid w:val="007C4FB7"/>
    <w:rsid w:val="007C6699"/>
    <w:rsid w:val="007D4D32"/>
    <w:rsid w:val="007D7E96"/>
    <w:rsid w:val="007E4721"/>
    <w:rsid w:val="007F7CD9"/>
    <w:rsid w:val="00803EC0"/>
    <w:rsid w:val="00805E9C"/>
    <w:rsid w:val="00806B89"/>
    <w:rsid w:val="00824028"/>
    <w:rsid w:val="008258B2"/>
    <w:rsid w:val="00862899"/>
    <w:rsid w:val="00865330"/>
    <w:rsid w:val="008744FA"/>
    <w:rsid w:val="008763C7"/>
    <w:rsid w:val="008A0CA3"/>
    <w:rsid w:val="008B46D5"/>
    <w:rsid w:val="008C0C93"/>
    <w:rsid w:val="008C665E"/>
    <w:rsid w:val="008F2DDB"/>
    <w:rsid w:val="008F5872"/>
    <w:rsid w:val="008F5DA8"/>
    <w:rsid w:val="00924112"/>
    <w:rsid w:val="00927659"/>
    <w:rsid w:val="00935401"/>
    <w:rsid w:val="00961691"/>
    <w:rsid w:val="00965544"/>
    <w:rsid w:val="00965593"/>
    <w:rsid w:val="0098199D"/>
    <w:rsid w:val="009866F6"/>
    <w:rsid w:val="00995285"/>
    <w:rsid w:val="009B14A7"/>
    <w:rsid w:val="009B6E5B"/>
    <w:rsid w:val="009D3AA1"/>
    <w:rsid w:val="00A057B2"/>
    <w:rsid w:val="00A064F2"/>
    <w:rsid w:val="00A12231"/>
    <w:rsid w:val="00A35FCD"/>
    <w:rsid w:val="00A429FE"/>
    <w:rsid w:val="00A51814"/>
    <w:rsid w:val="00A547AA"/>
    <w:rsid w:val="00A6412B"/>
    <w:rsid w:val="00A8464B"/>
    <w:rsid w:val="00A95A76"/>
    <w:rsid w:val="00AB645E"/>
    <w:rsid w:val="00AC2B36"/>
    <w:rsid w:val="00AC4792"/>
    <w:rsid w:val="00AC567C"/>
    <w:rsid w:val="00AC7EB6"/>
    <w:rsid w:val="00AD6DB6"/>
    <w:rsid w:val="00B13800"/>
    <w:rsid w:val="00B24C81"/>
    <w:rsid w:val="00B452A5"/>
    <w:rsid w:val="00B723ED"/>
    <w:rsid w:val="00BA47F7"/>
    <w:rsid w:val="00BA6DE8"/>
    <w:rsid w:val="00BC3BF3"/>
    <w:rsid w:val="00BC576B"/>
    <w:rsid w:val="00BD3E28"/>
    <w:rsid w:val="00BD4CB8"/>
    <w:rsid w:val="00BF20B9"/>
    <w:rsid w:val="00C03981"/>
    <w:rsid w:val="00C13FB6"/>
    <w:rsid w:val="00C178DE"/>
    <w:rsid w:val="00C20F3B"/>
    <w:rsid w:val="00C330B4"/>
    <w:rsid w:val="00C34CAE"/>
    <w:rsid w:val="00C60BB2"/>
    <w:rsid w:val="00C632ED"/>
    <w:rsid w:val="00C91919"/>
    <w:rsid w:val="00CA1AFB"/>
    <w:rsid w:val="00CA5084"/>
    <w:rsid w:val="00CB5E31"/>
    <w:rsid w:val="00CC404C"/>
    <w:rsid w:val="00CC5CA3"/>
    <w:rsid w:val="00CE7536"/>
    <w:rsid w:val="00D02161"/>
    <w:rsid w:val="00D44CFE"/>
    <w:rsid w:val="00D53DFC"/>
    <w:rsid w:val="00D61532"/>
    <w:rsid w:val="00D62737"/>
    <w:rsid w:val="00D644F8"/>
    <w:rsid w:val="00D96510"/>
    <w:rsid w:val="00DA387C"/>
    <w:rsid w:val="00DC7446"/>
    <w:rsid w:val="00DD23EE"/>
    <w:rsid w:val="00DD4770"/>
    <w:rsid w:val="00DE0C9E"/>
    <w:rsid w:val="00DE32A8"/>
    <w:rsid w:val="00DF0BE0"/>
    <w:rsid w:val="00DF21EA"/>
    <w:rsid w:val="00DF283B"/>
    <w:rsid w:val="00DF49A3"/>
    <w:rsid w:val="00E10D8D"/>
    <w:rsid w:val="00E12C69"/>
    <w:rsid w:val="00E24227"/>
    <w:rsid w:val="00E34414"/>
    <w:rsid w:val="00E40C28"/>
    <w:rsid w:val="00E51EF0"/>
    <w:rsid w:val="00E548A7"/>
    <w:rsid w:val="00E739BF"/>
    <w:rsid w:val="00E8166B"/>
    <w:rsid w:val="00E92DBA"/>
    <w:rsid w:val="00EA199C"/>
    <w:rsid w:val="00ED208F"/>
    <w:rsid w:val="00EF06A8"/>
    <w:rsid w:val="00EF1D3C"/>
    <w:rsid w:val="00EF1FCF"/>
    <w:rsid w:val="00EF4C35"/>
    <w:rsid w:val="00F22DF3"/>
    <w:rsid w:val="00F31303"/>
    <w:rsid w:val="00FA5107"/>
    <w:rsid w:val="00FB26E8"/>
    <w:rsid w:val="00FB3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7E083"/>
  <w15:docId w15:val="{B295BE88-ECD6-47BF-BC7B-360BD5C3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C9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52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52A5"/>
    <w:rPr>
      <w:rFonts w:ascii="Tahoma" w:hAnsi="Tahoma" w:cs="Tahoma"/>
      <w:sz w:val="16"/>
      <w:szCs w:val="16"/>
    </w:rPr>
  </w:style>
  <w:style w:type="paragraph" w:styleId="Tekstprzypisudolnego">
    <w:name w:val="footnote text"/>
    <w:basedOn w:val="Normalny"/>
    <w:link w:val="TekstprzypisudolnegoZnak"/>
    <w:uiPriority w:val="99"/>
    <w:semiHidden/>
    <w:unhideWhenUsed/>
    <w:rsid w:val="001C09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09F3"/>
    <w:rPr>
      <w:sz w:val="20"/>
      <w:szCs w:val="20"/>
    </w:rPr>
  </w:style>
  <w:style w:type="character" w:styleId="Odwoanieprzypisudolnego">
    <w:name w:val="footnote reference"/>
    <w:basedOn w:val="Domylnaczcionkaakapitu"/>
    <w:uiPriority w:val="99"/>
    <w:semiHidden/>
    <w:unhideWhenUsed/>
    <w:rsid w:val="001C09F3"/>
    <w:rPr>
      <w:vertAlign w:val="superscript"/>
    </w:rPr>
  </w:style>
  <w:style w:type="character" w:styleId="Hipercze">
    <w:name w:val="Hyperlink"/>
    <w:basedOn w:val="Domylnaczcionkaakapitu"/>
    <w:uiPriority w:val="99"/>
    <w:unhideWhenUsed/>
    <w:rsid w:val="001C09F3"/>
    <w:rPr>
      <w:color w:val="0000FF" w:themeColor="hyperlink"/>
      <w:u w:val="single"/>
    </w:rPr>
  </w:style>
  <w:style w:type="character" w:styleId="Nierozpoznanawzmianka">
    <w:name w:val="Unresolved Mention"/>
    <w:basedOn w:val="Domylnaczcionkaakapitu"/>
    <w:uiPriority w:val="99"/>
    <w:semiHidden/>
    <w:unhideWhenUsed/>
    <w:rsid w:val="00DD4770"/>
    <w:rPr>
      <w:color w:val="605E5C"/>
      <w:shd w:val="clear" w:color="auto" w:fill="E1DFDD"/>
    </w:rPr>
  </w:style>
  <w:style w:type="paragraph" w:styleId="Akapitzlist">
    <w:name w:val="List Paragraph"/>
    <w:basedOn w:val="Normalny"/>
    <w:uiPriority w:val="34"/>
    <w:qFormat/>
    <w:rsid w:val="00C20F3B"/>
    <w:pPr>
      <w:ind w:left="720"/>
      <w:contextualSpacing/>
    </w:pPr>
  </w:style>
  <w:style w:type="paragraph" w:styleId="Stopka">
    <w:name w:val="footer"/>
    <w:basedOn w:val="Normalny"/>
    <w:link w:val="StopkaZnak"/>
    <w:uiPriority w:val="99"/>
    <w:unhideWhenUsed/>
    <w:rsid w:val="00C13F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FB6"/>
  </w:style>
  <w:style w:type="paragraph" w:customStyle="1" w:styleId="ARTartustawynprozporzdzenia">
    <w:name w:val="ART(§) – art. ustawy (§ np. rozporządzenia)"/>
    <w:uiPriority w:val="11"/>
    <w:qFormat/>
    <w:rsid w:val="004C2DB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Nagwek">
    <w:name w:val="header"/>
    <w:basedOn w:val="Normalny"/>
    <w:link w:val="NagwekZnak"/>
    <w:uiPriority w:val="99"/>
    <w:unhideWhenUsed/>
    <w:rsid w:val="004B4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4F63"/>
  </w:style>
  <w:style w:type="character" w:styleId="UyteHipercze">
    <w:name w:val="FollowedHyperlink"/>
    <w:basedOn w:val="Domylnaczcionkaakapitu"/>
    <w:uiPriority w:val="99"/>
    <w:semiHidden/>
    <w:unhideWhenUsed/>
    <w:rsid w:val="00E34414"/>
    <w:rPr>
      <w:color w:val="800080" w:themeColor="followedHyperlink"/>
      <w:u w:val="single"/>
    </w:rPr>
  </w:style>
  <w:style w:type="character" w:styleId="Odwoaniedokomentarza">
    <w:name w:val="annotation reference"/>
    <w:basedOn w:val="Domylnaczcionkaakapitu"/>
    <w:uiPriority w:val="99"/>
    <w:semiHidden/>
    <w:unhideWhenUsed/>
    <w:rsid w:val="00E34414"/>
    <w:rPr>
      <w:sz w:val="16"/>
      <w:szCs w:val="16"/>
    </w:rPr>
  </w:style>
  <w:style w:type="paragraph" w:styleId="Tekstkomentarza">
    <w:name w:val="annotation text"/>
    <w:basedOn w:val="Normalny"/>
    <w:link w:val="TekstkomentarzaZnak"/>
    <w:uiPriority w:val="99"/>
    <w:unhideWhenUsed/>
    <w:rsid w:val="00E34414"/>
    <w:pPr>
      <w:spacing w:line="240" w:lineRule="auto"/>
    </w:pPr>
    <w:rPr>
      <w:sz w:val="20"/>
      <w:szCs w:val="20"/>
    </w:rPr>
  </w:style>
  <w:style w:type="character" w:customStyle="1" w:styleId="TekstkomentarzaZnak">
    <w:name w:val="Tekst komentarza Znak"/>
    <w:basedOn w:val="Domylnaczcionkaakapitu"/>
    <w:link w:val="Tekstkomentarza"/>
    <w:uiPriority w:val="99"/>
    <w:rsid w:val="00E34414"/>
    <w:rPr>
      <w:sz w:val="20"/>
      <w:szCs w:val="20"/>
    </w:rPr>
  </w:style>
  <w:style w:type="paragraph" w:styleId="Tematkomentarza">
    <w:name w:val="annotation subject"/>
    <w:basedOn w:val="Tekstkomentarza"/>
    <w:next w:val="Tekstkomentarza"/>
    <w:link w:val="TematkomentarzaZnak"/>
    <w:uiPriority w:val="99"/>
    <w:semiHidden/>
    <w:unhideWhenUsed/>
    <w:rsid w:val="00E34414"/>
    <w:rPr>
      <w:b/>
      <w:bCs/>
    </w:rPr>
  </w:style>
  <w:style w:type="character" w:customStyle="1" w:styleId="TematkomentarzaZnak">
    <w:name w:val="Temat komentarza Znak"/>
    <w:basedOn w:val="TekstkomentarzaZnak"/>
    <w:link w:val="Tematkomentarza"/>
    <w:uiPriority w:val="99"/>
    <w:semiHidden/>
    <w:rsid w:val="00E34414"/>
    <w:rPr>
      <w:b/>
      <w:bCs/>
      <w:sz w:val="20"/>
      <w:szCs w:val="20"/>
    </w:rPr>
  </w:style>
  <w:style w:type="paragraph" w:styleId="Poprawka">
    <w:name w:val="Revision"/>
    <w:hidden/>
    <w:uiPriority w:val="99"/>
    <w:semiHidden/>
    <w:rsid w:val="00961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3445">
      <w:bodyDiv w:val="1"/>
      <w:marLeft w:val="0"/>
      <w:marRight w:val="0"/>
      <w:marTop w:val="0"/>
      <w:marBottom w:val="0"/>
      <w:divBdr>
        <w:top w:val="none" w:sz="0" w:space="0" w:color="auto"/>
        <w:left w:val="none" w:sz="0" w:space="0" w:color="auto"/>
        <w:bottom w:val="none" w:sz="0" w:space="0" w:color="auto"/>
        <w:right w:val="none" w:sz="0" w:space="0" w:color="auto"/>
      </w:divBdr>
    </w:div>
    <w:div w:id="12191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DEFA-16D3-41CE-A03D-DE5EC434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12662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Naraziński Marek</dc:creator>
  <cp:lastModifiedBy>Stelmach Magdalena</cp:lastModifiedBy>
  <cp:revision>2</cp:revision>
  <cp:lastPrinted>2021-08-19T12:33:00Z</cp:lastPrinted>
  <dcterms:created xsi:type="dcterms:W3CDTF">2023-11-21T15:26:00Z</dcterms:created>
  <dcterms:modified xsi:type="dcterms:W3CDTF">2023-11-21T15:26:00Z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UxC4dwLulzfINJ8nQH+xvX5LNGipWa4BRSZhPgxsCvlgeuBkZmglp7RMcM4rcIt6sFriRDV/6ZVw6RuiNC3JiA==</vt:lpwstr>
  </property>
  <property fmtid="{D5CDD505-2E9C-101B-9397-08002B2CF9AE}" pid="4" name="MFClassificationDate">
    <vt:lpwstr>2023-10-25T11:15:02.1435994+02:00</vt:lpwstr>
  </property>
  <property fmtid="{D5CDD505-2E9C-101B-9397-08002B2CF9AE}" pid="5" name="MFClassifiedBySID">
    <vt:lpwstr>UxC4dwLulzfINJ8nQH+xvX5LNGipWa4BRSZhPgxsCvm42mrIC/DSDv0ggS+FjUN/2v1BBotkLlY5aAiEhoi6uTxBlECh2NWnCYVE2JoROSZ2ip+hIhSk9/3bVO6mQP2b</vt:lpwstr>
  </property>
  <property fmtid="{D5CDD505-2E9C-101B-9397-08002B2CF9AE}" pid="6" name="MFGRNItemId">
    <vt:lpwstr>GRN-c75d9680-aaab-4457-858e-1bc32a8baef1</vt:lpwstr>
  </property>
  <property fmtid="{D5CDD505-2E9C-101B-9397-08002B2CF9AE}" pid="7" name="MFHash">
    <vt:lpwstr>qO84pzrUKDFEX5QU9V5Fh1vFnEB2K0q/shHemP6p/sY=</vt:lpwstr>
  </property>
  <property fmtid="{D5CDD505-2E9C-101B-9397-08002B2CF9AE}" pid="8" name="DLPManualFileClassification">
    <vt:lpwstr>{5fdfc941-3fcf-4a5b-87be-4848800d39d0}</vt:lpwstr>
  </property>
  <property fmtid="{D5CDD505-2E9C-101B-9397-08002B2CF9AE}" pid="9" name="MFRefresh">
    <vt:lpwstr>False</vt:lpwstr>
  </property>
</Properties>
</file>