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912"/>
        <w:gridCol w:w="461"/>
        <w:gridCol w:w="566"/>
        <w:gridCol w:w="187"/>
        <w:gridCol w:w="381"/>
        <w:gridCol w:w="310"/>
        <w:gridCol w:w="256"/>
        <w:gridCol w:w="268"/>
        <w:gridCol w:w="298"/>
        <w:gridCol w:w="367"/>
        <w:gridCol w:w="199"/>
        <w:gridCol w:w="566"/>
        <w:gridCol w:w="80"/>
        <w:gridCol w:w="87"/>
        <w:gridCol w:w="399"/>
        <w:gridCol w:w="155"/>
        <w:gridCol w:w="151"/>
        <w:gridCol w:w="260"/>
        <w:gridCol w:w="566"/>
        <w:gridCol w:w="366"/>
        <w:gridCol w:w="200"/>
        <w:gridCol w:w="566"/>
        <w:gridCol w:w="164"/>
        <w:gridCol w:w="1451"/>
      </w:tblGrid>
      <w:tr w:rsidR="00656090" w:rsidRPr="00A42CEF" w14:paraId="6F0EA416" w14:textId="77777777" w:rsidTr="004C5479">
        <w:trPr>
          <w:trHeight w:val="1611"/>
        </w:trPr>
        <w:tc>
          <w:tcPr>
            <w:tcW w:w="6582" w:type="dxa"/>
            <w:gridSpan w:val="14"/>
          </w:tcPr>
          <w:p w14:paraId="349ABECB" w14:textId="77777777" w:rsidR="00656090" w:rsidRPr="004C5479" w:rsidRDefault="00656090" w:rsidP="0081445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r w:rsidRPr="004C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2F96394E" w14:textId="20D0D6DF" w:rsidR="00814457" w:rsidRPr="004C5479" w:rsidRDefault="00051E51" w:rsidP="00814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 xml:space="preserve">Projekt ustawy </w:t>
            </w:r>
            <w:r w:rsidR="007B64F7" w:rsidRPr="007B64F7">
              <w:rPr>
                <w:rFonts w:ascii="Times New Roman" w:hAnsi="Times New Roman"/>
                <w:sz w:val="24"/>
                <w:szCs w:val="24"/>
              </w:rPr>
              <w:t>o zmianie ustawy o wsparciu kredytobiorców, którzy zaciągnęli kredyt mieszkaniowy i znajdują się w trudnej sytuacji finansowej oraz ustawy o fina</w:t>
            </w:r>
            <w:r w:rsidR="00CB26EF">
              <w:rPr>
                <w:rFonts w:ascii="Times New Roman" w:hAnsi="Times New Roman"/>
                <w:sz w:val="24"/>
                <w:szCs w:val="24"/>
              </w:rPr>
              <w:t>n</w:t>
            </w:r>
            <w:r w:rsidR="007B64F7" w:rsidRPr="007B64F7">
              <w:rPr>
                <w:rFonts w:ascii="Times New Roman" w:hAnsi="Times New Roman"/>
                <w:sz w:val="24"/>
                <w:szCs w:val="24"/>
              </w:rPr>
              <w:t>sowaniu społecznościowym dla przedsięwzięć gospodarczych i pomocy kredytobiorcom</w:t>
            </w:r>
          </w:p>
          <w:p w14:paraId="31212AB9" w14:textId="77777777" w:rsidR="00814457" w:rsidRPr="004C5479" w:rsidRDefault="00814457" w:rsidP="00814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0B653" w14:textId="77777777" w:rsidR="00656090" w:rsidRPr="004C5479" w:rsidRDefault="00656090" w:rsidP="008144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p w14:paraId="5F0F740E" w14:textId="6BE71E7F" w:rsidR="00346D0C" w:rsidRPr="004C5479" w:rsidRDefault="00346D0C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172B87">
              <w:rPr>
                <w:rFonts w:ascii="Times New Roman" w:hAnsi="Times New Roman"/>
                <w:sz w:val="24"/>
                <w:szCs w:val="24"/>
              </w:rPr>
              <w:t>stwo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 xml:space="preserve"> Finansów</w:t>
            </w:r>
          </w:p>
          <w:bookmarkEnd w:id="0"/>
          <w:p w14:paraId="6EE4181F" w14:textId="77777777" w:rsidR="00814457" w:rsidRPr="004C5479" w:rsidRDefault="00814457" w:rsidP="00814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E51B3" w14:textId="77777777" w:rsidR="00656090" w:rsidRPr="004C5479" w:rsidRDefault="00656090" w:rsidP="008144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sz w:val="24"/>
                <w:szCs w:val="24"/>
              </w:rPr>
              <w:t xml:space="preserve">Osoba odpowiedzialna za projekt w randze Ministra, Sekretarza Stanu lub Podsekretarza Stanu </w:t>
            </w:r>
          </w:p>
          <w:p w14:paraId="6C11245B" w14:textId="4D4630C8" w:rsidR="00814457" w:rsidRDefault="00577258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Jurand Drop – Podsekretarz Stanu</w:t>
            </w:r>
          </w:p>
          <w:p w14:paraId="4E65B2CE" w14:textId="77777777" w:rsidR="00524D93" w:rsidRPr="004C5479" w:rsidRDefault="00524D93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C9936" w14:textId="77777777" w:rsidR="00656090" w:rsidRPr="004C5479" w:rsidRDefault="00656090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407EAB06" w14:textId="49EABCA1" w:rsidR="00814457" w:rsidRDefault="00577258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Jarosław Niezgoda – zastępca dyrektora </w:t>
            </w:r>
            <w:r w:rsidR="00814457" w:rsidRPr="00814457">
              <w:rPr>
                <w:rFonts w:ascii="Times New Roman" w:hAnsi="Times New Roman"/>
                <w:sz w:val="24"/>
                <w:szCs w:val="24"/>
              </w:rPr>
              <w:t>Departament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14457" w:rsidRPr="008144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4F7">
              <w:rPr>
                <w:rFonts w:ascii="Times New Roman" w:hAnsi="Times New Roman"/>
                <w:sz w:val="24"/>
                <w:szCs w:val="24"/>
              </w:rPr>
              <w:t>Rozwoju Rynku Finansowego</w:t>
            </w:r>
            <w:r w:rsidR="00814457" w:rsidRPr="008144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F44F01D" w14:textId="77777777" w:rsidR="00577258" w:rsidRDefault="00577258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Czarnecki – naczelnik wydziału w Departamencie Rozwoju Rynku Finansowego</w:t>
            </w:r>
            <w:r w:rsidRPr="008144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B07F87" w14:textId="4D5349D9" w:rsidR="00577258" w:rsidRPr="00C97B2C" w:rsidRDefault="00577258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97B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tel. 22 694 58 28 </w:t>
            </w:r>
            <w:proofErr w:type="spellStart"/>
            <w:r w:rsidRPr="00C97B2C">
              <w:rPr>
                <w:rFonts w:ascii="Times New Roman" w:hAnsi="Times New Roman"/>
                <w:sz w:val="24"/>
                <w:szCs w:val="24"/>
                <w:lang w:val="en-GB"/>
              </w:rPr>
              <w:t>adres</w:t>
            </w:r>
            <w:proofErr w:type="spellEnd"/>
            <w:r w:rsidRPr="00C97B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e-email: </w:t>
            </w:r>
            <w:hyperlink r:id="rId8" w:history="1">
              <w:r w:rsidRPr="00C97B2C">
                <w:rPr>
                  <w:rStyle w:val="Hipercze"/>
                  <w:rFonts w:ascii="Times New Roman" w:hAnsi="Times New Roman"/>
                  <w:sz w:val="24"/>
                  <w:szCs w:val="24"/>
                  <w:lang w:val="en-GB"/>
                </w:rPr>
                <w:t>sekretariatFN@mf.gov.pl</w:t>
              </w:r>
            </w:hyperlink>
          </w:p>
          <w:p w14:paraId="5673C910" w14:textId="77777777" w:rsidR="00814457" w:rsidRPr="00C97B2C" w:rsidRDefault="00814457" w:rsidP="0081445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65" w:type="dxa"/>
            <w:gridSpan w:val="11"/>
            <w:shd w:val="clear" w:color="auto" w:fill="FFFFFF"/>
          </w:tcPr>
          <w:p w14:paraId="32F55A62" w14:textId="77777777" w:rsidR="00814457" w:rsidRPr="00C97B2C" w:rsidRDefault="00814457" w:rsidP="00331C9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14:paraId="099926D7" w14:textId="7DF5066D" w:rsidR="00656090" w:rsidRPr="004C5479" w:rsidRDefault="00656090" w:rsidP="00331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4C547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142D8">
              <w:rPr>
                <w:rFonts w:ascii="Times New Roman" w:hAnsi="Times New Roman"/>
                <w:sz w:val="24"/>
                <w:szCs w:val="24"/>
              </w:rPr>
              <w:t>2</w:t>
            </w:r>
            <w:r w:rsidR="00D51BC5">
              <w:rPr>
                <w:rFonts w:ascii="Times New Roman" w:hAnsi="Times New Roman"/>
                <w:sz w:val="24"/>
                <w:szCs w:val="24"/>
              </w:rPr>
              <w:t>7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.1</w:t>
            </w:r>
            <w:r w:rsidR="007B64F7">
              <w:rPr>
                <w:rFonts w:ascii="Times New Roman" w:hAnsi="Times New Roman"/>
                <w:sz w:val="24"/>
                <w:szCs w:val="24"/>
              </w:rPr>
              <w:t>2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.2023 r.</w:t>
            </w:r>
          </w:p>
          <w:p w14:paraId="5373B349" w14:textId="77777777" w:rsidR="00656090" w:rsidRPr="004C5479" w:rsidRDefault="00656090" w:rsidP="00331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1E5AB" w14:textId="77777777" w:rsidR="00656090" w:rsidRPr="004C5479" w:rsidRDefault="00656090" w:rsidP="00331C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Lista1"/>
            <w:r w:rsidRPr="004C5479">
              <w:rPr>
                <w:rFonts w:ascii="Times New Roman" w:hAnsi="Times New Roman"/>
                <w:b/>
                <w:sz w:val="24"/>
                <w:szCs w:val="24"/>
              </w:rPr>
              <w:t>Źródło:</w:t>
            </w:r>
          </w:p>
          <w:bookmarkEnd w:id="1"/>
          <w:p w14:paraId="7BC4850B" w14:textId="0EE55E00" w:rsidR="00022479" w:rsidRPr="000C1336" w:rsidRDefault="000C1336" w:rsidP="00331C90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13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Inicjatywa własna</w:t>
            </w:r>
          </w:p>
          <w:p w14:paraId="3D30F27A" w14:textId="77777777" w:rsidR="00022479" w:rsidRPr="004C5479" w:rsidRDefault="00022479" w:rsidP="00331C90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9D31959" w14:textId="77777777" w:rsidR="00656090" w:rsidRPr="004C5479" w:rsidRDefault="00656090" w:rsidP="00331C90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 legislacyjnych i programowych Rady Ministrów</w:t>
            </w:r>
          </w:p>
          <w:p w14:paraId="52803BCE" w14:textId="4CD5439E" w:rsidR="00656090" w:rsidRPr="004C5479" w:rsidRDefault="00172B87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14:paraId="1C832AD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6090" w:rsidRPr="00A42CEF" w14:paraId="35D85292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1FB9CC1E" w14:textId="77777777" w:rsidR="00656090" w:rsidRPr="00A42CEF" w:rsidRDefault="00656090" w:rsidP="00331C90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56090" w:rsidRPr="00A42CEF" w14:paraId="478E2020" w14:textId="77777777" w:rsidTr="00B54962">
        <w:trPr>
          <w:trHeight w:val="333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46E4834E" w14:textId="77777777" w:rsidR="00656090" w:rsidRPr="00814457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14457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656090" w:rsidRPr="00A42CEF" w14:paraId="00E7537B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FFFFFF"/>
          </w:tcPr>
          <w:p w14:paraId="32734ED5" w14:textId="77777777" w:rsidR="00814457" w:rsidRDefault="004C5479" w:rsidP="008144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Pomimo podjętych decyzji Rady Polityki Pieniężnej o stopniowym obniżaniu stopy referencyjnej NBP, warunki spłaty mieszkaniowych kredytów hipotecznych udzielonych przed dniem 1 lipca 2022 r. pozostają z punktu widzenia kredytobiorców nadal znacząco gorsze niż warunki jakie obowiązywały w dniu podpisywania umowy kredytowej oraz z jakimi na podstawie dostępnych wówczas prognoz mogli się liczyć w latach następnych. </w:t>
            </w:r>
            <w:r w:rsidR="00656090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Celem projektowan</w:t>
            </w:r>
            <w:r w:rsidR="00D5053C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ych</w:t>
            </w:r>
            <w:r w:rsidR="00656090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5053C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rozwiązań jest </w:t>
            </w:r>
            <w:r w:rsidR="00872581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>rozszerzenie możliwości skorzystania z rozwiązań jakie zapewnia Fundusz Wsparcia Kredytobiorców oraz</w:t>
            </w:r>
            <w:r w:rsid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5053C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zapewnienie kontynuacji</w:t>
            </w:r>
            <w:r w:rsidR="00321F87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tzw. wakacji kredytowych</w:t>
            </w:r>
            <w:r w:rsidR="004075CA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, czyli możliwości zawieszenia obowiązku dokonywania płatności</w:t>
            </w:r>
            <w:r w:rsidR="00331C90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rat kredytu hipotecznego</w:t>
            </w:r>
            <w:r w:rsidR="00191BBF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(niebędącego kredytem walutowym)</w:t>
            </w:r>
            <w:r w:rsidR="004075CA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, do których kredytobiorca zobowiązany jest na podstawie zawartej umowy o kredyt hipoteczny</w:t>
            </w:r>
            <w:r w:rsidR="00191BBF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5384DCD9" w14:textId="2EFD8594" w:rsidR="003017B5" w:rsidRDefault="00872581" w:rsidP="003017B5">
            <w:pPr>
              <w:spacing w:before="120" w:after="120" w:line="240" w:lineRule="auto"/>
              <w:jc w:val="both"/>
            </w:pP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Celem Funduszu Wsparcia </w:t>
            </w:r>
            <w:r w:rsidR="00E97D9E">
              <w:rPr>
                <w:rFonts w:ascii="Times New Roman" w:eastAsia="Times New Roman" w:hAnsi="Times New Roman"/>
                <w:bCs/>
                <w:sz w:val="24"/>
                <w:szCs w:val="24"/>
              </w:rPr>
              <w:t>K</w:t>
            </w: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>redytobiorców jest bowiem zapewnienie finansowego wsparcia osobom, które na skutek obiektywnych okoliczności znalazły się w trudnej sytuacji finansowej, a jednocześnie są zobowiązane do spłaty rat kredytu mieszkaniowego stanowiącego znaczne obciążenie dla ich domowych budżetów. Zgodnie z brzmieniem art. 16 ustawy</w:t>
            </w:r>
            <w:r w:rsidR="003A0F4A" w:rsidRPr="007B6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4A">
              <w:rPr>
                <w:rFonts w:ascii="Times New Roman" w:hAnsi="Times New Roman"/>
                <w:sz w:val="24"/>
                <w:szCs w:val="24"/>
              </w:rPr>
              <w:t xml:space="preserve">z dnia 9 października 2015 r. </w:t>
            </w:r>
            <w:r w:rsidR="003A0F4A" w:rsidRPr="007B64F7">
              <w:rPr>
                <w:rFonts w:ascii="Times New Roman" w:hAnsi="Times New Roman"/>
                <w:sz w:val="24"/>
                <w:szCs w:val="24"/>
              </w:rPr>
              <w:t>o wsparciu kredytobiorców, którzy zaciągnęli kredyt mieszkaniowy i znajdują się w trudnej sytuacji finansowej</w:t>
            </w:r>
            <w:r w:rsidR="003A0F4A">
              <w:rPr>
                <w:rFonts w:ascii="Times New Roman" w:hAnsi="Times New Roman"/>
                <w:sz w:val="24"/>
                <w:szCs w:val="24"/>
              </w:rPr>
              <w:t xml:space="preserve"> (Dz. U. z 2022 r. poz. 2452)</w:t>
            </w: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>, środki Funduszu</w:t>
            </w:r>
            <w:r w:rsidR="003A0F4A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Wsparcia Kredytobiorców</w:t>
            </w: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 dniu jego uruchomienia wynosiły 600 000 000 zł i składały się na nie wpłaty kredytodawców proporcjonalnie do wielkości posiadanego portfela kredytów mieszkaniowych dla gospodarstw domowych, których opóźnienie w spłacie kapitału lub odsetek przekracza 90 dni. Na mocy ustawy z dnia 7 lipca 2022 r. o finansowaniu społecznościowym dla przedsięwzięć gospodarczych i pomocy kredytobiorcom</w:t>
            </w:r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(Dz. U. z 2023 r. poz. 414, z </w:t>
            </w:r>
            <w:proofErr w:type="spellStart"/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>późn</w:t>
            </w:r>
            <w:proofErr w:type="spellEnd"/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>. zm.)</w:t>
            </w: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>, Fundusz</w:t>
            </w:r>
            <w:r w:rsidR="003A0F4A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Wsparcia </w:t>
            </w:r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>K</w:t>
            </w:r>
            <w:r w:rsidR="003A0F4A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>redytobiorców</w:t>
            </w:r>
            <w:r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został zasilony dodatkowo kwotą 1,4 mld zł.</w:t>
            </w:r>
            <w:r w:rsidR="003017B5">
              <w:t xml:space="preserve"> </w:t>
            </w:r>
          </w:p>
          <w:p w14:paraId="04949730" w14:textId="1B678E38" w:rsidR="003017B5" w:rsidRDefault="003017B5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Zgromadzone w Funduszu </w:t>
            </w:r>
            <w:r w:rsidR="003A0F4A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Wsparcia Kredytobiorców 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środki umożliwiają zatem dalszą pomoc kredytobiorcom, którzy są bądź znajdą się, na skutek różnych okoliczności, w trudnej sytuacji finansowej. W dalszym ciągu bowiem bieżąca obsługa miesięcznych zobowiązań z tytułu kredytu mieszkaniowego pozostaje dla kredytobiorców znacznym obciążeniem, w szczególności na skutek utraty pracy lub spadku dochodów. </w:t>
            </w:r>
          </w:p>
          <w:p w14:paraId="57BC1849" w14:textId="0B5FC896" w:rsidR="003017B5" w:rsidRPr="003017B5" w:rsidRDefault="003017B5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Według danych Urzędu Komisji Nadzoru Finansowego</w:t>
            </w:r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(UKNF)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średnia wartość udzielonego kredytu mieszkaniowego w okresie styczeń – listopad 2023 r. to prawie 400 tys. zł. W 2022 r. średnia wartość udzielonego kredytu mieszkaniowego wynosiła 350 tys. zł, w 2021 r. – 335 tys. zł, a w 2020 r.  – 299 tys. zł. </w:t>
            </w:r>
          </w:p>
          <w:p w14:paraId="7D677B43" w14:textId="69FDF4C5" w:rsidR="00E87ABB" w:rsidRDefault="003017B5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rzy założeniu, że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kredyt 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został udzielony na 30 lat z marżą 2% (stawka bazowa WIBOR 3M), potencjalne obciążenia dla dochodów gospodarstw domowych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dla kredytu o wartości nominalnej 400 tys. zł, udzielonego 30 czerwca 2023 r., rata może wynosić około 2 900 zł. W przypadku kredytu o wartości nominalnej 350 tys. zł, udzielonego 30 czerwca 2022 r., wysokość raty to około 2 500 zł. Bieżąca obsługa kredytu o wartości nominalnej 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335 tys. zł, udzielonego 30 czerwca 2021 r., będzie wiązała się z ratą w wysokości około 2 400 zł, a kredytu o wartości nominalnej 299 tys. zł, udzielonego 20 czerwca 2020 r., około 2 100 zł. </w:t>
            </w:r>
          </w:p>
          <w:p w14:paraId="4EA40F9E" w14:textId="77777777" w:rsidR="00577258" w:rsidRDefault="00577258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A194DEF" w14:textId="6C10EAA5" w:rsidR="0047359C" w:rsidRPr="0047359C" w:rsidRDefault="0047359C" w:rsidP="0047359C">
            <w:pPr>
              <w:spacing w:line="240" w:lineRule="auto"/>
              <w:ind w:left="705" w:hanging="705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Poniższe wykresy pokazują w</w:t>
            </w:r>
            <w:r w:rsidRPr="00473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ykorzystanie F</w:t>
            </w:r>
            <w:r w:rsidR="006C675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unduszu</w:t>
            </w:r>
            <w:r w:rsidRPr="0047359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w ostatnich 2 latach:</w:t>
            </w:r>
          </w:p>
          <w:p w14:paraId="06031162" w14:textId="6F3E52EA" w:rsidR="00C5043E" w:rsidRPr="003017B5" w:rsidRDefault="00C5043E" w:rsidP="002C68CD">
            <w:pPr>
              <w:spacing w:before="120" w:after="120" w:line="240" w:lineRule="auto"/>
              <w:ind w:lef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043E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524138FC" wp14:editId="79EBD189">
                  <wp:extent cx="6915150" cy="27432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0B299" w14:textId="7FBFC7CD" w:rsidR="003017B5" w:rsidRDefault="003017B5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Jednocześnie od II kwartału 2023 r. można zauważyć zmniejszoną skalę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ilości wniosków o wsparcie 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z F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unduszu</w:t>
            </w:r>
            <w:r w:rsidR="003A0F4A" w:rsidRPr="0087258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Wsparcia Kredytobiorców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14:paraId="7EF6A352" w14:textId="7CE7B9B7" w:rsidR="003017B5" w:rsidRDefault="003017B5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 analiz wynika że główną przyczyną spadku zainteresowania wsparciem jest spadek w gospodarstwach domowych współczynnika </w:t>
            </w:r>
            <w:proofErr w:type="spellStart"/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RdD</w:t>
            </w:r>
            <w:proofErr w:type="spellEnd"/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(Rata do Dochodu) poniżej 50% oraz wzrost dochodu powyżej dwukrotności kryteriów określonych w ustawie </w:t>
            </w:r>
            <w:r w:rsid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 dnia 12 marca 2004 r. </w:t>
            </w:r>
            <w:r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o pomocy społecznej</w:t>
            </w:r>
            <w:r w:rsidR="003A0F4A" w:rsidRPr="00B6604E">
              <w:rPr>
                <w:rFonts w:ascii="Times New Roman" w:eastAsia="Times New Roman" w:hAnsi="Times New Roman"/>
                <w:sz w:val="24"/>
                <w:szCs w:val="24"/>
              </w:rPr>
              <w:t>(Dz. U. z 2023 r. poz. 901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>. zm.).</w:t>
            </w:r>
          </w:p>
          <w:p w14:paraId="0CA407BD" w14:textId="508F7B5B" w:rsidR="00872581" w:rsidRPr="004C5479" w:rsidRDefault="00492A8D" w:rsidP="003017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Należy również zauważyć, że według danych makroekonomicznych i</w:t>
            </w:r>
            <w:r w:rsidRPr="00492A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nflacja 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na </w:t>
            </w:r>
            <w:r w:rsidR="00F90534">
              <w:rPr>
                <w:rFonts w:ascii="Times New Roman" w:eastAsia="Times New Roman" w:hAnsi="Times New Roman"/>
                <w:bCs/>
                <w:sz w:val="24"/>
                <w:szCs w:val="24"/>
              </w:rPr>
              <w:t>przestrzeni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lat </w:t>
            </w:r>
            <w:r w:rsidR="001A06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obejmujących 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>funkcjonowani</w:t>
            </w:r>
            <w:r w:rsidR="001A0667">
              <w:rPr>
                <w:rFonts w:ascii="Times New Roman" w:eastAsia="Times New Roman" w:hAnsi="Times New Roman"/>
                <w:bCs/>
                <w:sz w:val="24"/>
                <w:szCs w:val="24"/>
              </w:rPr>
              <w:t>e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Funduszu</w:t>
            </w:r>
            <w:r w:rsidR="003A0F4A" w:rsidRPr="003A0F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Wsparcia Kredytobiorców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492A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 okresie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od listopada</w:t>
            </w:r>
            <w:r w:rsidRPr="00492A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r. do listopada</w:t>
            </w:r>
            <w:r w:rsidRPr="00492A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r.</w:t>
            </w:r>
            <w:r w:rsidR="000869BD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492A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wyniosła 47,5%</w:t>
            </w:r>
            <w:r w:rsidR="0015545D">
              <w:rPr>
                <w:rFonts w:ascii="Times New Roman" w:eastAsia="Times New Roman" w:hAnsi="Times New Roman"/>
                <w:bCs/>
                <w:sz w:val="24"/>
                <w:szCs w:val="24"/>
              </w:rPr>
              <w:t>, co świadczy o dynamicznym wzroście cen towarów i usług.</w:t>
            </w:r>
            <w:r w:rsidR="001F60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bookmarkStart w:id="3" w:name="_Hlk154054121"/>
            <w:r w:rsidR="003017B5"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Mając na uwadze powyższe należy ułatwić i udrożnić wsparcie jakie Fundusz Wsparcia Kredytobiorcom zapewnia gospodarstwom domowym</w:t>
            </w:r>
            <w:r w:rsid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przy jednoczesnym podwyższeniu miesięcznej oraz maksymalnej kwoty wsparcia</w:t>
            </w:r>
            <w:bookmarkEnd w:id="3"/>
            <w:r w:rsidR="003017B5" w:rsidRPr="003017B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BC9A6A5" w14:textId="60CC902F" w:rsidR="001C226E" w:rsidRPr="004C5479" w:rsidRDefault="00872581" w:rsidP="0081445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Jednocześnie i</w:t>
            </w:r>
            <w:r w:rsidR="00BD34C3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nstytucja wakacji kredytowych</w:t>
            </w:r>
            <w:r w:rsidR="00AF2B6A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562DC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została wprowadzona </w:t>
            </w:r>
            <w:r w:rsidR="00804963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przepisami </w:t>
            </w:r>
            <w:r w:rsidR="001A731D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ustawy z dnia 7 lipca 2022 r. o finansowaniu społecznościowym dla przedsięwzięć gospodarczych i pomocy kredytobiorcom. </w:t>
            </w:r>
            <w:r w:rsidR="00C5334B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Zgodnie z</w:t>
            </w:r>
            <w:r w:rsidR="00380C4E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C5334B" w:rsidRPr="004C5479">
              <w:rPr>
                <w:rFonts w:ascii="Times New Roman" w:eastAsia="Times New Roman" w:hAnsi="Times New Roman"/>
                <w:bCs/>
                <w:sz w:val="24"/>
                <w:szCs w:val="24"/>
              </w:rPr>
              <w:t>przyjętymi</w:t>
            </w:r>
            <w:r w:rsidR="00C5334B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rozwiązaniami</w:t>
            </w:r>
            <w:r w:rsidR="00380C4E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kredytobiorcy, których zdolność do obsługi kredytów uległa osłabieniu</w:t>
            </w:r>
            <w:r w:rsidR="00814457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03CBD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mogli skorzystać z zawieszenia spłat nawet 8 rat kredytu hipotecznego.</w:t>
            </w:r>
            <w:r w:rsidR="00814457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Powyższe u</w:t>
            </w:r>
            <w:r w:rsidR="00D46EFA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prawnienie przysługiwało kredytobiorcy</w:t>
            </w:r>
            <w:r w:rsidR="00814457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będącemu</w:t>
            </w:r>
            <w:r w:rsidR="00D46EFA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stroną umowy o kredyt hipoteczny w</w:t>
            </w:r>
            <w:r w:rsidR="00D226F3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46EFA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rozumieniu ustawy z dnia 23 marca 2017 r. o kredycie hipotecznym oraz o nadzorze nad pośrednikami kredytu hipotecznego i agentami</w:t>
            </w:r>
            <w:r w:rsidR="00D226F3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(Dz. U. z 2022 r. poz. 2245</w:t>
            </w:r>
            <w:r w:rsidR="00202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D226F3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2339)</w:t>
            </w:r>
            <w:r w:rsidR="00D46EFA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520AB845" w14:textId="6F9BA07C" w:rsidR="00814457" w:rsidRPr="004C5479" w:rsidRDefault="00814457" w:rsidP="008144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>echanizm</w:t>
            </w:r>
            <w:r w:rsidR="00DC576F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wakacji kredytowych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pozwalał na przesunięcie terminów spłaty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kredytu mieszkaniowego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>, które dotyczył</w:t>
            </w:r>
            <w:r w:rsidR="008759C2" w:rsidRPr="004C5479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zarówno </w:t>
            </w:r>
            <w:r w:rsidR="00203CBD" w:rsidRPr="004C5479">
              <w:rPr>
                <w:rFonts w:ascii="Times New Roman" w:eastAsia="Times New Roman" w:hAnsi="Times New Roman"/>
                <w:sz w:val="24"/>
                <w:szCs w:val="24"/>
              </w:rPr>
              <w:t>części kapitałowej, jak i odsetkowej kredytu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>. W tym okresie kredyto</w:t>
            </w:r>
            <w:r w:rsidR="00C97B2C">
              <w:rPr>
                <w:rFonts w:ascii="Times New Roman" w:eastAsia="Times New Roman" w:hAnsi="Times New Roman"/>
                <w:sz w:val="24"/>
                <w:szCs w:val="24"/>
              </w:rPr>
              <w:t>dawca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nie móg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również pobierać żadnych innych opłat, z wyjątkiem świadczeń pieniężnych, które wynikają z posiadanych przez kredytobiorcę ubezpieczeń powiązanych z umową kredytu. Maksymalny termin zawieszenia wykonania umowy 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przyjęty</w:t>
            </w:r>
            <w:r w:rsidR="00B6604E">
              <w:rPr>
                <w:rFonts w:ascii="Times New Roman" w:eastAsia="Times New Roman" w:hAnsi="Times New Roman"/>
                <w:sz w:val="24"/>
                <w:szCs w:val="24"/>
              </w:rPr>
              <w:t xml:space="preserve"> w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przepisach ww.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ustawy wynosi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702AA" w:rsidRPr="004C5479">
              <w:rPr>
                <w:rFonts w:ascii="Times New Roman" w:eastAsia="Times New Roman" w:hAnsi="Times New Roman"/>
                <w:sz w:val="24"/>
                <w:szCs w:val="24"/>
              </w:rPr>
              <w:t>dwa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miesiące w każdym z dwóch ostatnich kwartał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ów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2022 r. oraz 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po </w:t>
            </w:r>
            <w:r w:rsidR="007702AA" w:rsidRPr="004C5479">
              <w:rPr>
                <w:rFonts w:ascii="Times New Roman" w:eastAsia="Times New Roman" w:hAnsi="Times New Roman"/>
                <w:sz w:val="24"/>
                <w:szCs w:val="24"/>
              </w:rPr>
              <w:t>jednym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miesiąc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w każdym kwartale 2023 r. 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Jednocześnie przyjęto, że o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>kres zawieszenia wykonywania umowy nie jest traktowany jako okres kredytowania, dlatego okres kredytowania oraz wszystkie terminy przewidziane w</w:t>
            </w:r>
            <w:r w:rsidR="00F158B9" w:rsidRPr="004C54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>umowie kredytu, ulega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ły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stosownemu przedłużeniu o okres, na który nastąpiło zawieszeni</w:t>
            </w:r>
            <w:r w:rsidR="003C06DD" w:rsidRPr="004C5479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193BC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wykonywania umowy.</w:t>
            </w:r>
          </w:p>
          <w:p w14:paraId="70C8E703" w14:textId="22C4567C" w:rsidR="00E87ABB" w:rsidRDefault="00567151" w:rsidP="004C547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Dotychczas obowiązujące wakacje kredytowe</w:t>
            </w:r>
            <w:r w:rsidR="007A5A58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według stanu na koniec września br. objęły 1,09 mln sztuk złotowych kredytów mieszkaniowych – wobec tylu kredytów banki pozytywnie rozpatrzyły wnioski kredytobiorców o zawieszenie spłaty</w:t>
            </w:r>
            <w:r w:rsidR="00814457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13E00" w:rsidRPr="004C547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7A5A58" w:rsidRPr="004C5479">
              <w:rPr>
                <w:rFonts w:ascii="Times New Roman" w:eastAsia="Times New Roman" w:hAnsi="Times New Roman"/>
                <w:sz w:val="24"/>
                <w:szCs w:val="24"/>
              </w:rPr>
              <w:t>redyty objęte wakacjami stanowiły 57% liczby wszystkich złotowych kredytów mieszkaniowych oraz 68% wartości wszystkich złotowych kredytów mieszkaniowych.</w:t>
            </w:r>
            <w:r w:rsidR="00A3535F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Łączna wartość nadpłat kapitału dla kredytów objętych wakacjami kredytowymi, dokonanych od momentu objęcia danego </w:t>
            </w:r>
            <w:r w:rsidR="00A3535F" w:rsidRPr="004C54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kredytu wakacjami kredytowymi to 19,1 mld zł, co stanowi 129% łącznej wartości rat kapitałowych i odsetkowych, które zostały zawieszone, a byłyby wymagane do dnia 30 czerwca 2023 roku.</w:t>
            </w:r>
          </w:p>
          <w:p w14:paraId="004C0EFB" w14:textId="6CD2DF2E" w:rsidR="00E87ABB" w:rsidRPr="002B78D7" w:rsidRDefault="00E87ABB" w:rsidP="004C5479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56090" w:rsidRPr="00A42CEF" w14:paraId="00FC16EF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457A542D" w14:textId="77777777" w:rsidR="00656090" w:rsidRPr="00814457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14457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56090" w:rsidRPr="00A42CEF" w14:paraId="70999A66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auto"/>
          </w:tcPr>
          <w:p w14:paraId="620879AE" w14:textId="77777777" w:rsidR="00872581" w:rsidRDefault="004C5479" w:rsidP="008725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Projekt ustawy przewiduje</w:t>
            </w:r>
            <w:r w:rsidR="002B78D7" w:rsidRPr="002B78D7">
              <w:rPr>
                <w:rFonts w:ascii="Times New Roman" w:eastAsia="Times New Roman" w:hAnsi="Times New Roman"/>
                <w:sz w:val="24"/>
                <w:szCs w:val="24"/>
              </w:rPr>
              <w:t xml:space="preserve"> czasowe przedłużenie okresu obowiązywania rozwiązań osłonowych, obowiązujące w okresie w którym oprocentowanie nadal będzie relatywnie wysokie. </w:t>
            </w:r>
            <w:r w:rsidR="00B54962" w:rsidRPr="004C5479">
              <w:rPr>
                <w:rFonts w:ascii="Times New Roman" w:eastAsia="Times New Roman" w:hAnsi="Times New Roman"/>
                <w:sz w:val="24"/>
                <w:szCs w:val="24"/>
              </w:rPr>
              <w:t>Proponowane rozwiązanie zakłada</w:t>
            </w:r>
            <w:r w:rsidR="00656090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wprowadz</w:t>
            </w:r>
            <w:r w:rsidR="00B54962" w:rsidRPr="004C5479">
              <w:rPr>
                <w:rFonts w:ascii="Times New Roman" w:eastAsia="Times New Roman" w:hAnsi="Times New Roman"/>
                <w:sz w:val="24"/>
                <w:szCs w:val="24"/>
              </w:rPr>
              <w:t>enie</w:t>
            </w:r>
            <w:r w:rsidR="00656090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zmian do </w:t>
            </w:r>
            <w:r w:rsidR="00872581" w:rsidRPr="00872581">
              <w:rPr>
                <w:rFonts w:ascii="Times New Roman" w:eastAsia="Times New Roman" w:hAnsi="Times New Roman"/>
                <w:sz w:val="24"/>
                <w:szCs w:val="24"/>
              </w:rPr>
              <w:t>ustawy z dnia 9 października 2015 r. o wsparciu kredytobiorców, którzy zaciągnęli kredyt mieszkaniowy i znajdują się w trudnej sytuacji finansowej oraz ustawy z dnia z dnia 7 lipca 2022 r. o finasowaniu społecznościowym dla przedsięwzięć gospodarczych i pomocy kredytobiorcom</w:t>
            </w:r>
            <w:r w:rsidR="008725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A310484" w14:textId="77777777" w:rsidR="00872581" w:rsidRPr="00872581" w:rsidRDefault="00872581" w:rsidP="008725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W celu zwiększenia wykorzystania środków zgromadzonych w Funduszu Wsparcia Kredytobiorców proponuje się ich zliberalizowanie. Dlatego też w projekcie proponuje się zmniejszenie jednej z przesłane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do uzyskania wsparcia, wielkości </w:t>
            </w:r>
            <w:r w:rsidR="00C160A5"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wskaźnika </w:t>
            </w:r>
            <w:proofErr w:type="spellStart"/>
            <w:r w:rsidR="00C160A5" w:rsidRPr="00C160A5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  <w:proofErr w:type="spellEnd"/>
            <w:r w:rsidR="00C160A5"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 (Rata do Dochodu</w:t>
            </w:r>
            <w:r w:rsidR="00C160A5">
              <w:rPr>
                <w:rFonts w:ascii="Times New Roman" w:eastAsia="Times New Roman" w:hAnsi="Times New Roman"/>
                <w:sz w:val="24"/>
                <w:szCs w:val="24"/>
              </w:rPr>
              <w:t>).Wskaźnik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ten oznacza stosunek wydatków kredytobiorcy związanych z obsługą miesięcznej raty kapitałowej i odsetkowej kredytu mieszkaniowego do miesięcznego dochodu gospodarstwa domowego kredytobiorcy. W celu liberalizacji tej przesłanki proponuje się ustalenie parametru na poziomie 40%, w miejsce obecnych 50%. Tym samym, jeżeli stosunek wydatków kredytobiorcy związanych z obsługą miesięcznej raty kapitałowej i odsetkowej kredytu mieszkaniowego stanowił będzie 40% dochodu jego gospodarstwa domowego, będzie on mógł wnioskować o wsparcie lub pożyczkę na spłatę zadłużenia. </w:t>
            </w:r>
          </w:p>
          <w:p w14:paraId="45872E5E" w14:textId="33314A06" w:rsidR="00872581" w:rsidRPr="00872581" w:rsidRDefault="00872581" w:rsidP="008725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Drugą proponowaną w obszarze tego przepisu zmianą jest zwiększenie kwoty dochodu uprawniającej do uzyskania wsparcia lub pożyczki na spłatę zadłużenia. Dlatego też przewidziano podwyższenie, wynikających z</w:t>
            </w:r>
            <w:r w:rsidR="003961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ustawy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 z dnia 12 marca 2004 r.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o pomocy społecznej, kwot dochodów na jednego członka rodziny lub na osobę samotnie gospodarującą, które będą umożliwiały otrzymanie wsparcia. Zgodnie z</w:t>
            </w:r>
            <w:r w:rsidR="003961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propozycją zmian, możliwe będzie skorzystanie ze wsparcia, jeżeli miesięczny dochód gospodarstwa domowego pomniejszony o miesięczne koszty obsługi kredytu mieszkaniowego nie będzie przekraczał trzykrotności kryteriów określonych w ustawie 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z dnia 12 marca 2004 r. 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o pomocy społecznej - w obecnych przepisach jest mowa o dwukrotności tej kwoty.</w:t>
            </w:r>
          </w:p>
          <w:p w14:paraId="6E0AB412" w14:textId="76AFAE0A" w:rsidR="00872581" w:rsidRDefault="00872581" w:rsidP="008725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roponuje się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również 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zmianę polegającą na </w:t>
            </w:r>
            <w:r w:rsidR="0039613E">
              <w:rPr>
                <w:rFonts w:ascii="Times New Roman" w:eastAsia="Times New Roman" w:hAnsi="Times New Roman"/>
                <w:sz w:val="24"/>
                <w:szCs w:val="24"/>
              </w:rPr>
              <w:t xml:space="preserve">wydłużeniu okresu przez jaki wsparcie będzie mogło być udzielane (z obecnych 36 na 40 miesięcy) oraz 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zwiększeniu wartości maksymalnego wsparcia z dotychczasowego poziomu 2 000 zł do poziomu 2 500 zł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oraz 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wydłużeni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okresu spłat wsparcia (lub pożyczki) z obecnych 144 rat do 2</w:t>
            </w:r>
            <w:r w:rsidR="0039613E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rat.</w:t>
            </w:r>
          </w:p>
          <w:p w14:paraId="2BAB1445" w14:textId="4897482F" w:rsidR="00872581" w:rsidRPr="00872581" w:rsidRDefault="00872581" w:rsidP="0087258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Proponuje się 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>także, aby umorzenie pozostał</w:t>
            </w:r>
            <w:r w:rsid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ych </w:t>
            </w:r>
            <w:r w:rsidR="00C1710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rat zwrotu wsparcia lub pożyczki na spłatę zadłużenia następowało po dokonaniu, bez opóźnienia, spłaty 1</w:t>
            </w:r>
            <w:r w:rsidR="00C1710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872581">
              <w:rPr>
                <w:rFonts w:ascii="Times New Roman" w:eastAsia="Times New Roman" w:hAnsi="Times New Roman"/>
                <w:sz w:val="24"/>
                <w:szCs w:val="24"/>
              </w:rPr>
              <w:t xml:space="preserve"> rat. Obecne przepisy pozwalają na umorzenie 44 rat, po dokonaniu spłaty 100 rat.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3EDB">
              <w:rPr>
                <w:rFonts w:ascii="Times New Roman" w:eastAsia="Times New Roman" w:hAnsi="Times New Roman"/>
                <w:sz w:val="24"/>
                <w:szCs w:val="24"/>
              </w:rPr>
              <w:t>Dzięki temu kwota umorzenia będzie mogła wynieść 33 tys. zł</w:t>
            </w:r>
            <w:r w:rsidR="007231D8">
              <w:rPr>
                <w:rFonts w:ascii="Times New Roman" w:eastAsia="Times New Roman" w:hAnsi="Times New Roman"/>
                <w:sz w:val="24"/>
                <w:szCs w:val="24"/>
              </w:rPr>
              <w:t xml:space="preserve"> (66 rat)</w:t>
            </w:r>
            <w:r w:rsidR="006E3EDB">
              <w:rPr>
                <w:rFonts w:ascii="Times New Roman" w:eastAsia="Times New Roman" w:hAnsi="Times New Roman"/>
                <w:sz w:val="24"/>
                <w:szCs w:val="24"/>
              </w:rPr>
              <w:t xml:space="preserve">, w miejsce obecnych 22 tys. zł. </w:t>
            </w:r>
          </w:p>
          <w:p w14:paraId="5D356D1D" w14:textId="77777777" w:rsidR="00C160A5" w:rsidRDefault="00D857F0" w:rsidP="002B78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Proponuje się</w:t>
            </w:r>
            <w:r w:rsidR="00FF2916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60A5"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zmianę polegającą na przedłużeniu obowiązywania mechanizmu wakacji kredytowych na rok 2024. Jednak w związku z koniecznością procedowania procesu legislacyjnego projektu proponuje się aby, zawieszenie to przysługiwało w wymiarze jednego miesiąca od dnia 1 marca 2024 r. do dnia 31 marca 2024 r., zaś w przypadku kolejnych kwartałów - w wymiarze miesiąca w każdym kwartale. </w:t>
            </w:r>
          </w:p>
          <w:p w14:paraId="65A7C767" w14:textId="08A9FAD9" w:rsidR="00656090" w:rsidRPr="004C5479" w:rsidRDefault="00C160A5" w:rsidP="002B78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Jednocześnie proponuje się aby </w:t>
            </w:r>
            <w:r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kryterium, zgodnie z którym zawieszenie spłaty kredytu będzie przysługiwało konsumentowi, jeżeli średnia arytmetyczna wartości wskaźnika </w:t>
            </w:r>
            <w:proofErr w:type="spellStart"/>
            <w:r w:rsidRPr="00C160A5">
              <w:rPr>
                <w:rFonts w:ascii="Times New Roman" w:eastAsia="Times New Roman" w:hAnsi="Times New Roman"/>
                <w:sz w:val="24"/>
                <w:szCs w:val="24"/>
              </w:rPr>
              <w:t>RdD</w:t>
            </w:r>
            <w:proofErr w:type="spellEnd"/>
            <w:r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 (Rata do Dochodu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160A5">
              <w:rPr>
                <w:rFonts w:ascii="Times New Roman" w:eastAsia="Times New Roman" w:hAnsi="Times New Roman"/>
                <w:sz w:val="24"/>
                <w:szCs w:val="24"/>
              </w:rPr>
              <w:t xml:space="preserve"> w rozumieniu ustawy z dnia 9 października 2015 r. o wsparciu kredytobiorców, którzy zaciągnęli kredyt mieszkaniowy i znajdują się w trudnej sytuacji finansowej), za okres ostatnich trzech miesięcy poprzedzających miesiąc złożenia wniosku będzie przekraczać </w:t>
            </w:r>
            <w:r w:rsidR="003735E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3735E7" w:rsidRPr="00C160A5">
              <w:rPr>
                <w:rFonts w:ascii="Times New Roman" w:eastAsia="Times New Roman" w:hAnsi="Times New Roman"/>
                <w:sz w:val="24"/>
                <w:szCs w:val="24"/>
              </w:rPr>
              <w:t>%.</w:t>
            </w:r>
          </w:p>
        </w:tc>
      </w:tr>
      <w:tr w:rsidR="00656090" w:rsidRPr="00A42CEF" w14:paraId="5AAA99BA" w14:textId="77777777" w:rsidTr="00B54962">
        <w:trPr>
          <w:trHeight w:val="307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4FC52F0B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Pr="00A42CE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56090" w:rsidRPr="00A42CEF" w14:paraId="7E37AF5A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auto"/>
          </w:tcPr>
          <w:p w14:paraId="5DD86184" w14:textId="77777777" w:rsidR="00B71E92" w:rsidRPr="007F5E61" w:rsidRDefault="00B71E92" w:rsidP="003839B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Według danych Europejskiego Banku Centralnego</w:t>
            </w:r>
            <w:r w:rsidRPr="007F5E61">
              <w:rPr>
                <w:rFonts w:eastAsia="Times New Roman"/>
                <w:sz w:val="24"/>
                <w:szCs w:val="24"/>
                <w:vertAlign w:val="superscript"/>
              </w:rPr>
              <w:footnoteReference w:id="1"/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podobne rozwiązania przyjęto we Włoszech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w grudniu 2022</w:t>
            </w:r>
            <w:r w:rsidR="00507F8D" w:rsidRPr="007F5E6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r. Rozwiązania te pozwoliły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kredytobiorcom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na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>przedłużeni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harmonogramu spłaty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kredytu mieszkaniowego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>o maksymalnie pięć lat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oraz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restrukturyzacj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421F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i zamianę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mieszkaniowych kredytów hipotecznych o zmiennym oprocentowaniu na kredyty o stałym oprocentowaniu. Prawo to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zawiera jednocześnie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warun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ek uprawniający do skorzystania z przyjętych rozwiązań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>, któr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odnosi się do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maksymaln</w:t>
            </w:r>
            <w:r w:rsidR="00D55653" w:rsidRPr="007F5E61">
              <w:rPr>
                <w:rFonts w:ascii="Times New Roman" w:eastAsia="Times New Roman" w:hAnsi="Times New Roman"/>
                <w:sz w:val="24"/>
                <w:szCs w:val="24"/>
              </w:rPr>
              <w:t>ego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pr</w:t>
            </w:r>
            <w:r w:rsidR="006E7564" w:rsidRPr="007F5E6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 w:rsidR="006E7564" w:rsidRPr="007F5E61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dochod</w:t>
            </w:r>
            <w:r w:rsidR="006E7564" w:rsidRPr="007F5E61">
              <w:rPr>
                <w:rFonts w:ascii="Times New Roman" w:eastAsia="Times New Roman" w:hAnsi="Times New Roman"/>
                <w:sz w:val="24"/>
                <w:szCs w:val="24"/>
              </w:rPr>
              <w:t>owego kredytobiorcy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(35 000 EUR) i </w:t>
            </w:r>
            <w:r w:rsidR="002A1A75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maksymalnej 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>kwot</w:t>
            </w:r>
            <w:r w:rsidR="002A1A75" w:rsidRPr="007F5E61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1A75" w:rsidRPr="007F5E61">
              <w:rPr>
                <w:rFonts w:ascii="Times New Roman" w:eastAsia="Times New Roman" w:hAnsi="Times New Roman"/>
                <w:sz w:val="24"/>
                <w:szCs w:val="24"/>
              </w:rPr>
              <w:t>kredytu</w:t>
            </w:r>
            <w:r w:rsidR="00FA08C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(200 000 EUR).</w:t>
            </w:r>
          </w:p>
          <w:p w14:paraId="5121E2D6" w14:textId="77777777" w:rsidR="00B71E92" w:rsidRPr="007F5E61" w:rsidRDefault="00D62AE6" w:rsidP="003839B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W Portugalii</w:t>
            </w:r>
            <w:r w:rsidR="00804E34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uchwalono przepisy, zgodnie z którymi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instytucje kredytowe </w:t>
            </w:r>
            <w:r w:rsidR="00804E34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(banki)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udzielające mieszkaniowych kredytów hipotecznych są zobowiązane do wdrożenia określonych procedur, gdy </w:t>
            </w:r>
            <w:r w:rsidR="00804E34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okaże się, że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kredytobiorcy posiadający kredyty hipoteczne </w:t>
            </w:r>
            <w:r w:rsidR="00804E34" w:rsidRPr="007F5E61">
              <w:rPr>
                <w:rFonts w:ascii="Times New Roman" w:eastAsia="Times New Roman" w:hAnsi="Times New Roman"/>
                <w:sz w:val="24"/>
                <w:szCs w:val="24"/>
              </w:rPr>
              <w:t>w kwocie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do 300 000 EUR borykają się z trudnościami finansowymi z powodu </w:t>
            </w:r>
            <w:r w:rsidR="00804E34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np.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wzrostu stóp procentowych. System ten będzie obowiązywał do 31 grudnia 2023 r.</w:t>
            </w:r>
          </w:p>
          <w:p w14:paraId="1C081C70" w14:textId="2663975D" w:rsidR="00B54962" w:rsidRPr="007F5E61" w:rsidRDefault="005840AF" w:rsidP="003839B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Podobne </w:t>
            </w:r>
            <w:r w:rsidR="00532ECE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przepisy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w roku 2022 zostały również przyjęte w Rumunii. Ich celem było zmniejszenie obciążeń kredytobiorców, w tym tych wynikających z mieszkaniowych kredytów hipotecznych. Zgodnie z przepisami, kredytobiorcy mog</w:t>
            </w:r>
            <w:r w:rsidR="00633BF6" w:rsidRPr="007F5E61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wnioskować o zawieszenie płatności rat kapitałowych, odsetek i prowizji na okres do dziewięciu miesięcy. </w:t>
            </w:r>
            <w:r w:rsidR="00633BF6" w:rsidRPr="007F5E61">
              <w:rPr>
                <w:rFonts w:ascii="Times New Roman" w:eastAsia="Times New Roman" w:hAnsi="Times New Roman"/>
                <w:sz w:val="24"/>
                <w:szCs w:val="24"/>
              </w:rPr>
              <w:t>Kredytodawcy byli zobowiązaniu do akceptacji wniosków od kredytobiorców(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osób fizycznych</w:t>
            </w:r>
            <w:r w:rsidR="00633BF6" w:rsidRPr="007F5E61">
              <w:rPr>
                <w:rFonts w:ascii="Times New Roman" w:eastAsia="Times New Roman" w:hAnsi="Times New Roman"/>
                <w:sz w:val="24"/>
                <w:szCs w:val="24"/>
              </w:rPr>
              <w:t>), jeżeli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: (i) </w:t>
            </w:r>
            <w:r w:rsidR="00C17C83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wobec kredytobiorcy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nie tocz</w:t>
            </w:r>
            <w:r w:rsidR="00C17C83" w:rsidRPr="007F5E61">
              <w:rPr>
                <w:rFonts w:ascii="Times New Roman" w:eastAsia="Times New Roman" w:hAnsi="Times New Roman"/>
                <w:sz w:val="24"/>
                <w:szCs w:val="24"/>
              </w:rPr>
              <w:t>yło się postępowanie</w:t>
            </w:r>
            <w:r w:rsidR="00C0279C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komorniczej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; (ii) w porównaniu z</w:t>
            </w:r>
            <w:r w:rsidR="005949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podobnym okresem w 2021 r., w</w:t>
            </w:r>
            <w:r w:rsidR="00C0279C" w:rsidRPr="007F5E6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ciągu ostatnich trzech miesięcy przed złożeniem wniosku o zawieszenie </w:t>
            </w:r>
            <w:r w:rsidR="00C0279C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spłat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nastąpił co najmniej 25-procentowy wzrost średnich ogólnych miesięcznych wydatków </w:t>
            </w:r>
            <w:r w:rsidR="00C0279C" w:rsidRPr="007F5E61">
              <w:rPr>
                <w:rFonts w:ascii="Times New Roman" w:eastAsia="Times New Roman" w:hAnsi="Times New Roman"/>
                <w:sz w:val="24"/>
                <w:szCs w:val="24"/>
              </w:rPr>
              <w:t>związanych z obsługą kredytu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; oraz (iii) nie</w:t>
            </w:r>
            <w:r w:rsidR="00D85A34" w:rsidRPr="007F5E61">
              <w:rPr>
                <w:rFonts w:ascii="Times New Roman" w:eastAsia="Times New Roman" w:hAnsi="Times New Roman"/>
                <w:sz w:val="24"/>
                <w:szCs w:val="24"/>
              </w:rPr>
              <w:t xml:space="preserve"> jest planowana </w:t>
            </w:r>
            <w:r w:rsidRPr="007F5E61">
              <w:rPr>
                <w:rFonts w:ascii="Times New Roman" w:eastAsia="Times New Roman" w:hAnsi="Times New Roman"/>
                <w:sz w:val="24"/>
                <w:szCs w:val="24"/>
              </w:rPr>
              <w:t>restrukturyzacji zadłużenia w ciągu trzech miesięcy przed wejściem w życie przepisów.</w:t>
            </w:r>
          </w:p>
        </w:tc>
      </w:tr>
      <w:tr w:rsidR="00656090" w:rsidRPr="00A42CEF" w14:paraId="2A6C4D81" w14:textId="77777777" w:rsidTr="00B54962">
        <w:trPr>
          <w:trHeight w:val="359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394F1884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Podmioty, na które oddziałuje projekt</w:t>
            </w:r>
          </w:p>
        </w:tc>
      </w:tr>
      <w:tr w:rsidR="00656090" w:rsidRPr="00A42CEF" w14:paraId="67134D48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17E627A1" w14:textId="77777777" w:rsidR="00656090" w:rsidRPr="004C5479" w:rsidRDefault="00656090" w:rsidP="00331C9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738B1630" w14:textId="77777777" w:rsidR="00656090" w:rsidRPr="004C5479" w:rsidRDefault="00656090" w:rsidP="00331C9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39DF3350" w14:textId="77777777" w:rsidR="00656090" w:rsidRPr="004C5479" w:rsidRDefault="00656090" w:rsidP="00331C9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4C5479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42C051EA" w14:textId="77777777" w:rsidR="00656090" w:rsidRPr="004C5479" w:rsidRDefault="00656090" w:rsidP="00331C90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656090" w:rsidRPr="00A42CEF" w14:paraId="396616A9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6A88A3BD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banki w formie spółek akcyjnych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16FE68AC" w14:textId="77777777" w:rsidR="00656090" w:rsidRPr="004C5479" w:rsidRDefault="00CA588A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29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39024E40" w14:textId="69807686" w:rsidR="00656090" w:rsidRPr="004C5479" w:rsidRDefault="00656090" w:rsidP="00B5496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rejestr 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podmiotów sektora bankowego K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omisji 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adzoru 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>inansowego (KNF)</w:t>
            </w:r>
          </w:p>
          <w:p w14:paraId="2880B6D5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(stan na </w:t>
            </w:r>
            <w:r w:rsidR="00CA588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D658E" w:rsidRPr="004C54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A58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. 202</w:t>
            </w:r>
            <w:r w:rsidR="003D658E" w:rsidRPr="004C54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6CF2CB17" w14:textId="77777777" w:rsidR="00656090" w:rsidRPr="004C5479" w:rsidRDefault="00AB4815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Konieczność przyjmowania i rozpatrzenia wniosków kredytobiorców o skorzystanie z wakacji kredytowych</w:t>
            </w:r>
          </w:p>
        </w:tc>
      </w:tr>
      <w:tr w:rsidR="00656090" w:rsidRPr="00A42CEF" w14:paraId="568A01A6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1C801B0D" w14:textId="77777777" w:rsidR="00656090" w:rsidRPr="004C5479" w:rsidRDefault="00656090" w:rsidP="00331C90">
            <w:pPr>
              <w:tabs>
                <w:tab w:val="left" w:pos="15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banki spółdzielcze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799A8A66" w14:textId="77777777" w:rsidR="00656090" w:rsidRPr="004C5479" w:rsidRDefault="000671AD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492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38BC729A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rejestr 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podmiotów sektora bankowego KNF</w:t>
            </w:r>
          </w:p>
          <w:p w14:paraId="3085480D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(stan na </w:t>
            </w:r>
            <w:r w:rsidR="00CA588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671AD" w:rsidRPr="004C54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A588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0671AD" w:rsidRPr="004C54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0429E6DB" w14:textId="77777777" w:rsidR="00656090" w:rsidRPr="004C5479" w:rsidRDefault="00356C27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Konieczność przyjmowania i rozpatrzenia wniosków kredytobiorców o skorzystanie z wakacji kredytowych</w:t>
            </w:r>
          </w:p>
        </w:tc>
      </w:tr>
      <w:tr w:rsidR="00656090" w:rsidRPr="00A42CEF" w14:paraId="53A5104A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076E2FF3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spółdzielcze kasy oszczędnościowo-kredytowe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29322D4F" w14:textId="77777777" w:rsidR="00656090" w:rsidRPr="004C5479" w:rsidRDefault="00356C27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CA58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0500F3BD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Rejestr podmiotów sektora kas KNF</w:t>
            </w:r>
          </w:p>
          <w:p w14:paraId="10934A71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(stan na </w:t>
            </w:r>
            <w:r w:rsidR="00CA588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56C27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CA588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.202</w:t>
            </w:r>
            <w:r w:rsidR="00356C27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7D9B8E0A" w14:textId="77777777" w:rsidR="00656090" w:rsidRPr="004C5479" w:rsidRDefault="00C83F20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Konieczność przyjmowania i rozpatrzenia wniosków kredytobiorców o skorzystanie z wakacji kredytowych</w:t>
            </w:r>
          </w:p>
        </w:tc>
      </w:tr>
      <w:tr w:rsidR="00656090" w:rsidRPr="00A42CEF" w14:paraId="7B8E0B61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7E6ECE0E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Rzecznik Finansowy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7BE3F3DB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730F13A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shd w:val="clear" w:color="auto" w:fill="auto"/>
          </w:tcPr>
          <w:p w14:paraId="24724B62" w14:textId="77777777" w:rsidR="00745191" w:rsidRPr="004C5479" w:rsidRDefault="00745191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Potencjalne zwiększenie ilości </w:t>
            </w:r>
            <w:r w:rsidR="008939A4" w:rsidRPr="004C5479">
              <w:rPr>
                <w:rFonts w:ascii="Times New Roman" w:eastAsia="Times New Roman" w:hAnsi="Times New Roman"/>
                <w:sz w:val="24"/>
                <w:szCs w:val="24"/>
              </w:rPr>
              <w:t>rozpatrywanych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 wniosków w</w:t>
            </w:r>
            <w:r w:rsidR="0073069A" w:rsidRPr="004C54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indywidualnych sprawach, wniesionych na skutek nieuwzględnienia roszczeń klienta przez podmiot rynku finansowego w trybie rozpatrywania reklamacji</w:t>
            </w:r>
          </w:p>
          <w:p w14:paraId="4FC2B45C" w14:textId="77777777" w:rsidR="00656090" w:rsidRPr="004C5479" w:rsidRDefault="00745191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Udzielanie kredytobiorcom informacji dotyczących korzystania z mechanizmu wakacji kredytowych </w:t>
            </w:r>
          </w:p>
        </w:tc>
      </w:tr>
      <w:tr w:rsidR="006E78AE" w:rsidRPr="00A42CEF" w14:paraId="10FC9218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13577FE7" w14:textId="77777777" w:rsidR="006E78AE" w:rsidRPr="004C5479" w:rsidRDefault="00B54962" w:rsidP="00331C90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="006E78AE" w:rsidRPr="004C5479">
              <w:rPr>
                <w:rFonts w:ascii="Times New Roman" w:eastAsia="Times New Roman" w:hAnsi="Times New Roman"/>
                <w:sz w:val="24"/>
                <w:szCs w:val="24"/>
              </w:rPr>
              <w:t xml:space="preserve">redytobiorcy 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1ED2778B" w14:textId="7AC89F7A" w:rsidR="006E78AE" w:rsidRPr="004C5479" w:rsidRDefault="004A3FBF" w:rsidP="00331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420 </w:t>
            </w:r>
            <w:r w:rsidR="006E78AE" w:rsidRPr="00953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B73AD" w:rsidRPr="009534B7">
              <w:rPr>
                <w:rFonts w:ascii="Times New Roman" w:eastAsia="Times New Roman" w:hAnsi="Times New Roman"/>
                <w:sz w:val="24"/>
                <w:szCs w:val="24"/>
              </w:rPr>
              <w:t>tys</w:t>
            </w:r>
            <w:r w:rsidR="003839B7" w:rsidRPr="009534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E78AE" w:rsidRPr="009534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34B7">
              <w:rPr>
                <w:rFonts w:ascii="Times New Roman" w:eastAsia="Times New Roman" w:hAnsi="Times New Roman"/>
                <w:sz w:val="24"/>
                <w:szCs w:val="24"/>
              </w:rPr>
              <w:t>umów kredytowych</w:t>
            </w:r>
            <w:r w:rsid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2635" w:rsidRPr="009534B7">
              <w:rPr>
                <w:rFonts w:ascii="Times New Roman" w:eastAsia="Times New Roman" w:hAnsi="Times New Roman"/>
                <w:sz w:val="24"/>
                <w:szCs w:val="24"/>
              </w:rPr>
              <w:t>do objęcia wakacjami kredytowymi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0B40D2EF" w14:textId="77777777" w:rsidR="006E78AE" w:rsidRPr="004C5479" w:rsidRDefault="00386EF6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Dane KNF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50E8E095" w14:textId="77777777" w:rsidR="006E78AE" w:rsidRPr="004C5479" w:rsidRDefault="00332CD9" w:rsidP="003839B7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Możliwość skorzystania z</w:t>
            </w:r>
            <w:r w:rsidR="00B37187" w:rsidRPr="004C547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instytucji wakacji kredytowych – zawieszenie spłaty rat kredytu</w:t>
            </w:r>
          </w:p>
        </w:tc>
      </w:tr>
      <w:tr w:rsidR="0064224A" w:rsidRPr="00A42CEF" w14:paraId="11E95CCF" w14:textId="77777777" w:rsidTr="004C5479">
        <w:trPr>
          <w:trHeight w:val="142"/>
        </w:trPr>
        <w:tc>
          <w:tcPr>
            <w:tcW w:w="2643" w:type="dxa"/>
            <w:gridSpan w:val="2"/>
            <w:shd w:val="clear" w:color="auto" w:fill="auto"/>
          </w:tcPr>
          <w:p w14:paraId="346FB284" w14:textId="24655B2D" w:rsidR="0064224A" w:rsidRPr="004C5479" w:rsidRDefault="0064224A" w:rsidP="00331C90">
            <w:pPr>
              <w:tabs>
                <w:tab w:val="left" w:pos="156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2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Fundusz Wsparcia Kredytobiorców</w:t>
            </w:r>
          </w:p>
        </w:tc>
        <w:tc>
          <w:tcPr>
            <w:tcW w:w="1905" w:type="dxa"/>
            <w:gridSpan w:val="5"/>
            <w:shd w:val="clear" w:color="auto" w:fill="auto"/>
          </w:tcPr>
          <w:p w14:paraId="3C20468D" w14:textId="5F679F3E" w:rsidR="0064224A" w:rsidRDefault="0064224A" w:rsidP="00331C9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422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352E3AAC" w14:textId="14982553" w:rsidR="0064224A" w:rsidRPr="0064224A" w:rsidRDefault="0064224A" w:rsidP="0064224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24A">
              <w:rPr>
                <w:rFonts w:ascii="Times New Roman" w:eastAsia="Times New Roman" w:hAnsi="Times New Roman"/>
                <w:sz w:val="24"/>
                <w:szCs w:val="24"/>
              </w:rPr>
              <w:t xml:space="preserve">Ustawa </w:t>
            </w:r>
            <w:r w:rsidR="003A0F4A">
              <w:rPr>
                <w:rFonts w:ascii="Times New Roman" w:eastAsia="Times New Roman" w:hAnsi="Times New Roman"/>
                <w:sz w:val="24"/>
                <w:szCs w:val="24"/>
              </w:rPr>
              <w:t xml:space="preserve">z dnia 9 października 2015 r. </w:t>
            </w:r>
            <w:r w:rsidRPr="0064224A">
              <w:rPr>
                <w:rFonts w:ascii="Times New Roman" w:eastAsia="Times New Roman" w:hAnsi="Times New Roman"/>
                <w:sz w:val="24"/>
                <w:szCs w:val="24"/>
              </w:rPr>
              <w:t xml:space="preserve">o wsparciu kredytobiorców, którzy zaciągnęli kredyt mieszkaniowy i znajdują się w trudnej sytuacji finansowej </w:t>
            </w:r>
          </w:p>
          <w:p w14:paraId="3D3F5C79" w14:textId="498D989F" w:rsidR="0064224A" w:rsidRPr="004C5479" w:rsidRDefault="0064224A" w:rsidP="0064224A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24A">
              <w:rPr>
                <w:rFonts w:ascii="Times New Roman" w:eastAsia="Times New Roman" w:hAnsi="Times New Roman"/>
                <w:sz w:val="24"/>
                <w:szCs w:val="24"/>
              </w:rPr>
              <w:t>(stan na 17.12.2023 r.)</w:t>
            </w:r>
          </w:p>
        </w:tc>
        <w:tc>
          <w:tcPr>
            <w:tcW w:w="3573" w:type="dxa"/>
            <w:gridSpan w:val="7"/>
            <w:shd w:val="clear" w:color="auto" w:fill="auto"/>
          </w:tcPr>
          <w:p w14:paraId="42CB7236" w14:textId="6088E66E" w:rsidR="0064224A" w:rsidRPr="004C5479" w:rsidRDefault="00001181" w:rsidP="003839B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Potencjalne zwiększenie ilości </w:t>
            </w:r>
            <w:r w:rsidR="005361FB">
              <w:rPr>
                <w:rFonts w:ascii="Times New Roman" w:eastAsia="Times New Roman" w:hAnsi="Times New Roman"/>
                <w:sz w:val="24"/>
                <w:szCs w:val="24"/>
              </w:rPr>
              <w:t xml:space="preserve">składanych przez kredytobiorców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wniosków o wsparcie.</w:t>
            </w:r>
          </w:p>
        </w:tc>
      </w:tr>
      <w:tr w:rsidR="00656090" w:rsidRPr="00A42CEF" w14:paraId="1618DC95" w14:textId="77777777" w:rsidTr="00B54962">
        <w:trPr>
          <w:trHeight w:val="302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447D4DA7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656090" w:rsidRPr="00A42CEF" w14:paraId="5B23ADF6" w14:textId="77777777" w:rsidTr="00B54962">
        <w:trPr>
          <w:trHeight w:val="342"/>
        </w:trPr>
        <w:tc>
          <w:tcPr>
            <w:tcW w:w="10947" w:type="dxa"/>
            <w:gridSpan w:val="25"/>
            <w:shd w:val="clear" w:color="auto" w:fill="FFFFFF"/>
          </w:tcPr>
          <w:p w14:paraId="52D2FC98" w14:textId="77777777" w:rsidR="003839B7" w:rsidRPr="003839B7" w:rsidRDefault="003839B7" w:rsidP="00331C90">
            <w:pPr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14:paraId="03314377" w14:textId="77777777" w:rsidR="00656090" w:rsidRPr="004C5479" w:rsidRDefault="00656090" w:rsidP="00331C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Nie prowadzono konsultacji poprzedzających przygotowanie projektu ustawy.</w:t>
            </w:r>
          </w:p>
          <w:p w14:paraId="13F5E375" w14:textId="77777777" w:rsidR="003839B7" w:rsidRPr="003839B7" w:rsidRDefault="003839B7" w:rsidP="00331C90">
            <w:pPr>
              <w:jc w:val="both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</w:p>
        </w:tc>
      </w:tr>
      <w:tr w:rsidR="00656090" w:rsidRPr="00A42CEF" w14:paraId="57492492" w14:textId="77777777" w:rsidTr="00B54962">
        <w:trPr>
          <w:trHeight w:val="363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02D59887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656090" w:rsidRPr="00A42CEF" w14:paraId="5A043739" w14:textId="77777777" w:rsidTr="004C5479">
        <w:trPr>
          <w:trHeight w:val="142"/>
        </w:trPr>
        <w:tc>
          <w:tcPr>
            <w:tcW w:w="3104" w:type="dxa"/>
            <w:gridSpan w:val="3"/>
            <w:vMerge w:val="restart"/>
            <w:shd w:val="clear" w:color="auto" w:fill="FFFFFF"/>
          </w:tcPr>
          <w:p w14:paraId="2C0CD15B" w14:textId="77777777" w:rsidR="00656090" w:rsidRPr="003839B7" w:rsidRDefault="00656090" w:rsidP="00331C90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43" w:type="dxa"/>
            <w:gridSpan w:val="22"/>
            <w:shd w:val="clear" w:color="auto" w:fill="FFFFFF"/>
          </w:tcPr>
          <w:p w14:paraId="02C85226" w14:textId="77777777" w:rsidR="00656090" w:rsidRPr="003839B7" w:rsidRDefault="00656090" w:rsidP="00331C9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839B7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C5479" w:rsidRPr="00A42CEF" w14:paraId="4DD20B14" w14:textId="77777777" w:rsidTr="004C5479">
        <w:trPr>
          <w:trHeight w:val="142"/>
        </w:trPr>
        <w:tc>
          <w:tcPr>
            <w:tcW w:w="3104" w:type="dxa"/>
            <w:gridSpan w:val="3"/>
            <w:vMerge/>
            <w:shd w:val="clear" w:color="auto" w:fill="FFFFFF"/>
          </w:tcPr>
          <w:p w14:paraId="6EC7611F" w14:textId="77777777" w:rsidR="00656090" w:rsidRPr="003839B7" w:rsidRDefault="00656090" w:rsidP="00331C90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1E5C3D1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69615F3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16D4C9D8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7C5030A4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2B67073B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6" w:type="dxa"/>
            <w:shd w:val="clear" w:color="auto" w:fill="FFFFFF"/>
          </w:tcPr>
          <w:p w14:paraId="2A8D1B75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026313C0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2DF961BA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6" w:type="dxa"/>
            <w:shd w:val="clear" w:color="auto" w:fill="FFFFFF"/>
          </w:tcPr>
          <w:p w14:paraId="5326E028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1572493B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6" w:type="dxa"/>
            <w:shd w:val="clear" w:color="auto" w:fill="FFFFFF"/>
          </w:tcPr>
          <w:p w14:paraId="5C702915" w14:textId="77777777" w:rsidR="00656090" w:rsidRPr="003839B7" w:rsidRDefault="00656090" w:rsidP="00331C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15" w:type="dxa"/>
            <w:gridSpan w:val="2"/>
            <w:shd w:val="clear" w:color="auto" w:fill="FFFFFF"/>
          </w:tcPr>
          <w:p w14:paraId="55E503DD" w14:textId="77777777" w:rsidR="00656090" w:rsidRPr="003839B7" w:rsidRDefault="00656090" w:rsidP="00331C90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839B7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C5479" w:rsidRPr="00A42CEF" w14:paraId="57897132" w14:textId="77777777" w:rsidTr="004C5479">
        <w:trPr>
          <w:trHeight w:val="321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0DFFD749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6" w:type="dxa"/>
            <w:shd w:val="clear" w:color="auto" w:fill="FFFFFF"/>
          </w:tcPr>
          <w:p w14:paraId="2AF2B6E8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C5F9C47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3AFB19E6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4E1D58AE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56DFFA07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6987D12E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1A70CE78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74AD95A0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425218A1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6287BBEB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0C4101A3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15" w:type="dxa"/>
            <w:gridSpan w:val="2"/>
            <w:shd w:val="clear" w:color="auto" w:fill="FFFFFF"/>
          </w:tcPr>
          <w:p w14:paraId="34E886D5" w14:textId="77777777" w:rsidR="00656090" w:rsidRPr="003839B7" w:rsidRDefault="00B54962" w:rsidP="00B5496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C5479" w:rsidRPr="00A42CEF" w14:paraId="03A03179" w14:textId="77777777" w:rsidTr="004C5479">
        <w:trPr>
          <w:trHeight w:val="321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4EC86082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shd w:val="clear" w:color="auto" w:fill="FFFFFF"/>
          </w:tcPr>
          <w:p w14:paraId="782B30C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BFBC63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4F03087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D82913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50AEE6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1F69FC48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000157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5E448917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064C11C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F537BC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30C1464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01B12334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C5479" w:rsidRPr="00A42CEF" w14:paraId="0579CACC" w14:textId="77777777" w:rsidTr="004C5479">
        <w:trPr>
          <w:trHeight w:val="344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3396AF8C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shd w:val="clear" w:color="auto" w:fill="FFFFFF"/>
          </w:tcPr>
          <w:p w14:paraId="36D96E5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4E6B8837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E557E6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0DECF6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EC816D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5D20D6D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FDF36B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1441727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6C38FDDE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170318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2828AF88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3BE2C3AE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4F010FCA" w14:textId="77777777" w:rsidTr="004C5479">
        <w:trPr>
          <w:trHeight w:val="344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2C65ACC2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shd w:val="clear" w:color="auto" w:fill="FFFFFF"/>
          </w:tcPr>
          <w:p w14:paraId="53A14E3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E436A1A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B4A4F8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CD986B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0112B4A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4DB67A7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6C84229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2430812E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3D898B3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76706C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267D0FB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26D185A7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23647AC1" w14:textId="77777777" w:rsidTr="004C5479">
        <w:trPr>
          <w:trHeight w:val="330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76C79418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6" w:type="dxa"/>
            <w:shd w:val="clear" w:color="auto" w:fill="FFFFFF"/>
          </w:tcPr>
          <w:p w14:paraId="61894325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9E1C7F8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15C153A8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34B31059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548708A3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5B633B0B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08DCE912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1DE60360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1C1C3752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0182F62C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182A9E00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15" w:type="dxa"/>
            <w:gridSpan w:val="2"/>
            <w:shd w:val="clear" w:color="auto" w:fill="FFFFFF"/>
          </w:tcPr>
          <w:p w14:paraId="35FC1954" w14:textId="77777777" w:rsidR="00656090" w:rsidRPr="003839B7" w:rsidRDefault="00B54962" w:rsidP="00B549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C5479" w:rsidRPr="00A42CEF" w14:paraId="2793AA23" w14:textId="77777777" w:rsidTr="004C5479">
        <w:trPr>
          <w:trHeight w:val="330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60C607FE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shd w:val="clear" w:color="auto" w:fill="FFFFFF"/>
          </w:tcPr>
          <w:p w14:paraId="282D78D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38264B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C5F982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5DD76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D1C86C4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A6B07E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771C4A0A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1351695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3542938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62398D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2EAB12F3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7402B982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43DFE6D5" w14:textId="77777777" w:rsidTr="004C5479">
        <w:trPr>
          <w:trHeight w:val="351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66F2C892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shd w:val="clear" w:color="auto" w:fill="FFFFFF"/>
          </w:tcPr>
          <w:p w14:paraId="0B056A4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69CBB69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7293FB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47DF61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F55D8E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5B6F9B0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639BCF8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6B74983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301A9E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1E047C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342D978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541BA6EE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00874613" w14:textId="77777777" w:rsidTr="004C5479">
        <w:trPr>
          <w:trHeight w:val="351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7FA74235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shd w:val="clear" w:color="auto" w:fill="FFFFFF"/>
          </w:tcPr>
          <w:p w14:paraId="4EA3DA5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EFD56BC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7F55D8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B1238B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515DC0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32A6F0F4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976968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6578D93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6831BA3E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6C2BD4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07E35390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370972D6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3A9F4C10" w14:textId="77777777" w:rsidTr="004C5479">
        <w:trPr>
          <w:trHeight w:val="360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60980192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6" w:type="dxa"/>
            <w:shd w:val="clear" w:color="auto" w:fill="FFFFFF"/>
          </w:tcPr>
          <w:p w14:paraId="4281207F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EC88100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1D09C72D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1B2ACBA9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53D3E2B7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02AD7BE6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5476CBDE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3"/>
            <w:shd w:val="clear" w:color="auto" w:fill="FFFFFF"/>
          </w:tcPr>
          <w:p w14:paraId="6C77EF05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50198ED2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gridSpan w:val="2"/>
            <w:shd w:val="clear" w:color="auto" w:fill="FFFFFF"/>
          </w:tcPr>
          <w:p w14:paraId="7F88FFCD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6" w:type="dxa"/>
            <w:shd w:val="clear" w:color="auto" w:fill="FFFFFF"/>
          </w:tcPr>
          <w:p w14:paraId="45CA62CB" w14:textId="77777777" w:rsidR="00656090" w:rsidRPr="003839B7" w:rsidRDefault="00B54962" w:rsidP="003839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615" w:type="dxa"/>
            <w:gridSpan w:val="2"/>
            <w:shd w:val="clear" w:color="auto" w:fill="FFFFFF"/>
          </w:tcPr>
          <w:p w14:paraId="003CE163" w14:textId="77777777" w:rsidR="00656090" w:rsidRPr="003839B7" w:rsidRDefault="00B54962" w:rsidP="00B549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4C5479" w:rsidRPr="00A42CEF" w14:paraId="6AE4E942" w14:textId="77777777" w:rsidTr="004C5479">
        <w:trPr>
          <w:trHeight w:val="360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0C35C507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6" w:type="dxa"/>
            <w:shd w:val="clear" w:color="auto" w:fill="FFFFFF"/>
          </w:tcPr>
          <w:p w14:paraId="05D45CC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3EF84A2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642CBA2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5B8AE888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B078BB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6B87AAF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EB5DA0F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317B4AB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61ED289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23AFCD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0C03026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6A80D128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29A0FC46" w14:textId="77777777" w:rsidTr="004C5479">
        <w:trPr>
          <w:trHeight w:val="357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6AD5813C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6" w:type="dxa"/>
            <w:shd w:val="clear" w:color="auto" w:fill="FFFFFF"/>
          </w:tcPr>
          <w:p w14:paraId="1BCBC92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73F13F8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91EEDC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2945C3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0A3301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5F7857A4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26C7206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40329929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02A84E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A393E94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71227121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515AF620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479" w:rsidRPr="00A42CEF" w14:paraId="44803212" w14:textId="77777777" w:rsidTr="004C5479">
        <w:trPr>
          <w:trHeight w:val="357"/>
        </w:trPr>
        <w:tc>
          <w:tcPr>
            <w:tcW w:w="3104" w:type="dxa"/>
            <w:gridSpan w:val="3"/>
            <w:shd w:val="clear" w:color="auto" w:fill="FFFFFF"/>
            <w:vAlign w:val="center"/>
          </w:tcPr>
          <w:p w14:paraId="1FFACA52" w14:textId="77777777" w:rsidR="00656090" w:rsidRPr="003839B7" w:rsidRDefault="00656090" w:rsidP="00331C90">
            <w:pPr>
              <w:rPr>
                <w:rFonts w:ascii="Times New Roman" w:hAnsi="Times New Roman"/>
                <w:color w:val="000000"/>
              </w:rPr>
            </w:pPr>
            <w:r w:rsidRPr="003839B7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6" w:type="dxa"/>
            <w:shd w:val="clear" w:color="auto" w:fill="FFFFFF"/>
          </w:tcPr>
          <w:p w14:paraId="73306AC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FFFFFF"/>
          </w:tcPr>
          <w:p w14:paraId="237E3176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B3C406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11807728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0868000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18D6568D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71C32DAB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14:paraId="67BC0024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325E4B3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6677F9D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14:paraId="23B84875" w14:textId="77777777" w:rsidR="00656090" w:rsidRPr="003839B7" w:rsidRDefault="00656090" w:rsidP="003839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5" w:type="dxa"/>
            <w:gridSpan w:val="2"/>
            <w:shd w:val="clear" w:color="auto" w:fill="FFFFFF"/>
          </w:tcPr>
          <w:p w14:paraId="6FC06F71" w14:textId="77777777" w:rsidR="00656090" w:rsidRPr="003839B7" w:rsidRDefault="00656090" w:rsidP="00B5496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56090" w:rsidRPr="00A42CEF" w14:paraId="2DE70CF7" w14:textId="77777777" w:rsidTr="00985B11">
        <w:trPr>
          <w:trHeight w:val="348"/>
        </w:trPr>
        <w:tc>
          <w:tcPr>
            <w:tcW w:w="3857" w:type="dxa"/>
            <w:gridSpan w:val="5"/>
            <w:shd w:val="clear" w:color="auto" w:fill="FFFFFF"/>
            <w:vAlign w:val="center"/>
          </w:tcPr>
          <w:p w14:paraId="050DA54C" w14:textId="77777777" w:rsidR="00656090" w:rsidRPr="004C5479" w:rsidRDefault="00656090" w:rsidP="00B5496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Źródła finansowania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0" w:type="dxa"/>
            <w:gridSpan w:val="20"/>
            <w:shd w:val="clear" w:color="auto" w:fill="FFFFFF"/>
            <w:vAlign w:val="center"/>
          </w:tcPr>
          <w:p w14:paraId="778B1665" w14:textId="77777777" w:rsidR="00656090" w:rsidRPr="00B9213C" w:rsidRDefault="00656090" w:rsidP="00B9213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 xml:space="preserve">Wejście w życie ustawy </w:t>
            </w:r>
            <w:r w:rsidR="000D15E8" w:rsidRPr="004C5479">
              <w:rPr>
                <w:rFonts w:ascii="Times New Roman" w:hAnsi="Times New Roman"/>
                <w:sz w:val="24"/>
                <w:szCs w:val="24"/>
              </w:rPr>
              <w:t xml:space="preserve">nie będzie miało 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wpływ</w:t>
            </w:r>
            <w:r w:rsidR="000D15E8" w:rsidRPr="004C5479">
              <w:rPr>
                <w:rFonts w:ascii="Times New Roman" w:hAnsi="Times New Roman"/>
                <w:sz w:val="24"/>
                <w:szCs w:val="24"/>
              </w:rPr>
              <w:t>u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 xml:space="preserve"> na sektor finansów publicznych, w tym budżet państwa i budżety jednostek samorządu terytorialnego. </w:t>
            </w:r>
          </w:p>
        </w:tc>
      </w:tr>
      <w:tr w:rsidR="00656090" w:rsidRPr="00A42CEF" w14:paraId="3F8ED4C8" w14:textId="77777777" w:rsidTr="00985B11">
        <w:trPr>
          <w:trHeight w:val="1926"/>
        </w:trPr>
        <w:tc>
          <w:tcPr>
            <w:tcW w:w="3857" w:type="dxa"/>
            <w:gridSpan w:val="5"/>
            <w:shd w:val="clear" w:color="auto" w:fill="FFFFFF"/>
          </w:tcPr>
          <w:p w14:paraId="13E92558" w14:textId="77777777" w:rsidR="00656090" w:rsidRPr="004C5479" w:rsidRDefault="00656090" w:rsidP="00B54962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eastAsia="Times New Roman" w:hAnsi="Times New Roman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7090" w:type="dxa"/>
            <w:gridSpan w:val="20"/>
            <w:shd w:val="clear" w:color="auto" w:fill="FFFFFF"/>
          </w:tcPr>
          <w:p w14:paraId="724A4AA0" w14:textId="7D9B17E2" w:rsidR="00EA070A" w:rsidRDefault="00656090" w:rsidP="00B5496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 xml:space="preserve">Proponowane rozwiązania pozwolą na wsparcie kredytobiorców, którzy </w:t>
            </w:r>
            <w:r w:rsidR="00E9616A" w:rsidRPr="004C5479">
              <w:rPr>
                <w:rFonts w:ascii="Times New Roman" w:hAnsi="Times New Roman"/>
                <w:sz w:val="24"/>
                <w:szCs w:val="24"/>
              </w:rPr>
              <w:t>borykają się z</w:t>
            </w:r>
            <w:r w:rsidR="000108ED" w:rsidRPr="004C5479">
              <w:rPr>
                <w:rFonts w:ascii="Times New Roman" w:hAnsi="Times New Roman"/>
                <w:sz w:val="24"/>
                <w:szCs w:val="24"/>
              </w:rPr>
              <w:t> </w:t>
            </w:r>
            <w:r w:rsidR="00E9616A" w:rsidRPr="004C5479">
              <w:rPr>
                <w:rFonts w:ascii="Times New Roman" w:hAnsi="Times New Roman"/>
                <w:sz w:val="24"/>
                <w:szCs w:val="24"/>
              </w:rPr>
              <w:t>trudnościami w spłacie rat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 xml:space="preserve"> kredytów</w:t>
            </w:r>
            <w:r w:rsidR="00E9616A" w:rsidRPr="004C5479">
              <w:rPr>
                <w:rFonts w:ascii="Times New Roman" w:hAnsi="Times New Roman"/>
                <w:sz w:val="24"/>
                <w:szCs w:val="24"/>
              </w:rPr>
              <w:t>.</w:t>
            </w:r>
            <w:r w:rsidR="00CA588A" w:rsidRPr="00CA5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88A">
              <w:rPr>
                <w:rFonts w:ascii="Times New Roman" w:hAnsi="Times New Roman"/>
                <w:sz w:val="24"/>
                <w:szCs w:val="24"/>
              </w:rPr>
              <w:t xml:space="preserve">Zliberalizowanie przepisów dotyczących </w:t>
            </w:r>
            <w:r w:rsidR="00CA588A" w:rsidRPr="00CA588A">
              <w:rPr>
                <w:rFonts w:ascii="Times New Roman" w:hAnsi="Times New Roman"/>
                <w:sz w:val="24"/>
                <w:szCs w:val="24"/>
              </w:rPr>
              <w:t xml:space="preserve">wykorzystania środków zgromadzonych w Funduszu Wsparcia Kredytobiorców </w:t>
            </w:r>
            <w:r w:rsidR="00CA588A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="00CA588A" w:rsidRPr="003735E7">
              <w:rPr>
                <w:rFonts w:ascii="Times New Roman" w:hAnsi="Times New Roman"/>
                <w:sz w:val="24"/>
                <w:szCs w:val="24"/>
              </w:rPr>
              <w:t>p</w:t>
            </w:r>
            <w:r w:rsidR="00E9616A" w:rsidRPr="003735E7">
              <w:rPr>
                <w:rFonts w:ascii="Times New Roman" w:hAnsi="Times New Roman"/>
                <w:sz w:val="24"/>
                <w:szCs w:val="24"/>
              </w:rPr>
              <w:t>rzedłużenie</w:t>
            </w:r>
            <w:r w:rsidR="00985B11" w:rsidRPr="003735E7">
              <w:rPr>
                <w:rFonts w:ascii="Times New Roman" w:hAnsi="Times New Roman"/>
                <w:sz w:val="24"/>
                <w:szCs w:val="24"/>
              </w:rPr>
              <w:t xml:space="preserve"> opcji skorzystania</w:t>
            </w:r>
            <w:r w:rsidR="00E9616A" w:rsidRPr="0037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5B11" w:rsidRPr="003735E7">
              <w:rPr>
                <w:rFonts w:ascii="Times New Roman" w:hAnsi="Times New Roman"/>
                <w:sz w:val="24"/>
                <w:szCs w:val="24"/>
              </w:rPr>
              <w:t xml:space="preserve">z instrumentu wsparcia kredytobiorców w formule </w:t>
            </w:r>
            <w:r w:rsidRPr="003735E7">
              <w:rPr>
                <w:rFonts w:ascii="Times New Roman" w:hAnsi="Times New Roman"/>
                <w:sz w:val="24"/>
                <w:szCs w:val="24"/>
              </w:rPr>
              <w:t xml:space="preserve">wakacji kredytowych </w:t>
            </w:r>
            <w:r w:rsidR="00985B11" w:rsidRPr="003735E7">
              <w:rPr>
                <w:rFonts w:ascii="Times New Roman" w:hAnsi="Times New Roman"/>
                <w:sz w:val="24"/>
                <w:szCs w:val="24"/>
              </w:rPr>
              <w:t>stworzy możliwość</w:t>
            </w:r>
            <w:r w:rsidRPr="0037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>obniżeni</w:t>
            </w:r>
            <w:r w:rsidR="00985B11" w:rsidRPr="003735E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rocznych kosztów obsługi </w:t>
            </w:r>
            <w:r w:rsidR="00985B11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spłacanych </w:t>
            </w: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>kredyt</w:t>
            </w:r>
            <w:r w:rsidR="00985B11" w:rsidRPr="003735E7">
              <w:rPr>
                <w:rFonts w:ascii="Times New Roman" w:eastAsia="Times New Roman" w:hAnsi="Times New Roman"/>
                <w:sz w:val="24"/>
                <w:szCs w:val="24"/>
              </w:rPr>
              <w:t>ów mieszkaniowych</w:t>
            </w:r>
            <w:r w:rsidR="003839B7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, obejmując możliwością skorzystania z tej opcji </w:t>
            </w:r>
            <w:r w:rsidR="00EA070A" w:rsidRPr="003735E7">
              <w:rPr>
                <w:rFonts w:ascii="Times New Roman" w:eastAsia="Times New Roman" w:hAnsi="Times New Roman"/>
                <w:sz w:val="24"/>
                <w:szCs w:val="24"/>
              </w:rPr>
              <w:t>ok</w:t>
            </w:r>
            <w:r w:rsidR="003839B7" w:rsidRPr="003735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070A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35E7" w:rsidRPr="003735E7">
              <w:rPr>
                <w:rFonts w:ascii="Times New Roman" w:eastAsia="Times New Roman" w:hAnsi="Times New Roman"/>
                <w:sz w:val="24"/>
                <w:szCs w:val="24"/>
              </w:rPr>
              <w:t>420 tys. umów kredytowych</w:t>
            </w:r>
            <w:r w:rsidR="003735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5BDE7D4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Średnia wartość udzielonego kredytu mieszkaniowego w okresie styczeń – listopad 2023 r. to prawie 400 tys. zł. </w:t>
            </w:r>
          </w:p>
          <w:p w14:paraId="61735A80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W 2022 r. średnia wartość udzielonego kredytu mieszkaniowego wynosiła 350 tys. zł, w 2021 r. – 335 tys. zł, a w 2020 r.  – 299 tys. zł. Kredyty mieszkaniowe udzielane są przeważnie na 30 lat.</w:t>
            </w:r>
          </w:p>
          <w:p w14:paraId="2163B9F7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Średnia wartość kredytu znajdującego się w bilansach banków to ok. 200 tys. zł, połowa tych kredytów zostanie spłaconych (mediana) wg harmonogramu za 17 lat. </w:t>
            </w:r>
          </w:p>
          <w:p w14:paraId="09E20DED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Poniżej kilka przykładowych symulacji aktualnej wartości raty, przy założeniu, że kredyt został udzielony na 30 lat z marżą 2%, stawka bazowa to WIBOR 3M.</w:t>
            </w:r>
          </w:p>
          <w:p w14:paraId="403D04BB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ab/>
              <w:t>Dla kredytu o wartości nominalnej 400 tys. zł udzielonego 30/06/2023: ok. 2 900 zł</w:t>
            </w:r>
          </w:p>
          <w:p w14:paraId="7FEB4648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ab/>
              <w:t>Dla kredytu o wartości nominalnej 350 tys. zł udzielonego 30/06/2022: ok. 2 500 zł</w:t>
            </w:r>
          </w:p>
          <w:p w14:paraId="7FF43BE0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ab/>
              <w:t>Dla kredytu o wartości nominalnej 335 tys. zł udzielonego 30/06/2021: ok. 2 400 zł</w:t>
            </w:r>
          </w:p>
          <w:p w14:paraId="57AA0D2A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ab/>
              <w:t>Dla kredytu o wartości nominalnej 299 tys. zł udzielonego 30/06/2020: ok. 2 100 zł</w:t>
            </w:r>
          </w:p>
          <w:p w14:paraId="31C7E9C9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ab/>
              <w:t>Dla typowego kredytu znajdującego się w bilansie banków to ok. 1 800 zł</w:t>
            </w:r>
          </w:p>
          <w:p w14:paraId="5F49EA72" w14:textId="77777777" w:rsidR="00B806E1" w:rsidRP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Zgodnie z danymi zawartymi w uzasadnieniu do projektu ustawy z 2015 r., która to ustawa tworzyła Fundusz Wsparcia Kredytobiorców - dla kredytu mieszkaniowego na 300 tys. zł, zaciągniętego na 30 lat w systemie rat równych, oprocentowanego według stawki WIBOR 3M - 1,65% powiększonej o 1,7% marży banku (z pominięciem opłat, prowizji kosztów dodatkowych produktów) - miesięczna rata kredytu wynosi ok. 1322 zł. Ustawa wprowadziła pomoc dla kredytobiorców w wysokości nieprzekraczającej 1500 zł.</w:t>
            </w:r>
          </w:p>
          <w:p w14:paraId="41BA517A" w14:textId="3D2CFD62" w:rsidR="00B806E1" w:rsidRDefault="00B806E1" w:rsidP="00B806E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Zatem mając na uwadze, że obecnie </w:t>
            </w:r>
            <w:r w:rsidR="00E87ABB">
              <w:rPr>
                <w:rFonts w:ascii="Times New Roman" w:eastAsia="Times New Roman" w:hAnsi="Times New Roman"/>
                <w:sz w:val="24"/>
                <w:szCs w:val="24"/>
              </w:rPr>
              <w:t xml:space="preserve">wzrasta 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>średnia miesięczna rata kredytu dla średniej wartości udzielonego kredytu mieszkaniowego wynosi 2500 zł, zasadnym jest, aby wysokość wsparcia z Funduszu</w:t>
            </w:r>
            <w:r w:rsidR="003A0F4A"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 Wsparcia Kredytobiorców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 wzrosła </w:t>
            </w:r>
            <w:r w:rsidR="00E87ABB">
              <w:rPr>
                <w:rFonts w:ascii="Times New Roman" w:eastAsia="Times New Roman" w:hAnsi="Times New Roman"/>
                <w:sz w:val="24"/>
                <w:szCs w:val="24"/>
              </w:rPr>
              <w:t>również wzrastała do kwoty</w:t>
            </w:r>
            <w:r w:rsidRPr="00B806E1">
              <w:rPr>
                <w:rFonts w:ascii="Times New Roman" w:eastAsia="Times New Roman" w:hAnsi="Times New Roman"/>
                <w:sz w:val="24"/>
                <w:szCs w:val="24"/>
              </w:rPr>
              <w:t xml:space="preserve"> 2500 zł.</w:t>
            </w:r>
          </w:p>
          <w:p w14:paraId="18C288DC" w14:textId="41F03003" w:rsidR="004E7665" w:rsidRDefault="00FA3864" w:rsidP="004E76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864">
              <w:rPr>
                <w:rFonts w:ascii="Times New Roman" w:eastAsia="Times New Roman" w:hAnsi="Times New Roman"/>
                <w:sz w:val="24"/>
                <w:szCs w:val="24"/>
              </w:rPr>
              <w:t xml:space="preserve">Należy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przyjąć, że projektowane rozwiązania nie wpłyną na zwiększenie </w:t>
            </w:r>
            <w:r w:rsidR="00961AC6">
              <w:rPr>
                <w:rFonts w:ascii="Times New Roman" w:eastAsia="Times New Roman" w:hAnsi="Times New Roman"/>
                <w:sz w:val="24"/>
                <w:szCs w:val="24"/>
              </w:rPr>
              <w:t xml:space="preserve">kosztów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funkcjonowani</w:t>
            </w:r>
            <w:r w:rsidR="0002240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Funduszu Wsparcia </w:t>
            </w:r>
            <w:r w:rsidR="001F227B">
              <w:rPr>
                <w:rFonts w:ascii="Times New Roman" w:eastAsia="Times New Roman" w:hAnsi="Times New Roman"/>
                <w:sz w:val="24"/>
                <w:szCs w:val="24"/>
              </w:rPr>
              <w:t>Kredytobiorców</w:t>
            </w:r>
            <w:r w:rsidR="004E7665">
              <w:rPr>
                <w:rFonts w:ascii="Times New Roman" w:eastAsia="Times New Roman" w:hAnsi="Times New Roman"/>
                <w:sz w:val="24"/>
                <w:szCs w:val="24"/>
              </w:rPr>
              <w:t>, ani nie wiążą się z koniecznością jego uzupełnienia przez kredytodawców</w:t>
            </w:r>
            <w:r w:rsidR="00A6698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A777CB">
              <w:rPr>
                <w:rFonts w:ascii="Times New Roman" w:eastAsia="Times New Roman" w:hAnsi="Times New Roman"/>
                <w:sz w:val="24"/>
                <w:szCs w:val="24"/>
              </w:rPr>
              <w:t>Należy zauważyć że wsparcie z Funduszu Wsparcia Kredytobiorców ma charakter zwrotny. Jednocześnie n</w:t>
            </w:r>
            <w:r w:rsidR="00A6698B" w:rsidRPr="00A6698B">
              <w:rPr>
                <w:rFonts w:ascii="Times New Roman" w:eastAsia="Times New Roman" w:hAnsi="Times New Roman"/>
                <w:sz w:val="24"/>
                <w:szCs w:val="24"/>
              </w:rPr>
              <w:t>a mocy ustawy z dnia 7 lipca 2022 r. o finansowaniu społecznościowym dla przedsięwzięć gospodarczych i pomocy kredytobiorcom, Fundusz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 xml:space="preserve"> Wsparcia Kredytobiorców</w:t>
            </w:r>
            <w:r w:rsidR="00A6698B" w:rsidRPr="00A6698B">
              <w:rPr>
                <w:rFonts w:ascii="Times New Roman" w:eastAsia="Times New Roman" w:hAnsi="Times New Roman"/>
                <w:sz w:val="24"/>
                <w:szCs w:val="24"/>
              </w:rPr>
              <w:t xml:space="preserve"> został </w:t>
            </w:r>
            <w:r w:rsidR="00A6698B">
              <w:rPr>
                <w:rFonts w:ascii="Times New Roman" w:eastAsia="Times New Roman" w:hAnsi="Times New Roman"/>
                <w:sz w:val="24"/>
                <w:szCs w:val="24"/>
              </w:rPr>
              <w:t xml:space="preserve">bowiem </w:t>
            </w:r>
            <w:r w:rsidR="00A6698B" w:rsidRPr="00A6698B">
              <w:rPr>
                <w:rFonts w:ascii="Times New Roman" w:eastAsia="Times New Roman" w:hAnsi="Times New Roman"/>
                <w:sz w:val="24"/>
                <w:szCs w:val="24"/>
              </w:rPr>
              <w:t>zasilony dodatkowo kwotą 1,4 mld zł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777CB">
              <w:rPr>
                <w:rFonts w:ascii="Times New Roman" w:eastAsia="Times New Roman" w:hAnsi="Times New Roman"/>
                <w:sz w:val="24"/>
                <w:szCs w:val="24"/>
              </w:rPr>
              <w:t xml:space="preserve"> do łącznej kwoty 2 mld złotych. Na chwilę obecną, po półtora roku obowiązywania przepisów 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 xml:space="preserve">jest w nim zgromadzone </w:t>
            </w:r>
            <w:r w:rsidR="00A777CB">
              <w:rPr>
                <w:rFonts w:ascii="Times New Roman" w:eastAsia="Times New Roman" w:hAnsi="Times New Roman"/>
                <w:sz w:val="24"/>
                <w:szCs w:val="24"/>
              </w:rPr>
              <w:t>ponad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1F31" w:rsidRPr="00981F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81F31" w:rsidRPr="00981F3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 xml:space="preserve"> mld </w:t>
            </w:r>
            <w:r w:rsidR="00981F31" w:rsidRPr="00981F31">
              <w:rPr>
                <w:rFonts w:ascii="Times New Roman" w:eastAsia="Times New Roman" w:hAnsi="Times New Roman"/>
                <w:sz w:val="24"/>
                <w:szCs w:val="24"/>
              </w:rPr>
              <w:t>złotych</w:t>
            </w:r>
            <w:r w:rsidR="00981F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1DDC08" w14:textId="0AA577D4" w:rsidR="00656090" w:rsidRPr="004C5479" w:rsidRDefault="00594937" w:rsidP="00B5496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Jednocześnie w</w:t>
            </w:r>
            <w:r w:rsidR="00B54962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ocenie UKNF ł</w:t>
            </w:r>
            <w:r w:rsidR="005050A1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ączna wartość kredytów do objęcia wakacjami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kredytowymi </w:t>
            </w:r>
            <w:r w:rsidR="005050A1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(kwota do spłaty) </w:t>
            </w:r>
            <w:r w:rsidR="00B54962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może </w:t>
            </w: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>wyn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ieść</w:t>
            </w:r>
            <w:r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6090" w:rsidRPr="003735E7">
              <w:rPr>
                <w:rFonts w:ascii="Times New Roman" w:eastAsia="Times New Roman" w:hAnsi="Times New Roman"/>
                <w:sz w:val="24"/>
                <w:szCs w:val="24"/>
              </w:rPr>
              <w:t>ok</w:t>
            </w:r>
            <w:r w:rsidR="00FF519F" w:rsidRPr="003735E7">
              <w:rPr>
                <w:rFonts w:ascii="Times New Roman" w:eastAsia="Times New Roman" w:hAnsi="Times New Roman"/>
                <w:sz w:val="24"/>
                <w:szCs w:val="24"/>
              </w:rPr>
              <w:t xml:space="preserve"> 120</w:t>
            </w:r>
            <w:r w:rsidR="00FF519F" w:rsidRPr="003735E7" w:rsidDel="00FF5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519F" w:rsidRPr="003735E7">
              <w:rPr>
                <w:rFonts w:ascii="Times New Roman" w:eastAsia="Times New Roman" w:hAnsi="Times New Roman"/>
                <w:sz w:val="24"/>
                <w:szCs w:val="24"/>
              </w:rPr>
              <w:t>mld zł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a liczba uprawnionych kredytów to 420 tys. zł</w:t>
            </w:r>
            <w:r w:rsidR="00FF519F" w:rsidRPr="003735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56090" w:rsidRPr="00A42CEF" w14:paraId="58355252" w14:textId="77777777" w:rsidTr="00B54962">
        <w:trPr>
          <w:trHeight w:val="345"/>
        </w:trPr>
        <w:tc>
          <w:tcPr>
            <w:tcW w:w="10947" w:type="dxa"/>
            <w:gridSpan w:val="25"/>
            <w:shd w:val="clear" w:color="auto" w:fill="99CCFF"/>
          </w:tcPr>
          <w:p w14:paraId="6585C722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 xml:space="preserve">Wpływ na </w:t>
            </w: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56090" w:rsidRPr="00A42CEF" w14:paraId="7BEE6A83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FFFFFF"/>
          </w:tcPr>
          <w:p w14:paraId="10A3EE02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656090" w:rsidRPr="00A42CEF" w14:paraId="532D6B7D" w14:textId="77777777" w:rsidTr="004C5479">
        <w:trPr>
          <w:trHeight w:val="142"/>
        </w:trPr>
        <w:tc>
          <w:tcPr>
            <w:tcW w:w="3857" w:type="dxa"/>
            <w:gridSpan w:val="5"/>
            <w:shd w:val="clear" w:color="auto" w:fill="FFFFFF"/>
          </w:tcPr>
          <w:p w14:paraId="04790EBE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47" w:type="dxa"/>
            <w:gridSpan w:val="3"/>
            <w:shd w:val="clear" w:color="auto" w:fill="FFFFFF"/>
          </w:tcPr>
          <w:p w14:paraId="333738E9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3"/>
            <w:shd w:val="clear" w:color="auto" w:fill="FFFFFF"/>
          </w:tcPr>
          <w:p w14:paraId="688F0AB9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4"/>
            <w:shd w:val="clear" w:color="auto" w:fill="FFFFFF"/>
          </w:tcPr>
          <w:p w14:paraId="529B515E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4"/>
            <w:shd w:val="clear" w:color="auto" w:fill="FFFFFF"/>
          </w:tcPr>
          <w:p w14:paraId="2B8D6E26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gridSpan w:val="2"/>
            <w:shd w:val="clear" w:color="auto" w:fill="FFFFFF"/>
          </w:tcPr>
          <w:p w14:paraId="6BC769F7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3"/>
            <w:shd w:val="clear" w:color="auto" w:fill="FFFFFF"/>
          </w:tcPr>
          <w:p w14:paraId="5C39117B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FFFFFF"/>
          </w:tcPr>
          <w:p w14:paraId="14607321" w14:textId="77777777" w:rsidR="00656090" w:rsidRPr="004C5479" w:rsidRDefault="00656090" w:rsidP="00331C90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4C5479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4C547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4C5479" w:rsidRPr="00A42CEF" w14:paraId="133622D4" w14:textId="77777777" w:rsidTr="004C5479">
        <w:trPr>
          <w:trHeight w:val="142"/>
        </w:trPr>
        <w:tc>
          <w:tcPr>
            <w:tcW w:w="1731" w:type="dxa"/>
            <w:vMerge w:val="restart"/>
            <w:shd w:val="clear" w:color="auto" w:fill="FFFFFF"/>
          </w:tcPr>
          <w:p w14:paraId="10818496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53C830BA" w14:textId="77777777" w:rsidR="00656090" w:rsidRPr="004C5479" w:rsidRDefault="00656090" w:rsidP="00331C9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42023F4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6B42CD0D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47" w:type="dxa"/>
            <w:gridSpan w:val="3"/>
            <w:shd w:val="clear" w:color="auto" w:fill="FFFFFF"/>
          </w:tcPr>
          <w:p w14:paraId="7CC15D6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21288DF0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2BD9E41D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shd w:val="clear" w:color="auto" w:fill="FFFFFF"/>
          </w:tcPr>
          <w:p w14:paraId="611101A7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FFFFFF"/>
          </w:tcPr>
          <w:p w14:paraId="64794AB1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14:paraId="1C335F24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FFFFF"/>
          </w:tcPr>
          <w:p w14:paraId="79D59EB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C5479" w:rsidRPr="00A42CEF" w14:paraId="3CEDC63D" w14:textId="77777777" w:rsidTr="004C5479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1EE2E4C7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016F5DE5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47" w:type="dxa"/>
            <w:gridSpan w:val="3"/>
            <w:shd w:val="clear" w:color="auto" w:fill="FFFFFF"/>
          </w:tcPr>
          <w:p w14:paraId="2871C521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2FA4398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4A402B1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shd w:val="clear" w:color="auto" w:fill="FFFFFF"/>
          </w:tcPr>
          <w:p w14:paraId="1AC25CF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FFFFFF"/>
          </w:tcPr>
          <w:p w14:paraId="2D759A6B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14:paraId="13B1CC2C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FFFFF"/>
          </w:tcPr>
          <w:p w14:paraId="26F26A8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C5479" w:rsidRPr="00A42CEF" w14:paraId="50B6A6C9" w14:textId="77777777" w:rsidTr="004C5479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08DADC0B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4F384938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47" w:type="dxa"/>
            <w:gridSpan w:val="3"/>
            <w:shd w:val="clear" w:color="auto" w:fill="FFFFFF"/>
          </w:tcPr>
          <w:p w14:paraId="3D5DBE2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shd w:val="clear" w:color="auto" w:fill="FFFFFF"/>
          </w:tcPr>
          <w:p w14:paraId="50551C6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FFFFFF"/>
          </w:tcPr>
          <w:p w14:paraId="6C2FC91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shd w:val="clear" w:color="auto" w:fill="FFFFFF"/>
          </w:tcPr>
          <w:p w14:paraId="0042C5F0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shd w:val="clear" w:color="auto" w:fill="FFFFFF"/>
          </w:tcPr>
          <w:p w14:paraId="1CB0336C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FFFFFF"/>
          </w:tcPr>
          <w:p w14:paraId="2EB188A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FFFFF"/>
          </w:tcPr>
          <w:p w14:paraId="6BD475C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56090" w:rsidRPr="00A42CEF" w14:paraId="643BA8D7" w14:textId="77777777" w:rsidTr="004C5479">
        <w:trPr>
          <w:trHeight w:val="142"/>
        </w:trPr>
        <w:tc>
          <w:tcPr>
            <w:tcW w:w="1731" w:type="dxa"/>
            <w:vMerge w:val="restart"/>
            <w:shd w:val="clear" w:color="auto" w:fill="FFFFFF"/>
          </w:tcPr>
          <w:p w14:paraId="0A294B0F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26" w:type="dxa"/>
            <w:gridSpan w:val="4"/>
            <w:shd w:val="clear" w:color="auto" w:fill="FFFFFF"/>
          </w:tcPr>
          <w:p w14:paraId="6D31305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90" w:type="dxa"/>
            <w:gridSpan w:val="20"/>
            <w:shd w:val="clear" w:color="auto" w:fill="FFFFFF"/>
          </w:tcPr>
          <w:p w14:paraId="1318C57D" w14:textId="08F2B931" w:rsidR="00656090" w:rsidRPr="004C5479" w:rsidRDefault="006E0125" w:rsidP="00A142D8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Według szac</w:t>
            </w:r>
            <w:r w:rsidR="00AB411D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unków przygotowanych w oparciu o dane </w:t>
            </w:r>
            <w:r w:rsidR="007F5E61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UKNF</w:t>
            </w:r>
            <w:r w:rsidR="00A142D8">
              <w:t xml:space="preserve"> 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</w:t>
            </w:r>
            <w:r w:rsidR="00A142D8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aksymalny koszt roczny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przy założeniu</w:t>
            </w:r>
            <w:r w:rsidR="005949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że z instrumentu skorzysta </w:t>
            </w:r>
            <w:r w:rsidR="00A142D8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100% uprawnionych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to</w:t>
            </w:r>
            <w:r w:rsidR="00A142D8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3,6 mld zł.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Jednocześnie przy założeniu że z wakacji kredytowych skorzysta analogiczny odsetek uprawnionych jak z</w:t>
            </w:r>
            <w:r w:rsidR="00A142D8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poprzednich wakacji</w:t>
            </w:r>
            <w:r w:rsid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kredytowych szacuje się koszt na poziomie</w:t>
            </w:r>
            <w:r w:rsidR="00A142D8" w:rsidRPr="00A142D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2,5 mld zł.</w:t>
            </w:r>
          </w:p>
          <w:p w14:paraId="385D0954" w14:textId="5DDC859E" w:rsidR="00C6509C" w:rsidRPr="004C5479" w:rsidRDefault="00C6509C" w:rsidP="00B54962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 xml:space="preserve">Łączny koszt dotychczasowych wakacji kredytowych ujęty w wyniku finansowym </w:t>
            </w:r>
            <w:r w:rsidR="00A142D8" w:rsidRPr="004C5479">
              <w:rPr>
                <w:rFonts w:ascii="Times New Roman" w:hAnsi="Times New Roman"/>
                <w:sz w:val="24"/>
                <w:szCs w:val="24"/>
              </w:rPr>
              <w:t>bank</w:t>
            </w:r>
            <w:r w:rsidR="00A142D8">
              <w:rPr>
                <w:rFonts w:ascii="Times New Roman" w:hAnsi="Times New Roman"/>
                <w:sz w:val="24"/>
                <w:szCs w:val="24"/>
              </w:rPr>
              <w:t>ów</w:t>
            </w:r>
            <w:r w:rsidR="00A142D8" w:rsidRPr="004C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i/lub kapitałach wynosił 12</w:t>
            </w:r>
            <w:r w:rsidR="00A142D8">
              <w:rPr>
                <w:rFonts w:ascii="Times New Roman" w:hAnsi="Times New Roman"/>
                <w:sz w:val="24"/>
                <w:szCs w:val="24"/>
              </w:rPr>
              <w:t>,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8 ml</w:t>
            </w:r>
            <w:r w:rsidR="00A142D8">
              <w:rPr>
                <w:rFonts w:ascii="Times New Roman" w:hAnsi="Times New Roman"/>
                <w:sz w:val="24"/>
                <w:szCs w:val="24"/>
              </w:rPr>
              <w:t>d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 xml:space="preserve"> zł na dzień 30 września 2023 r.</w:t>
            </w:r>
          </w:p>
        </w:tc>
      </w:tr>
      <w:tr w:rsidR="00656090" w:rsidRPr="00A42CEF" w14:paraId="08FE7C5F" w14:textId="77777777" w:rsidTr="004C5479">
        <w:trPr>
          <w:trHeight w:val="142"/>
        </w:trPr>
        <w:tc>
          <w:tcPr>
            <w:tcW w:w="1731" w:type="dxa"/>
            <w:vMerge/>
            <w:shd w:val="clear" w:color="auto" w:fill="FFFFFF"/>
          </w:tcPr>
          <w:p w14:paraId="5FC92B54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43900C95" w14:textId="77777777" w:rsidR="00656090" w:rsidRPr="004C5479" w:rsidRDefault="00656090" w:rsidP="00331C90">
            <w:pPr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90" w:type="dxa"/>
            <w:gridSpan w:val="20"/>
            <w:shd w:val="clear" w:color="auto" w:fill="FFFFFF"/>
          </w:tcPr>
          <w:p w14:paraId="083F8C85" w14:textId="77777777" w:rsidR="00656090" w:rsidRPr="004C5479" w:rsidRDefault="00656090" w:rsidP="00F306A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090" w:rsidRPr="00A42CEF" w14:paraId="05A5B26C" w14:textId="77777777" w:rsidTr="004C5479">
        <w:trPr>
          <w:trHeight w:val="596"/>
        </w:trPr>
        <w:tc>
          <w:tcPr>
            <w:tcW w:w="1731" w:type="dxa"/>
            <w:vMerge/>
            <w:shd w:val="clear" w:color="auto" w:fill="FFFFFF"/>
          </w:tcPr>
          <w:p w14:paraId="25F608E1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FFFFFF"/>
          </w:tcPr>
          <w:p w14:paraId="6ABF5456" w14:textId="77777777" w:rsidR="00656090" w:rsidRPr="004C5479" w:rsidRDefault="00656090" w:rsidP="00331C90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 xml:space="preserve">rodzina, obywatele oraz gospodarstwa domowe </w:t>
            </w:r>
          </w:p>
        </w:tc>
        <w:tc>
          <w:tcPr>
            <w:tcW w:w="7090" w:type="dxa"/>
            <w:gridSpan w:val="20"/>
            <w:shd w:val="clear" w:color="auto" w:fill="FFFFFF"/>
          </w:tcPr>
          <w:p w14:paraId="491354B6" w14:textId="77777777" w:rsidR="00656090" w:rsidRPr="004C5479" w:rsidRDefault="00656090" w:rsidP="00F306A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z w:val="24"/>
                <w:szCs w:val="24"/>
              </w:rPr>
              <w:t>Wejście w życie ustawy będzie miało wpływ na sytuację ekonomiczną i społeczną rodziny</w:t>
            </w:r>
            <w:r w:rsidR="00D63181" w:rsidRPr="004C5479">
              <w:rPr>
                <w:rFonts w:ascii="Times New Roman" w:hAnsi="Times New Roman"/>
                <w:sz w:val="24"/>
                <w:szCs w:val="24"/>
              </w:rPr>
              <w:t xml:space="preserve"> – obywateli 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(wpłynie na konsumentów</w:t>
            </w:r>
            <w:r w:rsidR="00D63181" w:rsidRPr="004C5479">
              <w:rPr>
                <w:rFonts w:ascii="Times New Roman" w:hAnsi="Times New Roman"/>
                <w:sz w:val="24"/>
                <w:szCs w:val="24"/>
              </w:rPr>
              <w:t>/kredytobiorców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, będąc</w:t>
            </w:r>
            <w:r w:rsidR="00D63181" w:rsidRPr="004C5479">
              <w:rPr>
                <w:rFonts w:ascii="Times New Roman" w:hAnsi="Times New Roman"/>
                <w:sz w:val="24"/>
                <w:szCs w:val="24"/>
              </w:rPr>
              <w:t>ych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 xml:space="preserve"> stroną umowy </w:t>
            </w:r>
            <w:r w:rsidR="00D63181" w:rsidRPr="004C5479">
              <w:rPr>
                <w:rFonts w:ascii="Times New Roman" w:hAnsi="Times New Roman"/>
                <w:sz w:val="24"/>
                <w:szCs w:val="24"/>
              </w:rPr>
              <w:t>o kredyt hipoteczny</w:t>
            </w:r>
            <w:r w:rsidRPr="004C547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56090" w:rsidRPr="00A42CEF" w14:paraId="75F84E84" w14:textId="77777777" w:rsidTr="00985B11">
        <w:trPr>
          <w:trHeight w:val="1105"/>
        </w:trPr>
        <w:tc>
          <w:tcPr>
            <w:tcW w:w="3857" w:type="dxa"/>
            <w:gridSpan w:val="5"/>
            <w:shd w:val="clear" w:color="auto" w:fill="FFFFFF"/>
          </w:tcPr>
          <w:p w14:paraId="40BA86B7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7090" w:type="dxa"/>
            <w:gridSpan w:val="20"/>
            <w:shd w:val="clear" w:color="auto" w:fill="FFFFFF"/>
            <w:vAlign w:val="center"/>
          </w:tcPr>
          <w:p w14:paraId="4ECEFE22" w14:textId="77777777" w:rsidR="00656090" w:rsidRPr="004C5479" w:rsidRDefault="00656090" w:rsidP="00331C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6090" w:rsidRPr="00A42CEF" w14:paraId="76BB1BC3" w14:textId="77777777" w:rsidTr="00B54962">
        <w:trPr>
          <w:trHeight w:val="342"/>
        </w:trPr>
        <w:tc>
          <w:tcPr>
            <w:tcW w:w="10947" w:type="dxa"/>
            <w:gridSpan w:val="25"/>
            <w:shd w:val="clear" w:color="auto" w:fill="99CCFF"/>
            <w:vAlign w:val="center"/>
          </w:tcPr>
          <w:p w14:paraId="51E91AEF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656090" w:rsidRPr="00A42CEF" w14:paraId="3C7099D0" w14:textId="77777777" w:rsidTr="00B54962">
        <w:trPr>
          <w:trHeight w:val="151"/>
        </w:trPr>
        <w:tc>
          <w:tcPr>
            <w:tcW w:w="10947" w:type="dxa"/>
            <w:gridSpan w:val="25"/>
            <w:shd w:val="clear" w:color="auto" w:fill="FFFFFF"/>
          </w:tcPr>
          <w:p w14:paraId="0324F8FC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3E13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656090" w:rsidRPr="00A42CEF" w14:paraId="64B6967C" w14:textId="77777777" w:rsidTr="004C5479">
        <w:trPr>
          <w:trHeight w:val="946"/>
        </w:trPr>
        <w:tc>
          <w:tcPr>
            <w:tcW w:w="5072" w:type="dxa"/>
            <w:gridSpan w:val="9"/>
            <w:shd w:val="clear" w:color="auto" w:fill="FFFFFF"/>
          </w:tcPr>
          <w:p w14:paraId="46C9983B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75" w:type="dxa"/>
            <w:gridSpan w:val="16"/>
            <w:shd w:val="clear" w:color="auto" w:fill="FFFFFF"/>
          </w:tcPr>
          <w:p w14:paraId="3EE1EDD8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3E13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7C6E4C36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2E6E9E2B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656090" w:rsidRPr="00A42CEF" w14:paraId="16D40B54" w14:textId="77777777" w:rsidTr="00985B11">
        <w:trPr>
          <w:trHeight w:val="1303"/>
        </w:trPr>
        <w:tc>
          <w:tcPr>
            <w:tcW w:w="5072" w:type="dxa"/>
            <w:gridSpan w:val="9"/>
            <w:shd w:val="clear" w:color="auto" w:fill="FFFFFF"/>
          </w:tcPr>
          <w:p w14:paraId="4BB7FC19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6C4F17E2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315419E9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0272CD33" w14:textId="77777777" w:rsidR="00656090" w:rsidRPr="004C5479" w:rsidRDefault="00F668B6" w:rsidP="00331C90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875" w:type="dxa"/>
            <w:gridSpan w:val="16"/>
            <w:shd w:val="clear" w:color="auto" w:fill="FFFFFF"/>
          </w:tcPr>
          <w:p w14:paraId="0936D0EF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16FA052B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10A510C4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2780E4BE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56090" w:rsidRPr="00A42CEF" w14:paraId="2D93FA9E" w14:textId="77777777" w:rsidTr="004C5479">
        <w:trPr>
          <w:trHeight w:val="913"/>
        </w:trPr>
        <w:tc>
          <w:tcPr>
            <w:tcW w:w="5072" w:type="dxa"/>
            <w:gridSpan w:val="9"/>
            <w:shd w:val="clear" w:color="auto" w:fill="FFFFFF"/>
          </w:tcPr>
          <w:p w14:paraId="5FC35D7C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75" w:type="dxa"/>
            <w:gridSpan w:val="16"/>
            <w:shd w:val="clear" w:color="auto" w:fill="FFFFFF"/>
          </w:tcPr>
          <w:p w14:paraId="64E63693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6EC8835C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D645816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687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656090" w:rsidRPr="00A42CEF" w14:paraId="6ECAD17F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210242D6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656090" w:rsidRPr="00A42CEF" w14:paraId="4570E8FC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auto"/>
          </w:tcPr>
          <w:p w14:paraId="75D3F975" w14:textId="77777777" w:rsidR="004C5479" w:rsidRPr="004C5479" w:rsidRDefault="004C5479" w:rsidP="00331C90">
            <w:pPr>
              <w:jc w:val="both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6015F550" w14:textId="77777777" w:rsidR="004C5479" w:rsidRPr="00985B11" w:rsidRDefault="00656090" w:rsidP="00331C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Wejście w życie ustawy nie wpłynie na rynek pracy.</w:t>
            </w:r>
          </w:p>
        </w:tc>
      </w:tr>
      <w:tr w:rsidR="00656090" w:rsidRPr="00A42CEF" w14:paraId="79E2EB50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17A6ED1B" w14:textId="77777777" w:rsidR="00656090" w:rsidRPr="00A42CEF" w:rsidRDefault="00656090" w:rsidP="00331C9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2C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656090" w:rsidRPr="00A42CEF" w14:paraId="45C85FE1" w14:textId="77777777" w:rsidTr="00985B11">
        <w:trPr>
          <w:trHeight w:val="1031"/>
        </w:trPr>
        <w:tc>
          <w:tcPr>
            <w:tcW w:w="3857" w:type="dxa"/>
            <w:gridSpan w:val="5"/>
            <w:shd w:val="clear" w:color="auto" w:fill="FFFFFF"/>
          </w:tcPr>
          <w:p w14:paraId="116A5959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F2536B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66771087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00C1F106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02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spacing w:val="-2"/>
                <w:sz w:val="24"/>
                <w:szCs w:val="24"/>
              </w:rPr>
              <w:t>sądy powszechne, administracyjne lub wojskowe</w:t>
            </w:r>
          </w:p>
        </w:tc>
        <w:tc>
          <w:tcPr>
            <w:tcW w:w="3366" w:type="dxa"/>
            <w:gridSpan w:val="12"/>
            <w:shd w:val="clear" w:color="auto" w:fill="FFFFFF"/>
          </w:tcPr>
          <w:p w14:paraId="2B482ED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391E9C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2958105E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  <w:p w14:paraId="32789F22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656090" w:rsidRPr="004C547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587DA74A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87B276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5BD642AA" w14:textId="77777777" w:rsidR="00656090" w:rsidRPr="004C5479" w:rsidRDefault="00F668B6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64786B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656090"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6090"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656090" w:rsidRPr="00A42CEF" w14:paraId="758DB90F" w14:textId="77777777" w:rsidTr="00985B11">
        <w:trPr>
          <w:trHeight w:val="404"/>
        </w:trPr>
        <w:tc>
          <w:tcPr>
            <w:tcW w:w="3857" w:type="dxa"/>
            <w:gridSpan w:val="5"/>
            <w:shd w:val="clear" w:color="auto" w:fill="FFFFFF"/>
            <w:vAlign w:val="center"/>
          </w:tcPr>
          <w:p w14:paraId="331318B3" w14:textId="77777777" w:rsidR="00656090" w:rsidRPr="004C5479" w:rsidRDefault="00656090" w:rsidP="00331C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7090" w:type="dxa"/>
            <w:gridSpan w:val="20"/>
            <w:shd w:val="clear" w:color="auto" w:fill="FFFFFF"/>
            <w:vAlign w:val="center"/>
          </w:tcPr>
          <w:p w14:paraId="7EA75C52" w14:textId="77777777" w:rsidR="00656090" w:rsidRPr="004C5479" w:rsidRDefault="00656090" w:rsidP="00331C9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56090" w:rsidRPr="00A42CEF" w14:paraId="293DECE6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59017DA4" w14:textId="77777777" w:rsidR="00656090" w:rsidRPr="004C5479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656090" w:rsidRPr="00A42CEF" w14:paraId="0F850086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FFFFFF"/>
          </w:tcPr>
          <w:p w14:paraId="47B5F1BF" w14:textId="77777777" w:rsidR="004C5479" w:rsidRPr="004C5479" w:rsidRDefault="004C5479" w:rsidP="00331C90">
            <w:pPr>
              <w:jc w:val="both"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 w14:paraId="2A07FD16" w14:textId="77777777" w:rsidR="00656090" w:rsidRPr="004C5479" w:rsidRDefault="00656090" w:rsidP="00331C9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Termin wejścia w życie projektowanej ustawy został wyznaczony </w:t>
            </w:r>
            <w:r w:rsidR="00767B12" w:rsidRPr="004C54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na </w:t>
            </w:r>
            <w:r w:rsidR="00B9213C">
              <w:rPr>
                <w:rFonts w:ascii="Times New Roman" w:hAnsi="Times New Roman"/>
                <w:spacing w:val="-2"/>
                <w:sz w:val="24"/>
                <w:szCs w:val="24"/>
              </w:rPr>
              <w:t>I kwartał 2024 r.</w:t>
            </w:r>
          </w:p>
        </w:tc>
      </w:tr>
      <w:tr w:rsidR="00656090" w:rsidRPr="00A42CEF" w14:paraId="34A271FF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7C71CBC0" w14:textId="77777777" w:rsidR="00656090" w:rsidRPr="004C5479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4C547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656090" w:rsidRPr="00A42CEF" w14:paraId="747604D8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FFFFFF"/>
          </w:tcPr>
          <w:p w14:paraId="56FC172E" w14:textId="77777777" w:rsidR="004C5479" w:rsidRPr="004C5479" w:rsidRDefault="004C5479" w:rsidP="00331C90">
            <w:pPr>
              <w:jc w:val="both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  <w:p w14:paraId="20122DDC" w14:textId="77777777" w:rsidR="00656090" w:rsidRPr="004C5479" w:rsidRDefault="00630A54" w:rsidP="00331C9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Możliwość monitorowania stopnia wykorzystania </w:t>
            </w:r>
            <w:r w:rsidR="00B921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wsparcia z Funduszu Wsparcia Kredytobiorców przez BGK oraz </w:t>
            </w: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wakacji kredytowych przez KNF. </w:t>
            </w:r>
          </w:p>
        </w:tc>
      </w:tr>
      <w:tr w:rsidR="00656090" w:rsidRPr="00A42CEF" w14:paraId="437DCA4E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99CCFF"/>
          </w:tcPr>
          <w:p w14:paraId="6EA4CDF3" w14:textId="77777777" w:rsidR="00656090" w:rsidRPr="004C5479" w:rsidRDefault="00656090" w:rsidP="00331C9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4C547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4C547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656090" w:rsidRPr="00A42CEF" w14:paraId="5DD8EAC3" w14:textId="77777777" w:rsidTr="00B54962">
        <w:trPr>
          <w:trHeight w:val="142"/>
        </w:trPr>
        <w:tc>
          <w:tcPr>
            <w:tcW w:w="10947" w:type="dxa"/>
            <w:gridSpan w:val="25"/>
            <w:shd w:val="clear" w:color="auto" w:fill="FFFFFF"/>
          </w:tcPr>
          <w:p w14:paraId="4BC6E2E2" w14:textId="77777777" w:rsidR="004C5479" w:rsidRPr="004C5479" w:rsidRDefault="004C5479" w:rsidP="00331C90">
            <w:pPr>
              <w:jc w:val="both"/>
              <w:rPr>
                <w:rFonts w:ascii="Times New Roman" w:hAnsi="Times New Roman"/>
                <w:color w:val="000000"/>
                <w:spacing w:val="-2"/>
                <w:sz w:val="12"/>
                <w:szCs w:val="12"/>
              </w:rPr>
            </w:pPr>
          </w:p>
          <w:p w14:paraId="27FADC0F" w14:textId="77777777" w:rsidR="00656090" w:rsidRPr="004C5479" w:rsidRDefault="00656090" w:rsidP="00331C90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C547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Brak. </w:t>
            </w:r>
          </w:p>
        </w:tc>
      </w:tr>
    </w:tbl>
    <w:p w14:paraId="65B32756" w14:textId="77777777" w:rsidR="006176ED" w:rsidRPr="00A42CEF" w:rsidRDefault="006176ED" w:rsidP="004C5479">
      <w:pPr>
        <w:rPr>
          <w:rFonts w:ascii="Times New Roman" w:hAnsi="Times New Roman"/>
          <w:sz w:val="24"/>
          <w:szCs w:val="24"/>
        </w:rPr>
      </w:pPr>
    </w:p>
    <w:sectPr w:rsidR="006176ED" w:rsidRPr="00A42CEF" w:rsidSect="00985B11">
      <w:pgSz w:w="11906" w:h="16838"/>
      <w:pgMar w:top="568" w:right="707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637D" w14:textId="77777777" w:rsidR="0064786B" w:rsidRDefault="0064786B" w:rsidP="00044739">
      <w:pPr>
        <w:spacing w:line="240" w:lineRule="auto"/>
      </w:pPr>
      <w:r>
        <w:separator/>
      </w:r>
    </w:p>
  </w:endnote>
  <w:endnote w:type="continuationSeparator" w:id="0">
    <w:p w14:paraId="5E3EF939" w14:textId="77777777" w:rsidR="0064786B" w:rsidRDefault="0064786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E066" w14:textId="77777777" w:rsidR="0064786B" w:rsidRDefault="0064786B" w:rsidP="00044739">
      <w:pPr>
        <w:spacing w:line="240" w:lineRule="auto"/>
      </w:pPr>
      <w:r>
        <w:separator/>
      </w:r>
    </w:p>
  </w:footnote>
  <w:footnote w:type="continuationSeparator" w:id="0">
    <w:p w14:paraId="79582F6A" w14:textId="77777777" w:rsidR="0064786B" w:rsidRDefault="0064786B" w:rsidP="00044739">
      <w:pPr>
        <w:spacing w:line="240" w:lineRule="auto"/>
      </w:pPr>
      <w:r>
        <w:continuationSeparator/>
      </w:r>
    </w:p>
  </w:footnote>
  <w:footnote w:id="1">
    <w:p w14:paraId="550E42E3" w14:textId="77777777" w:rsidR="00B71E92" w:rsidRDefault="00B71E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62">
        <w:rPr>
          <w:rFonts w:ascii="Times New Roman" w:hAnsi="Times New Roman"/>
          <w:spacing w:val="-2"/>
          <w:sz w:val="18"/>
          <w:szCs w:val="18"/>
        </w:rPr>
        <w:t>https://eur-lex.europa.eu/legal-content/EN/TXT/PDF/?uri=CELEX:52023AB0008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E3E"/>
    <w:multiLevelType w:val="hybridMultilevel"/>
    <w:tmpl w:val="41303928"/>
    <w:lvl w:ilvl="0" w:tplc="8F9A6F88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7FE"/>
    <w:multiLevelType w:val="hybridMultilevel"/>
    <w:tmpl w:val="81F2A69E"/>
    <w:lvl w:ilvl="0" w:tplc="8F9A6F88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471"/>
    <w:multiLevelType w:val="hybridMultilevel"/>
    <w:tmpl w:val="947A7D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98123F"/>
    <w:multiLevelType w:val="hybridMultilevel"/>
    <w:tmpl w:val="67386C02"/>
    <w:lvl w:ilvl="0" w:tplc="8F9A6F88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447D"/>
    <w:multiLevelType w:val="hybridMultilevel"/>
    <w:tmpl w:val="8F3C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D7F669A"/>
    <w:multiLevelType w:val="hybridMultilevel"/>
    <w:tmpl w:val="B7EC682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C2444F9"/>
    <w:multiLevelType w:val="hybridMultilevel"/>
    <w:tmpl w:val="DE7CE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0538"/>
    <w:multiLevelType w:val="hybridMultilevel"/>
    <w:tmpl w:val="B6544E2C"/>
    <w:lvl w:ilvl="0" w:tplc="8F9A6F88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8863297"/>
    <w:multiLevelType w:val="hybridMultilevel"/>
    <w:tmpl w:val="17020DB0"/>
    <w:lvl w:ilvl="0" w:tplc="8F9A6F88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E182F"/>
    <w:multiLevelType w:val="hybridMultilevel"/>
    <w:tmpl w:val="29F0458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025F6B"/>
    <w:multiLevelType w:val="hybridMultilevel"/>
    <w:tmpl w:val="8942095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5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21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26"/>
  </w:num>
  <w:num w:numId="15">
    <w:abstractNumId w:val="22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23"/>
  </w:num>
  <w:num w:numId="21">
    <w:abstractNumId w:val="8"/>
  </w:num>
  <w:num w:numId="22">
    <w:abstractNumId w:val="27"/>
  </w:num>
  <w:num w:numId="23">
    <w:abstractNumId w:val="3"/>
  </w:num>
  <w:num w:numId="24">
    <w:abstractNumId w:val="11"/>
  </w:num>
  <w:num w:numId="25">
    <w:abstractNumId w:val="0"/>
  </w:num>
  <w:num w:numId="26">
    <w:abstractNumId w:val="20"/>
  </w:num>
  <w:num w:numId="27">
    <w:abstractNumId w:val="12"/>
  </w:num>
  <w:num w:numId="28">
    <w:abstractNumId w:val="16"/>
  </w:num>
  <w:num w:numId="29">
    <w:abstractNumId w:val="30"/>
  </w:num>
  <w:num w:numId="30">
    <w:abstractNumId w:val="19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74"/>
    <w:rsid w:val="000008E5"/>
    <w:rsid w:val="00001181"/>
    <w:rsid w:val="000013C1"/>
    <w:rsid w:val="000015EE"/>
    <w:rsid w:val="00001EDC"/>
    <w:rsid w:val="000022D5"/>
    <w:rsid w:val="000032D8"/>
    <w:rsid w:val="00003DCE"/>
    <w:rsid w:val="00004C6A"/>
    <w:rsid w:val="000108ED"/>
    <w:rsid w:val="00012930"/>
    <w:rsid w:val="00012D11"/>
    <w:rsid w:val="00013EB5"/>
    <w:rsid w:val="00022402"/>
    <w:rsid w:val="00022479"/>
    <w:rsid w:val="00023836"/>
    <w:rsid w:val="00031D08"/>
    <w:rsid w:val="00035175"/>
    <w:rsid w:val="000356A9"/>
    <w:rsid w:val="00044138"/>
    <w:rsid w:val="00044739"/>
    <w:rsid w:val="00051637"/>
    <w:rsid w:val="00051E51"/>
    <w:rsid w:val="00056681"/>
    <w:rsid w:val="00061D71"/>
    <w:rsid w:val="000648A7"/>
    <w:rsid w:val="00065FC5"/>
    <w:rsid w:val="0006618B"/>
    <w:rsid w:val="000670C0"/>
    <w:rsid w:val="000671AD"/>
    <w:rsid w:val="00070717"/>
    <w:rsid w:val="00071B99"/>
    <w:rsid w:val="000756E5"/>
    <w:rsid w:val="00075F41"/>
    <w:rsid w:val="0007704E"/>
    <w:rsid w:val="00080EC8"/>
    <w:rsid w:val="000822E2"/>
    <w:rsid w:val="000869BD"/>
    <w:rsid w:val="00091AA4"/>
    <w:rsid w:val="000944AC"/>
    <w:rsid w:val="00094CB9"/>
    <w:rsid w:val="000956B2"/>
    <w:rsid w:val="000969E7"/>
    <w:rsid w:val="000A0FFF"/>
    <w:rsid w:val="000A23DE"/>
    <w:rsid w:val="000A4020"/>
    <w:rsid w:val="000B47CD"/>
    <w:rsid w:val="000B54FB"/>
    <w:rsid w:val="000C1336"/>
    <w:rsid w:val="000C2065"/>
    <w:rsid w:val="000C29B0"/>
    <w:rsid w:val="000C76FC"/>
    <w:rsid w:val="000D15E8"/>
    <w:rsid w:val="000D38FC"/>
    <w:rsid w:val="000D4695"/>
    <w:rsid w:val="000D4D90"/>
    <w:rsid w:val="000E1C26"/>
    <w:rsid w:val="000E2D10"/>
    <w:rsid w:val="000E5D50"/>
    <w:rsid w:val="000E6464"/>
    <w:rsid w:val="000F2B2B"/>
    <w:rsid w:val="000F3204"/>
    <w:rsid w:val="000F43EB"/>
    <w:rsid w:val="00100932"/>
    <w:rsid w:val="0010548B"/>
    <w:rsid w:val="00105897"/>
    <w:rsid w:val="001072D1"/>
    <w:rsid w:val="00117017"/>
    <w:rsid w:val="00122AD6"/>
    <w:rsid w:val="00130E8E"/>
    <w:rsid w:val="0013216E"/>
    <w:rsid w:val="001401B5"/>
    <w:rsid w:val="00142074"/>
    <w:rsid w:val="001422B9"/>
    <w:rsid w:val="0014665F"/>
    <w:rsid w:val="001518CF"/>
    <w:rsid w:val="00153464"/>
    <w:rsid w:val="001541B3"/>
    <w:rsid w:val="0015545D"/>
    <w:rsid w:val="00155B15"/>
    <w:rsid w:val="00161149"/>
    <w:rsid w:val="001625BE"/>
    <w:rsid w:val="001643A4"/>
    <w:rsid w:val="00166B4B"/>
    <w:rsid w:val="001727BB"/>
    <w:rsid w:val="00172B87"/>
    <w:rsid w:val="00180D25"/>
    <w:rsid w:val="00181580"/>
    <w:rsid w:val="0018318D"/>
    <w:rsid w:val="00184530"/>
    <w:rsid w:val="0018572C"/>
    <w:rsid w:val="00187E79"/>
    <w:rsid w:val="00187F0D"/>
    <w:rsid w:val="00191BBF"/>
    <w:rsid w:val="00192CC5"/>
    <w:rsid w:val="00193776"/>
    <w:rsid w:val="00193BCE"/>
    <w:rsid w:val="0019405B"/>
    <w:rsid w:val="001956A7"/>
    <w:rsid w:val="001A0667"/>
    <w:rsid w:val="001A118A"/>
    <w:rsid w:val="001A27F4"/>
    <w:rsid w:val="001A2D95"/>
    <w:rsid w:val="001A3E13"/>
    <w:rsid w:val="001A7040"/>
    <w:rsid w:val="001A731D"/>
    <w:rsid w:val="001B3460"/>
    <w:rsid w:val="001B4CA1"/>
    <w:rsid w:val="001B552E"/>
    <w:rsid w:val="001B75D8"/>
    <w:rsid w:val="001C1060"/>
    <w:rsid w:val="001C226E"/>
    <w:rsid w:val="001C3C63"/>
    <w:rsid w:val="001C60E0"/>
    <w:rsid w:val="001C6C9B"/>
    <w:rsid w:val="001D4732"/>
    <w:rsid w:val="001D6A3C"/>
    <w:rsid w:val="001D6D51"/>
    <w:rsid w:val="001D71C5"/>
    <w:rsid w:val="001E1C08"/>
    <w:rsid w:val="001F227B"/>
    <w:rsid w:val="001F60FF"/>
    <w:rsid w:val="001F653A"/>
    <w:rsid w:val="001F6979"/>
    <w:rsid w:val="002013BA"/>
    <w:rsid w:val="002028CD"/>
    <w:rsid w:val="00202BC6"/>
    <w:rsid w:val="00203CBD"/>
    <w:rsid w:val="00205141"/>
    <w:rsid w:val="0020516B"/>
    <w:rsid w:val="0021090E"/>
    <w:rsid w:val="00213559"/>
    <w:rsid w:val="00213EFD"/>
    <w:rsid w:val="002172F1"/>
    <w:rsid w:val="00223C7B"/>
    <w:rsid w:val="00224AB1"/>
    <w:rsid w:val="0022687A"/>
    <w:rsid w:val="00230728"/>
    <w:rsid w:val="00231D86"/>
    <w:rsid w:val="00234040"/>
    <w:rsid w:val="00235CD2"/>
    <w:rsid w:val="00235F8C"/>
    <w:rsid w:val="00245C0A"/>
    <w:rsid w:val="00246811"/>
    <w:rsid w:val="00246ACD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564A"/>
    <w:rsid w:val="00282D72"/>
    <w:rsid w:val="00283402"/>
    <w:rsid w:val="00290FD6"/>
    <w:rsid w:val="00294259"/>
    <w:rsid w:val="002A0253"/>
    <w:rsid w:val="002A1A75"/>
    <w:rsid w:val="002A2B32"/>
    <w:rsid w:val="002A2C81"/>
    <w:rsid w:val="002B010D"/>
    <w:rsid w:val="002B3D1A"/>
    <w:rsid w:val="002B530F"/>
    <w:rsid w:val="002B78D7"/>
    <w:rsid w:val="002C27D0"/>
    <w:rsid w:val="002C2C9B"/>
    <w:rsid w:val="002C68CD"/>
    <w:rsid w:val="002D17D6"/>
    <w:rsid w:val="002D18D7"/>
    <w:rsid w:val="002D21CE"/>
    <w:rsid w:val="002D6B7C"/>
    <w:rsid w:val="002D764E"/>
    <w:rsid w:val="002E3DA3"/>
    <w:rsid w:val="002E450F"/>
    <w:rsid w:val="002E6B38"/>
    <w:rsid w:val="002E6D63"/>
    <w:rsid w:val="002E6E2B"/>
    <w:rsid w:val="002F500B"/>
    <w:rsid w:val="00300991"/>
    <w:rsid w:val="003017B5"/>
    <w:rsid w:val="00301959"/>
    <w:rsid w:val="00305B8A"/>
    <w:rsid w:val="003168C0"/>
    <w:rsid w:val="00321F87"/>
    <w:rsid w:val="00331BF9"/>
    <w:rsid w:val="00331C90"/>
    <w:rsid w:val="00332CD9"/>
    <w:rsid w:val="0033495E"/>
    <w:rsid w:val="00334A79"/>
    <w:rsid w:val="00334D8D"/>
    <w:rsid w:val="00337345"/>
    <w:rsid w:val="00337DD2"/>
    <w:rsid w:val="003404D1"/>
    <w:rsid w:val="00342FD6"/>
    <w:rsid w:val="003443FF"/>
    <w:rsid w:val="00346D0C"/>
    <w:rsid w:val="00355808"/>
    <w:rsid w:val="00356C27"/>
    <w:rsid w:val="00360F15"/>
    <w:rsid w:val="00362C7E"/>
    <w:rsid w:val="00363309"/>
    <w:rsid w:val="00363601"/>
    <w:rsid w:val="00371857"/>
    <w:rsid w:val="00372D54"/>
    <w:rsid w:val="003735E7"/>
    <w:rsid w:val="003752DF"/>
    <w:rsid w:val="00376AC9"/>
    <w:rsid w:val="00377C7E"/>
    <w:rsid w:val="00380C4E"/>
    <w:rsid w:val="003818A9"/>
    <w:rsid w:val="003838E7"/>
    <w:rsid w:val="003839B7"/>
    <w:rsid w:val="0038454F"/>
    <w:rsid w:val="00386EF6"/>
    <w:rsid w:val="00390DBF"/>
    <w:rsid w:val="00393032"/>
    <w:rsid w:val="00394B69"/>
    <w:rsid w:val="00395214"/>
    <w:rsid w:val="0039613E"/>
    <w:rsid w:val="00397078"/>
    <w:rsid w:val="003A0F4A"/>
    <w:rsid w:val="003A6953"/>
    <w:rsid w:val="003B3E00"/>
    <w:rsid w:val="003B6083"/>
    <w:rsid w:val="003B73AD"/>
    <w:rsid w:val="003C06DD"/>
    <w:rsid w:val="003C36A1"/>
    <w:rsid w:val="003C3838"/>
    <w:rsid w:val="003C5847"/>
    <w:rsid w:val="003D0681"/>
    <w:rsid w:val="003D12F6"/>
    <w:rsid w:val="003D1426"/>
    <w:rsid w:val="003D156B"/>
    <w:rsid w:val="003D658E"/>
    <w:rsid w:val="003E2F4E"/>
    <w:rsid w:val="003E720A"/>
    <w:rsid w:val="00403E6E"/>
    <w:rsid w:val="0040571C"/>
    <w:rsid w:val="004075CA"/>
    <w:rsid w:val="004129B4"/>
    <w:rsid w:val="00417EF0"/>
    <w:rsid w:val="00422181"/>
    <w:rsid w:val="004244A8"/>
    <w:rsid w:val="00425F72"/>
    <w:rsid w:val="00427736"/>
    <w:rsid w:val="004331E9"/>
    <w:rsid w:val="004374DB"/>
    <w:rsid w:val="00437F37"/>
    <w:rsid w:val="00441787"/>
    <w:rsid w:val="0044414B"/>
    <w:rsid w:val="00444F2D"/>
    <w:rsid w:val="004457BA"/>
    <w:rsid w:val="00452034"/>
    <w:rsid w:val="00453A34"/>
    <w:rsid w:val="00455FA6"/>
    <w:rsid w:val="00466C70"/>
    <w:rsid w:val="004702C9"/>
    <w:rsid w:val="00472E45"/>
    <w:rsid w:val="0047359C"/>
    <w:rsid w:val="00473FEA"/>
    <w:rsid w:val="0047579D"/>
    <w:rsid w:val="00483262"/>
    <w:rsid w:val="00484107"/>
    <w:rsid w:val="0048475C"/>
    <w:rsid w:val="00485CC5"/>
    <w:rsid w:val="00492A8D"/>
    <w:rsid w:val="0049343F"/>
    <w:rsid w:val="004964FC"/>
    <w:rsid w:val="004A145E"/>
    <w:rsid w:val="004A1F15"/>
    <w:rsid w:val="004A2A81"/>
    <w:rsid w:val="004A3FBF"/>
    <w:rsid w:val="004A46CC"/>
    <w:rsid w:val="004A7BD7"/>
    <w:rsid w:val="004B0E59"/>
    <w:rsid w:val="004B5FCF"/>
    <w:rsid w:val="004C15C2"/>
    <w:rsid w:val="004C36D8"/>
    <w:rsid w:val="004C5479"/>
    <w:rsid w:val="004C6B0C"/>
    <w:rsid w:val="004D1248"/>
    <w:rsid w:val="004D1E3C"/>
    <w:rsid w:val="004D3CAB"/>
    <w:rsid w:val="004D4169"/>
    <w:rsid w:val="004D6E14"/>
    <w:rsid w:val="004E7665"/>
    <w:rsid w:val="004F0575"/>
    <w:rsid w:val="004F2630"/>
    <w:rsid w:val="004F4E17"/>
    <w:rsid w:val="0050082F"/>
    <w:rsid w:val="00500C56"/>
    <w:rsid w:val="00501713"/>
    <w:rsid w:val="00503270"/>
    <w:rsid w:val="005050A1"/>
    <w:rsid w:val="00506568"/>
    <w:rsid w:val="00506CDE"/>
    <w:rsid w:val="00507F8D"/>
    <w:rsid w:val="0051176B"/>
    <w:rsid w:val="0051551B"/>
    <w:rsid w:val="00517C03"/>
    <w:rsid w:val="00520759"/>
    <w:rsid w:val="00520C57"/>
    <w:rsid w:val="00522D94"/>
    <w:rsid w:val="00524D93"/>
    <w:rsid w:val="00526ED0"/>
    <w:rsid w:val="00532ECE"/>
    <w:rsid w:val="00533B51"/>
    <w:rsid w:val="00533D89"/>
    <w:rsid w:val="005361FB"/>
    <w:rsid w:val="00536564"/>
    <w:rsid w:val="00543E1A"/>
    <w:rsid w:val="00544117"/>
    <w:rsid w:val="00544597"/>
    <w:rsid w:val="00544FFE"/>
    <w:rsid w:val="005473F5"/>
    <w:rsid w:val="005477E7"/>
    <w:rsid w:val="005506BA"/>
    <w:rsid w:val="00552794"/>
    <w:rsid w:val="005534D6"/>
    <w:rsid w:val="005557BB"/>
    <w:rsid w:val="00563199"/>
    <w:rsid w:val="00564874"/>
    <w:rsid w:val="005666E5"/>
    <w:rsid w:val="00567104"/>
    <w:rsid w:val="00567151"/>
    <w:rsid w:val="00567963"/>
    <w:rsid w:val="0057009A"/>
    <w:rsid w:val="00571260"/>
    <w:rsid w:val="0057189C"/>
    <w:rsid w:val="00573657"/>
    <w:rsid w:val="00573FC1"/>
    <w:rsid w:val="005741EE"/>
    <w:rsid w:val="0057668E"/>
    <w:rsid w:val="00577258"/>
    <w:rsid w:val="005840AF"/>
    <w:rsid w:val="00590B37"/>
    <w:rsid w:val="00590E26"/>
    <w:rsid w:val="00594937"/>
    <w:rsid w:val="005952D6"/>
    <w:rsid w:val="00595E83"/>
    <w:rsid w:val="00596530"/>
    <w:rsid w:val="005967F3"/>
    <w:rsid w:val="005A06DF"/>
    <w:rsid w:val="005A5527"/>
    <w:rsid w:val="005A5AE6"/>
    <w:rsid w:val="005B0D2D"/>
    <w:rsid w:val="005B1206"/>
    <w:rsid w:val="005B37E8"/>
    <w:rsid w:val="005C0056"/>
    <w:rsid w:val="005D61D6"/>
    <w:rsid w:val="005D71B0"/>
    <w:rsid w:val="005E0D13"/>
    <w:rsid w:val="005E2E5A"/>
    <w:rsid w:val="005E5047"/>
    <w:rsid w:val="005E5935"/>
    <w:rsid w:val="005E641F"/>
    <w:rsid w:val="005E7205"/>
    <w:rsid w:val="005E7371"/>
    <w:rsid w:val="005F116C"/>
    <w:rsid w:val="005F2131"/>
    <w:rsid w:val="005F7ED8"/>
    <w:rsid w:val="006058A2"/>
    <w:rsid w:val="00605EF6"/>
    <w:rsid w:val="00606455"/>
    <w:rsid w:val="00612990"/>
    <w:rsid w:val="00614929"/>
    <w:rsid w:val="00616214"/>
    <w:rsid w:val="00616511"/>
    <w:rsid w:val="006176ED"/>
    <w:rsid w:val="006202F3"/>
    <w:rsid w:val="0062097A"/>
    <w:rsid w:val="00621DA6"/>
    <w:rsid w:val="00623CFE"/>
    <w:rsid w:val="00627221"/>
    <w:rsid w:val="00627EE8"/>
    <w:rsid w:val="00630A54"/>
    <w:rsid w:val="006316FA"/>
    <w:rsid w:val="0063275A"/>
    <w:rsid w:val="00633BF6"/>
    <w:rsid w:val="006370D2"/>
    <w:rsid w:val="0064074F"/>
    <w:rsid w:val="00641F55"/>
    <w:rsid w:val="0064224A"/>
    <w:rsid w:val="00645E4A"/>
    <w:rsid w:val="006468BD"/>
    <w:rsid w:val="0064786B"/>
    <w:rsid w:val="00653688"/>
    <w:rsid w:val="0065421A"/>
    <w:rsid w:val="00656090"/>
    <w:rsid w:val="00656246"/>
    <w:rsid w:val="00660006"/>
    <w:rsid w:val="0066091B"/>
    <w:rsid w:val="0066112F"/>
    <w:rsid w:val="0066595A"/>
    <w:rsid w:val="006660E9"/>
    <w:rsid w:val="00667249"/>
    <w:rsid w:val="00667558"/>
    <w:rsid w:val="00671523"/>
    <w:rsid w:val="006754EF"/>
    <w:rsid w:val="00676C8D"/>
    <w:rsid w:val="00676F1F"/>
    <w:rsid w:val="00677381"/>
    <w:rsid w:val="00677387"/>
    <w:rsid w:val="00677414"/>
    <w:rsid w:val="006832CF"/>
    <w:rsid w:val="00684A56"/>
    <w:rsid w:val="0068601E"/>
    <w:rsid w:val="0069486B"/>
    <w:rsid w:val="006A4904"/>
    <w:rsid w:val="006A548F"/>
    <w:rsid w:val="006A701A"/>
    <w:rsid w:val="006B64DC"/>
    <w:rsid w:val="006B7A91"/>
    <w:rsid w:val="006C675A"/>
    <w:rsid w:val="006C74AD"/>
    <w:rsid w:val="006D4704"/>
    <w:rsid w:val="006D6A2D"/>
    <w:rsid w:val="006E0125"/>
    <w:rsid w:val="006E1E18"/>
    <w:rsid w:val="006E31CE"/>
    <w:rsid w:val="006E34D3"/>
    <w:rsid w:val="006E3EDB"/>
    <w:rsid w:val="006E4C0E"/>
    <w:rsid w:val="006E7564"/>
    <w:rsid w:val="006E78AE"/>
    <w:rsid w:val="006F1435"/>
    <w:rsid w:val="006F3CF4"/>
    <w:rsid w:val="006F78C4"/>
    <w:rsid w:val="007031A0"/>
    <w:rsid w:val="007048CE"/>
    <w:rsid w:val="00705A29"/>
    <w:rsid w:val="00706EEC"/>
    <w:rsid w:val="00707498"/>
    <w:rsid w:val="00711A65"/>
    <w:rsid w:val="0071304E"/>
    <w:rsid w:val="007134A0"/>
    <w:rsid w:val="00714133"/>
    <w:rsid w:val="00714DA4"/>
    <w:rsid w:val="007158B2"/>
    <w:rsid w:val="00716081"/>
    <w:rsid w:val="00722B48"/>
    <w:rsid w:val="007231D8"/>
    <w:rsid w:val="00724164"/>
    <w:rsid w:val="00725DE7"/>
    <w:rsid w:val="0072636A"/>
    <w:rsid w:val="00726B44"/>
    <w:rsid w:val="0073069A"/>
    <w:rsid w:val="007318DD"/>
    <w:rsid w:val="00732249"/>
    <w:rsid w:val="00733167"/>
    <w:rsid w:val="00733E36"/>
    <w:rsid w:val="00740D2C"/>
    <w:rsid w:val="007415D0"/>
    <w:rsid w:val="00743C3C"/>
    <w:rsid w:val="00744BF9"/>
    <w:rsid w:val="00745191"/>
    <w:rsid w:val="00752623"/>
    <w:rsid w:val="0075474F"/>
    <w:rsid w:val="007562DC"/>
    <w:rsid w:val="00760F1F"/>
    <w:rsid w:val="00762501"/>
    <w:rsid w:val="0076423E"/>
    <w:rsid w:val="007646CB"/>
    <w:rsid w:val="0076658F"/>
    <w:rsid w:val="00767B12"/>
    <w:rsid w:val="007702AA"/>
    <w:rsid w:val="0077040A"/>
    <w:rsid w:val="007710B0"/>
    <w:rsid w:val="00772C54"/>
    <w:rsid w:val="00772D64"/>
    <w:rsid w:val="00777D45"/>
    <w:rsid w:val="00781CDA"/>
    <w:rsid w:val="00792609"/>
    <w:rsid w:val="00792887"/>
    <w:rsid w:val="007943E2"/>
    <w:rsid w:val="00794F2C"/>
    <w:rsid w:val="007A380E"/>
    <w:rsid w:val="007A3BC7"/>
    <w:rsid w:val="007A5A58"/>
    <w:rsid w:val="007A5AC4"/>
    <w:rsid w:val="007A639C"/>
    <w:rsid w:val="007B0FDD"/>
    <w:rsid w:val="007B4802"/>
    <w:rsid w:val="007B64F7"/>
    <w:rsid w:val="007B6668"/>
    <w:rsid w:val="007B6B33"/>
    <w:rsid w:val="007C2701"/>
    <w:rsid w:val="007C432A"/>
    <w:rsid w:val="007C7B94"/>
    <w:rsid w:val="007C7BAF"/>
    <w:rsid w:val="007D14C3"/>
    <w:rsid w:val="007D2192"/>
    <w:rsid w:val="007D6746"/>
    <w:rsid w:val="007F0021"/>
    <w:rsid w:val="007F1541"/>
    <w:rsid w:val="007F2F52"/>
    <w:rsid w:val="007F5E61"/>
    <w:rsid w:val="00801025"/>
    <w:rsid w:val="00801F71"/>
    <w:rsid w:val="00804054"/>
    <w:rsid w:val="00804963"/>
    <w:rsid w:val="00804E34"/>
    <w:rsid w:val="00805F28"/>
    <w:rsid w:val="0080749F"/>
    <w:rsid w:val="00811D46"/>
    <w:rsid w:val="008125B0"/>
    <w:rsid w:val="00814457"/>
    <w:rsid w:val="008144CB"/>
    <w:rsid w:val="00821717"/>
    <w:rsid w:val="00824210"/>
    <w:rsid w:val="008263C0"/>
    <w:rsid w:val="008278FD"/>
    <w:rsid w:val="0083305E"/>
    <w:rsid w:val="008413DC"/>
    <w:rsid w:val="00841422"/>
    <w:rsid w:val="00841D3B"/>
    <w:rsid w:val="0084314C"/>
    <w:rsid w:val="00843171"/>
    <w:rsid w:val="00844450"/>
    <w:rsid w:val="008451A6"/>
    <w:rsid w:val="008537E6"/>
    <w:rsid w:val="00856799"/>
    <w:rsid w:val="008575C3"/>
    <w:rsid w:val="00863D28"/>
    <w:rsid w:val="008648C3"/>
    <w:rsid w:val="00872581"/>
    <w:rsid w:val="008759C2"/>
    <w:rsid w:val="00875E6F"/>
    <w:rsid w:val="00880F26"/>
    <w:rsid w:val="008854A7"/>
    <w:rsid w:val="00887AE1"/>
    <w:rsid w:val="008921AD"/>
    <w:rsid w:val="008939A4"/>
    <w:rsid w:val="0089421F"/>
    <w:rsid w:val="0089627A"/>
    <w:rsid w:val="00896C2E"/>
    <w:rsid w:val="008A4063"/>
    <w:rsid w:val="008A5095"/>
    <w:rsid w:val="008A608F"/>
    <w:rsid w:val="008B008D"/>
    <w:rsid w:val="008B0273"/>
    <w:rsid w:val="008B1A9A"/>
    <w:rsid w:val="008B2AB0"/>
    <w:rsid w:val="008B4FE6"/>
    <w:rsid w:val="008B6C37"/>
    <w:rsid w:val="008E18F7"/>
    <w:rsid w:val="008E1E10"/>
    <w:rsid w:val="008E291B"/>
    <w:rsid w:val="008E4F2F"/>
    <w:rsid w:val="008E5A0E"/>
    <w:rsid w:val="008E74B0"/>
    <w:rsid w:val="008F0BD3"/>
    <w:rsid w:val="009008A8"/>
    <w:rsid w:val="009063B0"/>
    <w:rsid w:val="00907106"/>
    <w:rsid w:val="009107FD"/>
    <w:rsid w:val="0091137C"/>
    <w:rsid w:val="00911567"/>
    <w:rsid w:val="00913D32"/>
    <w:rsid w:val="00917AAE"/>
    <w:rsid w:val="00924E97"/>
    <w:rsid w:val="009251A9"/>
    <w:rsid w:val="00930699"/>
    <w:rsid w:val="00931F69"/>
    <w:rsid w:val="00934123"/>
    <w:rsid w:val="00943331"/>
    <w:rsid w:val="00944E9B"/>
    <w:rsid w:val="00951F20"/>
    <w:rsid w:val="009534B7"/>
    <w:rsid w:val="00955774"/>
    <w:rsid w:val="009560B5"/>
    <w:rsid w:val="00961AC6"/>
    <w:rsid w:val="009703D6"/>
    <w:rsid w:val="0097181B"/>
    <w:rsid w:val="00976DC5"/>
    <w:rsid w:val="009818C7"/>
    <w:rsid w:val="00981F31"/>
    <w:rsid w:val="00982DD4"/>
    <w:rsid w:val="009841E5"/>
    <w:rsid w:val="0098479F"/>
    <w:rsid w:val="00984A8A"/>
    <w:rsid w:val="009857B6"/>
    <w:rsid w:val="00985A8D"/>
    <w:rsid w:val="00985B11"/>
    <w:rsid w:val="00986610"/>
    <w:rsid w:val="009877DC"/>
    <w:rsid w:val="00991F96"/>
    <w:rsid w:val="009925EE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D39FF"/>
    <w:rsid w:val="009D5A37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155E"/>
    <w:rsid w:val="00A13E00"/>
    <w:rsid w:val="00A142D8"/>
    <w:rsid w:val="00A1506B"/>
    <w:rsid w:val="00A15EE1"/>
    <w:rsid w:val="00A17CB2"/>
    <w:rsid w:val="00A23191"/>
    <w:rsid w:val="00A241FB"/>
    <w:rsid w:val="00A27233"/>
    <w:rsid w:val="00A319C0"/>
    <w:rsid w:val="00A33560"/>
    <w:rsid w:val="00A3535F"/>
    <w:rsid w:val="00A356E2"/>
    <w:rsid w:val="00A364E4"/>
    <w:rsid w:val="00A371A5"/>
    <w:rsid w:val="00A42CEF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6698B"/>
    <w:rsid w:val="00A70749"/>
    <w:rsid w:val="00A75D87"/>
    <w:rsid w:val="00A767D2"/>
    <w:rsid w:val="00A77616"/>
    <w:rsid w:val="00A777CB"/>
    <w:rsid w:val="00A805DA"/>
    <w:rsid w:val="00A811B4"/>
    <w:rsid w:val="00A85B01"/>
    <w:rsid w:val="00A85F18"/>
    <w:rsid w:val="00A8738C"/>
    <w:rsid w:val="00A875FA"/>
    <w:rsid w:val="00A87CDE"/>
    <w:rsid w:val="00A92BAF"/>
    <w:rsid w:val="00A94737"/>
    <w:rsid w:val="00A94BA3"/>
    <w:rsid w:val="00A96CBA"/>
    <w:rsid w:val="00AA064E"/>
    <w:rsid w:val="00AA37DF"/>
    <w:rsid w:val="00AB1ACD"/>
    <w:rsid w:val="00AB277F"/>
    <w:rsid w:val="00AB4099"/>
    <w:rsid w:val="00AB411D"/>
    <w:rsid w:val="00AB449A"/>
    <w:rsid w:val="00AB4815"/>
    <w:rsid w:val="00AC73A4"/>
    <w:rsid w:val="00AD0FFC"/>
    <w:rsid w:val="00AD14F9"/>
    <w:rsid w:val="00AD35D6"/>
    <w:rsid w:val="00AD58C5"/>
    <w:rsid w:val="00AE36C4"/>
    <w:rsid w:val="00AE472C"/>
    <w:rsid w:val="00AE5375"/>
    <w:rsid w:val="00AE6CF8"/>
    <w:rsid w:val="00AF2B6A"/>
    <w:rsid w:val="00AF4CAC"/>
    <w:rsid w:val="00B03E0D"/>
    <w:rsid w:val="00B054F8"/>
    <w:rsid w:val="00B132AB"/>
    <w:rsid w:val="00B2219A"/>
    <w:rsid w:val="00B25F72"/>
    <w:rsid w:val="00B337E1"/>
    <w:rsid w:val="00B3581B"/>
    <w:rsid w:val="00B36B81"/>
    <w:rsid w:val="00B36FEE"/>
    <w:rsid w:val="00B37187"/>
    <w:rsid w:val="00B37C80"/>
    <w:rsid w:val="00B5092B"/>
    <w:rsid w:val="00B5194E"/>
    <w:rsid w:val="00B51AF5"/>
    <w:rsid w:val="00B531FC"/>
    <w:rsid w:val="00B54962"/>
    <w:rsid w:val="00B55347"/>
    <w:rsid w:val="00B571B1"/>
    <w:rsid w:val="00B57E5E"/>
    <w:rsid w:val="00B61F37"/>
    <w:rsid w:val="00B6604E"/>
    <w:rsid w:val="00B71E92"/>
    <w:rsid w:val="00B77164"/>
    <w:rsid w:val="00B7770F"/>
    <w:rsid w:val="00B77A89"/>
    <w:rsid w:val="00B77B27"/>
    <w:rsid w:val="00B806E1"/>
    <w:rsid w:val="00B8134E"/>
    <w:rsid w:val="00B817FF"/>
    <w:rsid w:val="00B81B55"/>
    <w:rsid w:val="00B84613"/>
    <w:rsid w:val="00B87AF0"/>
    <w:rsid w:val="00B87BEF"/>
    <w:rsid w:val="00B9037B"/>
    <w:rsid w:val="00B910BD"/>
    <w:rsid w:val="00B9189C"/>
    <w:rsid w:val="00B9213C"/>
    <w:rsid w:val="00B93583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B7AE3"/>
    <w:rsid w:val="00BC3773"/>
    <w:rsid w:val="00BC381A"/>
    <w:rsid w:val="00BC4BD1"/>
    <w:rsid w:val="00BD0321"/>
    <w:rsid w:val="00BD0962"/>
    <w:rsid w:val="00BD1EED"/>
    <w:rsid w:val="00BD3135"/>
    <w:rsid w:val="00BD34C3"/>
    <w:rsid w:val="00BF0DA2"/>
    <w:rsid w:val="00BF109C"/>
    <w:rsid w:val="00BF34FA"/>
    <w:rsid w:val="00C004B6"/>
    <w:rsid w:val="00C0279C"/>
    <w:rsid w:val="00C047A7"/>
    <w:rsid w:val="00C05DE5"/>
    <w:rsid w:val="00C160A5"/>
    <w:rsid w:val="00C17103"/>
    <w:rsid w:val="00C1729A"/>
    <w:rsid w:val="00C17C83"/>
    <w:rsid w:val="00C26A88"/>
    <w:rsid w:val="00C33027"/>
    <w:rsid w:val="00C37667"/>
    <w:rsid w:val="00C435DB"/>
    <w:rsid w:val="00C44D73"/>
    <w:rsid w:val="00C5043E"/>
    <w:rsid w:val="00C50B42"/>
    <w:rsid w:val="00C50EA7"/>
    <w:rsid w:val="00C516FF"/>
    <w:rsid w:val="00C52BFA"/>
    <w:rsid w:val="00C5334B"/>
    <w:rsid w:val="00C53D1D"/>
    <w:rsid w:val="00C53F26"/>
    <w:rsid w:val="00C540BC"/>
    <w:rsid w:val="00C5499D"/>
    <w:rsid w:val="00C64F7D"/>
    <w:rsid w:val="00C6509C"/>
    <w:rsid w:val="00C67309"/>
    <w:rsid w:val="00C677FB"/>
    <w:rsid w:val="00C7614E"/>
    <w:rsid w:val="00C77BF1"/>
    <w:rsid w:val="00C80D60"/>
    <w:rsid w:val="00C82FBD"/>
    <w:rsid w:val="00C83F20"/>
    <w:rsid w:val="00C85267"/>
    <w:rsid w:val="00C8721B"/>
    <w:rsid w:val="00C9372C"/>
    <w:rsid w:val="00C9470E"/>
    <w:rsid w:val="00C95CEB"/>
    <w:rsid w:val="00C97B2C"/>
    <w:rsid w:val="00CA1054"/>
    <w:rsid w:val="00CA588A"/>
    <w:rsid w:val="00CA63EB"/>
    <w:rsid w:val="00CA69F1"/>
    <w:rsid w:val="00CB119D"/>
    <w:rsid w:val="00CB26EF"/>
    <w:rsid w:val="00CB6991"/>
    <w:rsid w:val="00CC472B"/>
    <w:rsid w:val="00CC6194"/>
    <w:rsid w:val="00CC6305"/>
    <w:rsid w:val="00CC78A5"/>
    <w:rsid w:val="00CD0516"/>
    <w:rsid w:val="00CD377C"/>
    <w:rsid w:val="00CD756B"/>
    <w:rsid w:val="00CE734F"/>
    <w:rsid w:val="00CF112E"/>
    <w:rsid w:val="00CF342D"/>
    <w:rsid w:val="00CF5F4F"/>
    <w:rsid w:val="00D02C70"/>
    <w:rsid w:val="00D115F8"/>
    <w:rsid w:val="00D15687"/>
    <w:rsid w:val="00D21085"/>
    <w:rsid w:val="00D218DC"/>
    <w:rsid w:val="00D226F3"/>
    <w:rsid w:val="00D23EA5"/>
    <w:rsid w:val="00D24E56"/>
    <w:rsid w:val="00D31643"/>
    <w:rsid w:val="00D31AEB"/>
    <w:rsid w:val="00D32679"/>
    <w:rsid w:val="00D32ECD"/>
    <w:rsid w:val="00D361E4"/>
    <w:rsid w:val="00D42A8F"/>
    <w:rsid w:val="00D439F6"/>
    <w:rsid w:val="00D459C6"/>
    <w:rsid w:val="00D46EFA"/>
    <w:rsid w:val="00D50497"/>
    <w:rsid w:val="00D5053C"/>
    <w:rsid w:val="00D50729"/>
    <w:rsid w:val="00D50C19"/>
    <w:rsid w:val="00D51BC5"/>
    <w:rsid w:val="00D5379E"/>
    <w:rsid w:val="00D5558C"/>
    <w:rsid w:val="00D55653"/>
    <w:rsid w:val="00D556F8"/>
    <w:rsid w:val="00D62643"/>
    <w:rsid w:val="00D62AE6"/>
    <w:rsid w:val="00D63181"/>
    <w:rsid w:val="00D64C0F"/>
    <w:rsid w:val="00D72EFE"/>
    <w:rsid w:val="00D76227"/>
    <w:rsid w:val="00D77DF1"/>
    <w:rsid w:val="00D8540B"/>
    <w:rsid w:val="00D856FB"/>
    <w:rsid w:val="00D857F0"/>
    <w:rsid w:val="00D85A34"/>
    <w:rsid w:val="00D86AFF"/>
    <w:rsid w:val="00D95549"/>
    <w:rsid w:val="00D95A44"/>
    <w:rsid w:val="00D95D16"/>
    <w:rsid w:val="00D97C76"/>
    <w:rsid w:val="00DB02B4"/>
    <w:rsid w:val="00DB1152"/>
    <w:rsid w:val="00DB43D2"/>
    <w:rsid w:val="00DB538D"/>
    <w:rsid w:val="00DC275C"/>
    <w:rsid w:val="00DC3B9D"/>
    <w:rsid w:val="00DC4B0D"/>
    <w:rsid w:val="00DC576F"/>
    <w:rsid w:val="00DC7FE1"/>
    <w:rsid w:val="00DD3F3F"/>
    <w:rsid w:val="00DD5572"/>
    <w:rsid w:val="00DD5CE2"/>
    <w:rsid w:val="00DD6A63"/>
    <w:rsid w:val="00DE5D80"/>
    <w:rsid w:val="00DF58CD"/>
    <w:rsid w:val="00DF63E2"/>
    <w:rsid w:val="00DF65DE"/>
    <w:rsid w:val="00DF7F41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602"/>
    <w:rsid w:val="00E24BD7"/>
    <w:rsid w:val="00E26523"/>
    <w:rsid w:val="00E26809"/>
    <w:rsid w:val="00E3412D"/>
    <w:rsid w:val="00E51E54"/>
    <w:rsid w:val="00E57322"/>
    <w:rsid w:val="00E57CB3"/>
    <w:rsid w:val="00E628CB"/>
    <w:rsid w:val="00E62AD9"/>
    <w:rsid w:val="00E638C8"/>
    <w:rsid w:val="00E6543F"/>
    <w:rsid w:val="00E7509B"/>
    <w:rsid w:val="00E8343B"/>
    <w:rsid w:val="00E86590"/>
    <w:rsid w:val="00E87ABB"/>
    <w:rsid w:val="00E907FF"/>
    <w:rsid w:val="00E9616A"/>
    <w:rsid w:val="00E97D9E"/>
    <w:rsid w:val="00EA070A"/>
    <w:rsid w:val="00EA42D1"/>
    <w:rsid w:val="00EA42EF"/>
    <w:rsid w:val="00EB0C38"/>
    <w:rsid w:val="00EB2DD1"/>
    <w:rsid w:val="00EB6B37"/>
    <w:rsid w:val="00EC29FE"/>
    <w:rsid w:val="00EC3C70"/>
    <w:rsid w:val="00ED3A3D"/>
    <w:rsid w:val="00ED4C2D"/>
    <w:rsid w:val="00ED538A"/>
    <w:rsid w:val="00ED6FBC"/>
    <w:rsid w:val="00EE2F16"/>
    <w:rsid w:val="00EE3861"/>
    <w:rsid w:val="00EE57CB"/>
    <w:rsid w:val="00EF290C"/>
    <w:rsid w:val="00EF2E73"/>
    <w:rsid w:val="00EF7683"/>
    <w:rsid w:val="00EF7A2D"/>
    <w:rsid w:val="00F02427"/>
    <w:rsid w:val="00F04574"/>
    <w:rsid w:val="00F04F8D"/>
    <w:rsid w:val="00F06F16"/>
    <w:rsid w:val="00F10AD0"/>
    <w:rsid w:val="00F116CC"/>
    <w:rsid w:val="00F12BD1"/>
    <w:rsid w:val="00F15327"/>
    <w:rsid w:val="00F158B9"/>
    <w:rsid w:val="00F15B21"/>
    <w:rsid w:val="00F168CF"/>
    <w:rsid w:val="00F21202"/>
    <w:rsid w:val="00F2555C"/>
    <w:rsid w:val="00F306A3"/>
    <w:rsid w:val="00F31DF3"/>
    <w:rsid w:val="00F33AE5"/>
    <w:rsid w:val="00F358DA"/>
    <w:rsid w:val="00F3597D"/>
    <w:rsid w:val="00F4376D"/>
    <w:rsid w:val="00F45399"/>
    <w:rsid w:val="00F465EA"/>
    <w:rsid w:val="00F54E7B"/>
    <w:rsid w:val="00F55A88"/>
    <w:rsid w:val="00F57B2A"/>
    <w:rsid w:val="00F605A8"/>
    <w:rsid w:val="00F64B41"/>
    <w:rsid w:val="00F668B6"/>
    <w:rsid w:val="00F73407"/>
    <w:rsid w:val="00F74005"/>
    <w:rsid w:val="00F76884"/>
    <w:rsid w:val="00F77428"/>
    <w:rsid w:val="00F82635"/>
    <w:rsid w:val="00F83D24"/>
    <w:rsid w:val="00F83DD9"/>
    <w:rsid w:val="00F83F40"/>
    <w:rsid w:val="00F87292"/>
    <w:rsid w:val="00F90534"/>
    <w:rsid w:val="00FA08C3"/>
    <w:rsid w:val="00FA117A"/>
    <w:rsid w:val="00FA20E0"/>
    <w:rsid w:val="00FA3864"/>
    <w:rsid w:val="00FB1447"/>
    <w:rsid w:val="00FB3045"/>
    <w:rsid w:val="00FB386A"/>
    <w:rsid w:val="00FC0786"/>
    <w:rsid w:val="00FC49EF"/>
    <w:rsid w:val="00FD4897"/>
    <w:rsid w:val="00FE2C82"/>
    <w:rsid w:val="00FE36E2"/>
    <w:rsid w:val="00FF11AD"/>
    <w:rsid w:val="00FF2916"/>
    <w:rsid w:val="00FF2971"/>
    <w:rsid w:val="00FF34D4"/>
    <w:rsid w:val="00FF519F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A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F58CD"/>
    <w:rPr>
      <w:sz w:val="20"/>
      <w:szCs w:val="20"/>
      <w:lang w:eastAsia="en-US"/>
    </w:rPr>
  </w:style>
  <w:style w:type="character" w:styleId="Odwoanieprzypisukocowego">
    <w:name w:val="endnote reference"/>
    <w:rsid w:val="00DF58CD"/>
    <w:rPr>
      <w:vertAlign w:val="superscript"/>
    </w:rPr>
  </w:style>
  <w:style w:type="paragraph" w:styleId="Akapitzlist">
    <w:name w:val="List Paragraph"/>
    <w:aliases w:val="Wypunktowanie,Dot pt,F5 List Paragraph,List Paragraph1,Recommendation,List Paragraph11,List Paragraph,Numerowanie,Kolorowa lista — akcent 11,Listaszerű bekezdés1,List Paragraph à moi,Akapit z listą1,Akapit z listą11,Numbered Para 1,2"/>
    <w:basedOn w:val="Normalny"/>
    <w:link w:val="AkapitzlistZnak"/>
    <w:qFormat/>
    <w:rsid w:val="00397078"/>
    <w:pPr>
      <w:ind w:left="720"/>
      <w:contextualSpacing/>
    </w:pPr>
  </w:style>
  <w:style w:type="character" w:styleId="Odwoaniedokomentarza">
    <w:name w:val="annotation reference"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7CB2"/>
    <w:rPr>
      <w:b/>
      <w:bCs/>
    </w:rPr>
  </w:style>
  <w:style w:type="character" w:customStyle="1" w:styleId="TematkomentarzaZnak">
    <w:name w:val="Temat komentarza Znak"/>
    <w:link w:val="Tematkomentarza"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047A7"/>
    <w:rPr>
      <w:lang w:eastAsia="en-US"/>
    </w:rPr>
  </w:style>
  <w:style w:type="character" w:styleId="Odwoanieprzypisudolnego">
    <w:name w:val="footnote reference"/>
    <w:rsid w:val="00C047A7"/>
    <w:rPr>
      <w:vertAlign w:val="superscript"/>
    </w:rPr>
  </w:style>
  <w:style w:type="character" w:styleId="Hipercze">
    <w:name w:val="Hyperlink"/>
    <w:rsid w:val="0072636A"/>
    <w:rPr>
      <w:color w:val="0000FF"/>
      <w:u w:val="single"/>
    </w:rPr>
  </w:style>
  <w:style w:type="character" w:styleId="UyteHipercze">
    <w:name w:val="FollowedHyperlink"/>
    <w:rsid w:val="00801F71"/>
    <w:rPr>
      <w:color w:val="800080"/>
      <w:u w:val="single"/>
    </w:rPr>
  </w:style>
  <w:style w:type="character" w:styleId="Tekstzastpczy">
    <w:name w:val="Placeholder Text"/>
    <w:rsid w:val="00EF290C"/>
    <w:rPr>
      <w:color w:val="808080"/>
    </w:rPr>
  </w:style>
  <w:style w:type="character" w:customStyle="1" w:styleId="AkapitzlistZnak">
    <w:name w:val="Akapit z listą Znak"/>
    <w:aliases w:val="Wypunktowanie Znak,Dot pt Znak,F5 List Paragraph Znak,List Paragraph1 Znak,Recommendation Znak,List Paragraph11 Znak,List Paragraph Znak,Numerowanie Znak,Kolorowa lista — akcent 11 Znak,Listaszerű bekezdés1 Znak,Akapit z listą1 Znak"/>
    <w:link w:val="Akapitzlist"/>
    <w:locked/>
    <w:rsid w:val="00203CBD"/>
    <w:rPr>
      <w:sz w:val="22"/>
      <w:szCs w:val="22"/>
      <w:lang w:eastAsia="en-US"/>
    </w:rPr>
  </w:style>
  <w:style w:type="character" w:customStyle="1" w:styleId="Nierozpoznanawzmianka1">
    <w:name w:val="Nierozpoznana wzmianka1"/>
    <w:rsid w:val="00B71E92"/>
    <w:rPr>
      <w:color w:val="605E5C"/>
      <w:shd w:val="clear" w:color="auto" w:fill="E1DFDD"/>
    </w:rPr>
  </w:style>
  <w:style w:type="paragraph" w:styleId="Poprawka">
    <w:name w:val="Revision"/>
    <w:hidden/>
    <w:rsid w:val="00346D0C"/>
    <w:rPr>
      <w:sz w:val="22"/>
      <w:szCs w:val="22"/>
    </w:rPr>
  </w:style>
  <w:style w:type="character" w:styleId="Nierozpoznanawzmianka">
    <w:name w:val="Unresolved Mention"/>
    <w:rsid w:val="00022479"/>
    <w:rPr>
      <w:color w:val="605E5C"/>
      <w:shd w:val="clear" w:color="auto" w:fill="E1DFDD"/>
    </w:rPr>
  </w:style>
  <w:style w:type="paragraph" w:customStyle="1" w:styleId="Metryka3MF">
    <w:name w:val="Metryka 3 MF"/>
    <w:basedOn w:val="Normalny"/>
    <w:rsid w:val="00872581"/>
    <w:pPr>
      <w:spacing w:before="480" w:line="260" w:lineRule="exact"/>
      <w:contextualSpacing/>
    </w:pPr>
    <w:rPr>
      <w:rFonts w:ascii="Lato" w:eastAsia="Lato" w:hAnsi="La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FN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cqm\Desktop\20231218%20OSR%20wakacje%20kredytowe%20i%20F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4DE2-ABA3-47E0-95DD-99ECB35F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20231218 OSR wakacje kredytowe i FWK</Template>
  <TotalTime>0</TotalTime>
  <Pages>8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subject/>
  <dc:creator/>
  <cp:keywords>ocena skutków regulacji</cp:keywords>
  <dc:description/>
  <cp:lastModifiedBy/>
  <cp:revision>1</cp:revision>
  <dcterms:created xsi:type="dcterms:W3CDTF">2023-12-27T18:04:00Z</dcterms:created>
  <dcterms:modified xsi:type="dcterms:W3CDTF">2023-12-27T18:04:00Z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UxC4dwLulzfINJ8nQH+xvX5LNGipWa4BRSZhPgxsCvmNR2weeCzHVMZ+rjOjmQbPVEd39sVGJ+ZorrVPJ4D/Xw==</vt:lpwstr>
  </property>
  <property fmtid="{D5CDD505-2E9C-101B-9397-08002B2CF9AE}" pid="4" name="MFClassificationDate">
    <vt:lpwstr>2023-10-20T08:20:24.8895867+02:00</vt:lpwstr>
  </property>
  <property fmtid="{D5CDD505-2E9C-101B-9397-08002B2CF9AE}" pid="5" name="MFClassifiedBySID">
    <vt:lpwstr>UxC4dwLulzfINJ8nQH+xvX5LNGipWa4BRSZhPgxsCvm42mrIC/DSDv0ggS+FjUN/2v1BBotkLlY5aAiEhoi6uYK8tD0NJ7EmZUO6ODVcBQ1MDVDnctwyIrtiDEVpUnoU</vt:lpwstr>
  </property>
  <property fmtid="{D5CDD505-2E9C-101B-9397-08002B2CF9AE}" pid="6" name="MFGRNItemId">
    <vt:lpwstr>GRN-0fa96c20-b7b2-4128-8c9f-abe6f7277920</vt:lpwstr>
  </property>
  <property fmtid="{D5CDD505-2E9C-101B-9397-08002B2CF9AE}" pid="7" name="MFHash">
    <vt:lpwstr>/CIUxh95bRGMF9pxKQwF0I4Dabx1iZqIVzH81wGcljQ=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