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5"/>
        <w:gridCol w:w="187"/>
        <w:gridCol w:w="382"/>
        <w:gridCol w:w="568"/>
        <w:gridCol w:w="118"/>
        <w:gridCol w:w="151"/>
        <w:gridCol w:w="299"/>
        <w:gridCol w:w="368"/>
        <w:gridCol w:w="200"/>
        <w:gridCol w:w="568"/>
        <w:gridCol w:w="80"/>
        <w:gridCol w:w="87"/>
        <w:gridCol w:w="401"/>
        <w:gridCol w:w="113"/>
        <w:gridCol w:w="454"/>
        <w:gridCol w:w="265"/>
        <w:gridCol w:w="303"/>
        <w:gridCol w:w="367"/>
        <w:gridCol w:w="201"/>
        <w:gridCol w:w="568"/>
        <w:gridCol w:w="165"/>
        <w:gridCol w:w="1416"/>
      </w:tblGrid>
      <w:tr w:rsidR="002E1AEB" w:rsidRPr="002E1AEB" w14:paraId="457BDBA4" w14:textId="77777777" w:rsidTr="00CD7534">
        <w:trPr>
          <w:trHeight w:val="1611"/>
        </w:trPr>
        <w:tc>
          <w:tcPr>
            <w:tcW w:w="6607" w:type="dxa"/>
            <w:gridSpan w:val="16"/>
          </w:tcPr>
          <w:p w14:paraId="189B718E" w14:textId="77777777" w:rsidR="002E1AEB" w:rsidRPr="002E1AEB" w:rsidRDefault="002E1AEB" w:rsidP="002E1AEB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bookmarkStart w:id="0" w:name="t1"/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Nazwa projektu</w:t>
            </w:r>
          </w:p>
          <w:p w14:paraId="62BC3471" w14:textId="15D624E3" w:rsidR="00CD7534" w:rsidRPr="00CD7534" w:rsidRDefault="008D4D9B" w:rsidP="00CD7534">
            <w:pPr>
              <w:spacing w:before="120" w:after="0" w:line="240" w:lineRule="auto"/>
              <w:ind w:hanging="4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Rozporządzenie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Ministra Klimatu i Środowiska </w:t>
            </w:r>
            <w:r w:rsidR="00CD7534" w:rsidRPr="00CD75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zmieniające rozporządzenie w sprawie </w:t>
            </w:r>
            <w:bookmarkStart w:id="1" w:name="_Hlk149228112"/>
            <w:r w:rsidR="00CD7534" w:rsidRPr="00CD7534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szczegółowych zasad kształtowania i kalkulacji taryf oraz rozliczeń w obrocie paliwami gazowymi</w:t>
            </w:r>
            <w:bookmarkEnd w:id="1"/>
          </w:p>
          <w:p w14:paraId="1E6009B6" w14:textId="6934BD72" w:rsidR="002E1AEB" w:rsidRPr="002E1AEB" w:rsidRDefault="002E1AEB" w:rsidP="002E1AEB">
            <w:pPr>
              <w:spacing w:before="120" w:after="0" w:line="240" w:lineRule="auto"/>
              <w:ind w:hanging="45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65615CA3" w14:textId="77777777" w:rsidR="002E1AEB" w:rsidRPr="002E1AEB" w:rsidRDefault="002E1AEB" w:rsidP="002E1AEB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Ministerstwo wiodące i ministerstwa współpracujące</w:t>
            </w:r>
          </w:p>
          <w:bookmarkEnd w:id="0"/>
          <w:p w14:paraId="632BCB07" w14:textId="77777777" w:rsidR="002E1AEB" w:rsidRPr="002E1AEB" w:rsidRDefault="002E1AEB" w:rsidP="002E1AEB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Ministerstwo Klimatu i Środowiska</w:t>
            </w:r>
          </w:p>
          <w:p w14:paraId="2218C860" w14:textId="77777777" w:rsidR="002E1AEB" w:rsidRPr="002E1AEB" w:rsidRDefault="002E1AEB" w:rsidP="002E1AEB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BCBD5E1" w14:textId="77777777" w:rsidR="002E1AEB" w:rsidRPr="002E1AEB" w:rsidRDefault="002E1AEB" w:rsidP="002E1A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  <w14:ligatures w14:val="none"/>
              </w:rPr>
            </w:pPr>
            <w:r w:rsidRPr="002E1AEB"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  <w14:ligatures w14:val="none"/>
              </w:rPr>
              <w:t xml:space="preserve">Osoba odpowiedzialna za projekt w randze Ministra, Sekretarza Stanu lub Podsekretarza Stanu </w:t>
            </w:r>
          </w:p>
          <w:p w14:paraId="45D8EBC2" w14:textId="77777777" w:rsidR="002E1AEB" w:rsidRPr="002E1AEB" w:rsidRDefault="002E1AEB" w:rsidP="002E1A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pl-PL"/>
                <w14:ligatures w14:val="none"/>
              </w:rPr>
            </w:pPr>
            <w:r w:rsidRPr="002E1AEB">
              <w:rPr>
                <w:rFonts w:ascii="Times New Roman" w:eastAsia="Times New Roman" w:hAnsi="Times New Roman" w:cs="Times New Roman"/>
                <w:bCs/>
                <w:kern w:val="32"/>
                <w:lang w:eastAsia="pl-PL"/>
                <w14:ligatures w14:val="none"/>
              </w:rPr>
              <w:t xml:space="preserve">Adam Guibourgé-Czetwertyński – Podsekretarz Stanu w Ministerstwie Klimatu i Środowiska </w:t>
            </w:r>
          </w:p>
          <w:p w14:paraId="2DD95535" w14:textId="77777777" w:rsidR="002E1AEB" w:rsidRPr="002E1AEB" w:rsidRDefault="002E1AEB" w:rsidP="002E1AEB">
            <w:pPr>
              <w:spacing w:after="0" w:line="276" w:lineRule="auto"/>
              <w:rPr>
                <w:rFonts w:ascii="Calibri" w:eastAsia="Calibri" w:hAnsi="Calibri" w:cs="Times New Roman"/>
                <w:kern w:val="0"/>
                <w:lang w:eastAsia="pl-PL"/>
                <w14:ligatures w14:val="none"/>
              </w:rPr>
            </w:pPr>
          </w:p>
          <w:p w14:paraId="05A6A308" w14:textId="77777777" w:rsidR="002E1AEB" w:rsidRPr="002E1AEB" w:rsidRDefault="002E1AEB" w:rsidP="002E1A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  <w14:ligatures w14:val="none"/>
              </w:rPr>
            </w:pPr>
            <w:r w:rsidRPr="002E1AEB">
              <w:rPr>
                <w:rFonts w:ascii="Times New Roman" w:eastAsia="Times New Roman" w:hAnsi="Times New Roman" w:cs="Times New Roman"/>
                <w:b/>
                <w:bCs/>
                <w:kern w:val="32"/>
                <w:lang w:eastAsia="pl-PL"/>
                <w14:ligatures w14:val="none"/>
              </w:rPr>
              <w:t>Osoby do kontaktu</w:t>
            </w:r>
          </w:p>
          <w:p w14:paraId="64C91609" w14:textId="77777777" w:rsidR="002E1AEB" w:rsidRPr="002E1AEB" w:rsidRDefault="002E1AEB" w:rsidP="002E1A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pl-PL"/>
                <w14:ligatures w14:val="none"/>
              </w:rPr>
            </w:pPr>
            <w:r w:rsidRPr="002E1AEB">
              <w:rPr>
                <w:rFonts w:ascii="Times New Roman" w:eastAsia="Times New Roman" w:hAnsi="Times New Roman" w:cs="Times New Roman"/>
                <w:bCs/>
                <w:kern w:val="32"/>
                <w:lang w:eastAsia="pl-PL"/>
                <w14:ligatures w14:val="none"/>
              </w:rPr>
              <w:t>Aleksandra Gackowska,</w:t>
            </w:r>
          </w:p>
          <w:p w14:paraId="115F56F3" w14:textId="77777777" w:rsidR="002E1AEB" w:rsidRPr="002E1AEB" w:rsidRDefault="002E1AEB" w:rsidP="002E1A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pl-PL"/>
                <w14:ligatures w14:val="none"/>
              </w:rPr>
            </w:pPr>
            <w:r w:rsidRPr="002E1AEB">
              <w:rPr>
                <w:rFonts w:ascii="Times New Roman" w:eastAsia="Times New Roman" w:hAnsi="Times New Roman" w:cs="Times New Roman"/>
                <w:bCs/>
                <w:kern w:val="32"/>
                <w:lang w:eastAsia="pl-PL"/>
                <w14:ligatures w14:val="none"/>
              </w:rPr>
              <w:t xml:space="preserve">Główny Specjalista </w:t>
            </w:r>
          </w:p>
          <w:p w14:paraId="11976F8A" w14:textId="77777777" w:rsidR="002E1AEB" w:rsidRPr="002E1AEB" w:rsidRDefault="002E1AEB" w:rsidP="002E1A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pl-PL"/>
                <w14:ligatures w14:val="none"/>
              </w:rPr>
            </w:pPr>
            <w:r w:rsidRPr="002E1AEB">
              <w:rPr>
                <w:rFonts w:ascii="Times New Roman" w:eastAsia="Times New Roman" w:hAnsi="Times New Roman" w:cs="Times New Roman"/>
                <w:bCs/>
                <w:kern w:val="32"/>
                <w:lang w:eastAsia="pl-PL"/>
                <w14:ligatures w14:val="none"/>
              </w:rPr>
              <w:t xml:space="preserve">Departament Elektroenergetyki i Gazu, </w:t>
            </w:r>
          </w:p>
          <w:p w14:paraId="799EAAA4" w14:textId="2EC4E83C" w:rsidR="002E1AEB" w:rsidRPr="002E1AEB" w:rsidRDefault="002E1AEB" w:rsidP="002E1AEB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 xml:space="preserve">e-mail: </w:t>
            </w:r>
            <w:r w:rsidR="00420268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aleksandra,gackowska@klimat.gov.pl</w:t>
            </w:r>
          </w:p>
        </w:tc>
        <w:tc>
          <w:tcPr>
            <w:tcW w:w="4340" w:type="dxa"/>
            <w:gridSpan w:val="11"/>
            <w:shd w:val="clear" w:color="auto" w:fill="FFFFFF"/>
          </w:tcPr>
          <w:p w14:paraId="5705478B" w14:textId="5E23AEC4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14:ligatures w14:val="none"/>
              </w:rPr>
              <w:t>Data sporządzenia</w:t>
            </w:r>
            <w:r w:rsidRPr="002E1AEB">
              <w:rPr>
                <w:rFonts w:ascii="Times New Roman" w:eastAsia="Calibri" w:hAnsi="Times New Roman" w:cs="Times New Roman"/>
                <w:b/>
                <w:kern w:val="0"/>
                <w:sz w:val="21"/>
                <w:szCs w:val="21"/>
                <w14:ligatures w14:val="none"/>
              </w:rPr>
              <w:br/>
            </w:r>
            <w:sdt>
              <w:sdtPr>
                <w:rPr>
                  <w:rFonts w:ascii="Times New Roman" w:eastAsia="Calibri" w:hAnsi="Times New Roman" w:cs="Times New Roman"/>
                  <w:b/>
                  <w:kern w:val="0"/>
                  <w:sz w:val="21"/>
                  <w:szCs w:val="21"/>
                  <w14:ligatures w14:val="none"/>
                </w:rPr>
                <w:id w:val="-345788683"/>
                <w:placeholder>
                  <w:docPart w:val="C8E34F328ABF465683D471B2B74DBFAD"/>
                </w:placeholder>
                <w:date w:fullDate="2023-12-05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86775E">
                  <w:rPr>
                    <w:rFonts w:ascii="Times New Roman" w:eastAsia="Calibri" w:hAnsi="Times New Roman" w:cs="Times New Roman"/>
                    <w:b/>
                    <w:kern w:val="0"/>
                    <w:sz w:val="21"/>
                    <w:szCs w:val="21"/>
                    <w14:ligatures w14:val="none"/>
                  </w:rPr>
                  <w:t>05.12.2023</w:t>
                </w:r>
              </w:sdtContent>
            </w:sdt>
          </w:p>
          <w:p w14:paraId="009683F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</w:p>
          <w:p w14:paraId="2951D78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Źródło: </w:t>
            </w:r>
            <w:bookmarkStart w:id="2" w:name="Lista1"/>
          </w:p>
          <w:bookmarkEnd w:id="2"/>
          <w:p w14:paraId="43C70BDF" w14:textId="5A70A43C" w:rsidR="002E1AEB" w:rsidRPr="002E1AEB" w:rsidRDefault="00000000" w:rsidP="002E1A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14:ligatures w14:val="none"/>
                </w:rPr>
                <w:id w:val="-1451614635"/>
                <w:placeholder>
                  <w:docPart w:val="7BF8359C34E04881B023C3D37FAC7A67"/>
                </w:placeholder>
                <w:dropDownList>
                  <w:listItem w:value="Wybierz element."/>
                  <w:listItem w:displayText="Exposé PRM" w:value="Exposé PRM"/>
                  <w:listItem w:displayText="Decyzja PRM/RM" w:value="Decyzja PRM/RM"/>
                  <w:listItem w:displayText="Prawo UE" w:value="Prawo UE"/>
                  <w:listItem w:displayText="Orzeczenie TK" w:value="Orzeczenie TK"/>
                  <w:listItem w:displayText="Upoważnienie ustawowe" w:value="Upoważnienie ustawowe"/>
                  <w:listItem w:displayText="Strategia" w:value="Strategia"/>
                  <w:listItem w:displayText="Inne" w:value="Inne"/>
                </w:dropDownList>
              </w:sdtPr>
              <w:sdtContent>
                <w:r w:rsidR="002E1AEB" w:rsidRPr="002E1AEB">
                  <w:rPr>
                    <w:rFonts w:ascii="Times New Roman" w:eastAsia="Calibri" w:hAnsi="Times New Roman" w:cs="Times New Roman"/>
                    <w:kern w:val="0"/>
                    <w14:ligatures w14:val="none"/>
                  </w:rPr>
                  <w:t>Upoważnienie ustawowe</w:t>
                </w:r>
              </w:sdtContent>
            </w:sdt>
            <w:r w:rsidR="00F1676F">
              <w:rPr>
                <w:rFonts w:ascii="Times New Roman" w:eastAsia="Calibri" w:hAnsi="Times New Roman" w:cs="Times New Roman"/>
                <w:kern w:val="0"/>
                <w14:ligatures w14:val="none"/>
              </w:rPr>
              <w:t>:</w:t>
            </w:r>
          </w:p>
          <w:p w14:paraId="461F5293" w14:textId="1393C97D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kern w:val="0"/>
                <w14:ligatures w14:val="none"/>
              </w:rPr>
              <w:t>art. 46 ust. 1 i 2 ustawy z dnia 10 kwietnia 1997 r. – Prawo energetyczne</w:t>
            </w:r>
            <w:r w:rsidR="00F678D0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</w:t>
            </w:r>
            <w:r w:rsidR="00F678D0" w:rsidRPr="008D4D9B">
              <w:rPr>
                <w:rFonts w:ascii="Times New Roman" w:hAnsi="Times New Roman" w:cs="Times New Roman"/>
              </w:rPr>
              <w:t xml:space="preserve">(Dz. U. z 2022 r. poz. 1385, z </w:t>
            </w:r>
            <w:proofErr w:type="spellStart"/>
            <w:r w:rsidR="00F678D0" w:rsidRPr="008D4D9B">
              <w:rPr>
                <w:rFonts w:ascii="Times New Roman" w:hAnsi="Times New Roman" w:cs="Times New Roman"/>
              </w:rPr>
              <w:t>późn</w:t>
            </w:r>
            <w:proofErr w:type="spellEnd"/>
            <w:r w:rsidR="00F678D0" w:rsidRPr="008D4D9B">
              <w:rPr>
                <w:rFonts w:ascii="Times New Roman" w:hAnsi="Times New Roman" w:cs="Times New Roman"/>
              </w:rPr>
              <w:t>. zm.)</w:t>
            </w:r>
          </w:p>
          <w:p w14:paraId="3AAFAA6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00299C9F" w14:textId="7A9ECCE4" w:rsidR="002E1AEB" w:rsidRPr="002E1AEB" w:rsidRDefault="002E1AEB" w:rsidP="002E1AE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 xml:space="preserve">Nr w </w:t>
            </w:r>
            <w:r w:rsidR="00F678D0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W</w:t>
            </w: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 xml:space="preserve">ykazie prac </w:t>
            </w:r>
            <w:r w:rsidR="00E33A9A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legislacyjnych Ministra Klimatu i Środowiska:</w:t>
            </w:r>
          </w:p>
          <w:p w14:paraId="576A39C1" w14:textId="647D9E42" w:rsidR="002E1AEB" w:rsidRPr="002E1AEB" w:rsidRDefault="00B71E99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B71E99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1162</w:t>
            </w:r>
          </w:p>
          <w:p w14:paraId="2136919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2E1AEB" w:rsidRPr="002E1AEB" w14:paraId="6C3E4A9B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3BA60C9A" w14:textId="77777777" w:rsidR="002E1AEB" w:rsidRPr="002E1AEB" w:rsidRDefault="002E1AEB" w:rsidP="002E1AE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kern w:val="0"/>
                <w:sz w:val="32"/>
                <w:szCs w:val="32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FFFFFF"/>
                <w:kern w:val="0"/>
                <w:sz w:val="32"/>
                <w:szCs w:val="32"/>
                <w14:ligatures w14:val="none"/>
              </w:rPr>
              <w:t>OCENA SKUTKÓW REGULACJI</w:t>
            </w:r>
          </w:p>
        </w:tc>
      </w:tr>
      <w:tr w:rsidR="002E1AEB" w:rsidRPr="002E1AEB" w14:paraId="06336D91" w14:textId="77777777" w:rsidTr="00CD7534">
        <w:trPr>
          <w:trHeight w:val="333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2CC11445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Jaki problem jest rozwiązywany?</w:t>
            </w:r>
            <w:bookmarkStart w:id="3" w:name="Wybór1"/>
            <w:bookmarkEnd w:id="3"/>
          </w:p>
        </w:tc>
      </w:tr>
      <w:tr w:rsidR="002E1AEB" w:rsidRPr="002E1AEB" w14:paraId="7089550C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23447038" w14:textId="1F3CD686" w:rsidR="00CD7534" w:rsidRPr="00CD7534" w:rsidRDefault="00CD7534" w:rsidP="00F167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D7534">
              <w:rPr>
                <w:rFonts w:ascii="Times New Roman" w:hAnsi="Times New Roman" w:cs="Times New Roman"/>
                <w:lang w:bidi="en-US"/>
              </w:rPr>
              <w:t>Projekt rozporządzenia został opracowany na podstawie upoważnienia</w:t>
            </w:r>
            <w:r w:rsidR="00CC5312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CD7534">
              <w:rPr>
                <w:rFonts w:ascii="Times New Roman" w:hAnsi="Times New Roman" w:cs="Times New Roman"/>
                <w:lang w:bidi="en-US"/>
              </w:rPr>
              <w:t>z</w:t>
            </w:r>
            <w:r w:rsidR="0086775E">
              <w:rPr>
                <w:rFonts w:ascii="Times New Roman" w:hAnsi="Times New Roman" w:cs="Times New Roman"/>
                <w:lang w:bidi="en-US"/>
              </w:rPr>
              <w:t>awartego w</w:t>
            </w:r>
            <w:r w:rsidRPr="00CD7534">
              <w:rPr>
                <w:rFonts w:ascii="Times New Roman" w:hAnsi="Times New Roman" w:cs="Times New Roman"/>
                <w:lang w:bidi="en-US"/>
              </w:rPr>
              <w:t xml:space="preserve"> art. 46 ust. 1 </w:t>
            </w:r>
            <w:r w:rsidR="00390CE5">
              <w:rPr>
                <w:rFonts w:ascii="Times New Roman" w:hAnsi="Times New Roman" w:cs="Times New Roman"/>
                <w:lang w:bidi="en-US"/>
              </w:rPr>
              <w:t xml:space="preserve">i 2 </w:t>
            </w:r>
            <w:r w:rsidRPr="00CD7534">
              <w:rPr>
                <w:rFonts w:ascii="Times New Roman" w:hAnsi="Times New Roman" w:cs="Times New Roman"/>
                <w:lang w:bidi="en-US"/>
              </w:rPr>
              <w:t>ustawy z dnia 10 kwietnia 1997 r. – Prawo energetyczne, zwanej dalej „ustawą – Prawo energetyczne”. Na mocy tego przepisu minister właściwy do spraw energii, po zasięgnięciu opinii Prezesa Urzędu Regulacji Energetyki, określi, w drodze rozporządzenia, szczegółowe zasady kształtowania i kalkulacji taryf dla paliw gazowych oraz szczegółowe zasady rozliczeń w obrocie paliwami gazowymi, biorąc pod uwagę: politykę energetyczną państwa, zapewnienie pokrycia uzasadnionych kosztów przedsiębiorstw energetycznych, w tym kosztów ich rozwoju, ochronę interesów odbiorców przed nieuzasadnionym poziomem cen i opłat, poprawę efektywności dostarczania i wykorzystywania paliw gazowych, równoprawne traktowanie odbiorców, eliminowanie subsydiowania skrośnego oraz przejrzystość cen i stawek opłat.</w:t>
            </w:r>
          </w:p>
          <w:p w14:paraId="1391D77C" w14:textId="117DBED6" w:rsidR="00CD7534" w:rsidRPr="00ED3E02" w:rsidRDefault="00CD7534" w:rsidP="00CD75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D7534">
              <w:rPr>
                <w:rFonts w:ascii="Times New Roman" w:hAnsi="Times New Roman" w:cs="Times New Roman"/>
                <w:lang w:bidi="en-US"/>
              </w:rPr>
              <w:t xml:space="preserve">Proponowane w projekcie rozporządzenia zmiany w rozporządzeniu </w:t>
            </w:r>
            <w:r w:rsidRPr="00CD7534">
              <w:rPr>
                <w:rFonts w:ascii="Times New Roman" w:hAnsi="Times New Roman" w:cs="Times New Roman"/>
              </w:rPr>
              <w:t xml:space="preserve">Ministra Energii </w:t>
            </w:r>
            <w:r w:rsidRPr="00CD7534">
              <w:rPr>
                <w:rFonts w:ascii="Times New Roman" w:hAnsi="Times New Roman" w:cs="Times New Roman"/>
              </w:rPr>
              <w:br/>
              <w:t>z dnia 15 marca 2018 r. w sprawie szczegółowych zasad kształtowania i kalkulacji taryf oraz rozliczeń w obrocie paliwami gazowymi (Dz. U. z 2021 r. poz. 280), zwanym dalej „rozporządzeniem taryfowym”,</w:t>
            </w:r>
            <w:r w:rsidRPr="00CD7534">
              <w:rPr>
                <w:rFonts w:ascii="Times New Roman" w:hAnsi="Times New Roman" w:cs="Times New Roman"/>
                <w:i/>
                <w:lang w:bidi="en-US"/>
              </w:rPr>
              <w:t xml:space="preserve"> </w:t>
            </w:r>
            <w:r w:rsidR="00BB2665">
              <w:rPr>
                <w:rFonts w:ascii="Times New Roman" w:hAnsi="Times New Roman" w:cs="Times New Roman"/>
                <w:lang w:bidi="en-US"/>
              </w:rPr>
              <w:t>mają na celu korektę</w:t>
            </w:r>
            <w:r w:rsidRPr="00CD7534"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  <w:r w:rsidR="00BB2665">
              <w:rPr>
                <w:rFonts w:ascii="Times New Roman" w:hAnsi="Times New Roman" w:cs="Times New Roman"/>
                <w:bCs/>
                <w:lang w:bidi="en-US"/>
              </w:rPr>
              <w:t xml:space="preserve">przepisu </w:t>
            </w:r>
            <w:r w:rsidRPr="00CD7534">
              <w:rPr>
                <w:rFonts w:ascii="Times New Roman" w:hAnsi="Times New Roman" w:cs="Times New Roman"/>
                <w:bCs/>
                <w:lang w:bidi="en-US"/>
              </w:rPr>
              <w:t>§ 50b rozporządzenia</w:t>
            </w:r>
            <w:r w:rsidR="00BB2665">
              <w:rPr>
                <w:rFonts w:ascii="Times New Roman" w:hAnsi="Times New Roman" w:cs="Times New Roman"/>
                <w:bCs/>
                <w:lang w:bidi="en-US"/>
              </w:rPr>
              <w:t>, który określa, że</w:t>
            </w:r>
            <w:r w:rsidRPr="00CD7534">
              <w:rPr>
                <w:rFonts w:ascii="Times New Roman" w:hAnsi="Times New Roman" w:cs="Times New Roman"/>
                <w:bCs/>
                <w:lang w:bidi="en-US"/>
              </w:rPr>
              <w:t xml:space="preserve"> </w:t>
            </w:r>
            <w:r w:rsidRPr="00CD7534">
              <w:rPr>
                <w:rFonts w:ascii="Times New Roman" w:hAnsi="Times New Roman" w:cs="Times New Roman"/>
              </w:rPr>
              <w:t>sald</w:t>
            </w:r>
            <w:r w:rsidR="0086775E">
              <w:rPr>
                <w:rFonts w:ascii="Times New Roman" w:hAnsi="Times New Roman" w:cs="Times New Roman"/>
              </w:rPr>
              <w:t>o</w:t>
            </w:r>
            <w:r w:rsidRPr="00CD7534">
              <w:rPr>
                <w:rFonts w:ascii="Times New Roman" w:hAnsi="Times New Roman" w:cs="Times New Roman"/>
              </w:rPr>
              <w:t xml:space="preserve"> konta regulacyjnego dla innych operatorów, po raz pierwszy zostanie uwzględnione przy ustalaniu przychodu pokrywającego koszty uzasadnione na rok 202</w:t>
            </w:r>
            <w:r w:rsidR="00BB2665">
              <w:rPr>
                <w:rFonts w:ascii="Times New Roman" w:hAnsi="Times New Roman" w:cs="Times New Roman"/>
              </w:rPr>
              <w:t>5</w:t>
            </w:r>
            <w:r w:rsidRPr="00CD7534">
              <w:rPr>
                <w:rFonts w:ascii="Times New Roman" w:hAnsi="Times New Roman" w:cs="Times New Roman"/>
              </w:rPr>
              <w:t xml:space="preserve">, </w:t>
            </w:r>
            <w:r w:rsidR="00BB2665">
              <w:rPr>
                <w:rFonts w:ascii="Times New Roman" w:hAnsi="Times New Roman" w:cs="Times New Roman"/>
              </w:rPr>
              <w:t>polegając</w:t>
            </w:r>
            <w:r w:rsidR="0086775E">
              <w:rPr>
                <w:rFonts w:ascii="Times New Roman" w:hAnsi="Times New Roman" w:cs="Times New Roman"/>
              </w:rPr>
              <w:t>ą</w:t>
            </w:r>
            <w:r w:rsidR="00BB2665">
              <w:rPr>
                <w:rFonts w:ascii="Times New Roman" w:hAnsi="Times New Roman" w:cs="Times New Roman"/>
              </w:rPr>
              <w:t xml:space="preserve"> na wydłużeniu okresu przejściowego do </w:t>
            </w:r>
            <w:r w:rsidRPr="00CD7534">
              <w:rPr>
                <w:rFonts w:ascii="Times New Roman" w:hAnsi="Times New Roman" w:cs="Times New Roman"/>
              </w:rPr>
              <w:t xml:space="preserve"> rok</w:t>
            </w:r>
            <w:r w:rsidR="00BB2665">
              <w:rPr>
                <w:rFonts w:ascii="Times New Roman" w:hAnsi="Times New Roman" w:cs="Times New Roman"/>
              </w:rPr>
              <w:t>u</w:t>
            </w:r>
            <w:r w:rsidRPr="00CD7534">
              <w:rPr>
                <w:rFonts w:ascii="Times New Roman" w:hAnsi="Times New Roman" w:cs="Times New Roman"/>
              </w:rPr>
              <w:t xml:space="preserve"> 202</w:t>
            </w:r>
            <w:r w:rsidR="00BB2665">
              <w:rPr>
                <w:rFonts w:ascii="Times New Roman" w:hAnsi="Times New Roman" w:cs="Times New Roman"/>
              </w:rPr>
              <w:t>6</w:t>
            </w:r>
            <w:r w:rsidRPr="00CD7534">
              <w:rPr>
                <w:rFonts w:ascii="Times New Roman" w:hAnsi="Times New Roman" w:cs="Times New Roman"/>
              </w:rPr>
              <w:t>.</w:t>
            </w:r>
          </w:p>
          <w:p w14:paraId="23DD0158" w14:textId="527D12BB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2E1AEB" w:rsidRPr="002E1AEB" w14:paraId="4ADE1063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5F90A385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14:ligatures w14:val="none"/>
              </w:rPr>
              <w:t>Rekomendowane rozwiązanie, w tym planowane narzędzia interwencji, i oczekiwany efekt</w:t>
            </w:r>
          </w:p>
        </w:tc>
      </w:tr>
      <w:tr w:rsidR="002E1AEB" w:rsidRPr="002E1AEB" w14:paraId="1AC8C187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auto"/>
          </w:tcPr>
          <w:p w14:paraId="3535FCAB" w14:textId="77777777" w:rsidR="008C39F4" w:rsidRPr="00CD7534" w:rsidRDefault="008C39F4" w:rsidP="008C3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</w:pPr>
          </w:p>
          <w:p w14:paraId="5D7E015A" w14:textId="26D0FA1B" w:rsidR="00CD7534" w:rsidRPr="00CD7534" w:rsidRDefault="00CD7534" w:rsidP="00CD75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D7534">
              <w:rPr>
                <w:rFonts w:ascii="Times New Roman" w:hAnsi="Times New Roman" w:cs="Times New Roman"/>
                <w:lang w:bidi="en-US"/>
              </w:rPr>
              <w:t>Zgodnie z dotychczasowym brzmieniem §</w:t>
            </w:r>
            <w:r w:rsidR="005E1F72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CD7534">
              <w:rPr>
                <w:rFonts w:ascii="Times New Roman" w:hAnsi="Times New Roman" w:cs="Times New Roman"/>
                <w:lang w:bidi="en-US"/>
              </w:rPr>
              <w:t>50b rozporządzenia taryfowego saldo konta regulacyjnego dla operatorów innych niż przesyłowego ma być uwzględniane w procesie kalkulowania taryfy po raz pierwszy już przy ustalaniu przychodu pokrywającego koszty uzasadnione na rok 2025. Przewidzian</w:t>
            </w:r>
            <w:r w:rsidR="0086775E">
              <w:rPr>
                <w:rFonts w:ascii="Times New Roman" w:hAnsi="Times New Roman" w:cs="Times New Roman"/>
                <w:lang w:bidi="en-US"/>
              </w:rPr>
              <w:t>y</w:t>
            </w:r>
            <w:r w:rsidRPr="00CD7534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86775E">
              <w:rPr>
                <w:rFonts w:ascii="Times New Roman" w:hAnsi="Times New Roman" w:cs="Times New Roman"/>
                <w:lang w:bidi="en-US"/>
              </w:rPr>
              <w:t xml:space="preserve">w przepisie </w:t>
            </w:r>
            <w:r w:rsidR="00017A4D">
              <w:rPr>
                <w:rFonts w:ascii="Times New Roman" w:hAnsi="Times New Roman" w:cs="Times New Roman"/>
                <w:lang w:bidi="en-US"/>
              </w:rPr>
              <w:t>termin</w:t>
            </w:r>
            <w:r w:rsidRPr="00CD7534">
              <w:rPr>
                <w:rFonts w:ascii="Times New Roman" w:hAnsi="Times New Roman" w:cs="Times New Roman"/>
                <w:lang w:bidi="en-US"/>
              </w:rPr>
              <w:t xml:space="preserve"> może okazać się zbyt krótki z kilku powodów.</w:t>
            </w:r>
          </w:p>
          <w:p w14:paraId="4606C78A" w14:textId="77777777" w:rsidR="00CD7534" w:rsidRPr="00CD7534" w:rsidRDefault="00CD7534" w:rsidP="00CD75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D7534">
              <w:rPr>
                <w:rFonts w:ascii="Times New Roman" w:hAnsi="Times New Roman" w:cs="Times New Roman"/>
                <w:lang w:bidi="en-US"/>
              </w:rPr>
              <w:t xml:space="preserve">Po pierwsze, </w:t>
            </w:r>
            <w:r w:rsidRPr="00ED3E02">
              <w:rPr>
                <w:rFonts w:ascii="Times New Roman" w:hAnsi="Times New Roman" w:cs="Times New Roman"/>
                <w:lang w:bidi="en-US"/>
              </w:rPr>
              <w:t>przed rozpoczęciem stosowania konta regulacyjnego, dla każdej z nowych działalności wymienionych w rozporządzeniu taryfowym, niezbędne jest przeprowadzenie uzgodnień z Prezesem Urzędu Regulacji Energetyki, służących ustaleniu zakresu danych niezbędnych organowi oraz zasad ich przekazywania. Oznacza to, iż czas na przeprowadzenie opisanych powyżej uzgodnień z organem regulacyjnym i przygotowanie niezbędnych danych</w:t>
            </w:r>
            <w:r w:rsidRPr="00CD7534">
              <w:rPr>
                <w:rFonts w:ascii="Times New Roman" w:hAnsi="Times New Roman" w:cs="Times New Roman"/>
                <w:lang w:bidi="en-US"/>
              </w:rPr>
              <w:t>.</w:t>
            </w:r>
          </w:p>
          <w:p w14:paraId="0D21DDEA" w14:textId="77777777" w:rsidR="00CD7534" w:rsidRPr="00CD7534" w:rsidRDefault="00CD7534" w:rsidP="00CD75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D7534">
              <w:rPr>
                <w:rFonts w:ascii="Times New Roman" w:hAnsi="Times New Roman" w:cs="Times New Roman"/>
                <w:lang w:bidi="en-US"/>
              </w:rPr>
              <w:t xml:space="preserve">Po drugie, podmioty świadczące usługi </w:t>
            </w:r>
            <w:r w:rsidRPr="00CD7534">
              <w:rPr>
                <w:rFonts w:ascii="Times New Roman" w:hAnsi="Times New Roman" w:cs="Times New Roman"/>
              </w:rPr>
              <w:t xml:space="preserve">dystrybucji paliw gazowych, magazynowania paliw gazowych, skraplania gazu ziemnego lub </w:t>
            </w:r>
            <w:proofErr w:type="spellStart"/>
            <w:r w:rsidRPr="00CD7534">
              <w:rPr>
                <w:rFonts w:ascii="Times New Roman" w:hAnsi="Times New Roman" w:cs="Times New Roman"/>
              </w:rPr>
              <w:t>regazyfikacji</w:t>
            </w:r>
            <w:proofErr w:type="spellEnd"/>
            <w:r w:rsidRPr="00CD7534">
              <w:rPr>
                <w:rFonts w:ascii="Times New Roman" w:hAnsi="Times New Roman" w:cs="Times New Roman"/>
              </w:rPr>
              <w:t xml:space="preserve"> skroplonego gazu ziemnego</w:t>
            </w:r>
            <w:r w:rsidRPr="00CD7534">
              <w:rPr>
                <w:rFonts w:ascii="Times New Roman" w:hAnsi="Times New Roman" w:cs="Times New Roman"/>
                <w:lang w:bidi="en-US"/>
              </w:rPr>
              <w:t xml:space="preserve"> muszą podejmować </w:t>
            </w:r>
            <w:r w:rsidRPr="00ED3E02">
              <w:rPr>
                <w:rFonts w:ascii="Times New Roman" w:hAnsi="Times New Roman" w:cs="Times New Roman"/>
                <w:lang w:bidi="en-US"/>
              </w:rPr>
              <w:t>działania mające na celu przygotowanie wniosku taryfowego na 2025 r. podejmowane są już na początku 2024 r., w celu złożenia go Prezesowi URE z odpowiednim wyprzedzeniem, koniecznym dla przeprowadzenia prawidłowego postępowania administracyjnego w celu zatwierdzenia taryfy.</w:t>
            </w:r>
            <w:r w:rsidRPr="00ED3E02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 </w:t>
            </w:r>
          </w:p>
          <w:p w14:paraId="674B193F" w14:textId="77777777" w:rsidR="00CD7534" w:rsidRPr="00CD7534" w:rsidRDefault="00CD7534" w:rsidP="00CD75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bidi="en-US"/>
              </w:rPr>
            </w:pPr>
            <w:r w:rsidRPr="00CD7534">
              <w:rPr>
                <w:rFonts w:ascii="Times New Roman" w:hAnsi="Times New Roman" w:cs="Times New Roman"/>
                <w:lang w:bidi="en-US"/>
              </w:rPr>
              <w:t xml:space="preserve">Po trzecie, biorąc powyższe pod uwagę dotychczasowe vacatio legis i wiążące się z tym przyspieszenie konsultacji i prac przygotowujących do uruchomienia konta regulacyjnego dla innych operatorów może </w:t>
            </w:r>
            <w:r w:rsidRPr="00ED3E02">
              <w:rPr>
                <w:rFonts w:ascii="Times New Roman" w:hAnsi="Times New Roman" w:cs="Times New Roman"/>
                <w:lang w:bidi="en-US"/>
              </w:rPr>
              <w:t xml:space="preserve">stanowić wyzwanie </w:t>
            </w:r>
            <w:r w:rsidRPr="00CD7534">
              <w:rPr>
                <w:rFonts w:ascii="Times New Roman" w:hAnsi="Times New Roman" w:cs="Times New Roman"/>
                <w:lang w:bidi="en-US"/>
              </w:rPr>
              <w:t>również dla</w:t>
            </w:r>
            <w:r w:rsidRPr="00ED3E02">
              <w:rPr>
                <w:rFonts w:ascii="Times New Roman" w:hAnsi="Times New Roman" w:cs="Times New Roman"/>
                <w:lang w:bidi="en-US"/>
              </w:rPr>
              <w:t xml:space="preserve"> regulatora rynku. </w:t>
            </w:r>
          </w:p>
          <w:p w14:paraId="003560A1" w14:textId="4160C46A" w:rsidR="002E1AEB" w:rsidRPr="00CD7534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2E1AEB" w:rsidRPr="002E1AEB" w14:paraId="1A592168" w14:textId="77777777" w:rsidTr="00CD7534">
        <w:trPr>
          <w:trHeight w:val="307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22B524FF" w14:textId="039368F8" w:rsidR="00D43B6D" w:rsidRPr="0050722D" w:rsidRDefault="002E1AEB" w:rsidP="0050722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spacing w:val="-2"/>
                <w:kern w:val="0"/>
                <w14:ligatures w14:val="none"/>
              </w:rPr>
              <w:t>Jak problem został rozwiązany w innych krajach, w szczególności krajach członkowskich OECD/UE</w:t>
            </w: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?</w:t>
            </w:r>
            <w:r w:rsidRPr="002E1AEB">
              <w:rPr>
                <w:rFonts w:ascii="Times New Roman" w:eastAsia="Calibri" w:hAnsi="Times New Roman" w:cs="Times New Roman"/>
                <w:i/>
                <w:color w:val="000000"/>
                <w:kern w:val="0"/>
                <w14:ligatures w14:val="none"/>
              </w:rPr>
              <w:t xml:space="preserve"> </w:t>
            </w:r>
            <w:r w:rsidR="00D43B6D">
              <w:rPr>
                <w:rFonts w:ascii="Times New Roman" w:eastAsia="Calibri" w:hAnsi="Times New Roman" w:cs="Times New Roman"/>
                <w:i/>
                <w:color w:val="000000"/>
                <w:kern w:val="0"/>
                <w14:ligatures w14:val="none"/>
              </w:rPr>
              <w:t>T</w:t>
            </w:r>
          </w:p>
        </w:tc>
      </w:tr>
      <w:tr w:rsidR="0050722D" w:rsidRPr="002E1AEB" w14:paraId="37B9E077" w14:textId="77777777" w:rsidTr="00CD7534">
        <w:trPr>
          <w:trHeight w:val="307"/>
        </w:trPr>
        <w:tc>
          <w:tcPr>
            <w:tcW w:w="10947" w:type="dxa"/>
            <w:gridSpan w:val="27"/>
            <w:shd w:val="clear" w:color="auto" w:fill="auto"/>
            <w:vAlign w:val="center"/>
          </w:tcPr>
          <w:p w14:paraId="76305856" w14:textId="065DF7D7" w:rsidR="0050722D" w:rsidRPr="002E1AEB" w:rsidRDefault="0050722D" w:rsidP="0050722D">
            <w:pPr>
              <w:spacing w:before="60" w:after="60" w:line="240" w:lineRule="auto"/>
              <w:ind w:left="318"/>
              <w:jc w:val="both"/>
              <w:rPr>
                <w:rFonts w:ascii="Times New Roman" w:eastAsia="Calibri" w:hAnsi="Times New Roman" w:cs="Times New Roman"/>
                <w:b/>
                <w:spacing w:val="-2"/>
                <w:kern w:val="0"/>
                <w14:ligatures w14:val="none"/>
              </w:rPr>
            </w:pPr>
            <w:r w:rsidRPr="0050722D">
              <w:rPr>
                <w:rFonts w:ascii="Times New Roman" w:eastAsia="Calibri" w:hAnsi="Times New Roman" w:cs="Times New Roman"/>
                <w:bCs/>
                <w:color w:val="000000"/>
                <w:kern w:val="0"/>
                <w14:ligatures w14:val="none"/>
              </w:rPr>
              <w:t>Nie przeprowadzono analizy prawno-porównawczej.</w:t>
            </w:r>
          </w:p>
        </w:tc>
      </w:tr>
      <w:tr w:rsidR="002E1AEB" w:rsidRPr="002E1AEB" w14:paraId="457F4D25" w14:textId="77777777" w:rsidTr="00CD7534">
        <w:trPr>
          <w:trHeight w:val="359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6863534B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lastRenderedPageBreak/>
              <w:t>Podmioty, na które oddziałuje projekt</w:t>
            </w:r>
          </w:p>
        </w:tc>
      </w:tr>
      <w:tr w:rsidR="002E1AEB" w:rsidRPr="002E1AEB" w14:paraId="46FF1F91" w14:textId="77777777" w:rsidTr="00CD7534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3FBF69AB" w14:textId="77777777" w:rsidR="002E1AEB" w:rsidRPr="002E1AEB" w:rsidRDefault="002E1AEB" w:rsidP="002E1AEB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Grupa</w:t>
            </w:r>
          </w:p>
        </w:tc>
        <w:tc>
          <w:tcPr>
            <w:tcW w:w="2286" w:type="dxa"/>
            <w:gridSpan w:val="7"/>
            <w:shd w:val="clear" w:color="auto" w:fill="auto"/>
          </w:tcPr>
          <w:p w14:paraId="2D45AE2C" w14:textId="77777777" w:rsidR="002E1AEB" w:rsidRPr="002E1AEB" w:rsidRDefault="002E1AEB" w:rsidP="002E1AEB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Wielkość</w:t>
            </w:r>
          </w:p>
        </w:tc>
        <w:tc>
          <w:tcPr>
            <w:tcW w:w="2986" w:type="dxa"/>
            <w:gridSpan w:val="11"/>
            <w:shd w:val="clear" w:color="auto" w:fill="auto"/>
          </w:tcPr>
          <w:p w14:paraId="65379AC9" w14:textId="77777777" w:rsidR="002E1AEB" w:rsidRPr="002E1AEB" w:rsidRDefault="002E1AEB" w:rsidP="002E1AEB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Źródło danych</w:t>
            </w:r>
            <w:r w:rsidRPr="002E1AEB" w:rsidDel="00260F33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2139F1D4" w14:textId="77777777" w:rsidR="002E1AEB" w:rsidRPr="002E1AEB" w:rsidRDefault="002E1AEB" w:rsidP="002E1AEB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Oddziaływanie</w:t>
            </w:r>
          </w:p>
        </w:tc>
      </w:tr>
      <w:tr w:rsidR="002E1AEB" w:rsidRPr="002E1AEB" w14:paraId="04238619" w14:textId="77777777" w:rsidTr="00CD7534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446AD771" w14:textId="77777777" w:rsidR="002E1AEB" w:rsidRPr="002E1AEB" w:rsidRDefault="002E1AE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Prezes Urzędu Regulacji Energetyki</w:t>
            </w:r>
          </w:p>
        </w:tc>
        <w:tc>
          <w:tcPr>
            <w:tcW w:w="2286" w:type="dxa"/>
            <w:gridSpan w:val="7"/>
            <w:shd w:val="clear" w:color="auto" w:fill="auto"/>
          </w:tcPr>
          <w:p w14:paraId="51D7D4C1" w14:textId="77777777" w:rsidR="002E1AEB" w:rsidRPr="002E1AEB" w:rsidRDefault="002E1AE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1</w:t>
            </w:r>
          </w:p>
        </w:tc>
        <w:tc>
          <w:tcPr>
            <w:tcW w:w="2986" w:type="dxa"/>
            <w:gridSpan w:val="11"/>
            <w:shd w:val="clear" w:color="auto" w:fill="auto"/>
          </w:tcPr>
          <w:p w14:paraId="6009CD9F" w14:textId="3930546B" w:rsidR="002E1AEB" w:rsidRPr="00523A94" w:rsidRDefault="00D43B6D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523A94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u</w:t>
            </w:r>
            <w:r w:rsidR="002E1AEB" w:rsidRPr="00523A94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stawa </w:t>
            </w:r>
            <w:r w:rsidR="00523A94" w:rsidRPr="00523A94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z </w:t>
            </w:r>
            <w:r w:rsidR="00523A94" w:rsidRPr="008D4D9B">
              <w:rPr>
                <w:rFonts w:ascii="Times New Roman" w:hAnsi="Times New Roman" w:cs="Times New Roman"/>
                <w:lang w:bidi="en-US"/>
              </w:rPr>
              <w:t xml:space="preserve">dnia 10 kwietnia 1997 r. – Prawo energetyczne 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732240F9" w14:textId="619A26AD" w:rsidR="002E1AEB" w:rsidRPr="002E1AEB" w:rsidRDefault="002E1AE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Zmiany w zakresie treści przepisów taryfowych w związku z obowiązkiem Prezesa U</w:t>
            </w:r>
            <w:r w:rsidR="00523A94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rzędu 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R</w:t>
            </w:r>
            <w:r w:rsidR="00523A94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egulacji 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E</w:t>
            </w:r>
            <w:r w:rsidR="00523A94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nergetyki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dotyczącym zatwierdzania i kontrolowania stosowania taryf paliw gazowych</w:t>
            </w:r>
          </w:p>
        </w:tc>
      </w:tr>
      <w:tr w:rsidR="002E1AEB" w:rsidRPr="002E1AEB" w14:paraId="3951D264" w14:textId="77777777" w:rsidTr="00CD7534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61DC2773" w14:textId="77777777" w:rsidR="002E1AEB" w:rsidRPr="002E1AEB" w:rsidRDefault="002E1AE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Operatorzy systemu dystrybucyjnego</w:t>
            </w:r>
          </w:p>
        </w:tc>
        <w:tc>
          <w:tcPr>
            <w:tcW w:w="2286" w:type="dxa"/>
            <w:gridSpan w:val="7"/>
            <w:shd w:val="clear" w:color="auto" w:fill="auto"/>
          </w:tcPr>
          <w:p w14:paraId="55E253B9" w14:textId="77777777" w:rsidR="002E1AEB" w:rsidRPr="002E1AEB" w:rsidRDefault="002E1AE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52</w:t>
            </w:r>
          </w:p>
        </w:tc>
        <w:tc>
          <w:tcPr>
            <w:tcW w:w="2986" w:type="dxa"/>
            <w:gridSpan w:val="11"/>
            <w:shd w:val="clear" w:color="auto" w:fill="auto"/>
          </w:tcPr>
          <w:p w14:paraId="66B2BE17" w14:textId="4AA8E470" w:rsidR="002E1AEB" w:rsidRPr="002E1AEB" w:rsidRDefault="002E1AE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Dane Urzędu Regulacji Energetyki </w:t>
            </w:r>
            <w:r w:rsidR="00F678D0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– </w:t>
            </w:r>
            <w:r w:rsidR="00D43B6D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w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ykaz operatorów systemów gazowych (dostęp</w:t>
            </w:r>
            <w:r w:rsidR="00BE7E6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na dzień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:</w:t>
            </w:r>
            <w:r w:rsidR="00BE7E6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</w:t>
            </w:r>
            <w:r w:rsidR="00927B9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27.10.2023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)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7233690B" w14:textId="49D31104" w:rsidR="002E1AEB" w:rsidRPr="002E1AEB" w:rsidRDefault="002E1AE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Zmiana w zakresie</w:t>
            </w:r>
            <w:r w:rsidR="00B63023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zastosowania </w:t>
            </w:r>
            <w:r w:rsidR="00B63023" w:rsidRPr="00CD7534">
              <w:rPr>
                <w:rFonts w:ascii="Times New Roman" w:hAnsi="Times New Roman" w:cs="Times New Roman"/>
                <w:lang w:bidi="en-US"/>
              </w:rPr>
              <w:t>sald</w:t>
            </w:r>
            <w:r w:rsidR="00B63023">
              <w:rPr>
                <w:rFonts w:ascii="Times New Roman" w:hAnsi="Times New Roman" w:cs="Times New Roman"/>
                <w:lang w:bidi="en-US"/>
              </w:rPr>
              <w:t>a</w:t>
            </w:r>
            <w:r w:rsidR="00B63023" w:rsidRPr="00CD7534">
              <w:rPr>
                <w:rFonts w:ascii="Times New Roman" w:hAnsi="Times New Roman" w:cs="Times New Roman"/>
                <w:lang w:bidi="en-US"/>
              </w:rPr>
              <w:t xml:space="preserve"> konta regulacyjnego dla</w:t>
            </w:r>
            <w:r w:rsidR="00B63023">
              <w:rPr>
                <w:rFonts w:ascii="Times New Roman" w:hAnsi="Times New Roman" w:cs="Times New Roman"/>
                <w:lang w:bidi="en-US"/>
              </w:rPr>
              <w:t xml:space="preserve"> innych</w:t>
            </w:r>
            <w:r w:rsidR="00B63023" w:rsidRPr="00CD7534">
              <w:rPr>
                <w:rFonts w:ascii="Times New Roman" w:hAnsi="Times New Roman" w:cs="Times New Roman"/>
                <w:lang w:bidi="en-US"/>
              </w:rPr>
              <w:t xml:space="preserve"> operatorów ma być uwzględniane w procesie kalkulowania taryfy po raz pierwszy już przy ustalaniu przychodu pokrywającego koszty uzasadnione na rok 202</w:t>
            </w:r>
            <w:r w:rsidR="00B63023">
              <w:rPr>
                <w:rFonts w:ascii="Times New Roman" w:hAnsi="Times New Roman" w:cs="Times New Roman"/>
                <w:lang w:bidi="en-US"/>
              </w:rPr>
              <w:t>6.</w:t>
            </w:r>
          </w:p>
        </w:tc>
      </w:tr>
      <w:tr w:rsidR="002E1AEB" w:rsidRPr="002E1AEB" w14:paraId="757638D1" w14:textId="77777777" w:rsidTr="00CD7534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5F96A1F5" w14:textId="3CA1A3AF" w:rsidR="002E1AEB" w:rsidRPr="002E1AEB" w:rsidRDefault="00927B9B" w:rsidP="00D43B6D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8D4D9B">
              <w:rPr>
                <w:rFonts w:ascii="Times New Roman" w:hAnsi="Times New Roman" w:cs="Times New Roman"/>
              </w:rPr>
              <w:t>Operator systemu skraplania gazu</w:t>
            </w:r>
            <w:r>
              <w:t xml:space="preserve"> </w:t>
            </w:r>
            <w:r w:rsidRPr="008D4D9B">
              <w:rPr>
                <w:rFonts w:ascii="Times New Roman" w:hAnsi="Times New Roman" w:cs="Times New Roman"/>
              </w:rPr>
              <w:t>ziemnego</w:t>
            </w:r>
          </w:p>
        </w:tc>
        <w:tc>
          <w:tcPr>
            <w:tcW w:w="2286" w:type="dxa"/>
            <w:gridSpan w:val="7"/>
            <w:shd w:val="clear" w:color="auto" w:fill="auto"/>
          </w:tcPr>
          <w:p w14:paraId="30D02E5D" w14:textId="62A4075F" w:rsidR="002E1AEB" w:rsidRPr="002E1AEB" w:rsidRDefault="00927B9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6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</w:t>
            </w:r>
          </w:p>
        </w:tc>
        <w:tc>
          <w:tcPr>
            <w:tcW w:w="2986" w:type="dxa"/>
            <w:gridSpan w:val="11"/>
            <w:shd w:val="clear" w:color="auto" w:fill="auto"/>
          </w:tcPr>
          <w:p w14:paraId="3D8F7103" w14:textId="118C6257" w:rsidR="002E1AEB" w:rsidRPr="002E1AEB" w:rsidRDefault="002E1AEB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Dane Urzędu Regulacji Energetyki </w:t>
            </w:r>
            <w:r w:rsidR="00F678D0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–</w:t>
            </w:r>
            <w:r w:rsidR="00F678D0"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</w:t>
            </w:r>
            <w:r w:rsidR="00D43B6D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w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ykaz operatorów systemów gazowych (dostęp</w:t>
            </w:r>
            <w:r w:rsidR="00BE7E6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na dzień: </w:t>
            </w:r>
            <w:r w:rsidR="00927B9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27.10.2023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r.)</w:t>
            </w:r>
          </w:p>
        </w:tc>
        <w:tc>
          <w:tcPr>
            <w:tcW w:w="3020" w:type="dxa"/>
            <w:gridSpan w:val="6"/>
            <w:shd w:val="clear" w:color="auto" w:fill="auto"/>
          </w:tcPr>
          <w:p w14:paraId="42EF6804" w14:textId="3AB0847F" w:rsidR="002E1AEB" w:rsidRPr="002E1AEB" w:rsidRDefault="00B63023" w:rsidP="00D43B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Zmiana w zakresie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zastosowania </w:t>
            </w:r>
            <w:r w:rsidRPr="00CD7534">
              <w:rPr>
                <w:rFonts w:ascii="Times New Roman" w:hAnsi="Times New Roman" w:cs="Times New Roman"/>
                <w:lang w:bidi="en-US"/>
              </w:rPr>
              <w:t>sald</w:t>
            </w:r>
            <w:r>
              <w:rPr>
                <w:rFonts w:ascii="Times New Roman" w:hAnsi="Times New Roman" w:cs="Times New Roman"/>
                <w:lang w:bidi="en-US"/>
              </w:rPr>
              <w:t>a</w:t>
            </w:r>
            <w:r w:rsidRPr="00CD7534">
              <w:rPr>
                <w:rFonts w:ascii="Times New Roman" w:hAnsi="Times New Roman" w:cs="Times New Roman"/>
                <w:lang w:bidi="en-US"/>
              </w:rPr>
              <w:t xml:space="preserve"> konta regulacyjnego dla</w:t>
            </w:r>
            <w:r>
              <w:rPr>
                <w:rFonts w:ascii="Times New Roman" w:hAnsi="Times New Roman" w:cs="Times New Roman"/>
                <w:lang w:bidi="en-US"/>
              </w:rPr>
              <w:t xml:space="preserve"> innych</w:t>
            </w:r>
            <w:r w:rsidRPr="00CD7534">
              <w:rPr>
                <w:rFonts w:ascii="Times New Roman" w:hAnsi="Times New Roman" w:cs="Times New Roman"/>
                <w:lang w:bidi="en-US"/>
              </w:rPr>
              <w:t xml:space="preserve"> operatorów ma być uwzględniane w procesie kalkulowania taryfy po raz pierwszy już przy ustalaniu przychodu pokrywającego koszty uzasadnione na rok 202</w:t>
            </w:r>
            <w:r>
              <w:rPr>
                <w:rFonts w:ascii="Times New Roman" w:hAnsi="Times New Roman" w:cs="Times New Roman"/>
                <w:lang w:bidi="en-US"/>
              </w:rPr>
              <w:t>6.</w:t>
            </w:r>
          </w:p>
        </w:tc>
      </w:tr>
      <w:tr w:rsidR="002E1AEB" w:rsidRPr="002E1AEB" w14:paraId="5650D371" w14:textId="77777777" w:rsidTr="00CD7534">
        <w:trPr>
          <w:trHeight w:val="30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536EA22F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Informacje na temat zakresu, czasu trwania i podsumowanie wyników konsultacji</w:t>
            </w:r>
          </w:p>
        </w:tc>
      </w:tr>
      <w:tr w:rsidR="002E1AEB" w:rsidRPr="002E1AEB" w14:paraId="2E60112D" w14:textId="77777777" w:rsidTr="00CD7534">
        <w:trPr>
          <w:trHeight w:val="342"/>
        </w:trPr>
        <w:tc>
          <w:tcPr>
            <w:tcW w:w="10947" w:type="dxa"/>
            <w:gridSpan w:val="27"/>
            <w:shd w:val="clear" w:color="auto" w:fill="FFFFFF"/>
          </w:tcPr>
          <w:p w14:paraId="0E40FE42" w14:textId="77777777" w:rsidR="00B63023" w:rsidRDefault="00B63023" w:rsidP="00CD75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A59E099" w14:textId="78A1B87D" w:rsidR="00CD7534" w:rsidRDefault="00CD7534" w:rsidP="00CD75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63023">
              <w:rPr>
                <w:rFonts w:ascii="Times New Roman" w:hAnsi="Times New Roman" w:cs="Times New Roman"/>
              </w:rPr>
              <w:t xml:space="preserve">Projekt przedmiotowej regulacji, zgodnie z wymogami określonymi w art. 5 ustawy </w:t>
            </w:r>
            <w:r w:rsidRPr="00B63023">
              <w:rPr>
                <w:rFonts w:ascii="Times New Roman" w:hAnsi="Times New Roman" w:cs="Times New Roman"/>
              </w:rPr>
              <w:br/>
              <w:t>z dnia 7 lipca 2005 o działalności lobbingowej w procesie stosowania prawa (Dz. U. z 2017 r. poz. 248), został udostępniony w Biuletynie Informacji Publicznej na stronie podmiotowej Rządowego Centrum Legislacji, w serwisie Rządowy Proces Legislacyjny.</w:t>
            </w:r>
          </w:p>
          <w:p w14:paraId="7DEB1E8C" w14:textId="77777777" w:rsidR="00B63023" w:rsidRPr="00B63023" w:rsidRDefault="00B63023" w:rsidP="00CD753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50A2EEB" w14:textId="062B329C" w:rsidR="00CD7534" w:rsidRDefault="00CD7534" w:rsidP="00786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023">
              <w:rPr>
                <w:rFonts w:ascii="Times New Roman" w:hAnsi="Times New Roman" w:cs="Times New Roman"/>
              </w:rPr>
              <w:t>Zgodnie z art. 46 ust. 1 ustawy – Prawo energetyczne, zosta</w:t>
            </w:r>
            <w:r w:rsidR="00786A86">
              <w:rPr>
                <w:rFonts w:ascii="Times New Roman" w:hAnsi="Times New Roman" w:cs="Times New Roman"/>
              </w:rPr>
              <w:t>nie</w:t>
            </w:r>
            <w:r w:rsidRPr="00B63023">
              <w:rPr>
                <w:rFonts w:ascii="Times New Roman" w:hAnsi="Times New Roman" w:cs="Times New Roman"/>
              </w:rPr>
              <w:t xml:space="preserve"> zasięgnięta opinia Prezesa URE. </w:t>
            </w:r>
          </w:p>
          <w:p w14:paraId="575C4B79" w14:textId="665DC682" w:rsidR="006512E5" w:rsidRDefault="006512E5" w:rsidP="00786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zostanie przekazany do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(do 6.12.2023)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do następujących podmiotów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ABC2B1F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Izba Gospodarcza Gazownictwa,</w:t>
            </w:r>
          </w:p>
          <w:p w14:paraId="6FCF00A7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OGP Gaz-System S.A.,</w:t>
            </w:r>
          </w:p>
          <w:p w14:paraId="735906EF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Polskie Górnictwo Naftowe i Gazownictwo S.A.,</w:t>
            </w:r>
          </w:p>
          <w:p w14:paraId="396BEEB1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PKN ORLEN S.A.,</w:t>
            </w:r>
          </w:p>
          <w:p w14:paraId="7CB0DD7B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 xml:space="preserve">Lotos </w:t>
            </w:r>
            <w:proofErr w:type="spellStart"/>
            <w:r w:rsidRPr="006512E5">
              <w:rPr>
                <w:rFonts w:ascii="Times New Roman" w:hAnsi="Times New Roman" w:cs="Times New Roman"/>
              </w:rPr>
              <w:t>Petrobaltic</w:t>
            </w:r>
            <w:proofErr w:type="spellEnd"/>
            <w:r w:rsidRPr="006512E5">
              <w:rPr>
                <w:rFonts w:ascii="Times New Roman" w:hAnsi="Times New Roman" w:cs="Times New Roman"/>
              </w:rPr>
              <w:t xml:space="preserve"> S.A.,</w:t>
            </w:r>
          </w:p>
          <w:p w14:paraId="282DA814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Polska Spółka Gazownictwa Sp. z o.o.,</w:t>
            </w:r>
          </w:p>
          <w:p w14:paraId="7A95CC6C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2E5">
              <w:rPr>
                <w:rFonts w:ascii="Times New Roman" w:hAnsi="Times New Roman" w:cs="Times New Roman"/>
              </w:rPr>
              <w:t>Gas</w:t>
            </w:r>
            <w:proofErr w:type="spellEnd"/>
            <w:r w:rsidRPr="006512E5">
              <w:rPr>
                <w:rFonts w:ascii="Times New Roman" w:hAnsi="Times New Roman" w:cs="Times New Roman"/>
              </w:rPr>
              <w:t xml:space="preserve"> Storage Poland sp. z o.o.,</w:t>
            </w:r>
          </w:p>
          <w:p w14:paraId="5FD03E2C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G.EN. GAZ ENERGIA sp. z o.o.,</w:t>
            </w:r>
          </w:p>
          <w:p w14:paraId="52EE1066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EWE Energia sp. z o.o.,</w:t>
            </w:r>
          </w:p>
          <w:p w14:paraId="11F800E9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2E5">
              <w:rPr>
                <w:rFonts w:ascii="Times New Roman" w:hAnsi="Times New Roman" w:cs="Times New Roman"/>
              </w:rPr>
              <w:t>Duon</w:t>
            </w:r>
            <w:proofErr w:type="spellEnd"/>
            <w:r w:rsidRPr="006512E5">
              <w:rPr>
                <w:rFonts w:ascii="Times New Roman" w:hAnsi="Times New Roman" w:cs="Times New Roman"/>
              </w:rPr>
              <w:t xml:space="preserve"> Dystrybucja sp. z o.o.,</w:t>
            </w:r>
          </w:p>
          <w:p w14:paraId="724794AD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2E5">
              <w:rPr>
                <w:rFonts w:ascii="Times New Roman" w:hAnsi="Times New Roman" w:cs="Times New Roman"/>
              </w:rPr>
              <w:t>Anco</w:t>
            </w:r>
            <w:proofErr w:type="spellEnd"/>
            <w:r w:rsidRPr="006512E5">
              <w:rPr>
                <w:rFonts w:ascii="Times New Roman" w:hAnsi="Times New Roman" w:cs="Times New Roman"/>
              </w:rPr>
              <w:t xml:space="preserve"> sp. z o.o.,</w:t>
            </w:r>
          </w:p>
          <w:p w14:paraId="3F1FAD3B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AVRIO MEDIA sp. z o.o.,</w:t>
            </w:r>
          </w:p>
          <w:p w14:paraId="3D4577FE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SIME Polska sp. z o.o.,</w:t>
            </w:r>
          </w:p>
          <w:p w14:paraId="2D1910A9" w14:textId="77777777" w:rsidR="006512E5" w:rsidRPr="006512E5" w:rsidRDefault="006512E5" w:rsidP="006512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2E5">
              <w:rPr>
                <w:rFonts w:ascii="Times New Roman" w:hAnsi="Times New Roman" w:cs="Times New Roman"/>
              </w:rPr>
              <w:t>Towarzystwo Obrotu Energią,</w:t>
            </w:r>
          </w:p>
          <w:p w14:paraId="4930ECCC" w14:textId="77777777" w:rsidR="006512E5" w:rsidRPr="00B63023" w:rsidRDefault="006512E5" w:rsidP="00F16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F8B9AB" w14:textId="1DE6F783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 </w:t>
            </w:r>
          </w:p>
          <w:p w14:paraId="77F78931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</w:p>
          <w:p w14:paraId="6E572637" w14:textId="307A96E2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Projekt nie dotyczy spraw, o których mowa w art. 1 ustawy z dnia 24 lipca 2015 r. o Radzie Dialogu Społecznego i innych instytucji dialogu społecznego, wobec czego nie wymaga zaopiniowania przez Radę Dialogu Społecznego.</w:t>
            </w:r>
          </w:p>
          <w:p w14:paraId="20621148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</w:p>
          <w:p w14:paraId="6D3DB006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lastRenderedPageBreak/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477F2D0F" w14:textId="77777777" w:rsidR="00C12E55" w:rsidRDefault="00C12E55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</w:p>
          <w:p w14:paraId="34EBD5CA" w14:textId="7EAE3B8C" w:rsidR="00C12E55" w:rsidRPr="002E1AEB" w:rsidRDefault="00C12E55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7EB1">
              <w:rPr>
                <w:rFonts w:ascii="Times New Roman" w:hAnsi="Times New Roman"/>
                <w:color w:val="000000"/>
                <w:spacing w:val="-2"/>
              </w:rPr>
              <w:t>Nie odnotowano zgłoszeń zainteresowanych podmiotów w trybie przepisów o działalności lobbingowej w procesie stanowienia prawa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EB26F2E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NewRomanPS-BoldMT" w:eastAsia="Calibri" w:hAnsi="TimesNewRomanPS-BoldMT" w:cs="TimesNewRomanPS-BoldMT"/>
                <w:b/>
                <w:bCs/>
                <w:kern w:val="0"/>
                <w:lang w:eastAsia="pl-PL"/>
                <w14:ligatures w14:val="none"/>
              </w:rPr>
            </w:pPr>
          </w:p>
        </w:tc>
      </w:tr>
      <w:tr w:rsidR="002E1AEB" w:rsidRPr="002E1AEB" w14:paraId="5E0A5C20" w14:textId="77777777" w:rsidTr="00CD7534">
        <w:trPr>
          <w:trHeight w:val="363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367FC08B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lastRenderedPageBreak/>
              <w:t xml:space="preserve"> Wpływ na sektor finansów publicznych</w:t>
            </w:r>
          </w:p>
        </w:tc>
      </w:tr>
      <w:tr w:rsidR="002E1AEB" w:rsidRPr="002E1AEB" w14:paraId="2A067202" w14:textId="77777777" w:rsidTr="00CD7534">
        <w:trPr>
          <w:trHeight w:val="142"/>
        </w:trPr>
        <w:tc>
          <w:tcPr>
            <w:tcW w:w="3118" w:type="dxa"/>
            <w:gridSpan w:val="4"/>
            <w:vMerge w:val="restart"/>
            <w:shd w:val="clear" w:color="auto" w:fill="FFFFFF"/>
          </w:tcPr>
          <w:p w14:paraId="4E7D2A57" w14:textId="24FB75C4" w:rsidR="002E1AEB" w:rsidRPr="002E1AEB" w:rsidRDefault="002E1AEB" w:rsidP="002E1AEB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(ceny stałe z 202</w:t>
            </w:r>
            <w:r w:rsidR="00A32398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r.)</w:t>
            </w:r>
          </w:p>
        </w:tc>
        <w:tc>
          <w:tcPr>
            <w:tcW w:w="7829" w:type="dxa"/>
            <w:gridSpan w:val="23"/>
            <w:shd w:val="clear" w:color="auto" w:fill="FFFFFF"/>
          </w:tcPr>
          <w:p w14:paraId="32CE28F8" w14:textId="77777777" w:rsidR="002E1AEB" w:rsidRPr="002E1AEB" w:rsidRDefault="002E1AEB" w:rsidP="002E1AE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Skutki w okresie 10 lat od wejścia w życie zmian [mln zł]</w:t>
            </w:r>
          </w:p>
        </w:tc>
      </w:tr>
      <w:tr w:rsidR="002E1AEB" w:rsidRPr="002E1AEB" w14:paraId="1BB6D94F" w14:textId="77777777" w:rsidTr="00CD7534">
        <w:trPr>
          <w:trHeight w:val="142"/>
        </w:trPr>
        <w:tc>
          <w:tcPr>
            <w:tcW w:w="3118" w:type="dxa"/>
            <w:gridSpan w:val="4"/>
            <w:vMerge/>
            <w:shd w:val="clear" w:color="auto" w:fill="FFFFFF"/>
          </w:tcPr>
          <w:p w14:paraId="54508E3E" w14:textId="77777777" w:rsidR="002E1AEB" w:rsidRPr="002E1AEB" w:rsidRDefault="002E1AEB" w:rsidP="002E1AEB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16DC05C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79491C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568" w:type="dxa"/>
            <w:shd w:val="clear" w:color="auto" w:fill="FFFFFF"/>
          </w:tcPr>
          <w:p w14:paraId="79F6A025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56A97A4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5482D24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568" w:type="dxa"/>
            <w:shd w:val="clear" w:color="auto" w:fill="FFFFFF"/>
          </w:tcPr>
          <w:p w14:paraId="1CF8B19F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BC2D7B0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CD933E2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3A840BD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8C8721F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14:paraId="2CCED279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156D432D" w14:textId="77777777" w:rsidR="002E1AEB" w:rsidRPr="002E1AEB" w:rsidRDefault="002E1AEB" w:rsidP="002E1AE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Łącznie (0-10)</w:t>
            </w:r>
          </w:p>
        </w:tc>
      </w:tr>
      <w:tr w:rsidR="002E1AEB" w:rsidRPr="002E1AEB" w14:paraId="17358B04" w14:textId="77777777" w:rsidTr="00CD7534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50BB7BD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1"/>
                <w:szCs w:val="21"/>
                <w14:ligatures w14:val="none"/>
              </w:rPr>
              <w:t>Dochody ogółem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38C017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21EC5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9743D2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B5A53D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34F16B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C26C8B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6EDE4D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F713BA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60AB2A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373F4C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283314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6E06D56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4FC13AB9" w14:textId="77777777" w:rsidTr="00CD7534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7C22CDB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budżet państwa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E3B380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E14E4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E846BD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92A92A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1486E9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2C6E4C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3447FC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5E730C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146948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BBC401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FF40F7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0102494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6A715505" w14:textId="77777777" w:rsidTr="00CD7534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2F6AB9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JST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C20AF3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EFC7F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5D85FB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8DE01A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7F1058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46D106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71B713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D372D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4E8B75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ECE17F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37926C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29D1A34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57EEB082" w14:textId="77777777" w:rsidTr="00CD7534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8D7A18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pozostałe jednostki (oddzielnie)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35D2D9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AA900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2647A1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3ADAA5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86D86F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CE012E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B41882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C10F30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148D3A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1EC5B4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377643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764BE07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6A2319AE" w14:textId="77777777" w:rsidTr="00CD7534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7AF65A7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1"/>
                <w:szCs w:val="21"/>
                <w14:ligatures w14:val="none"/>
              </w:rPr>
              <w:t>Wydatki ogółem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7FA89D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87A0F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B3676E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437D241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2DF20F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501431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C7746D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E4464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E6995F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3AA319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33C5A8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2D6A82A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198EE693" w14:textId="77777777" w:rsidTr="00CD7534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5F9D205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budżet państwa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9EDCA2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70DDE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EFDFFC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514A176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26FFD3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D5309E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5B04068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5A3ACE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32DBD1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CBBEFA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0E59A68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13615F3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4A82C974" w14:textId="77777777" w:rsidTr="00CD7534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A30593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JST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BDB553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610EB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E7DBC3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8A9BBD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297A2F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E5477C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98341F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87722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632596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49D3A6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ED68E2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48178CD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16D223C6" w14:textId="77777777" w:rsidTr="00CD7534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6774D9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pozostałe jednostki (oddzielnie)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9E7992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EA5E9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E3B3AA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1458E7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477C38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195BAF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833295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DC4E51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596578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3A8FFF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571188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2EC6AC7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5FB5AE61" w14:textId="77777777" w:rsidTr="00CD7534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6B329A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1"/>
                <w:szCs w:val="21"/>
                <w14:ligatures w14:val="none"/>
              </w:rPr>
              <w:t>Saldo ogółem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252243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443A6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8826FE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1F0B672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382120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FFA408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3E8963E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CAD3C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B2AABD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0E51C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36546C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6F59B65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7E89E920" w14:textId="77777777" w:rsidTr="00CD7534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57EF99A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budżet państwa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DE764E8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16D0B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3515A9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130E0EF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D6173D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EA61C4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0598B95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F0A689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D5B2E9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E181B0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DD079E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51E2A2B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2496FEA8" w14:textId="77777777" w:rsidTr="00CD7534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BC160D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JST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4AE026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9E4C5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DE4285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74EC26A8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293FCC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2565BC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60ACAA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70E9808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5EB396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C07189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747145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3CE47CD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02EAA161" w14:textId="77777777" w:rsidTr="00CD7534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FB43AB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pozostałe jednostki (oddzielnie)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03E37F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F6716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26A22E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6CC9329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DA763E8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9B0C86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3"/>
            <w:shd w:val="clear" w:color="auto" w:fill="FFFFFF"/>
          </w:tcPr>
          <w:p w14:paraId="2E03BF8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0D8524C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5DA11C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9E9469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546621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581" w:type="dxa"/>
            <w:gridSpan w:val="2"/>
            <w:shd w:val="clear" w:color="auto" w:fill="FFFFFF"/>
          </w:tcPr>
          <w:p w14:paraId="782D74E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6ABB4EA6" w14:textId="77777777" w:rsidTr="00CD7534">
        <w:trPr>
          <w:trHeight w:val="348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7E3DC998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Źródła finansowania 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236BD7BD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7B404074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Nie dotyczy.</w:t>
            </w:r>
          </w:p>
          <w:p w14:paraId="6AF59754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2E1AEB" w:rsidRPr="002E1AEB" w14:paraId="4A0FAB1F" w14:textId="77777777" w:rsidTr="00CD7534">
        <w:trPr>
          <w:trHeight w:val="1926"/>
        </w:trPr>
        <w:tc>
          <w:tcPr>
            <w:tcW w:w="2232" w:type="dxa"/>
            <w:gridSpan w:val="2"/>
            <w:shd w:val="clear" w:color="auto" w:fill="FFFFFF"/>
          </w:tcPr>
          <w:p w14:paraId="2EC52E1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Dodatkowe informacje, w tym wskazanie źródeł danych i przyjętych do obliczeń założeń</w:t>
            </w:r>
          </w:p>
        </w:tc>
        <w:tc>
          <w:tcPr>
            <w:tcW w:w="8715" w:type="dxa"/>
            <w:gridSpan w:val="25"/>
            <w:shd w:val="clear" w:color="auto" w:fill="FFFFFF"/>
          </w:tcPr>
          <w:p w14:paraId="5D86F962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Nie dotyczy.</w:t>
            </w:r>
          </w:p>
          <w:p w14:paraId="1E19FF31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665FC56D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0325E382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5F959DD5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09D4E9A6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481433AF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2E1AEB" w:rsidRPr="002E1AEB" w14:paraId="578149B8" w14:textId="77777777" w:rsidTr="00CD7534">
        <w:trPr>
          <w:trHeight w:val="345"/>
        </w:trPr>
        <w:tc>
          <w:tcPr>
            <w:tcW w:w="10947" w:type="dxa"/>
            <w:gridSpan w:val="27"/>
            <w:shd w:val="clear" w:color="auto" w:fill="99CCFF"/>
          </w:tcPr>
          <w:p w14:paraId="5624A957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14:ligatures w14:val="none"/>
              </w:rPr>
              <w:t xml:space="preserve">Wpływ na </w:t>
            </w: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E1AEB" w:rsidRPr="002E1AEB" w14:paraId="168DA087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15F5ECE4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Skutki</w:t>
            </w:r>
          </w:p>
        </w:tc>
      </w:tr>
      <w:tr w:rsidR="002E1AEB" w:rsidRPr="002E1AEB" w14:paraId="67648B20" w14:textId="77777777" w:rsidTr="00CD7534">
        <w:trPr>
          <w:trHeight w:val="142"/>
        </w:trPr>
        <w:tc>
          <w:tcPr>
            <w:tcW w:w="3873" w:type="dxa"/>
            <w:gridSpan w:val="7"/>
            <w:shd w:val="clear" w:color="auto" w:fill="FFFFFF"/>
          </w:tcPr>
          <w:p w14:paraId="5254094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Czas w latach od wejścia w życie zmian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7CF49F0A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4F862FF4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69EA7E14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63F3A852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158D3094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648D489F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10</w:t>
            </w:r>
          </w:p>
        </w:tc>
        <w:tc>
          <w:tcPr>
            <w:tcW w:w="1416" w:type="dxa"/>
            <w:shd w:val="clear" w:color="auto" w:fill="FFFFFF"/>
          </w:tcPr>
          <w:p w14:paraId="1B27F812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Łącznie</w:t>
            </w:r>
            <w:r w:rsidRPr="002E1AEB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2E1AEB">
              <w:rPr>
                <w:rFonts w:ascii="Times New Roman" w:eastAsia="Calibri" w:hAnsi="Times New Roman" w:cs="Times New Roman"/>
                <w:i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(0-10)</w:t>
            </w:r>
          </w:p>
        </w:tc>
      </w:tr>
      <w:tr w:rsidR="002E1AEB" w:rsidRPr="002E1AEB" w14:paraId="748260D3" w14:textId="77777777" w:rsidTr="00CD7534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173A3A7F" w14:textId="77777777" w:rsidR="002E1AEB" w:rsidRPr="002E1AEB" w:rsidRDefault="002E1AEB" w:rsidP="002E1AE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W ujęciu pieniężnym</w:t>
            </w:r>
          </w:p>
          <w:p w14:paraId="2FE2D4E2" w14:textId="77777777" w:rsidR="002E1AEB" w:rsidRPr="002E1AEB" w:rsidRDefault="002E1AEB" w:rsidP="002E1AEB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spacing w:val="-2"/>
                <w:kern w:val="0"/>
                <w:sz w:val="21"/>
                <w:szCs w:val="21"/>
                <w14:ligatures w14:val="none"/>
              </w:rPr>
              <w:t xml:space="preserve">(w mln zł, </w:t>
            </w:r>
          </w:p>
          <w:p w14:paraId="2C0DA52A" w14:textId="3ECF8B9C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spacing w:val="-2"/>
                <w:kern w:val="0"/>
                <w:sz w:val="21"/>
                <w:szCs w:val="21"/>
                <w14:ligatures w14:val="none"/>
              </w:rPr>
              <w:t>ceny stałe z 202</w:t>
            </w:r>
            <w:r w:rsidR="00866647">
              <w:rPr>
                <w:rFonts w:ascii="Times New Roman" w:eastAsia="Calibri" w:hAnsi="Times New Roman" w:cs="Times New Roman"/>
                <w:spacing w:val="-2"/>
                <w:kern w:val="0"/>
                <w:sz w:val="21"/>
                <w:szCs w:val="21"/>
                <w14:ligatures w14:val="none"/>
              </w:rPr>
              <w:t>2</w:t>
            </w:r>
            <w:r w:rsidRPr="002E1AEB">
              <w:rPr>
                <w:rFonts w:ascii="Times New Roman" w:eastAsia="Calibri" w:hAnsi="Times New Roman" w:cs="Times New Roman"/>
                <w:spacing w:val="-2"/>
                <w:kern w:val="0"/>
                <w:sz w:val="21"/>
                <w:szCs w:val="21"/>
                <w14:ligatures w14:val="none"/>
              </w:rPr>
              <w:t xml:space="preserve"> r.)</w:t>
            </w:r>
          </w:p>
        </w:tc>
        <w:tc>
          <w:tcPr>
            <w:tcW w:w="2285" w:type="dxa"/>
            <w:gridSpan w:val="6"/>
            <w:shd w:val="clear" w:color="auto" w:fill="FFFFFF"/>
          </w:tcPr>
          <w:p w14:paraId="2286058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duże przedsiębiorstwa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0A8F4B57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3649F1AB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4DC8F547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31767B90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96F03D4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22F29E8E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416" w:type="dxa"/>
            <w:shd w:val="clear" w:color="auto" w:fill="FFFFFF"/>
          </w:tcPr>
          <w:p w14:paraId="50B96C73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72C088F6" w14:textId="77777777" w:rsidTr="00CD7534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48C971D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73203FC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sektor mikro-, małych i średnich przedsiębiorstw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373CBCB8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3020B47D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71B8EA7C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5E089766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AA503BE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778D41C6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416" w:type="dxa"/>
            <w:shd w:val="clear" w:color="auto" w:fill="FFFFFF"/>
          </w:tcPr>
          <w:p w14:paraId="01213A27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34C5D9AF" w14:textId="77777777" w:rsidTr="00CD7534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5F53384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16A4062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 xml:space="preserve">rodzina, obywatele oraz gospodarstwa domowe, 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2D8C6BF2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6" w:type="dxa"/>
            <w:gridSpan w:val="4"/>
            <w:shd w:val="clear" w:color="auto" w:fill="FFFFFF"/>
          </w:tcPr>
          <w:p w14:paraId="7F15E6B8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06412FD0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68" w:type="dxa"/>
            <w:gridSpan w:val="3"/>
            <w:shd w:val="clear" w:color="auto" w:fill="FFFFFF"/>
          </w:tcPr>
          <w:p w14:paraId="0DD3E18F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1480D7C2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2DE1F8C8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0</w:t>
            </w:r>
          </w:p>
        </w:tc>
        <w:tc>
          <w:tcPr>
            <w:tcW w:w="1416" w:type="dxa"/>
            <w:shd w:val="clear" w:color="auto" w:fill="FFFFFF"/>
          </w:tcPr>
          <w:p w14:paraId="5111D930" w14:textId="77777777" w:rsidR="002E1AEB" w:rsidRPr="002E1AEB" w:rsidRDefault="002E1AEB" w:rsidP="002E1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0</w:t>
            </w:r>
          </w:p>
        </w:tc>
      </w:tr>
      <w:tr w:rsidR="002E1AEB" w:rsidRPr="002E1AEB" w14:paraId="3D51CBE0" w14:textId="77777777" w:rsidTr="00CD7534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253CE0D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2B8AA93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separate"/>
            </w:r>
            <w:r w:rsidRPr="002E1AEB">
              <w:rPr>
                <w:rFonts w:ascii="Times New Roman" w:eastAsia="Calibri" w:hAnsi="Times New Roman" w:cs="Times New Roman"/>
                <w:noProof/>
                <w:color w:val="000000"/>
                <w:kern w:val="0"/>
                <w:sz w:val="21"/>
                <w:szCs w:val="21"/>
                <w14:ligatures w14:val="none"/>
              </w:rPr>
              <w:t>(dodaj/usuń)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018B832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936" w:type="dxa"/>
            <w:gridSpan w:val="4"/>
            <w:shd w:val="clear" w:color="auto" w:fill="FFFFFF"/>
          </w:tcPr>
          <w:p w14:paraId="6032F13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1D5BBAF9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968" w:type="dxa"/>
            <w:gridSpan w:val="3"/>
            <w:shd w:val="clear" w:color="auto" w:fill="FFFFFF"/>
          </w:tcPr>
          <w:p w14:paraId="63209D0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7535D735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2D8E042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416" w:type="dxa"/>
            <w:shd w:val="clear" w:color="auto" w:fill="FFFFFF"/>
          </w:tcPr>
          <w:p w14:paraId="3C41A488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</w:p>
        </w:tc>
      </w:tr>
      <w:tr w:rsidR="002E1AEB" w:rsidRPr="002E1AEB" w14:paraId="5F9AFE86" w14:textId="77777777" w:rsidTr="00CD7534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06071B6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W ujęciu niepieniężnym</w:t>
            </w:r>
          </w:p>
        </w:tc>
        <w:tc>
          <w:tcPr>
            <w:tcW w:w="2285" w:type="dxa"/>
            <w:gridSpan w:val="6"/>
            <w:shd w:val="clear" w:color="auto" w:fill="FFFFFF"/>
          </w:tcPr>
          <w:p w14:paraId="59B22B4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duże przedsiębiorstwa</w:t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6AB2ABB9" w14:textId="790D3206" w:rsidR="00CF2EA7" w:rsidRPr="00CF2EA7" w:rsidRDefault="002E1AEB" w:rsidP="00CF2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Proponowan</w:t>
            </w:r>
            <w:r w:rsidR="00B63023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a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 instytucja konta regulacyjnego </w:t>
            </w:r>
            <w:r w:rsidR="00CF2EA7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dla innych operatorów 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pozwoli na </w:t>
            </w:r>
            <w:r w:rsidR="00CF2EA7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r</w:t>
            </w:r>
            <w:r w:rsidR="00CF2EA7" w:rsidRPr="00CF2EA7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ozliczanie salda konta regulacyjnego dla innych operatorów w celu zrekompensowania:</w:t>
            </w:r>
          </w:p>
          <w:p w14:paraId="6372D722" w14:textId="7DD1E919" w:rsidR="00CF2EA7" w:rsidRPr="00CF2EA7" w:rsidRDefault="00CF2EA7" w:rsidP="00CF2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CF2EA7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1)</w:t>
            </w:r>
            <w:r w:rsidR="00F678D0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CF2EA7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operatorowi – przychodów odzyskanych w niewystarczającym stopniu;</w:t>
            </w:r>
          </w:p>
          <w:p w14:paraId="233266B5" w14:textId="0A4513FB" w:rsidR="002E1AEB" w:rsidRPr="002E1AEB" w:rsidRDefault="00CF2EA7" w:rsidP="00CF2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CF2EA7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2)</w:t>
            </w:r>
            <w:r w:rsidR="00F678D0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CF2EA7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podmiotom zamawiającym usługi – przychodów odzyskanych przez operatora w nadmiernym stopniu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. </w:t>
            </w:r>
          </w:p>
        </w:tc>
      </w:tr>
      <w:tr w:rsidR="002E1AEB" w:rsidRPr="002E1AEB" w14:paraId="6AEDDE24" w14:textId="77777777" w:rsidTr="00CD7534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5823538A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5E48AE7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sektor mikro-, małych i średnich przedsiębiorstw</w:t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25593909" w14:textId="24CEC4FB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Proponowane rozporządzenie wprowadza</w:t>
            </w:r>
            <w:r w:rsidR="00B63023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 dłuższy czas na dostosowanie się do wprowadzanej instytucji konta regulacyjnego, dzięki czemu rynek będzie miał lepszą możliwość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="00B63023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dostosowania się do wprowadzanych zmian.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</w:tr>
      <w:tr w:rsidR="002E1AEB" w:rsidRPr="002E1AEB" w14:paraId="5328975F" w14:textId="77777777" w:rsidTr="00CD7534">
        <w:trPr>
          <w:trHeight w:val="596"/>
        </w:trPr>
        <w:tc>
          <w:tcPr>
            <w:tcW w:w="1588" w:type="dxa"/>
            <w:vMerge/>
            <w:shd w:val="clear" w:color="auto" w:fill="FFFFFF"/>
          </w:tcPr>
          <w:p w14:paraId="426FFD0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5D4B7379" w14:textId="77777777" w:rsidR="002E1AEB" w:rsidRPr="002E1AEB" w:rsidRDefault="002E1AEB" w:rsidP="002E1AEB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>rodzina, obywatele oraz gospodarstwa domowe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 </w:t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3299D90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Brak wpływu.</w:t>
            </w:r>
          </w:p>
        </w:tc>
      </w:tr>
      <w:tr w:rsidR="002E1AEB" w:rsidRPr="002E1AEB" w14:paraId="520EBB13" w14:textId="77777777" w:rsidTr="00CD7534">
        <w:trPr>
          <w:trHeight w:val="240"/>
        </w:trPr>
        <w:tc>
          <w:tcPr>
            <w:tcW w:w="1588" w:type="dxa"/>
            <w:vMerge/>
            <w:shd w:val="clear" w:color="auto" w:fill="FFFFFF"/>
          </w:tcPr>
          <w:p w14:paraId="5743F492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650A75CE" w14:textId="77777777" w:rsidR="002E1AEB" w:rsidRPr="002E1AEB" w:rsidRDefault="002E1AEB" w:rsidP="002E1AEB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kern w:val="0"/>
                <w:sz w:val="21"/>
                <w:szCs w:val="21"/>
                <w14:ligatures w14:val="none"/>
              </w:rPr>
              <w:t>osoby niepełnosprawne oraz osoby starsze</w:t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5D5647D6" w14:textId="02E0CC13" w:rsidR="002E1AEB" w:rsidRPr="002E1AEB" w:rsidRDefault="00137B0E" w:rsidP="002E1AEB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  <w:t>Brak wpływu.</w:t>
            </w:r>
          </w:p>
        </w:tc>
      </w:tr>
      <w:tr w:rsidR="002E1AEB" w:rsidRPr="002E1AEB" w14:paraId="2C9FCB7C" w14:textId="77777777" w:rsidTr="00CD7534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1A2BBC0B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Niemierzalne</w:t>
            </w:r>
          </w:p>
        </w:tc>
        <w:tc>
          <w:tcPr>
            <w:tcW w:w="2285" w:type="dxa"/>
            <w:gridSpan w:val="6"/>
            <w:shd w:val="clear" w:color="auto" w:fill="FFFFFF"/>
          </w:tcPr>
          <w:p w14:paraId="1AD9BA4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separate"/>
            </w:r>
            <w:r w:rsidRPr="002E1AEB">
              <w:rPr>
                <w:rFonts w:ascii="Times New Roman" w:eastAsia="Calibri" w:hAnsi="Times New Roman" w:cs="Times New Roman"/>
                <w:noProof/>
                <w:color w:val="000000"/>
                <w:kern w:val="0"/>
                <w:sz w:val="21"/>
                <w:szCs w:val="21"/>
                <w14:ligatures w14:val="none"/>
              </w:rPr>
              <w:t>(dodaj/usuń)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2DCD00AD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</w:p>
        </w:tc>
      </w:tr>
      <w:tr w:rsidR="002E1AEB" w:rsidRPr="002E1AEB" w14:paraId="2DEC2C01" w14:textId="77777777" w:rsidTr="00CD7534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094E1756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2285" w:type="dxa"/>
            <w:gridSpan w:val="6"/>
            <w:shd w:val="clear" w:color="auto" w:fill="FFFFFF"/>
          </w:tcPr>
          <w:p w14:paraId="13E1F61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instrText xml:space="preserve"> FORMTEXT </w:instrTex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separate"/>
            </w:r>
            <w:r w:rsidRPr="002E1AEB">
              <w:rPr>
                <w:rFonts w:ascii="Times New Roman" w:eastAsia="Calibri" w:hAnsi="Times New Roman" w:cs="Times New Roman"/>
                <w:noProof/>
                <w:color w:val="000000"/>
                <w:kern w:val="0"/>
                <w:sz w:val="21"/>
                <w:szCs w:val="21"/>
                <w14:ligatures w14:val="none"/>
              </w:rPr>
              <w:t>(dodaj/usuń)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fldChar w:fldCharType="end"/>
            </w:r>
          </w:p>
        </w:tc>
        <w:tc>
          <w:tcPr>
            <w:tcW w:w="7074" w:type="dxa"/>
            <w:gridSpan w:val="20"/>
            <w:shd w:val="clear" w:color="auto" w:fill="FFFFFF"/>
          </w:tcPr>
          <w:p w14:paraId="5EA9AA03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1"/>
                <w:szCs w:val="21"/>
                <w14:ligatures w14:val="none"/>
              </w:rPr>
            </w:pPr>
          </w:p>
        </w:tc>
      </w:tr>
      <w:tr w:rsidR="002E1AEB" w:rsidRPr="002E1AEB" w14:paraId="5C17C4AA" w14:textId="77777777" w:rsidTr="00CD7534">
        <w:trPr>
          <w:trHeight w:val="1643"/>
        </w:trPr>
        <w:tc>
          <w:tcPr>
            <w:tcW w:w="2232" w:type="dxa"/>
            <w:gridSpan w:val="2"/>
            <w:shd w:val="clear" w:color="auto" w:fill="FFFFFF"/>
          </w:tcPr>
          <w:p w14:paraId="5860DFF4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177C7952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1D4704ED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4894AC2C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0A9DF70B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  <w:t>Nie dotyczy.</w:t>
            </w:r>
          </w:p>
          <w:p w14:paraId="691B196A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4FAAEF18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6BA341A9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711AD758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  <w:p w14:paraId="2DC43AFD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1"/>
                <w:szCs w:val="21"/>
                <w14:ligatures w14:val="none"/>
              </w:rPr>
            </w:pPr>
          </w:p>
        </w:tc>
      </w:tr>
      <w:tr w:rsidR="002E1AEB" w:rsidRPr="002E1AEB" w14:paraId="40E3D18E" w14:textId="77777777" w:rsidTr="00CD7534">
        <w:trPr>
          <w:trHeight w:val="342"/>
        </w:trPr>
        <w:tc>
          <w:tcPr>
            <w:tcW w:w="10947" w:type="dxa"/>
            <w:gridSpan w:val="27"/>
            <w:shd w:val="clear" w:color="auto" w:fill="99CCFF"/>
            <w:vAlign w:val="center"/>
          </w:tcPr>
          <w:p w14:paraId="16E095E9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 xml:space="preserve"> Zmiana obciążeń regulacyjnych (w tym obowiązków informacyjnych) wynikających z projektu</w:t>
            </w:r>
          </w:p>
        </w:tc>
      </w:tr>
      <w:tr w:rsidR="002E1AEB" w:rsidRPr="002E1AEB" w14:paraId="178A4052" w14:textId="77777777" w:rsidTr="00CD7534">
        <w:trPr>
          <w:trHeight w:val="151"/>
        </w:trPr>
        <w:tc>
          <w:tcPr>
            <w:tcW w:w="10947" w:type="dxa"/>
            <w:gridSpan w:val="27"/>
            <w:shd w:val="clear" w:color="auto" w:fill="FFFFFF"/>
          </w:tcPr>
          <w:p w14:paraId="7EEAFA1E" w14:textId="144AF29E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nie dotyczy</w:t>
            </w:r>
          </w:p>
        </w:tc>
      </w:tr>
      <w:tr w:rsidR="002E1AEB" w:rsidRPr="002E1AEB" w14:paraId="22CD4E59" w14:textId="77777777" w:rsidTr="00CD7534">
        <w:trPr>
          <w:trHeight w:val="946"/>
        </w:trPr>
        <w:tc>
          <w:tcPr>
            <w:tcW w:w="5092" w:type="dxa"/>
            <w:gridSpan w:val="11"/>
            <w:shd w:val="clear" w:color="auto" w:fill="FFFFFF"/>
          </w:tcPr>
          <w:p w14:paraId="2DD2412A" w14:textId="77777777" w:rsidR="002E1AEB" w:rsidRPr="002E1AEB" w:rsidRDefault="002E1AEB" w:rsidP="002E1AE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Wprowadzane są obciążenia poza bezwzględnie wymaganymi przez UE 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(szczegóły w odwróconej tabeli zgodności).</w:t>
            </w:r>
          </w:p>
        </w:tc>
        <w:tc>
          <w:tcPr>
            <w:tcW w:w="5855" w:type="dxa"/>
            <w:gridSpan w:val="16"/>
            <w:shd w:val="clear" w:color="auto" w:fill="FFFFFF"/>
          </w:tcPr>
          <w:p w14:paraId="761AA4A6" w14:textId="69382B9F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kern w:val="0"/>
                <w14:ligatures w14:val="none"/>
              </w:rPr>
              <w:t>☒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tak</w:t>
            </w:r>
          </w:p>
          <w:p w14:paraId="772B5D93" w14:textId="6A36DC70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nie</w:t>
            </w:r>
          </w:p>
          <w:p w14:paraId="55B1D88C" w14:textId="4F9022C1" w:rsidR="002E1AEB" w:rsidRPr="002E1AEB" w:rsidRDefault="002E1AEB" w:rsidP="002E1AEB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nie dotyczy</w:t>
            </w:r>
          </w:p>
        </w:tc>
      </w:tr>
      <w:tr w:rsidR="002E1AEB" w:rsidRPr="002E1AEB" w14:paraId="63C27E6F" w14:textId="77777777" w:rsidTr="00CD7534">
        <w:trPr>
          <w:trHeight w:val="1245"/>
        </w:trPr>
        <w:tc>
          <w:tcPr>
            <w:tcW w:w="5092" w:type="dxa"/>
            <w:gridSpan w:val="11"/>
            <w:shd w:val="clear" w:color="auto" w:fill="FFFFFF"/>
          </w:tcPr>
          <w:p w14:paraId="39437DDB" w14:textId="03057CCB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zmniejszenie liczby dokumentów </w:t>
            </w:r>
          </w:p>
          <w:p w14:paraId="6D400602" w14:textId="700353ED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zmniejszenie liczby procedur</w:t>
            </w:r>
          </w:p>
          <w:p w14:paraId="4C33778F" w14:textId="3EB33F5B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skrócenie czasu na załatwienie sprawy</w:t>
            </w:r>
          </w:p>
          <w:p w14:paraId="6D7E741A" w14:textId="202DC1EF" w:rsidR="002E1AEB" w:rsidRPr="002E1AEB" w:rsidRDefault="002E1AEB" w:rsidP="002E1A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☒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inne: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zwiększenie przejrzystości regulacji</w:t>
            </w:r>
          </w:p>
        </w:tc>
        <w:tc>
          <w:tcPr>
            <w:tcW w:w="5855" w:type="dxa"/>
            <w:gridSpan w:val="16"/>
            <w:shd w:val="clear" w:color="auto" w:fill="FFFFFF"/>
          </w:tcPr>
          <w:p w14:paraId="2738EA68" w14:textId="1F0B6DD0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zwiększenie liczby dokumentów</w:t>
            </w:r>
          </w:p>
          <w:p w14:paraId="4D854D0E" w14:textId="0603CAE2" w:rsidR="002E1AEB" w:rsidRPr="002E1AEB" w:rsidRDefault="00137B0E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14:ligatures w14:val="none"/>
              </w:rPr>
              <w:t>☐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zwiększenie liczby procedur</w:t>
            </w:r>
          </w:p>
          <w:p w14:paraId="0DE9F18C" w14:textId="765F7FDD" w:rsidR="002E1AEB" w:rsidRPr="002E1AEB" w:rsidRDefault="00137B0E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pacing w:val="-2"/>
                <w:kern w:val="0"/>
                <w14:ligatures w14:val="none"/>
              </w:rPr>
              <w:t>☒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wydłużenie czasu na załatwienie sprawy</w:t>
            </w:r>
          </w:p>
          <w:p w14:paraId="62E44B11" w14:textId="63CFE555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inne: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…</w:t>
            </w:r>
          </w:p>
          <w:p w14:paraId="6B20C8C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2E1AEB" w:rsidRPr="002E1AEB" w14:paraId="012580F8" w14:textId="77777777" w:rsidTr="00CD7534">
        <w:trPr>
          <w:trHeight w:val="870"/>
        </w:trPr>
        <w:tc>
          <w:tcPr>
            <w:tcW w:w="5092" w:type="dxa"/>
            <w:gridSpan w:val="11"/>
            <w:shd w:val="clear" w:color="auto" w:fill="FFFFFF"/>
          </w:tcPr>
          <w:p w14:paraId="37795EF0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Wprowadzane obciążenia są przystosowane do ich elektronizacji. </w:t>
            </w:r>
          </w:p>
        </w:tc>
        <w:tc>
          <w:tcPr>
            <w:tcW w:w="5855" w:type="dxa"/>
            <w:gridSpan w:val="16"/>
            <w:shd w:val="clear" w:color="auto" w:fill="FFFFFF"/>
          </w:tcPr>
          <w:p w14:paraId="463BE545" w14:textId="6043402F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tak</w:t>
            </w:r>
          </w:p>
          <w:p w14:paraId="02D757DE" w14:textId="1840A308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nie</w:t>
            </w:r>
          </w:p>
          <w:p w14:paraId="1A52A449" w14:textId="34B09F96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kern w:val="0"/>
                <w14:ligatures w14:val="none"/>
              </w:rPr>
              <w:t>☒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nie dotyczy</w:t>
            </w:r>
          </w:p>
          <w:p w14:paraId="6F7546A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2E1AEB" w:rsidRPr="002E1AEB" w14:paraId="2B0DCF2A" w14:textId="77777777" w:rsidTr="00CD7534">
        <w:trPr>
          <w:trHeight w:val="630"/>
        </w:trPr>
        <w:tc>
          <w:tcPr>
            <w:tcW w:w="10947" w:type="dxa"/>
            <w:gridSpan w:val="27"/>
            <w:shd w:val="clear" w:color="auto" w:fill="FFFFFF"/>
          </w:tcPr>
          <w:p w14:paraId="3B4A438A" w14:textId="42412BDE" w:rsidR="002E1AEB" w:rsidRPr="002E1AEB" w:rsidRDefault="002E1AEB" w:rsidP="00B63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Komentarz: </w:t>
            </w:r>
          </w:p>
        </w:tc>
      </w:tr>
      <w:tr w:rsidR="002E1AEB" w:rsidRPr="002E1AEB" w14:paraId="36142C73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4BD1436B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 xml:space="preserve">Wpływ na rynek pracy </w:t>
            </w:r>
          </w:p>
        </w:tc>
      </w:tr>
      <w:tr w:rsidR="002E1AEB" w:rsidRPr="002E1AEB" w14:paraId="02E71845" w14:textId="77777777" w:rsidTr="00CD7534">
        <w:trPr>
          <w:trHeight w:val="854"/>
        </w:trPr>
        <w:tc>
          <w:tcPr>
            <w:tcW w:w="10947" w:type="dxa"/>
            <w:gridSpan w:val="27"/>
            <w:shd w:val="clear" w:color="auto" w:fill="auto"/>
          </w:tcPr>
          <w:p w14:paraId="3EFA03AE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186C0421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Brak przewidywanego wpływu na rynek pracy.</w:t>
            </w:r>
          </w:p>
        </w:tc>
      </w:tr>
      <w:tr w:rsidR="002E1AEB" w:rsidRPr="002E1AEB" w14:paraId="2976C810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769ABDF8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Wpływ na pozostałe obszary</w:t>
            </w:r>
          </w:p>
        </w:tc>
      </w:tr>
      <w:tr w:rsidR="002E1AEB" w:rsidRPr="002E1AEB" w14:paraId="6578411A" w14:textId="77777777" w:rsidTr="00CD7534">
        <w:trPr>
          <w:trHeight w:val="1031"/>
        </w:trPr>
        <w:tc>
          <w:tcPr>
            <w:tcW w:w="3531" w:type="dxa"/>
            <w:gridSpan w:val="5"/>
            <w:shd w:val="clear" w:color="auto" w:fill="FFFFFF"/>
          </w:tcPr>
          <w:p w14:paraId="4CE5C6AF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2603FC3F" w14:textId="744179B0" w:rsidR="002E1AEB" w:rsidRPr="002E1AEB" w:rsidRDefault="00F9393F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14:ligatures w14:val="none"/>
              </w:rPr>
              <w:t>☐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środowisko naturalne</w:t>
            </w:r>
          </w:p>
          <w:p w14:paraId="01F0BA1B" w14:textId="5CF819A9" w:rsidR="002E1AEB" w:rsidRPr="002E1AEB" w:rsidRDefault="00F9393F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kern w:val="0"/>
                <w14:ligatures w14:val="none"/>
              </w:rPr>
              <w:t>☐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sytuacja i rozwój regionalny</w:t>
            </w:r>
          </w:p>
          <w:p w14:paraId="0B2060A6" w14:textId="14B8E7F1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</w:t>
            </w:r>
            <w:r w:rsidRPr="002E1AEB">
              <w:rPr>
                <w:rFonts w:ascii="Times New Roman" w:eastAsia="Calibri" w:hAnsi="Times New Roman" w:cs="Times New Roman"/>
                <w:spacing w:val="-2"/>
                <w:kern w:val="0"/>
                <w14:ligatures w14:val="none"/>
              </w:rPr>
              <w:t>sądy powszechne, administracyjne lub wojskowe</w:t>
            </w:r>
          </w:p>
        </w:tc>
        <w:tc>
          <w:tcPr>
            <w:tcW w:w="3677" w:type="dxa"/>
            <w:gridSpan w:val="14"/>
            <w:shd w:val="clear" w:color="auto" w:fill="FFFFFF"/>
          </w:tcPr>
          <w:p w14:paraId="742874AE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4F1126C5" w14:textId="638F2C44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demografia</w:t>
            </w:r>
          </w:p>
          <w:p w14:paraId="60092FF4" w14:textId="352F9B59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 xml:space="preserve"> mienie państwowe</w:t>
            </w:r>
          </w:p>
          <w:p w14:paraId="5B817C0E" w14:textId="74F2C13A" w:rsidR="002E1AEB" w:rsidRPr="002E1AEB" w:rsidRDefault="00B63023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MS Gothic" w:eastAsia="MS Gothic" w:hAnsi="MS Gothic" w:cs="Times New Roman" w:hint="eastAsia"/>
                <w:color w:val="000000"/>
                <w:spacing w:val="-2"/>
                <w:kern w:val="0"/>
                <w14:ligatures w14:val="none"/>
              </w:rPr>
              <w:t>☐</w:t>
            </w:r>
            <w:r w:rsidR="002E1AEB"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inne: </w:t>
            </w:r>
          </w:p>
        </w:tc>
        <w:tc>
          <w:tcPr>
            <w:tcW w:w="3739" w:type="dxa"/>
            <w:gridSpan w:val="8"/>
            <w:shd w:val="clear" w:color="auto" w:fill="FFFFFF"/>
          </w:tcPr>
          <w:p w14:paraId="11810BD1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</w:p>
          <w:p w14:paraId="1EAF0587" w14:textId="1D9D48B4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informatyzacja</w:t>
            </w:r>
          </w:p>
          <w:p w14:paraId="3B73D327" w14:textId="532D24EB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Segoe UI Symbol" w:eastAsia="Calibri" w:hAnsi="Segoe UI Symbol" w:cs="Segoe UI Symbol"/>
                <w:color w:val="000000"/>
                <w:spacing w:val="-2"/>
                <w:kern w:val="0"/>
                <w14:ligatures w14:val="none"/>
              </w:rPr>
              <w:t>☐</w:t>
            </w:r>
            <w:r w:rsidRPr="002E1AEB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 xml:space="preserve"> zdrowie</w:t>
            </w:r>
          </w:p>
        </w:tc>
      </w:tr>
      <w:tr w:rsidR="002E1AEB" w:rsidRPr="002E1AEB" w14:paraId="2F9E97F5" w14:textId="77777777" w:rsidTr="00CD7534">
        <w:trPr>
          <w:trHeight w:val="712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51667CA7" w14:textId="77777777" w:rsidR="002E1AEB" w:rsidRPr="002E1AEB" w:rsidRDefault="002E1AEB" w:rsidP="002E1A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color w:val="000000"/>
                <w:kern w:val="0"/>
                <w14:ligatures w14:val="none"/>
              </w:rPr>
              <w:t>Omówienie wpływu</w:t>
            </w:r>
          </w:p>
        </w:tc>
        <w:tc>
          <w:tcPr>
            <w:tcW w:w="8715" w:type="dxa"/>
            <w:gridSpan w:val="25"/>
            <w:shd w:val="clear" w:color="auto" w:fill="FFFFFF"/>
            <w:vAlign w:val="center"/>
          </w:tcPr>
          <w:p w14:paraId="63C8F652" w14:textId="5565705B" w:rsidR="002E1AEB" w:rsidRPr="002E1AEB" w:rsidRDefault="00B63023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Nie dotyczy</w:t>
            </w:r>
          </w:p>
        </w:tc>
      </w:tr>
      <w:tr w:rsidR="002E1AEB" w:rsidRPr="002E1AEB" w14:paraId="791274B3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7238689E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spacing w:val="-2"/>
                <w:kern w:val="0"/>
                <w:sz w:val="21"/>
                <w:szCs w:val="21"/>
                <w14:ligatures w14:val="none"/>
              </w:rPr>
              <w:t>Planowane wykonanie przepisów aktu prawnego</w:t>
            </w:r>
          </w:p>
        </w:tc>
      </w:tr>
      <w:tr w:rsidR="002E1AEB" w:rsidRPr="002E1AEB" w14:paraId="2F9DF145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77FFE916" w14:textId="311A134F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spacing w:val="-2"/>
                <w:kern w:val="0"/>
                <w14:ligatures w14:val="none"/>
              </w:rPr>
              <w:t xml:space="preserve">Zgodnie z § </w:t>
            </w:r>
            <w:r w:rsidR="00B63023">
              <w:rPr>
                <w:rFonts w:ascii="Times New Roman" w:eastAsia="Calibri" w:hAnsi="Times New Roman" w:cs="Times New Roman"/>
                <w:spacing w:val="-2"/>
                <w:kern w:val="0"/>
                <w14:ligatures w14:val="none"/>
              </w:rPr>
              <w:t>2</w:t>
            </w:r>
            <w:r w:rsidRPr="002E1AEB">
              <w:rPr>
                <w:rFonts w:ascii="Times New Roman" w:eastAsia="Calibri" w:hAnsi="Times New Roman" w:cs="Times New Roman"/>
                <w:spacing w:val="-2"/>
                <w:kern w:val="0"/>
                <w14:ligatures w14:val="none"/>
              </w:rPr>
              <w:t xml:space="preserve"> projektu, </w:t>
            </w:r>
            <w:r w:rsidR="00B63023" w:rsidRPr="00B63023">
              <w:rPr>
                <w:rFonts w:ascii="Times New Roman" w:hAnsi="Times New Roman" w:cs="Times New Roman"/>
              </w:rPr>
              <w:t xml:space="preserve">rozporządzenie wejdzie w życie </w:t>
            </w:r>
            <w:r w:rsidR="006512E5">
              <w:rPr>
                <w:rFonts w:ascii="Times New Roman" w:hAnsi="Times New Roman" w:cs="Times New Roman"/>
              </w:rPr>
              <w:t>w dniu następującym</w:t>
            </w:r>
            <w:r w:rsidR="00B8049E" w:rsidRPr="00B8049E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 xml:space="preserve"> po dniu ogłoszenia</w:t>
            </w:r>
            <w:r w:rsidR="00B8049E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E1AEB" w:rsidRPr="002E1AEB" w14:paraId="307D4106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593DBCB5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 xml:space="preserve"> </w:t>
            </w:r>
            <w:r w:rsidRPr="002E1AEB">
              <w:rPr>
                <w:rFonts w:ascii="Times New Roman" w:eastAsia="Calibri" w:hAnsi="Times New Roman" w:cs="Times New Roman"/>
                <w:b/>
                <w:spacing w:val="-2"/>
                <w:kern w:val="0"/>
                <w:sz w:val="21"/>
                <w:szCs w:val="21"/>
                <w14:ligatures w14:val="none"/>
              </w:rPr>
              <w:t>W jaki sposób i kiedy nastąpi ewaluacja efektów projektu oraz jakie mierniki zostaną zastosowane?</w:t>
            </w:r>
          </w:p>
        </w:tc>
      </w:tr>
      <w:tr w:rsidR="002E1AEB" w:rsidRPr="002E1AEB" w14:paraId="02322DE4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503451C7" w14:textId="75A49D77" w:rsidR="002E1AEB" w:rsidRPr="002E1AEB" w:rsidRDefault="00137B0E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  <w:t>Nie dotyczy.</w:t>
            </w:r>
          </w:p>
        </w:tc>
      </w:tr>
      <w:tr w:rsidR="002E1AEB" w:rsidRPr="002E1AEB" w14:paraId="4846F649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99CCFF"/>
          </w:tcPr>
          <w:p w14:paraId="5A173B33" w14:textId="77777777" w:rsidR="002E1AEB" w:rsidRPr="002E1AEB" w:rsidRDefault="002E1AEB" w:rsidP="002E1AE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14:ligatures w14:val="none"/>
              </w:rPr>
            </w:pPr>
            <w:r w:rsidRPr="002E1AEB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14:ligatures w14:val="none"/>
              </w:rPr>
              <w:t xml:space="preserve">Załączniki </w:t>
            </w:r>
            <w:r w:rsidRPr="002E1AEB">
              <w:rPr>
                <w:rFonts w:ascii="Times New Roman" w:eastAsia="Calibri" w:hAnsi="Times New Roman" w:cs="Times New Roman"/>
                <w:b/>
                <w:spacing w:val="-2"/>
                <w:kern w:val="0"/>
                <w:sz w:val="21"/>
                <w:szCs w:val="21"/>
                <w14:ligatures w14:val="none"/>
              </w:rPr>
              <w:t>(istotne dokumenty źródłowe, badania, analizy itp.</w:t>
            </w:r>
            <w:r w:rsidRPr="002E1AEB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14:ligatures w14:val="none"/>
              </w:rPr>
              <w:t xml:space="preserve">) </w:t>
            </w:r>
          </w:p>
        </w:tc>
      </w:tr>
      <w:tr w:rsidR="002E1AEB" w:rsidRPr="002E1AEB" w14:paraId="281302F7" w14:textId="77777777" w:rsidTr="00CD7534">
        <w:trPr>
          <w:trHeight w:val="142"/>
        </w:trPr>
        <w:tc>
          <w:tcPr>
            <w:tcW w:w="10947" w:type="dxa"/>
            <w:gridSpan w:val="27"/>
            <w:shd w:val="clear" w:color="auto" w:fill="FFFFFF"/>
          </w:tcPr>
          <w:p w14:paraId="6563286E" w14:textId="77777777" w:rsidR="002E1AEB" w:rsidRPr="002E1AEB" w:rsidRDefault="002E1AEB" w:rsidP="002E1A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14:ligatures w14:val="none"/>
              </w:rPr>
            </w:pPr>
          </w:p>
        </w:tc>
      </w:tr>
    </w:tbl>
    <w:p w14:paraId="7C6592FF" w14:textId="77777777" w:rsidR="002E1AEB" w:rsidRPr="002E1AEB" w:rsidRDefault="002E1AEB" w:rsidP="002E1A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  <w14:ligatures w14:val="none"/>
        </w:rPr>
      </w:pPr>
    </w:p>
    <w:p w14:paraId="5EF38D12" w14:textId="77777777" w:rsidR="001C4B33" w:rsidRDefault="001C4B33"/>
    <w:sectPr w:rsidR="001C4B33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829"/>
    <w:multiLevelType w:val="hybridMultilevel"/>
    <w:tmpl w:val="7D3A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3FD7"/>
    <w:multiLevelType w:val="hybridMultilevel"/>
    <w:tmpl w:val="DCAAD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3155422">
    <w:abstractNumId w:val="1"/>
  </w:num>
  <w:num w:numId="2" w16cid:durableId="521014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59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EB"/>
    <w:rsid w:val="00017A4D"/>
    <w:rsid w:val="00043B2B"/>
    <w:rsid w:val="00106240"/>
    <w:rsid w:val="00137B0E"/>
    <w:rsid w:val="00185E80"/>
    <w:rsid w:val="001C108C"/>
    <w:rsid w:val="001C4B33"/>
    <w:rsid w:val="0024300A"/>
    <w:rsid w:val="002E1AEB"/>
    <w:rsid w:val="00352F5B"/>
    <w:rsid w:val="00390CE5"/>
    <w:rsid w:val="00420268"/>
    <w:rsid w:val="004A4DEC"/>
    <w:rsid w:val="004A7D9C"/>
    <w:rsid w:val="0050722D"/>
    <w:rsid w:val="00523A94"/>
    <w:rsid w:val="00590AE5"/>
    <w:rsid w:val="005E1F72"/>
    <w:rsid w:val="0060239B"/>
    <w:rsid w:val="006512E5"/>
    <w:rsid w:val="00696D96"/>
    <w:rsid w:val="00786A86"/>
    <w:rsid w:val="007B4358"/>
    <w:rsid w:val="00807F1D"/>
    <w:rsid w:val="00866647"/>
    <w:rsid w:val="0086775E"/>
    <w:rsid w:val="00881B28"/>
    <w:rsid w:val="008C39F4"/>
    <w:rsid w:val="008D4D9B"/>
    <w:rsid w:val="008F3D04"/>
    <w:rsid w:val="00927B9B"/>
    <w:rsid w:val="009360A2"/>
    <w:rsid w:val="0099211E"/>
    <w:rsid w:val="00A32398"/>
    <w:rsid w:val="00AF6712"/>
    <w:rsid w:val="00B410F3"/>
    <w:rsid w:val="00B63023"/>
    <w:rsid w:val="00B71E99"/>
    <w:rsid w:val="00B8049E"/>
    <w:rsid w:val="00BB2665"/>
    <w:rsid w:val="00BE7E69"/>
    <w:rsid w:val="00C12E55"/>
    <w:rsid w:val="00CC5312"/>
    <w:rsid w:val="00CD7534"/>
    <w:rsid w:val="00CF2EA7"/>
    <w:rsid w:val="00D43B6D"/>
    <w:rsid w:val="00E33A9A"/>
    <w:rsid w:val="00F1676F"/>
    <w:rsid w:val="00F44416"/>
    <w:rsid w:val="00F678D0"/>
    <w:rsid w:val="00F9393F"/>
    <w:rsid w:val="00F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5DF1"/>
  <w15:docId w15:val="{78296075-5EEF-4657-A0DB-60F4B838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33A9A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523A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3A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3A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A9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268"/>
    <w:rPr>
      <w:color w:val="0563C1" w:themeColor="hyperlink"/>
      <w:u w:val="single"/>
    </w:rPr>
  </w:style>
  <w:style w:type="character" w:customStyle="1" w:styleId="cf01">
    <w:name w:val="cf01"/>
    <w:basedOn w:val="Domylnaczcionkaakapitu"/>
    <w:rsid w:val="00B804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4F328ABF465683D471B2B74DB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1F94B-A8BD-4903-B989-71C2177B23B1}"/>
      </w:docPartPr>
      <w:docPartBody>
        <w:p w:rsidR="00670D6C" w:rsidRDefault="006E78B4" w:rsidP="006E78B4">
          <w:pPr>
            <w:pStyle w:val="C8E34F328ABF465683D471B2B74DBFAD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BF8359C34E04881B023C3D37FAC7A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06D2D-A922-4F43-8C13-14DD49F6B810}"/>
      </w:docPartPr>
      <w:docPartBody>
        <w:p w:rsidR="00670D6C" w:rsidRDefault="006E78B4" w:rsidP="006E78B4">
          <w:pPr>
            <w:pStyle w:val="7BF8359C34E04881B023C3D37FAC7A67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B4"/>
    <w:rsid w:val="00024574"/>
    <w:rsid w:val="00077124"/>
    <w:rsid w:val="000A0788"/>
    <w:rsid w:val="000B6740"/>
    <w:rsid w:val="00106763"/>
    <w:rsid w:val="00162CA1"/>
    <w:rsid w:val="00182FDC"/>
    <w:rsid w:val="001D2D9C"/>
    <w:rsid w:val="001F5DBD"/>
    <w:rsid w:val="00230DD5"/>
    <w:rsid w:val="00312A61"/>
    <w:rsid w:val="00523984"/>
    <w:rsid w:val="005F613C"/>
    <w:rsid w:val="0065527F"/>
    <w:rsid w:val="00670D6C"/>
    <w:rsid w:val="006E78B4"/>
    <w:rsid w:val="00715075"/>
    <w:rsid w:val="007161C3"/>
    <w:rsid w:val="00783ADD"/>
    <w:rsid w:val="007864B4"/>
    <w:rsid w:val="007E49F0"/>
    <w:rsid w:val="008068C6"/>
    <w:rsid w:val="008822E5"/>
    <w:rsid w:val="00A06A50"/>
    <w:rsid w:val="00A5223E"/>
    <w:rsid w:val="00E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78B4"/>
    <w:rPr>
      <w:color w:val="808080"/>
    </w:rPr>
  </w:style>
  <w:style w:type="paragraph" w:customStyle="1" w:styleId="C8E34F328ABF465683D471B2B74DBFAD">
    <w:name w:val="C8E34F328ABF465683D471B2B74DBFAD"/>
    <w:rsid w:val="006E78B4"/>
  </w:style>
  <w:style w:type="paragraph" w:customStyle="1" w:styleId="7BF8359C34E04881B023C3D37FAC7A67">
    <w:name w:val="7BF8359C34E04881B023C3D37FAC7A67"/>
    <w:rsid w:val="006E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Gackowska Aleksandra</dc:creator>
  <cp:keywords/>
  <dc:description/>
  <cp:lastModifiedBy>Zawadzki Kamil</cp:lastModifiedBy>
  <cp:revision>9</cp:revision>
  <dcterms:created xsi:type="dcterms:W3CDTF">2023-12-05T09:26:00Z</dcterms:created>
  <dcterms:modified xsi:type="dcterms:W3CDTF">2023-12-05T11:15:00Z</dcterms:modified>
</cp:coreProperties>
</file>