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213" w14:textId="77777777" w:rsidR="00EC4C5C" w:rsidRDefault="00EC4C5C">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9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32"/>
      </w:tblGrid>
      <w:tr w:rsidR="00EC4C5C" w14:paraId="3A151101" w14:textId="77777777" w:rsidTr="00231F84">
        <w:trPr>
          <w:trHeight w:val="1611"/>
        </w:trPr>
        <w:tc>
          <w:tcPr>
            <w:tcW w:w="6631" w:type="dxa"/>
            <w:gridSpan w:val="17"/>
            <w:shd w:val="clear" w:color="auto" w:fill="auto"/>
          </w:tcPr>
          <w:p w14:paraId="2693C3A3" w14:textId="3E359587" w:rsidR="00EC4C5C" w:rsidRPr="00D549BD" w:rsidRDefault="00515863" w:rsidP="00BE6CB8">
            <w:pPr>
              <w:pBdr>
                <w:top w:val="nil"/>
                <w:left w:val="nil"/>
                <w:bottom w:val="nil"/>
                <w:right w:val="nil"/>
                <w:between w:val="nil"/>
              </w:pBdr>
              <w:spacing w:before="120" w:after="120"/>
              <w:ind w:left="34"/>
              <w:rPr>
                <w:rFonts w:ascii="Times New Roman" w:eastAsia="Times New Roman" w:hAnsi="Times New Roman" w:cs="Times New Roman"/>
                <w:color w:val="000000"/>
                <w:sz w:val="22"/>
                <w:szCs w:val="22"/>
              </w:rPr>
            </w:pPr>
            <w:bookmarkStart w:id="0" w:name="bookmark=id.gjdgxs" w:colFirst="0" w:colLast="0"/>
            <w:bookmarkEnd w:id="0"/>
            <w:r w:rsidRPr="00D549BD">
              <w:rPr>
                <w:rFonts w:ascii="Times New Roman" w:eastAsia="Times New Roman" w:hAnsi="Times New Roman" w:cs="Times New Roman"/>
                <w:b/>
                <w:color w:val="000000"/>
                <w:sz w:val="22"/>
                <w:szCs w:val="22"/>
              </w:rPr>
              <w:t>Nazwa projektu</w:t>
            </w:r>
            <w:r w:rsidR="00225290">
              <w:rPr>
                <w:rFonts w:ascii="Times New Roman" w:eastAsia="Times New Roman" w:hAnsi="Times New Roman" w:cs="Times New Roman"/>
                <w:b/>
                <w:color w:val="000000"/>
                <w:sz w:val="22"/>
                <w:szCs w:val="22"/>
              </w:rPr>
              <w:t>:</w:t>
            </w:r>
          </w:p>
          <w:p w14:paraId="0DC50ACD" w14:textId="5F00F3D6" w:rsidR="00EC4C5C" w:rsidRPr="00D549BD" w:rsidRDefault="001F0EDE" w:rsidP="00BE6CB8">
            <w:pPr>
              <w:pBdr>
                <w:top w:val="nil"/>
                <w:left w:val="nil"/>
                <w:bottom w:val="nil"/>
                <w:right w:val="nil"/>
                <w:between w:val="nil"/>
              </w:pBdr>
              <w:ind w:left="3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Projekt u</w:t>
            </w:r>
            <w:r w:rsidR="00515863" w:rsidRPr="00B32E10">
              <w:rPr>
                <w:rFonts w:ascii="Times New Roman" w:eastAsia="Times New Roman" w:hAnsi="Times New Roman" w:cs="Times New Roman"/>
                <w:color w:val="000000"/>
                <w:sz w:val="22"/>
                <w:szCs w:val="22"/>
              </w:rPr>
              <w:t>staw</w:t>
            </w:r>
            <w:r>
              <w:rPr>
                <w:rFonts w:ascii="Times New Roman" w:eastAsia="Times New Roman" w:hAnsi="Times New Roman" w:cs="Times New Roman"/>
                <w:color w:val="000000"/>
                <w:sz w:val="22"/>
                <w:szCs w:val="22"/>
              </w:rPr>
              <w:t>y</w:t>
            </w:r>
            <w:r w:rsidR="00515863" w:rsidRPr="00B32E10">
              <w:rPr>
                <w:rFonts w:ascii="Times New Roman" w:eastAsia="Times New Roman" w:hAnsi="Times New Roman" w:cs="Times New Roman"/>
                <w:color w:val="000000"/>
                <w:sz w:val="22"/>
                <w:szCs w:val="22"/>
              </w:rPr>
              <w:t xml:space="preserve"> </w:t>
            </w:r>
            <w:r w:rsidR="005F3A29" w:rsidRPr="00B32E10">
              <w:rPr>
                <w:rFonts w:ascii="Times New Roman" w:eastAsia="Times New Roman" w:hAnsi="Times New Roman" w:cs="Times New Roman"/>
                <w:color w:val="000000"/>
                <w:sz w:val="22"/>
                <w:szCs w:val="22"/>
              </w:rPr>
              <w:t xml:space="preserve">o </w:t>
            </w:r>
            <w:r w:rsidR="005F3A29" w:rsidRPr="00B32E10">
              <w:rPr>
                <w:rFonts w:ascii="Times New Roman" w:hAnsi="Times New Roman" w:cs="Times New Roman"/>
                <w:sz w:val="22"/>
                <w:szCs w:val="22"/>
              </w:rPr>
              <w:t>zapewnianiu</w:t>
            </w:r>
            <w:r w:rsidR="006C0FA4" w:rsidRPr="001F0D83">
              <w:rPr>
                <w:rFonts w:ascii="Times New Roman" w:hAnsi="Times New Roman" w:cs="Times New Roman"/>
                <w:sz w:val="22"/>
                <w:szCs w:val="22"/>
              </w:rPr>
              <w:t xml:space="preserve"> spełniania wym</w:t>
            </w:r>
            <w:r w:rsidR="00BE703A">
              <w:rPr>
                <w:rFonts w:ascii="Times New Roman" w:hAnsi="Times New Roman" w:cs="Times New Roman"/>
                <w:sz w:val="22"/>
                <w:szCs w:val="22"/>
              </w:rPr>
              <w:t>agań</w:t>
            </w:r>
            <w:r w:rsidR="006C0FA4" w:rsidRPr="001F0D83">
              <w:rPr>
                <w:rFonts w:ascii="Times New Roman" w:hAnsi="Times New Roman" w:cs="Times New Roman"/>
                <w:sz w:val="22"/>
                <w:szCs w:val="22"/>
              </w:rPr>
              <w:t xml:space="preserve"> dostępności niektórych produktów i usług przez podmioty gospodarcze</w:t>
            </w:r>
          </w:p>
          <w:p w14:paraId="5B3C11FE" w14:textId="28B6270C" w:rsidR="00EC4C5C" w:rsidRPr="00D549BD" w:rsidRDefault="00515863" w:rsidP="00BE6CB8">
            <w:pPr>
              <w:pBdr>
                <w:top w:val="nil"/>
                <w:left w:val="nil"/>
                <w:bottom w:val="nil"/>
                <w:right w:val="nil"/>
                <w:between w:val="nil"/>
              </w:pBdr>
              <w:spacing w:before="120" w:after="120"/>
              <w:ind w:left="34"/>
              <w:rPr>
                <w:rFonts w:ascii="Times New Roman" w:eastAsia="Times New Roman" w:hAnsi="Times New Roman" w:cs="Times New Roman"/>
                <w:color w:val="000000"/>
                <w:sz w:val="22"/>
                <w:szCs w:val="22"/>
              </w:rPr>
            </w:pPr>
            <w:r w:rsidRPr="00D549BD">
              <w:rPr>
                <w:rFonts w:ascii="Times New Roman" w:eastAsia="Times New Roman" w:hAnsi="Times New Roman" w:cs="Times New Roman"/>
                <w:b/>
                <w:color w:val="000000"/>
                <w:sz w:val="22"/>
                <w:szCs w:val="22"/>
              </w:rPr>
              <w:t>Ministerstwo wiodące i ministerstwa współpracujące</w:t>
            </w:r>
            <w:r w:rsidR="00225290">
              <w:rPr>
                <w:rFonts w:ascii="Times New Roman" w:eastAsia="Times New Roman" w:hAnsi="Times New Roman" w:cs="Times New Roman"/>
                <w:b/>
                <w:color w:val="000000"/>
                <w:sz w:val="22"/>
                <w:szCs w:val="22"/>
              </w:rPr>
              <w:t>:</w:t>
            </w:r>
          </w:p>
          <w:p w14:paraId="2A8B2DF8" w14:textId="77777777" w:rsidR="00C710A0" w:rsidRDefault="00515863" w:rsidP="00BE6CB8">
            <w:pPr>
              <w:pBdr>
                <w:top w:val="nil"/>
                <w:left w:val="nil"/>
                <w:bottom w:val="nil"/>
                <w:right w:val="nil"/>
                <w:between w:val="nil"/>
              </w:pBdr>
              <w:ind w:left="34"/>
              <w:rPr>
                <w:rFonts w:ascii="Times New Roman" w:eastAsia="Times New Roman" w:hAnsi="Times New Roman" w:cs="Times New Roman"/>
                <w:color w:val="000000"/>
                <w:sz w:val="22"/>
                <w:szCs w:val="22"/>
              </w:rPr>
            </w:pPr>
            <w:r w:rsidRPr="00D549BD">
              <w:rPr>
                <w:rFonts w:ascii="Times New Roman" w:eastAsia="Times New Roman" w:hAnsi="Times New Roman" w:cs="Times New Roman"/>
                <w:color w:val="000000"/>
                <w:sz w:val="22"/>
                <w:szCs w:val="22"/>
              </w:rPr>
              <w:t>Ministerstwo Funduszy i Polityki Regionaln</w:t>
            </w:r>
            <w:r w:rsidRPr="00D549BD">
              <w:rPr>
                <w:rFonts w:ascii="Times New Roman" w:eastAsia="Times New Roman" w:hAnsi="Times New Roman" w:cs="Times New Roman"/>
                <w:sz w:val="22"/>
                <w:szCs w:val="22"/>
              </w:rPr>
              <w:t>ej</w:t>
            </w:r>
          </w:p>
          <w:p w14:paraId="386F3DC3" w14:textId="43707DC6" w:rsidR="00EC4C5C" w:rsidRPr="00D549BD" w:rsidRDefault="00515863" w:rsidP="00FE2ECE">
            <w:pPr>
              <w:pBdr>
                <w:top w:val="nil"/>
                <w:left w:val="nil"/>
                <w:bottom w:val="nil"/>
                <w:right w:val="nil"/>
                <w:between w:val="nil"/>
              </w:pBdr>
              <w:spacing w:before="120"/>
              <w:ind w:left="34"/>
              <w:rPr>
                <w:rFonts w:ascii="Times New Roman" w:eastAsia="Times New Roman" w:hAnsi="Times New Roman" w:cs="Times New Roman"/>
                <w:color w:val="000000"/>
                <w:sz w:val="22"/>
                <w:szCs w:val="22"/>
              </w:rPr>
            </w:pPr>
            <w:r w:rsidRPr="00D549BD">
              <w:rPr>
                <w:rFonts w:ascii="Times New Roman" w:eastAsia="Times New Roman" w:hAnsi="Times New Roman" w:cs="Times New Roman"/>
                <w:color w:val="000000"/>
                <w:sz w:val="22"/>
                <w:szCs w:val="22"/>
              </w:rPr>
              <w:t>Współpracuj</w:t>
            </w:r>
            <w:r w:rsidR="00D549BD" w:rsidRPr="00D549BD">
              <w:rPr>
                <w:rFonts w:ascii="Times New Roman" w:eastAsia="Times New Roman" w:hAnsi="Times New Roman" w:cs="Times New Roman"/>
                <w:color w:val="000000"/>
                <w:sz w:val="22"/>
                <w:szCs w:val="22"/>
              </w:rPr>
              <w:t>ą</w:t>
            </w:r>
            <w:r w:rsidR="00C710A0">
              <w:rPr>
                <w:rFonts w:ascii="Times New Roman" w:eastAsia="Times New Roman" w:hAnsi="Times New Roman" w:cs="Times New Roman"/>
                <w:color w:val="000000"/>
                <w:sz w:val="22"/>
                <w:szCs w:val="22"/>
              </w:rPr>
              <w:t>ce:</w:t>
            </w:r>
            <w:r w:rsidR="00683D0F">
              <w:t xml:space="preserve"> </w:t>
            </w:r>
            <w:r w:rsidR="00683D0F" w:rsidRPr="00683D0F">
              <w:rPr>
                <w:rFonts w:ascii="Times New Roman" w:eastAsia="Times New Roman" w:hAnsi="Times New Roman" w:cs="Times New Roman"/>
                <w:color w:val="000000"/>
                <w:sz w:val="22"/>
                <w:szCs w:val="22"/>
              </w:rPr>
              <w:t>M</w:t>
            </w:r>
            <w:r w:rsidR="00283A92">
              <w:rPr>
                <w:rFonts w:ascii="Times New Roman" w:eastAsia="Times New Roman" w:hAnsi="Times New Roman" w:cs="Times New Roman"/>
                <w:color w:val="000000"/>
                <w:sz w:val="22"/>
                <w:szCs w:val="22"/>
              </w:rPr>
              <w:t xml:space="preserve">inisterstwo </w:t>
            </w:r>
            <w:r w:rsidR="00683D0F" w:rsidRPr="00683D0F">
              <w:rPr>
                <w:rFonts w:ascii="Times New Roman" w:eastAsia="Times New Roman" w:hAnsi="Times New Roman" w:cs="Times New Roman"/>
                <w:color w:val="000000"/>
                <w:sz w:val="22"/>
                <w:szCs w:val="22"/>
              </w:rPr>
              <w:t>R</w:t>
            </w:r>
            <w:r w:rsidR="00283A92">
              <w:rPr>
                <w:rFonts w:ascii="Times New Roman" w:eastAsia="Times New Roman" w:hAnsi="Times New Roman" w:cs="Times New Roman"/>
                <w:color w:val="000000"/>
                <w:sz w:val="22"/>
                <w:szCs w:val="22"/>
              </w:rPr>
              <w:t xml:space="preserve">ozwoju </w:t>
            </w:r>
            <w:r w:rsidR="00683D0F" w:rsidRPr="00683D0F">
              <w:rPr>
                <w:rFonts w:ascii="Times New Roman" w:eastAsia="Times New Roman" w:hAnsi="Times New Roman" w:cs="Times New Roman"/>
                <w:color w:val="000000"/>
                <w:sz w:val="22"/>
                <w:szCs w:val="22"/>
              </w:rPr>
              <w:t>i</w:t>
            </w:r>
            <w:r w:rsidR="00283A92">
              <w:rPr>
                <w:rFonts w:ascii="Times New Roman" w:eastAsia="Times New Roman" w:hAnsi="Times New Roman" w:cs="Times New Roman"/>
                <w:color w:val="000000"/>
                <w:sz w:val="22"/>
                <w:szCs w:val="22"/>
              </w:rPr>
              <w:t xml:space="preserve"> </w:t>
            </w:r>
            <w:r w:rsidR="00683D0F" w:rsidRPr="00683D0F">
              <w:rPr>
                <w:rFonts w:ascii="Times New Roman" w:eastAsia="Times New Roman" w:hAnsi="Times New Roman" w:cs="Times New Roman"/>
                <w:color w:val="000000"/>
                <w:sz w:val="22"/>
                <w:szCs w:val="22"/>
              </w:rPr>
              <w:t>T</w:t>
            </w:r>
            <w:r w:rsidR="00283A92">
              <w:rPr>
                <w:rFonts w:ascii="Times New Roman" w:eastAsia="Times New Roman" w:hAnsi="Times New Roman" w:cs="Times New Roman"/>
                <w:color w:val="000000"/>
                <w:sz w:val="22"/>
                <w:szCs w:val="22"/>
              </w:rPr>
              <w:t>echnologii</w:t>
            </w:r>
            <w:r w:rsidR="00683D0F" w:rsidRPr="00683D0F">
              <w:rPr>
                <w:rFonts w:ascii="Times New Roman" w:eastAsia="Times New Roman" w:hAnsi="Times New Roman" w:cs="Times New Roman"/>
                <w:color w:val="000000"/>
                <w:sz w:val="22"/>
                <w:szCs w:val="22"/>
              </w:rPr>
              <w:t>, M</w:t>
            </w:r>
            <w:r w:rsidR="00283A92">
              <w:rPr>
                <w:rFonts w:ascii="Times New Roman" w:eastAsia="Times New Roman" w:hAnsi="Times New Roman" w:cs="Times New Roman"/>
                <w:color w:val="000000"/>
                <w:sz w:val="22"/>
                <w:szCs w:val="22"/>
              </w:rPr>
              <w:t>inisterstwo Rodziny</w:t>
            </w:r>
            <w:r w:rsidR="00AE21AE">
              <w:rPr>
                <w:rFonts w:ascii="Times New Roman" w:eastAsia="Times New Roman" w:hAnsi="Times New Roman" w:cs="Times New Roman"/>
                <w:color w:val="000000"/>
                <w:sz w:val="22"/>
                <w:szCs w:val="22"/>
              </w:rPr>
              <w:t>, Pracy</w:t>
            </w:r>
            <w:r w:rsidR="00283A92">
              <w:rPr>
                <w:rFonts w:ascii="Times New Roman" w:eastAsia="Times New Roman" w:hAnsi="Times New Roman" w:cs="Times New Roman"/>
                <w:color w:val="000000"/>
                <w:sz w:val="22"/>
                <w:szCs w:val="22"/>
              </w:rPr>
              <w:t xml:space="preserve"> </w:t>
            </w:r>
            <w:r w:rsidR="00683D0F" w:rsidRPr="00683D0F">
              <w:rPr>
                <w:rFonts w:ascii="Times New Roman" w:eastAsia="Times New Roman" w:hAnsi="Times New Roman" w:cs="Times New Roman"/>
                <w:color w:val="000000"/>
                <w:sz w:val="22"/>
                <w:szCs w:val="22"/>
              </w:rPr>
              <w:t>i</w:t>
            </w:r>
            <w:r w:rsidR="00283A92">
              <w:rPr>
                <w:rFonts w:ascii="Times New Roman" w:eastAsia="Times New Roman" w:hAnsi="Times New Roman" w:cs="Times New Roman"/>
                <w:color w:val="000000"/>
                <w:sz w:val="22"/>
                <w:szCs w:val="22"/>
              </w:rPr>
              <w:t xml:space="preserve"> </w:t>
            </w:r>
            <w:r w:rsidR="00683D0F" w:rsidRPr="00683D0F">
              <w:rPr>
                <w:rFonts w:ascii="Times New Roman" w:eastAsia="Times New Roman" w:hAnsi="Times New Roman" w:cs="Times New Roman"/>
                <w:color w:val="000000"/>
                <w:sz w:val="22"/>
                <w:szCs w:val="22"/>
              </w:rPr>
              <w:t>P</w:t>
            </w:r>
            <w:r w:rsidR="00283A92">
              <w:rPr>
                <w:rFonts w:ascii="Times New Roman" w:eastAsia="Times New Roman" w:hAnsi="Times New Roman" w:cs="Times New Roman"/>
                <w:color w:val="000000"/>
                <w:sz w:val="22"/>
                <w:szCs w:val="22"/>
              </w:rPr>
              <w:t xml:space="preserve">olityki </w:t>
            </w:r>
            <w:r w:rsidR="00683D0F" w:rsidRPr="00683D0F">
              <w:rPr>
                <w:rFonts w:ascii="Times New Roman" w:eastAsia="Times New Roman" w:hAnsi="Times New Roman" w:cs="Times New Roman"/>
                <w:color w:val="000000"/>
                <w:sz w:val="22"/>
                <w:szCs w:val="22"/>
              </w:rPr>
              <w:t>S</w:t>
            </w:r>
            <w:r w:rsidR="00283A92">
              <w:rPr>
                <w:rFonts w:ascii="Times New Roman" w:eastAsia="Times New Roman" w:hAnsi="Times New Roman" w:cs="Times New Roman"/>
                <w:color w:val="000000"/>
                <w:sz w:val="22"/>
                <w:szCs w:val="22"/>
              </w:rPr>
              <w:t>połecznej</w:t>
            </w:r>
            <w:r w:rsidR="00683D0F" w:rsidRPr="00683D0F">
              <w:rPr>
                <w:rFonts w:ascii="Times New Roman" w:eastAsia="Times New Roman" w:hAnsi="Times New Roman" w:cs="Times New Roman"/>
                <w:color w:val="000000"/>
                <w:sz w:val="22"/>
                <w:szCs w:val="22"/>
              </w:rPr>
              <w:t>, M</w:t>
            </w:r>
            <w:r w:rsidR="009C495A">
              <w:rPr>
                <w:rFonts w:ascii="Times New Roman" w:eastAsia="Times New Roman" w:hAnsi="Times New Roman" w:cs="Times New Roman"/>
                <w:color w:val="000000"/>
                <w:sz w:val="22"/>
                <w:szCs w:val="22"/>
              </w:rPr>
              <w:t xml:space="preserve">inisterstwo </w:t>
            </w:r>
            <w:r w:rsidR="00683D0F" w:rsidRPr="00683D0F">
              <w:rPr>
                <w:rFonts w:ascii="Times New Roman" w:eastAsia="Times New Roman" w:hAnsi="Times New Roman" w:cs="Times New Roman"/>
                <w:color w:val="000000"/>
                <w:sz w:val="22"/>
                <w:szCs w:val="22"/>
              </w:rPr>
              <w:t>I</w:t>
            </w:r>
            <w:r w:rsidR="009C495A">
              <w:rPr>
                <w:rFonts w:ascii="Times New Roman" w:eastAsia="Times New Roman" w:hAnsi="Times New Roman" w:cs="Times New Roman"/>
                <w:color w:val="000000"/>
                <w:sz w:val="22"/>
                <w:szCs w:val="22"/>
              </w:rPr>
              <w:t>nfrastruktury</w:t>
            </w:r>
            <w:r w:rsidR="00683D0F" w:rsidRPr="00683D0F">
              <w:rPr>
                <w:rFonts w:ascii="Times New Roman" w:eastAsia="Times New Roman" w:hAnsi="Times New Roman" w:cs="Times New Roman"/>
                <w:color w:val="000000"/>
                <w:sz w:val="22"/>
                <w:szCs w:val="22"/>
              </w:rPr>
              <w:t>, K</w:t>
            </w:r>
            <w:r w:rsidR="00283A92">
              <w:rPr>
                <w:rFonts w:ascii="Times New Roman" w:eastAsia="Times New Roman" w:hAnsi="Times New Roman" w:cs="Times New Roman"/>
                <w:color w:val="000000"/>
                <w:sz w:val="22"/>
                <w:szCs w:val="22"/>
              </w:rPr>
              <w:t xml:space="preserve">ancelaria </w:t>
            </w:r>
            <w:r w:rsidR="00683D0F" w:rsidRPr="00683D0F">
              <w:rPr>
                <w:rFonts w:ascii="Times New Roman" w:eastAsia="Times New Roman" w:hAnsi="Times New Roman" w:cs="Times New Roman"/>
                <w:color w:val="000000"/>
                <w:sz w:val="22"/>
                <w:szCs w:val="22"/>
              </w:rPr>
              <w:t>P</w:t>
            </w:r>
            <w:r w:rsidR="00283A92">
              <w:rPr>
                <w:rFonts w:ascii="Times New Roman" w:eastAsia="Times New Roman" w:hAnsi="Times New Roman" w:cs="Times New Roman"/>
                <w:color w:val="000000"/>
                <w:sz w:val="22"/>
                <w:szCs w:val="22"/>
              </w:rPr>
              <w:t xml:space="preserve">rezesa </w:t>
            </w:r>
            <w:r w:rsidR="00683D0F" w:rsidRPr="00683D0F">
              <w:rPr>
                <w:rFonts w:ascii="Times New Roman" w:eastAsia="Times New Roman" w:hAnsi="Times New Roman" w:cs="Times New Roman"/>
                <w:color w:val="000000"/>
                <w:sz w:val="22"/>
                <w:szCs w:val="22"/>
              </w:rPr>
              <w:t>R</w:t>
            </w:r>
            <w:r w:rsidR="00283A92">
              <w:rPr>
                <w:rFonts w:ascii="Times New Roman" w:eastAsia="Times New Roman" w:hAnsi="Times New Roman" w:cs="Times New Roman"/>
                <w:color w:val="000000"/>
                <w:sz w:val="22"/>
                <w:szCs w:val="22"/>
              </w:rPr>
              <w:t xml:space="preserve">ady </w:t>
            </w:r>
            <w:r w:rsidR="00683D0F" w:rsidRPr="00683D0F">
              <w:rPr>
                <w:rFonts w:ascii="Times New Roman" w:eastAsia="Times New Roman" w:hAnsi="Times New Roman" w:cs="Times New Roman"/>
                <w:color w:val="000000"/>
                <w:sz w:val="22"/>
                <w:szCs w:val="22"/>
              </w:rPr>
              <w:t>M</w:t>
            </w:r>
            <w:r w:rsidR="00283A92">
              <w:rPr>
                <w:rFonts w:ascii="Times New Roman" w:eastAsia="Times New Roman" w:hAnsi="Times New Roman" w:cs="Times New Roman"/>
                <w:color w:val="000000"/>
                <w:sz w:val="22"/>
                <w:szCs w:val="22"/>
              </w:rPr>
              <w:t>inistrów</w:t>
            </w:r>
            <w:r w:rsidR="00683D0F" w:rsidRPr="00683D0F">
              <w:rPr>
                <w:rFonts w:ascii="Times New Roman" w:eastAsia="Times New Roman" w:hAnsi="Times New Roman" w:cs="Times New Roman"/>
                <w:color w:val="000000"/>
                <w:sz w:val="22"/>
                <w:szCs w:val="22"/>
              </w:rPr>
              <w:t>, M</w:t>
            </w:r>
            <w:r w:rsidR="009C495A">
              <w:rPr>
                <w:rFonts w:ascii="Times New Roman" w:eastAsia="Times New Roman" w:hAnsi="Times New Roman" w:cs="Times New Roman"/>
                <w:color w:val="000000"/>
                <w:sz w:val="22"/>
                <w:szCs w:val="22"/>
              </w:rPr>
              <w:t xml:space="preserve">inisterstwo </w:t>
            </w:r>
            <w:r w:rsidR="00683D0F" w:rsidRPr="00683D0F">
              <w:rPr>
                <w:rFonts w:ascii="Times New Roman" w:eastAsia="Times New Roman" w:hAnsi="Times New Roman" w:cs="Times New Roman"/>
                <w:color w:val="000000"/>
                <w:sz w:val="22"/>
                <w:szCs w:val="22"/>
              </w:rPr>
              <w:t>E</w:t>
            </w:r>
            <w:r w:rsidR="009C495A">
              <w:rPr>
                <w:rFonts w:ascii="Times New Roman" w:eastAsia="Times New Roman" w:hAnsi="Times New Roman" w:cs="Times New Roman"/>
                <w:color w:val="000000"/>
                <w:sz w:val="22"/>
                <w:szCs w:val="22"/>
              </w:rPr>
              <w:t xml:space="preserve">dukacji </w:t>
            </w:r>
            <w:r w:rsidR="000D3383">
              <w:rPr>
                <w:rFonts w:ascii="Times New Roman" w:eastAsia="Times New Roman" w:hAnsi="Times New Roman" w:cs="Times New Roman"/>
                <w:color w:val="000000"/>
                <w:sz w:val="22"/>
                <w:szCs w:val="22"/>
              </w:rPr>
              <w:t>Narodowej</w:t>
            </w:r>
            <w:r w:rsidR="00683D0F" w:rsidRPr="00683D0F">
              <w:rPr>
                <w:rFonts w:ascii="Times New Roman" w:eastAsia="Times New Roman" w:hAnsi="Times New Roman" w:cs="Times New Roman"/>
                <w:color w:val="000000"/>
                <w:sz w:val="22"/>
                <w:szCs w:val="22"/>
              </w:rPr>
              <w:t xml:space="preserve">, </w:t>
            </w:r>
            <w:r w:rsidR="000D3383">
              <w:rPr>
                <w:rFonts w:ascii="Times New Roman" w:eastAsia="Times New Roman" w:hAnsi="Times New Roman" w:cs="Times New Roman"/>
                <w:color w:val="000000"/>
                <w:sz w:val="22"/>
                <w:szCs w:val="22"/>
              </w:rPr>
              <w:t xml:space="preserve">Ministerstwo Nauki i Szkolnictwa Wyższego, </w:t>
            </w:r>
            <w:r w:rsidR="00FE2ECE">
              <w:rPr>
                <w:rFonts w:ascii="Times New Roman" w:eastAsia="Times New Roman" w:hAnsi="Times New Roman" w:cs="Times New Roman"/>
                <w:color w:val="000000"/>
                <w:sz w:val="22"/>
                <w:szCs w:val="22"/>
              </w:rPr>
              <w:t>M</w:t>
            </w:r>
            <w:r w:rsidR="009C495A">
              <w:rPr>
                <w:rFonts w:ascii="Times New Roman" w:eastAsia="Times New Roman" w:hAnsi="Times New Roman" w:cs="Times New Roman"/>
                <w:color w:val="000000"/>
                <w:sz w:val="22"/>
                <w:szCs w:val="22"/>
              </w:rPr>
              <w:t>inister</w:t>
            </w:r>
            <w:r w:rsidR="006C4170">
              <w:rPr>
                <w:rFonts w:ascii="Times New Roman" w:eastAsia="Times New Roman" w:hAnsi="Times New Roman" w:cs="Times New Roman"/>
                <w:color w:val="000000"/>
                <w:sz w:val="22"/>
                <w:szCs w:val="22"/>
              </w:rPr>
              <w:t>stwo</w:t>
            </w:r>
            <w:r w:rsidR="009C495A">
              <w:rPr>
                <w:rFonts w:ascii="Times New Roman" w:eastAsia="Times New Roman" w:hAnsi="Times New Roman" w:cs="Times New Roman"/>
                <w:color w:val="000000"/>
                <w:sz w:val="22"/>
                <w:szCs w:val="22"/>
              </w:rPr>
              <w:t xml:space="preserve"> </w:t>
            </w:r>
            <w:r w:rsidR="00FE2ECE">
              <w:rPr>
                <w:rFonts w:ascii="Times New Roman" w:eastAsia="Times New Roman" w:hAnsi="Times New Roman" w:cs="Times New Roman"/>
                <w:color w:val="000000"/>
                <w:sz w:val="22"/>
                <w:szCs w:val="22"/>
              </w:rPr>
              <w:t>K</w:t>
            </w:r>
            <w:r w:rsidR="009C495A">
              <w:rPr>
                <w:rFonts w:ascii="Times New Roman" w:eastAsia="Times New Roman" w:hAnsi="Times New Roman" w:cs="Times New Roman"/>
                <w:color w:val="000000"/>
                <w:sz w:val="22"/>
                <w:szCs w:val="22"/>
              </w:rPr>
              <w:t>ultury</w:t>
            </w:r>
            <w:r w:rsidR="00B045AA">
              <w:rPr>
                <w:rFonts w:ascii="Times New Roman" w:eastAsia="Times New Roman" w:hAnsi="Times New Roman" w:cs="Times New Roman"/>
                <w:color w:val="000000"/>
                <w:sz w:val="22"/>
                <w:szCs w:val="22"/>
              </w:rPr>
              <w:t xml:space="preserve"> i </w:t>
            </w:r>
            <w:r w:rsidR="00FE2ECE">
              <w:rPr>
                <w:rFonts w:ascii="Times New Roman" w:eastAsia="Times New Roman" w:hAnsi="Times New Roman" w:cs="Times New Roman"/>
                <w:color w:val="000000"/>
                <w:sz w:val="22"/>
                <w:szCs w:val="22"/>
              </w:rPr>
              <w:t>D</w:t>
            </w:r>
            <w:r w:rsidR="00283A92">
              <w:rPr>
                <w:rFonts w:ascii="Times New Roman" w:eastAsia="Times New Roman" w:hAnsi="Times New Roman" w:cs="Times New Roman"/>
                <w:color w:val="000000"/>
                <w:sz w:val="22"/>
                <w:szCs w:val="22"/>
              </w:rPr>
              <w:t xml:space="preserve">ziedzictwa </w:t>
            </w:r>
            <w:r w:rsidR="00FE2ECE">
              <w:rPr>
                <w:rFonts w:ascii="Times New Roman" w:eastAsia="Times New Roman" w:hAnsi="Times New Roman" w:cs="Times New Roman"/>
                <w:color w:val="000000"/>
                <w:sz w:val="22"/>
                <w:szCs w:val="22"/>
              </w:rPr>
              <w:t>N</w:t>
            </w:r>
            <w:r w:rsidR="00283A92">
              <w:rPr>
                <w:rFonts w:ascii="Times New Roman" w:eastAsia="Times New Roman" w:hAnsi="Times New Roman" w:cs="Times New Roman"/>
                <w:color w:val="000000"/>
                <w:sz w:val="22"/>
                <w:szCs w:val="22"/>
              </w:rPr>
              <w:t>arodowego</w:t>
            </w:r>
          </w:p>
          <w:p w14:paraId="1EA1444C" w14:textId="67E673FC" w:rsidR="00EC4C5C" w:rsidRDefault="00515863" w:rsidP="00BE6CB8">
            <w:pPr>
              <w:pBdr>
                <w:top w:val="nil"/>
                <w:left w:val="nil"/>
                <w:bottom w:val="nil"/>
                <w:right w:val="nil"/>
                <w:between w:val="nil"/>
              </w:pBdr>
              <w:spacing w:before="120" w:after="120"/>
              <w:ind w:left="34"/>
              <w:rPr>
                <w:rFonts w:ascii="Times New Roman" w:eastAsia="Times New Roman" w:hAnsi="Times New Roman" w:cs="Times New Roman"/>
                <w:b/>
                <w:color w:val="000000"/>
                <w:sz w:val="22"/>
                <w:szCs w:val="22"/>
              </w:rPr>
            </w:pPr>
            <w:r w:rsidRPr="00D549BD">
              <w:rPr>
                <w:rFonts w:ascii="Times New Roman" w:eastAsia="Times New Roman" w:hAnsi="Times New Roman" w:cs="Times New Roman"/>
                <w:b/>
                <w:color w:val="000000"/>
                <w:sz w:val="22"/>
                <w:szCs w:val="22"/>
              </w:rPr>
              <w:t>Osoba odpowiedzialna za projekt w randze Ministra, Sekretarza Stanu lub Podsekretarza Stanu</w:t>
            </w:r>
            <w:r w:rsidR="00225290">
              <w:rPr>
                <w:rFonts w:ascii="Times New Roman" w:eastAsia="Times New Roman" w:hAnsi="Times New Roman" w:cs="Times New Roman"/>
                <w:b/>
                <w:color w:val="000000"/>
                <w:sz w:val="22"/>
                <w:szCs w:val="22"/>
              </w:rPr>
              <w:t>:</w:t>
            </w:r>
          </w:p>
          <w:p w14:paraId="5CB6565C" w14:textId="77777777" w:rsidR="00BA5D3D" w:rsidRDefault="000D3383" w:rsidP="00BA5D3D">
            <w:pPr>
              <w:pBdr>
                <w:top w:val="nil"/>
                <w:left w:val="nil"/>
                <w:bottom w:val="nil"/>
                <w:right w:val="nil"/>
                <w:between w:val="nil"/>
              </w:pBdr>
              <w:spacing w:before="120" w:after="120"/>
              <w:ind w:left="34"/>
              <w:rPr>
                <w:rFonts w:ascii="Times New Roman" w:eastAsia="Times New Roman" w:hAnsi="Times New Roman" w:cs="Times New Roman"/>
                <w:bCs/>
                <w:color w:val="000000"/>
                <w:sz w:val="22"/>
                <w:szCs w:val="22"/>
              </w:rPr>
            </w:pPr>
            <w:r w:rsidRPr="000D3383">
              <w:rPr>
                <w:rFonts w:ascii="Times New Roman" w:eastAsia="Times New Roman" w:hAnsi="Times New Roman" w:cs="Times New Roman"/>
                <w:bCs/>
                <w:color w:val="000000"/>
                <w:sz w:val="22"/>
                <w:szCs w:val="22"/>
              </w:rPr>
              <w:t>Pani Katarzyna Pełczyńska-Nałęcz</w:t>
            </w:r>
          </w:p>
          <w:p w14:paraId="25DEFFCA" w14:textId="304C42B1" w:rsidR="00BA5D3D" w:rsidRPr="000D3383" w:rsidRDefault="00BA5D3D" w:rsidP="00BA5D3D">
            <w:pPr>
              <w:pBdr>
                <w:top w:val="nil"/>
                <w:left w:val="nil"/>
                <w:bottom w:val="nil"/>
                <w:right w:val="nil"/>
                <w:between w:val="nil"/>
              </w:pBdr>
              <w:spacing w:before="120" w:after="120"/>
              <w:ind w:left="34"/>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Minister Funduszy i Polityki Regionalnej</w:t>
            </w:r>
          </w:p>
          <w:p w14:paraId="61EF6FEA" w14:textId="0EB618EE" w:rsidR="00770DA3" w:rsidRPr="00D549BD" w:rsidRDefault="00515863" w:rsidP="00BE6CB8">
            <w:pPr>
              <w:pBdr>
                <w:top w:val="nil"/>
                <w:left w:val="nil"/>
                <w:bottom w:val="nil"/>
                <w:right w:val="nil"/>
                <w:between w:val="nil"/>
              </w:pBdr>
              <w:spacing w:before="120" w:after="120"/>
              <w:ind w:left="34"/>
              <w:rPr>
                <w:rFonts w:ascii="Times New Roman" w:eastAsia="Times New Roman" w:hAnsi="Times New Roman" w:cs="Times New Roman"/>
                <w:color w:val="000000"/>
                <w:sz w:val="22"/>
                <w:szCs w:val="22"/>
              </w:rPr>
            </w:pPr>
            <w:bookmarkStart w:id="1" w:name="bookmark=id.30j0zll" w:colFirst="0" w:colLast="0"/>
            <w:bookmarkEnd w:id="1"/>
            <w:r w:rsidRPr="00D549BD">
              <w:rPr>
                <w:rFonts w:ascii="Times New Roman" w:eastAsia="Times New Roman" w:hAnsi="Times New Roman" w:cs="Times New Roman"/>
                <w:b/>
                <w:color w:val="000000"/>
                <w:sz w:val="22"/>
                <w:szCs w:val="22"/>
              </w:rPr>
              <w:t>Kontakt do opiekuna merytorycznego projektu</w:t>
            </w:r>
            <w:r w:rsidR="00225290">
              <w:rPr>
                <w:rFonts w:ascii="Times New Roman" w:eastAsia="Times New Roman" w:hAnsi="Times New Roman" w:cs="Times New Roman"/>
                <w:b/>
                <w:color w:val="000000"/>
                <w:sz w:val="22"/>
                <w:szCs w:val="22"/>
              </w:rPr>
              <w:t>:</w:t>
            </w:r>
          </w:p>
          <w:p w14:paraId="39A55D51" w14:textId="77777777" w:rsidR="00770DA3" w:rsidRPr="00770DA3" w:rsidRDefault="00770DA3" w:rsidP="00BE6CB8">
            <w:pPr>
              <w:pBdr>
                <w:top w:val="nil"/>
                <w:left w:val="nil"/>
                <w:bottom w:val="nil"/>
                <w:right w:val="nil"/>
                <w:between w:val="nil"/>
              </w:pBdr>
              <w:ind w:left="34"/>
              <w:rPr>
                <w:rFonts w:ascii="Times New Roman" w:eastAsia="Times New Roman" w:hAnsi="Times New Roman" w:cs="Times New Roman"/>
                <w:color w:val="000000"/>
                <w:sz w:val="22"/>
                <w:szCs w:val="22"/>
              </w:rPr>
            </w:pPr>
            <w:r w:rsidRPr="00770DA3">
              <w:rPr>
                <w:rFonts w:ascii="Times New Roman" w:eastAsia="Times New Roman" w:hAnsi="Times New Roman" w:cs="Times New Roman"/>
                <w:color w:val="000000"/>
                <w:sz w:val="22"/>
                <w:szCs w:val="22"/>
              </w:rPr>
              <w:t>Pani Zuzanna Raszkowska</w:t>
            </w:r>
          </w:p>
          <w:p w14:paraId="17F9C931" w14:textId="77777777" w:rsidR="00770DA3" w:rsidRPr="00770DA3" w:rsidRDefault="00770DA3" w:rsidP="00BE6CB8">
            <w:pPr>
              <w:pBdr>
                <w:top w:val="nil"/>
                <w:left w:val="nil"/>
                <w:bottom w:val="nil"/>
                <w:right w:val="nil"/>
                <w:between w:val="nil"/>
              </w:pBdr>
              <w:ind w:left="34"/>
              <w:rPr>
                <w:rFonts w:ascii="Times New Roman" w:eastAsia="Times New Roman" w:hAnsi="Times New Roman" w:cs="Times New Roman"/>
                <w:color w:val="000000"/>
                <w:sz w:val="22"/>
                <w:szCs w:val="22"/>
              </w:rPr>
            </w:pPr>
            <w:r w:rsidRPr="00770DA3">
              <w:rPr>
                <w:rFonts w:ascii="Times New Roman" w:eastAsia="Times New Roman" w:hAnsi="Times New Roman" w:cs="Times New Roman"/>
                <w:color w:val="000000"/>
                <w:sz w:val="22"/>
                <w:szCs w:val="22"/>
              </w:rPr>
              <w:t>Zastępca Dyrektora Departamentu Spraw Europejskich i Współpracy Międzynarodowej</w:t>
            </w:r>
          </w:p>
          <w:p w14:paraId="64A80B54" w14:textId="77777777" w:rsidR="00770DA3" w:rsidRPr="00770DA3" w:rsidRDefault="00770DA3" w:rsidP="00BE6CB8">
            <w:pPr>
              <w:pBdr>
                <w:top w:val="nil"/>
                <w:left w:val="nil"/>
                <w:bottom w:val="nil"/>
                <w:right w:val="nil"/>
                <w:between w:val="nil"/>
              </w:pBdr>
              <w:ind w:left="34"/>
              <w:rPr>
                <w:rFonts w:ascii="Times New Roman" w:eastAsia="Times New Roman" w:hAnsi="Times New Roman" w:cs="Times New Roman"/>
                <w:color w:val="000000"/>
                <w:sz w:val="22"/>
                <w:szCs w:val="22"/>
              </w:rPr>
            </w:pPr>
            <w:r w:rsidRPr="00770DA3">
              <w:rPr>
                <w:rFonts w:ascii="Times New Roman" w:eastAsia="Times New Roman" w:hAnsi="Times New Roman" w:cs="Times New Roman"/>
                <w:color w:val="000000"/>
                <w:sz w:val="22"/>
                <w:szCs w:val="22"/>
              </w:rPr>
              <w:t>Ministerstwo Funduszy i Polityki Regionalnej</w:t>
            </w:r>
          </w:p>
          <w:p w14:paraId="0B9F72D7" w14:textId="3E6AE511" w:rsidR="0059623F" w:rsidRDefault="00770DA3" w:rsidP="00AF1986">
            <w:pPr>
              <w:pBdr>
                <w:top w:val="nil"/>
                <w:left w:val="nil"/>
                <w:bottom w:val="nil"/>
                <w:right w:val="nil"/>
                <w:between w:val="nil"/>
              </w:pBdr>
              <w:ind w:left="34"/>
              <w:rPr>
                <w:rFonts w:ascii="Times New Roman" w:eastAsia="Times New Roman" w:hAnsi="Times New Roman" w:cs="Times New Roman"/>
                <w:color w:val="000000"/>
                <w:sz w:val="22"/>
                <w:szCs w:val="22"/>
              </w:rPr>
            </w:pPr>
            <w:r w:rsidRPr="00770DA3">
              <w:rPr>
                <w:rFonts w:ascii="Times New Roman" w:eastAsia="Times New Roman" w:hAnsi="Times New Roman" w:cs="Times New Roman"/>
                <w:color w:val="000000"/>
                <w:sz w:val="22"/>
                <w:szCs w:val="22"/>
              </w:rPr>
              <w:t xml:space="preserve">e-mail: </w:t>
            </w:r>
            <w:hyperlink r:id="rId9" w:history="1">
              <w:r w:rsidR="00F911AE" w:rsidRPr="00EB79F1">
                <w:rPr>
                  <w:rStyle w:val="Hipercze"/>
                  <w:rFonts w:ascii="Times New Roman" w:eastAsia="Times New Roman" w:hAnsi="Times New Roman" w:cs="Times New Roman"/>
                  <w:sz w:val="22"/>
                  <w:szCs w:val="22"/>
                </w:rPr>
                <w:t>Zuzanna.Raszkowska@mfipr.gov.pl</w:t>
              </w:r>
            </w:hyperlink>
            <w:r w:rsidR="00225290" w:rsidRPr="00AF1986">
              <w:rPr>
                <w:rFonts w:ascii="Times New Roman" w:eastAsia="Times New Roman" w:hAnsi="Times New Roman" w:cs="Times New Roman"/>
                <w:color w:val="000000"/>
                <w:sz w:val="22"/>
                <w:szCs w:val="22"/>
              </w:rPr>
              <w:t xml:space="preserve">, </w:t>
            </w:r>
            <w:r w:rsidR="00BE6CB8">
              <w:rPr>
                <w:rFonts w:ascii="Times New Roman" w:eastAsia="Times New Roman" w:hAnsi="Times New Roman" w:cs="Times New Roman"/>
                <w:color w:val="000000"/>
                <w:sz w:val="22"/>
                <w:szCs w:val="22"/>
              </w:rPr>
              <w:t>tel. 22 273 78 70</w:t>
            </w:r>
          </w:p>
          <w:p w14:paraId="7F05579A" w14:textId="77777777" w:rsidR="0059623F" w:rsidRPr="0059623F" w:rsidRDefault="0059623F" w:rsidP="00BE6CB8">
            <w:pPr>
              <w:pBdr>
                <w:top w:val="nil"/>
                <w:left w:val="nil"/>
                <w:bottom w:val="nil"/>
                <w:right w:val="nil"/>
                <w:between w:val="nil"/>
              </w:pBdr>
              <w:spacing w:before="120"/>
              <w:ind w:left="34"/>
              <w:rPr>
                <w:rFonts w:ascii="Times New Roman" w:eastAsia="Times New Roman" w:hAnsi="Times New Roman" w:cs="Times New Roman"/>
                <w:color w:val="000000"/>
                <w:sz w:val="22"/>
                <w:szCs w:val="22"/>
              </w:rPr>
            </w:pPr>
            <w:r w:rsidRPr="0059623F">
              <w:rPr>
                <w:rFonts w:ascii="Times New Roman" w:eastAsia="Times New Roman" w:hAnsi="Times New Roman" w:cs="Times New Roman"/>
                <w:color w:val="000000"/>
                <w:sz w:val="22"/>
                <w:szCs w:val="22"/>
              </w:rPr>
              <w:t xml:space="preserve">Pani </w:t>
            </w:r>
            <w:r w:rsidR="00C66481">
              <w:rPr>
                <w:rFonts w:ascii="Times New Roman" w:eastAsia="Times New Roman" w:hAnsi="Times New Roman" w:cs="Times New Roman"/>
                <w:color w:val="000000"/>
                <w:sz w:val="22"/>
                <w:szCs w:val="22"/>
              </w:rPr>
              <w:t>Marta Leśnicka</w:t>
            </w:r>
          </w:p>
          <w:p w14:paraId="0AFEA350" w14:textId="77777777" w:rsidR="0059623F" w:rsidRPr="0059623F" w:rsidRDefault="00CA7666" w:rsidP="00BE6CB8">
            <w:pPr>
              <w:pBdr>
                <w:top w:val="nil"/>
                <w:left w:val="nil"/>
                <w:bottom w:val="nil"/>
                <w:right w:val="nil"/>
                <w:between w:val="nil"/>
              </w:pBdr>
              <w:ind w:left="3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Naczelnik Wydziału Spraw </w:t>
            </w:r>
            <w:proofErr w:type="spellStart"/>
            <w:r>
              <w:rPr>
                <w:rFonts w:ascii="Times New Roman" w:eastAsia="Times New Roman" w:hAnsi="Times New Roman" w:cs="Times New Roman"/>
                <w:color w:val="000000"/>
                <w:sz w:val="22"/>
                <w:szCs w:val="22"/>
              </w:rPr>
              <w:t>Europejskch</w:t>
            </w:r>
            <w:proofErr w:type="spellEnd"/>
            <w:r w:rsidR="0059623F" w:rsidRPr="0059623F">
              <w:rPr>
                <w:rFonts w:ascii="Times New Roman" w:eastAsia="Times New Roman" w:hAnsi="Times New Roman" w:cs="Times New Roman"/>
                <w:color w:val="000000"/>
                <w:sz w:val="22"/>
                <w:szCs w:val="22"/>
              </w:rPr>
              <w:t>, Departament Spraw Europejskich i Współpracy Międzynarodowej</w:t>
            </w:r>
          </w:p>
          <w:p w14:paraId="65CBEAFC" w14:textId="77777777" w:rsidR="0059623F" w:rsidRPr="0059623F" w:rsidRDefault="0059623F" w:rsidP="00BE6CB8">
            <w:pPr>
              <w:pBdr>
                <w:top w:val="nil"/>
                <w:left w:val="nil"/>
                <w:bottom w:val="nil"/>
                <w:right w:val="nil"/>
                <w:between w:val="nil"/>
              </w:pBdr>
              <w:ind w:left="34"/>
              <w:rPr>
                <w:rFonts w:ascii="Times New Roman" w:eastAsia="Times New Roman" w:hAnsi="Times New Roman" w:cs="Times New Roman"/>
                <w:color w:val="000000"/>
                <w:sz w:val="22"/>
                <w:szCs w:val="22"/>
              </w:rPr>
            </w:pPr>
            <w:r w:rsidRPr="0059623F">
              <w:rPr>
                <w:rFonts w:ascii="Times New Roman" w:eastAsia="Times New Roman" w:hAnsi="Times New Roman" w:cs="Times New Roman"/>
                <w:color w:val="000000"/>
                <w:sz w:val="22"/>
                <w:szCs w:val="22"/>
              </w:rPr>
              <w:t>Ministerstwo Funduszy i Polityki Regionalnej</w:t>
            </w:r>
          </w:p>
          <w:p w14:paraId="0F7B4133" w14:textId="25E299CA" w:rsidR="00C958CA" w:rsidRPr="00F61B5C" w:rsidRDefault="0059623F" w:rsidP="00225290">
            <w:pPr>
              <w:pBdr>
                <w:top w:val="nil"/>
                <w:left w:val="nil"/>
                <w:bottom w:val="nil"/>
                <w:right w:val="nil"/>
                <w:between w:val="nil"/>
              </w:pBdr>
              <w:spacing w:after="120"/>
              <w:ind w:left="34"/>
              <w:rPr>
                <w:rFonts w:ascii="Times New Roman" w:eastAsia="Times New Roman" w:hAnsi="Times New Roman" w:cs="Times New Roman"/>
                <w:color w:val="0000FF"/>
                <w:sz w:val="22"/>
                <w:szCs w:val="22"/>
                <w:u w:val="single"/>
              </w:rPr>
            </w:pPr>
            <w:r w:rsidRPr="0059623F">
              <w:rPr>
                <w:rFonts w:ascii="Times New Roman" w:eastAsia="Times New Roman" w:hAnsi="Times New Roman" w:cs="Times New Roman"/>
                <w:color w:val="000000"/>
                <w:sz w:val="22"/>
                <w:szCs w:val="22"/>
              </w:rPr>
              <w:t xml:space="preserve">e-mail: </w:t>
            </w:r>
            <w:hyperlink r:id="rId10" w:history="1">
              <w:r w:rsidR="00C66481" w:rsidRPr="00EB79F1">
                <w:rPr>
                  <w:rStyle w:val="Hipercze"/>
                  <w:rFonts w:ascii="Times New Roman" w:eastAsia="Times New Roman" w:hAnsi="Times New Roman" w:cs="Times New Roman"/>
                  <w:sz w:val="22"/>
                  <w:szCs w:val="22"/>
                </w:rPr>
                <w:t>Marta.Lesnicka@mfipr.gov.pl</w:t>
              </w:r>
            </w:hyperlink>
            <w:r w:rsidR="00225290">
              <w:rPr>
                <w:rStyle w:val="Hipercze"/>
                <w:rFonts w:ascii="Times New Roman" w:eastAsia="Times New Roman" w:hAnsi="Times New Roman" w:cs="Times New Roman"/>
                <w:color w:val="auto"/>
                <w:sz w:val="22"/>
                <w:szCs w:val="22"/>
                <w:u w:val="none"/>
              </w:rPr>
              <w:t xml:space="preserve">, </w:t>
            </w:r>
            <w:r w:rsidR="00C958CA" w:rsidRPr="00C37982">
              <w:rPr>
                <w:rStyle w:val="Hipercze"/>
                <w:rFonts w:ascii="Times New Roman" w:eastAsia="Times New Roman" w:hAnsi="Times New Roman" w:cs="Times New Roman"/>
                <w:color w:val="auto"/>
                <w:sz w:val="22"/>
                <w:szCs w:val="22"/>
                <w:u w:val="none"/>
              </w:rPr>
              <w:t>tel. 22 273 84 29</w:t>
            </w:r>
          </w:p>
        </w:tc>
        <w:tc>
          <w:tcPr>
            <w:tcW w:w="4316" w:type="dxa"/>
            <w:gridSpan w:val="12"/>
            <w:shd w:val="clear" w:color="auto" w:fill="FFFFFF"/>
          </w:tcPr>
          <w:p w14:paraId="0680FAA0" w14:textId="0CF25CE1" w:rsidR="00EC4C5C" w:rsidRPr="00FB23F3" w:rsidRDefault="00515863" w:rsidP="00851BA3">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sidRPr="00FB23F3">
              <w:rPr>
                <w:rFonts w:ascii="Times New Roman" w:eastAsia="Times New Roman" w:hAnsi="Times New Roman" w:cs="Times New Roman"/>
                <w:b/>
                <w:color w:val="000000"/>
                <w:sz w:val="22"/>
                <w:szCs w:val="22"/>
              </w:rPr>
              <w:t>Data sporządzenia</w:t>
            </w:r>
            <w:r w:rsidR="00225290">
              <w:rPr>
                <w:rFonts w:ascii="Times New Roman" w:eastAsia="Times New Roman" w:hAnsi="Times New Roman" w:cs="Times New Roman"/>
                <w:b/>
                <w:color w:val="000000"/>
                <w:sz w:val="22"/>
                <w:szCs w:val="22"/>
              </w:rPr>
              <w:t>:</w:t>
            </w:r>
            <w:r w:rsidRPr="00FB23F3">
              <w:rPr>
                <w:rFonts w:ascii="Times New Roman" w:eastAsia="Times New Roman" w:hAnsi="Times New Roman" w:cs="Times New Roman"/>
                <w:b/>
                <w:color w:val="000000"/>
                <w:sz w:val="22"/>
                <w:szCs w:val="22"/>
              </w:rPr>
              <w:br/>
            </w:r>
            <w:r w:rsidR="000D744F">
              <w:rPr>
                <w:rFonts w:ascii="Times New Roman" w:eastAsia="Times New Roman" w:hAnsi="Times New Roman" w:cs="Times New Roman"/>
                <w:color w:val="000000"/>
                <w:sz w:val="22"/>
                <w:szCs w:val="22"/>
              </w:rPr>
              <w:t>0</w:t>
            </w:r>
            <w:r w:rsidR="000D3383">
              <w:rPr>
                <w:rFonts w:ascii="Times New Roman" w:eastAsia="Times New Roman" w:hAnsi="Times New Roman" w:cs="Times New Roman"/>
                <w:color w:val="000000"/>
                <w:sz w:val="22"/>
                <w:szCs w:val="22"/>
              </w:rPr>
              <w:t>9</w:t>
            </w:r>
            <w:r w:rsidR="00257F8E">
              <w:rPr>
                <w:rFonts w:ascii="Times New Roman" w:eastAsia="Times New Roman" w:hAnsi="Times New Roman" w:cs="Times New Roman"/>
                <w:color w:val="000000"/>
                <w:sz w:val="22"/>
                <w:szCs w:val="22"/>
              </w:rPr>
              <w:t>.0</w:t>
            </w:r>
            <w:r w:rsidR="000D744F">
              <w:rPr>
                <w:rFonts w:ascii="Times New Roman" w:eastAsia="Times New Roman" w:hAnsi="Times New Roman" w:cs="Times New Roman"/>
                <w:color w:val="000000"/>
                <w:sz w:val="22"/>
                <w:szCs w:val="22"/>
              </w:rPr>
              <w:t>1</w:t>
            </w:r>
            <w:r w:rsidR="00D549BD" w:rsidRPr="00FB23F3">
              <w:rPr>
                <w:rFonts w:ascii="Times New Roman" w:eastAsia="Times New Roman" w:hAnsi="Times New Roman" w:cs="Times New Roman"/>
                <w:color w:val="000000"/>
                <w:sz w:val="22"/>
                <w:szCs w:val="22"/>
              </w:rPr>
              <w:t>.202</w:t>
            </w:r>
            <w:r w:rsidR="000D744F">
              <w:rPr>
                <w:rFonts w:ascii="Times New Roman" w:eastAsia="Times New Roman" w:hAnsi="Times New Roman" w:cs="Times New Roman"/>
                <w:color w:val="000000"/>
                <w:sz w:val="22"/>
                <w:szCs w:val="22"/>
              </w:rPr>
              <w:t>4</w:t>
            </w:r>
            <w:r w:rsidR="002E7E8C" w:rsidRPr="00FB23F3">
              <w:rPr>
                <w:rFonts w:ascii="Times New Roman" w:eastAsia="Times New Roman" w:hAnsi="Times New Roman" w:cs="Times New Roman"/>
                <w:color w:val="000000"/>
                <w:sz w:val="22"/>
                <w:szCs w:val="22"/>
              </w:rPr>
              <w:t xml:space="preserve"> r.</w:t>
            </w:r>
          </w:p>
          <w:p w14:paraId="76D270FF" w14:textId="77777777" w:rsidR="003811C7" w:rsidRDefault="00515863" w:rsidP="00851BA3">
            <w:pPr>
              <w:pBdr>
                <w:top w:val="nil"/>
                <w:left w:val="nil"/>
                <w:bottom w:val="nil"/>
                <w:right w:val="nil"/>
                <w:between w:val="nil"/>
              </w:pBdr>
              <w:spacing w:before="120" w:after="120"/>
              <w:rPr>
                <w:rFonts w:ascii="Times New Roman" w:eastAsia="Times New Roman" w:hAnsi="Times New Roman" w:cs="Times New Roman"/>
                <w:b/>
                <w:color w:val="000000"/>
                <w:sz w:val="22"/>
                <w:szCs w:val="22"/>
              </w:rPr>
            </w:pPr>
            <w:bookmarkStart w:id="2" w:name="bookmark=id.1fob9te" w:colFirst="0" w:colLast="0"/>
            <w:bookmarkEnd w:id="2"/>
            <w:r w:rsidRPr="00FB23F3">
              <w:rPr>
                <w:rFonts w:ascii="Times New Roman" w:eastAsia="Times New Roman" w:hAnsi="Times New Roman" w:cs="Times New Roman"/>
                <w:b/>
                <w:color w:val="000000"/>
                <w:sz w:val="22"/>
                <w:szCs w:val="22"/>
              </w:rPr>
              <w:t xml:space="preserve">Źródło: </w:t>
            </w:r>
          </w:p>
          <w:p w14:paraId="1D1B8F57" w14:textId="36F927EC" w:rsidR="00EC4C5C" w:rsidRPr="00FB23F3" w:rsidRDefault="00515863" w:rsidP="00851BA3">
            <w:pPr>
              <w:pBdr>
                <w:top w:val="nil"/>
                <w:left w:val="nil"/>
                <w:bottom w:val="nil"/>
                <w:right w:val="nil"/>
                <w:between w:val="nil"/>
              </w:pBdr>
              <w:spacing w:before="120" w:after="120"/>
              <w:rPr>
                <w:rFonts w:ascii="Times New Roman" w:eastAsia="Times New Roman" w:hAnsi="Times New Roman" w:cs="Times New Roman"/>
                <w:sz w:val="22"/>
                <w:szCs w:val="22"/>
              </w:rPr>
            </w:pPr>
            <w:r w:rsidRPr="00FB23F3">
              <w:rPr>
                <w:rFonts w:ascii="Times New Roman" w:eastAsia="Times New Roman" w:hAnsi="Times New Roman" w:cs="Times New Roman"/>
                <w:sz w:val="22"/>
                <w:szCs w:val="22"/>
              </w:rPr>
              <w:t xml:space="preserve">Dyrektywa Parlamentu Europejskiego i Rady (UE) 2019/882 z </w:t>
            </w:r>
            <w:r w:rsidR="00E362B9" w:rsidRPr="00FB23F3">
              <w:rPr>
                <w:rFonts w:ascii="Times New Roman" w:eastAsia="Times New Roman" w:hAnsi="Times New Roman" w:cs="Times New Roman"/>
                <w:sz w:val="22"/>
                <w:szCs w:val="22"/>
              </w:rPr>
              <w:t xml:space="preserve">dnia </w:t>
            </w:r>
            <w:r w:rsidRPr="00FB23F3">
              <w:rPr>
                <w:rFonts w:ascii="Times New Roman" w:eastAsia="Times New Roman" w:hAnsi="Times New Roman" w:cs="Times New Roman"/>
                <w:sz w:val="22"/>
                <w:szCs w:val="22"/>
              </w:rPr>
              <w:t>17 kwietnia 2019 r. w</w:t>
            </w:r>
            <w:r w:rsidR="00DD341B">
              <w:rPr>
                <w:rFonts w:ascii="Times New Roman" w:eastAsia="Times New Roman" w:hAnsi="Times New Roman" w:cs="Times New Roman"/>
                <w:sz w:val="22"/>
                <w:szCs w:val="22"/>
              </w:rPr>
              <w:t> </w:t>
            </w:r>
            <w:r w:rsidRPr="00FB23F3">
              <w:rPr>
                <w:rFonts w:ascii="Times New Roman" w:eastAsia="Times New Roman" w:hAnsi="Times New Roman" w:cs="Times New Roman"/>
                <w:sz w:val="22"/>
                <w:szCs w:val="22"/>
              </w:rPr>
              <w:t>sprawie wymogów dostępności produktów i usług</w:t>
            </w:r>
            <w:r w:rsidR="00E362B9" w:rsidRPr="00FB23F3">
              <w:rPr>
                <w:rFonts w:ascii="Times New Roman" w:eastAsia="Times New Roman" w:hAnsi="Times New Roman" w:cs="Times New Roman"/>
                <w:sz w:val="22"/>
                <w:szCs w:val="22"/>
              </w:rPr>
              <w:t xml:space="preserve"> (Dz. Urz. UE L 151 z 07.06.2019, str.</w:t>
            </w:r>
            <w:r w:rsidR="003811C7">
              <w:rPr>
                <w:rFonts w:ascii="Times New Roman" w:eastAsia="Times New Roman" w:hAnsi="Times New Roman" w:cs="Times New Roman"/>
                <w:sz w:val="22"/>
                <w:szCs w:val="22"/>
              </w:rPr>
              <w:t> </w:t>
            </w:r>
            <w:r w:rsidR="00E362B9" w:rsidRPr="00FB23F3">
              <w:rPr>
                <w:rFonts w:ascii="Times New Roman" w:eastAsia="Times New Roman" w:hAnsi="Times New Roman" w:cs="Times New Roman"/>
                <w:sz w:val="22"/>
                <w:szCs w:val="22"/>
              </w:rPr>
              <w:t>70)</w:t>
            </w:r>
          </w:p>
          <w:p w14:paraId="70881790" w14:textId="0508A3C3" w:rsidR="003811C7" w:rsidRDefault="00515863" w:rsidP="00851BA3">
            <w:pPr>
              <w:pBdr>
                <w:top w:val="nil"/>
                <w:left w:val="nil"/>
                <w:bottom w:val="nil"/>
                <w:right w:val="nil"/>
                <w:between w:val="nil"/>
              </w:pBdr>
              <w:spacing w:before="120" w:after="120"/>
              <w:rPr>
                <w:rFonts w:ascii="Times New Roman" w:eastAsia="Times New Roman" w:hAnsi="Times New Roman" w:cs="Times New Roman"/>
                <w:b/>
                <w:color w:val="000000"/>
                <w:sz w:val="22"/>
                <w:szCs w:val="22"/>
              </w:rPr>
            </w:pPr>
            <w:r w:rsidRPr="00FB23F3">
              <w:rPr>
                <w:rFonts w:ascii="Times New Roman" w:eastAsia="Times New Roman" w:hAnsi="Times New Roman" w:cs="Times New Roman"/>
                <w:b/>
                <w:color w:val="000000"/>
                <w:sz w:val="22"/>
                <w:szCs w:val="22"/>
              </w:rPr>
              <w:t xml:space="preserve">Nr w </w:t>
            </w:r>
            <w:r w:rsidR="00225290">
              <w:rPr>
                <w:rFonts w:ascii="Times New Roman" w:eastAsia="Times New Roman" w:hAnsi="Times New Roman" w:cs="Times New Roman"/>
                <w:b/>
                <w:color w:val="000000"/>
                <w:sz w:val="22"/>
                <w:szCs w:val="22"/>
              </w:rPr>
              <w:t>W</w:t>
            </w:r>
            <w:r w:rsidRPr="00FB23F3">
              <w:rPr>
                <w:rFonts w:ascii="Times New Roman" w:eastAsia="Times New Roman" w:hAnsi="Times New Roman" w:cs="Times New Roman"/>
                <w:b/>
                <w:color w:val="000000"/>
                <w:sz w:val="22"/>
                <w:szCs w:val="22"/>
              </w:rPr>
              <w:t>ykazie prac</w:t>
            </w:r>
            <w:r w:rsidR="00225290">
              <w:rPr>
                <w:rFonts w:ascii="Times New Roman" w:eastAsia="Times New Roman" w:hAnsi="Times New Roman" w:cs="Times New Roman"/>
                <w:b/>
                <w:color w:val="000000"/>
                <w:sz w:val="22"/>
                <w:szCs w:val="22"/>
              </w:rPr>
              <w:t xml:space="preserve"> legislacyjnych </w:t>
            </w:r>
            <w:r w:rsidR="003811C7">
              <w:rPr>
                <w:rFonts w:ascii="Times New Roman" w:eastAsia="Times New Roman" w:hAnsi="Times New Roman" w:cs="Times New Roman"/>
                <w:b/>
                <w:color w:val="000000"/>
                <w:sz w:val="22"/>
                <w:szCs w:val="22"/>
              </w:rPr>
              <w:t>i</w:t>
            </w:r>
            <w:r w:rsidR="00E10B38">
              <w:rPr>
                <w:rFonts w:ascii="Times New Roman" w:eastAsia="Times New Roman" w:hAnsi="Times New Roman" w:cs="Times New Roman"/>
                <w:b/>
                <w:color w:val="000000"/>
                <w:sz w:val="22"/>
                <w:szCs w:val="22"/>
              </w:rPr>
              <w:t> </w:t>
            </w:r>
            <w:r w:rsidR="003811C7">
              <w:rPr>
                <w:rFonts w:ascii="Times New Roman" w:eastAsia="Times New Roman" w:hAnsi="Times New Roman" w:cs="Times New Roman"/>
                <w:b/>
                <w:color w:val="000000"/>
                <w:sz w:val="22"/>
                <w:szCs w:val="22"/>
              </w:rPr>
              <w:t xml:space="preserve">programowych </w:t>
            </w:r>
            <w:r w:rsidR="00225290">
              <w:rPr>
                <w:rFonts w:ascii="Times New Roman" w:eastAsia="Times New Roman" w:hAnsi="Times New Roman" w:cs="Times New Roman"/>
                <w:b/>
                <w:color w:val="000000"/>
                <w:sz w:val="22"/>
                <w:szCs w:val="22"/>
              </w:rPr>
              <w:t xml:space="preserve">Rady Ministrów: </w:t>
            </w:r>
            <w:r w:rsidR="00284743">
              <w:rPr>
                <w:rFonts w:ascii="Times New Roman" w:eastAsia="Times New Roman" w:hAnsi="Times New Roman" w:cs="Times New Roman"/>
                <w:b/>
                <w:color w:val="000000"/>
                <w:sz w:val="22"/>
                <w:szCs w:val="22"/>
              </w:rPr>
              <w:t>UC4</w:t>
            </w:r>
          </w:p>
          <w:p w14:paraId="29494BD4" w14:textId="2F53BE87" w:rsidR="00EC4C5C" w:rsidRPr="00225290" w:rsidRDefault="00EC4C5C" w:rsidP="00851BA3">
            <w:pPr>
              <w:pBdr>
                <w:top w:val="nil"/>
                <w:left w:val="nil"/>
                <w:bottom w:val="nil"/>
                <w:right w:val="nil"/>
                <w:between w:val="nil"/>
              </w:pBdr>
              <w:spacing w:before="120" w:after="120"/>
              <w:rPr>
                <w:rFonts w:ascii="Times New Roman" w:eastAsia="Times New Roman" w:hAnsi="Times New Roman" w:cs="Times New Roman"/>
                <w:bCs/>
                <w:color w:val="000000"/>
                <w:sz w:val="22"/>
                <w:szCs w:val="22"/>
              </w:rPr>
            </w:pPr>
          </w:p>
          <w:p w14:paraId="7BEED430" w14:textId="77777777" w:rsidR="00EC4C5C" w:rsidRPr="00FB23F3" w:rsidRDefault="00EC4C5C">
            <w:pPr>
              <w:pBdr>
                <w:top w:val="nil"/>
                <w:left w:val="nil"/>
                <w:bottom w:val="nil"/>
                <w:right w:val="nil"/>
                <w:between w:val="nil"/>
              </w:pBdr>
              <w:rPr>
                <w:rFonts w:ascii="Times New Roman" w:eastAsia="Times New Roman" w:hAnsi="Times New Roman" w:cs="Times New Roman"/>
                <w:color w:val="000000"/>
                <w:sz w:val="22"/>
                <w:szCs w:val="22"/>
              </w:rPr>
            </w:pPr>
          </w:p>
          <w:p w14:paraId="144F1CEB" w14:textId="77777777" w:rsidR="00EC4C5C" w:rsidRPr="00FB23F3" w:rsidRDefault="00EC4C5C">
            <w:pPr>
              <w:pBdr>
                <w:top w:val="nil"/>
                <w:left w:val="nil"/>
                <w:bottom w:val="nil"/>
                <w:right w:val="nil"/>
                <w:between w:val="nil"/>
              </w:pBdr>
              <w:rPr>
                <w:rFonts w:ascii="Times New Roman" w:eastAsia="Times New Roman" w:hAnsi="Times New Roman" w:cs="Times New Roman"/>
                <w:color w:val="000000"/>
                <w:sz w:val="22"/>
                <w:szCs w:val="22"/>
              </w:rPr>
            </w:pPr>
          </w:p>
        </w:tc>
      </w:tr>
      <w:tr w:rsidR="00EC4C5C" w14:paraId="31B46EC8" w14:textId="77777777" w:rsidTr="00231F84">
        <w:trPr>
          <w:trHeight w:val="142"/>
        </w:trPr>
        <w:tc>
          <w:tcPr>
            <w:tcW w:w="10947" w:type="dxa"/>
            <w:gridSpan w:val="29"/>
            <w:shd w:val="clear" w:color="auto" w:fill="99CCFF"/>
          </w:tcPr>
          <w:p w14:paraId="553A1E97" w14:textId="77777777" w:rsidR="00EC4C5C" w:rsidRDefault="00515863">
            <w:pPr>
              <w:pBdr>
                <w:top w:val="nil"/>
                <w:left w:val="nil"/>
                <w:bottom w:val="nil"/>
                <w:right w:val="nil"/>
                <w:between w:val="nil"/>
              </w:pBdr>
              <w:ind w:left="57"/>
              <w:jc w:val="center"/>
              <w:rPr>
                <w:rFonts w:ascii="Times New Roman" w:eastAsia="Times New Roman" w:hAnsi="Times New Roman" w:cs="Times New Roman"/>
                <w:color w:val="FFFFFF"/>
                <w:sz w:val="32"/>
                <w:szCs w:val="32"/>
              </w:rPr>
            </w:pPr>
            <w:r>
              <w:rPr>
                <w:rFonts w:ascii="Times New Roman" w:eastAsia="Times New Roman" w:hAnsi="Times New Roman" w:cs="Times New Roman"/>
                <w:b/>
                <w:color w:val="FFFFFF"/>
                <w:sz w:val="32"/>
                <w:szCs w:val="32"/>
              </w:rPr>
              <w:t>OCENA SKUTKÓW REGULACJI</w:t>
            </w:r>
          </w:p>
        </w:tc>
      </w:tr>
      <w:tr w:rsidR="00EC4C5C" w14:paraId="225BA614" w14:textId="77777777" w:rsidTr="00231F84">
        <w:trPr>
          <w:trHeight w:val="333"/>
        </w:trPr>
        <w:tc>
          <w:tcPr>
            <w:tcW w:w="10947" w:type="dxa"/>
            <w:gridSpan w:val="29"/>
            <w:shd w:val="clear" w:color="auto" w:fill="99CCFF"/>
            <w:vAlign w:val="center"/>
          </w:tcPr>
          <w:p w14:paraId="720AC605" w14:textId="77777777" w:rsidR="00EC4C5C" w:rsidRDefault="00515863" w:rsidP="00231F84">
            <w:pPr>
              <w:numPr>
                <w:ilvl w:val="0"/>
                <w:numId w:val="2"/>
              </w:numPr>
              <w:pBdr>
                <w:top w:val="nil"/>
                <w:left w:val="nil"/>
                <w:bottom w:val="nil"/>
                <w:right w:val="nil"/>
                <w:between w:val="nil"/>
              </w:pBdr>
              <w:spacing w:before="120" w:after="120"/>
              <w:ind w:left="31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Jaki problem jest rozwiązywany</w:t>
            </w:r>
            <w:bookmarkStart w:id="3" w:name="bookmark=id.3znysh7" w:colFirst="0" w:colLast="0"/>
            <w:bookmarkEnd w:id="3"/>
            <w:r>
              <w:rPr>
                <w:rFonts w:ascii="Times New Roman" w:eastAsia="Times New Roman" w:hAnsi="Times New Roman" w:cs="Times New Roman"/>
                <w:b/>
                <w:color w:val="000000"/>
                <w:sz w:val="22"/>
                <w:szCs w:val="22"/>
              </w:rPr>
              <w:t>?</w:t>
            </w:r>
          </w:p>
        </w:tc>
      </w:tr>
      <w:tr w:rsidR="00EC4C5C" w14:paraId="3251A459" w14:textId="77777777" w:rsidTr="00231F84">
        <w:trPr>
          <w:trHeight w:val="142"/>
        </w:trPr>
        <w:tc>
          <w:tcPr>
            <w:tcW w:w="10947" w:type="dxa"/>
            <w:gridSpan w:val="29"/>
            <w:shd w:val="clear" w:color="auto" w:fill="FFFFFF"/>
          </w:tcPr>
          <w:p w14:paraId="30FF1546" w14:textId="64896CE2" w:rsidR="004B7ED4" w:rsidRDefault="00515863" w:rsidP="006B7E56">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Projekt ustawy </w:t>
            </w:r>
            <w:r w:rsidR="0096579D">
              <w:rPr>
                <w:rFonts w:ascii="Times New Roman" w:eastAsia="Times New Roman" w:hAnsi="Times New Roman" w:cs="Times New Roman"/>
                <w:sz w:val="22"/>
                <w:szCs w:val="22"/>
              </w:rPr>
              <w:t xml:space="preserve">o </w:t>
            </w:r>
            <w:r w:rsidR="006C0FA4" w:rsidRPr="001215BA">
              <w:rPr>
                <w:rFonts w:ascii="Times New Roman" w:hAnsi="Times New Roman" w:cs="Times New Roman"/>
                <w:sz w:val="22"/>
                <w:szCs w:val="22"/>
              </w:rPr>
              <w:t>zapewnianiu spełniania wym</w:t>
            </w:r>
            <w:r w:rsidR="00C12BD1">
              <w:rPr>
                <w:rFonts w:ascii="Times New Roman" w:hAnsi="Times New Roman" w:cs="Times New Roman"/>
                <w:sz w:val="22"/>
                <w:szCs w:val="22"/>
              </w:rPr>
              <w:t>agań</w:t>
            </w:r>
            <w:r w:rsidR="006C0FA4" w:rsidRPr="001215BA">
              <w:rPr>
                <w:rFonts w:ascii="Times New Roman" w:hAnsi="Times New Roman" w:cs="Times New Roman"/>
                <w:sz w:val="22"/>
                <w:szCs w:val="22"/>
              </w:rPr>
              <w:t xml:space="preserve"> dostępności niektórych produktów i usług przez podmioty gospodarcze</w:t>
            </w:r>
            <w:r w:rsidR="0096579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stanowi implementację dyrektywy Parlamentu Europejskiego i Rady (UE) 2019/882 z </w:t>
            </w:r>
            <w:r w:rsidR="00E362B9">
              <w:rPr>
                <w:rFonts w:ascii="Times New Roman" w:eastAsia="Times New Roman" w:hAnsi="Times New Roman" w:cs="Times New Roman"/>
                <w:sz w:val="22"/>
                <w:szCs w:val="22"/>
              </w:rPr>
              <w:t xml:space="preserve">dnia </w:t>
            </w:r>
            <w:r>
              <w:rPr>
                <w:rFonts w:ascii="Times New Roman" w:eastAsia="Times New Roman" w:hAnsi="Times New Roman" w:cs="Times New Roman"/>
                <w:sz w:val="22"/>
                <w:szCs w:val="22"/>
              </w:rPr>
              <w:t>17 kwietnia 2019</w:t>
            </w:r>
            <w:r w:rsidR="0015228A">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r. w sprawie wymogów dostępności produktów i usług (tzw. Europejski </w:t>
            </w:r>
            <w:r w:rsidR="0096579D">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kt o </w:t>
            </w:r>
            <w:r w:rsidR="0096579D">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ostępności, ang. </w:t>
            </w:r>
            <w:proofErr w:type="spellStart"/>
            <w:r>
              <w:rPr>
                <w:rFonts w:ascii="Times New Roman" w:eastAsia="Times New Roman" w:hAnsi="Times New Roman" w:cs="Times New Roman"/>
                <w:sz w:val="22"/>
                <w:szCs w:val="22"/>
              </w:rPr>
              <w:t>European</w:t>
            </w:r>
            <w:proofErr w:type="spellEnd"/>
            <w:r>
              <w:rPr>
                <w:rFonts w:ascii="Times New Roman" w:eastAsia="Times New Roman" w:hAnsi="Times New Roman" w:cs="Times New Roman"/>
                <w:sz w:val="22"/>
                <w:szCs w:val="22"/>
              </w:rPr>
              <w:t xml:space="preserve"> Accessibility </w:t>
            </w:r>
            <w:proofErr w:type="spellStart"/>
            <w:r>
              <w:rPr>
                <w:rFonts w:ascii="Times New Roman" w:eastAsia="Times New Roman" w:hAnsi="Times New Roman" w:cs="Times New Roman"/>
                <w:sz w:val="22"/>
                <w:szCs w:val="22"/>
              </w:rPr>
              <w:t>Act</w:t>
            </w:r>
            <w:proofErr w:type="spellEnd"/>
            <w:r>
              <w:rPr>
                <w:rFonts w:ascii="Times New Roman" w:eastAsia="Times New Roman" w:hAnsi="Times New Roman" w:cs="Times New Roman"/>
                <w:sz w:val="22"/>
                <w:szCs w:val="22"/>
              </w:rPr>
              <w:t>), zwanej dalej „dyrektywą 2019/882”</w:t>
            </w:r>
            <w:r w:rsidR="005848F4">
              <w:rPr>
                <w:rFonts w:ascii="Times New Roman" w:eastAsia="Times New Roman" w:hAnsi="Times New Roman" w:cs="Times New Roman"/>
                <w:sz w:val="22"/>
                <w:szCs w:val="22"/>
              </w:rPr>
              <w:t>. G</w:t>
            </w:r>
            <w:r>
              <w:rPr>
                <w:rFonts w:ascii="Times New Roman" w:eastAsia="Times New Roman" w:hAnsi="Times New Roman" w:cs="Times New Roman"/>
                <w:sz w:val="22"/>
                <w:szCs w:val="22"/>
              </w:rPr>
              <w:t>łównym celem</w:t>
            </w:r>
            <w:r w:rsidR="005848F4">
              <w:rPr>
                <w:rFonts w:ascii="Times New Roman" w:eastAsia="Times New Roman" w:hAnsi="Times New Roman" w:cs="Times New Roman"/>
                <w:sz w:val="22"/>
                <w:szCs w:val="22"/>
              </w:rPr>
              <w:t xml:space="preserve"> dyrektywy</w:t>
            </w:r>
            <w:r w:rsidR="00862427">
              <w:rPr>
                <w:rFonts w:ascii="Times New Roman" w:eastAsia="Times New Roman" w:hAnsi="Times New Roman" w:cs="Times New Roman"/>
                <w:sz w:val="22"/>
                <w:szCs w:val="22"/>
              </w:rPr>
              <w:t xml:space="preserve"> 2019/882 </w:t>
            </w:r>
            <w:r>
              <w:rPr>
                <w:rFonts w:ascii="Times New Roman" w:eastAsia="Times New Roman" w:hAnsi="Times New Roman" w:cs="Times New Roman"/>
                <w:sz w:val="22"/>
                <w:szCs w:val="22"/>
              </w:rPr>
              <w:t xml:space="preserve">jest zapewnienie większej dostępności </w:t>
            </w:r>
            <w:r w:rsidR="00482DBC">
              <w:rPr>
                <w:rFonts w:ascii="Times New Roman" w:eastAsia="Times New Roman" w:hAnsi="Times New Roman" w:cs="Times New Roman"/>
                <w:sz w:val="22"/>
                <w:szCs w:val="22"/>
              </w:rPr>
              <w:t>niektórych</w:t>
            </w:r>
            <w:r>
              <w:rPr>
                <w:rFonts w:ascii="Times New Roman" w:eastAsia="Times New Roman" w:hAnsi="Times New Roman" w:cs="Times New Roman"/>
                <w:sz w:val="22"/>
                <w:szCs w:val="22"/>
              </w:rPr>
              <w:t xml:space="preserve"> produktów i usług w oparciu o wspólne dla wszystkich państw członkowskich </w:t>
            </w:r>
            <w:r w:rsidRPr="004B7ED4">
              <w:rPr>
                <w:rFonts w:ascii="Times New Roman" w:eastAsia="Times New Roman" w:hAnsi="Times New Roman" w:cs="Times New Roman"/>
                <w:sz w:val="22"/>
                <w:szCs w:val="22"/>
              </w:rPr>
              <w:t>U</w:t>
            </w:r>
            <w:r w:rsidR="002979DF">
              <w:rPr>
                <w:rFonts w:ascii="Times New Roman" w:eastAsia="Times New Roman" w:hAnsi="Times New Roman" w:cs="Times New Roman"/>
                <w:sz w:val="22"/>
                <w:szCs w:val="22"/>
              </w:rPr>
              <w:t xml:space="preserve">nii </w:t>
            </w:r>
            <w:r w:rsidRPr="004B7ED4">
              <w:rPr>
                <w:rFonts w:ascii="Times New Roman" w:eastAsia="Times New Roman" w:hAnsi="Times New Roman" w:cs="Times New Roman"/>
                <w:sz w:val="22"/>
                <w:szCs w:val="22"/>
              </w:rPr>
              <w:t>E</w:t>
            </w:r>
            <w:r w:rsidR="002979DF">
              <w:rPr>
                <w:rFonts w:ascii="Times New Roman" w:eastAsia="Times New Roman" w:hAnsi="Times New Roman" w:cs="Times New Roman"/>
                <w:sz w:val="22"/>
                <w:szCs w:val="22"/>
              </w:rPr>
              <w:t>uropejskiej</w:t>
            </w:r>
            <w:r w:rsidR="005F5ECA">
              <w:rPr>
                <w:rFonts w:ascii="Times New Roman" w:eastAsia="Times New Roman" w:hAnsi="Times New Roman" w:cs="Times New Roman"/>
                <w:sz w:val="22"/>
                <w:szCs w:val="22"/>
              </w:rPr>
              <w:t xml:space="preserve"> (UE)</w:t>
            </w:r>
            <w:r w:rsidR="008127D0">
              <w:rPr>
                <w:rFonts w:ascii="Times New Roman" w:eastAsia="Times New Roman" w:hAnsi="Times New Roman" w:cs="Times New Roman"/>
                <w:sz w:val="22"/>
                <w:szCs w:val="22"/>
              </w:rPr>
              <w:t xml:space="preserve"> </w:t>
            </w:r>
            <w:r w:rsidRPr="004B7ED4">
              <w:rPr>
                <w:rFonts w:ascii="Times New Roman" w:eastAsia="Times New Roman" w:hAnsi="Times New Roman" w:cs="Times New Roman"/>
                <w:sz w:val="22"/>
                <w:szCs w:val="22"/>
              </w:rPr>
              <w:t>wym</w:t>
            </w:r>
            <w:r w:rsidR="00C12BD1">
              <w:rPr>
                <w:rFonts w:ascii="Times New Roman" w:eastAsia="Times New Roman" w:hAnsi="Times New Roman" w:cs="Times New Roman"/>
                <w:sz w:val="22"/>
                <w:szCs w:val="22"/>
              </w:rPr>
              <w:t>aga</w:t>
            </w:r>
            <w:r w:rsidR="00596E06">
              <w:rPr>
                <w:rFonts w:ascii="Times New Roman" w:eastAsia="Times New Roman" w:hAnsi="Times New Roman" w:cs="Times New Roman"/>
                <w:sz w:val="22"/>
                <w:szCs w:val="22"/>
              </w:rPr>
              <w:t>nia</w:t>
            </w:r>
            <w:r w:rsidRPr="004B7ED4">
              <w:rPr>
                <w:rFonts w:ascii="Times New Roman" w:eastAsia="Times New Roman" w:hAnsi="Times New Roman" w:cs="Times New Roman"/>
                <w:sz w:val="22"/>
                <w:szCs w:val="22"/>
              </w:rPr>
              <w:t xml:space="preserve"> dostępności dla osób </w:t>
            </w:r>
            <w:r w:rsidR="004B7ED4">
              <w:rPr>
                <w:rFonts w:ascii="Times New Roman" w:eastAsia="Times New Roman" w:hAnsi="Times New Roman" w:cs="Times New Roman"/>
                <w:sz w:val="22"/>
                <w:szCs w:val="22"/>
              </w:rPr>
              <w:t xml:space="preserve">z niepełnosprawnościami oraz osób </w:t>
            </w:r>
            <w:r w:rsidRPr="004B7ED4">
              <w:rPr>
                <w:rFonts w:ascii="Times New Roman" w:eastAsia="Times New Roman" w:hAnsi="Times New Roman" w:cs="Times New Roman"/>
                <w:sz w:val="22"/>
                <w:szCs w:val="22"/>
              </w:rPr>
              <w:t>z</w:t>
            </w:r>
            <w:r w:rsidR="00C47FB9" w:rsidRPr="004B7ED4">
              <w:rPr>
                <w:rFonts w:ascii="Times New Roman" w:eastAsia="Times New Roman" w:hAnsi="Times New Roman" w:cs="Times New Roman"/>
                <w:sz w:val="22"/>
                <w:szCs w:val="22"/>
              </w:rPr>
              <w:t xml:space="preserve"> ograniczeniami funkcjonalnymi</w:t>
            </w:r>
            <w:r w:rsidR="004B7ED4">
              <w:rPr>
                <w:rFonts w:ascii="Times New Roman" w:eastAsia="Times New Roman" w:hAnsi="Times New Roman" w:cs="Times New Roman"/>
                <w:sz w:val="22"/>
                <w:szCs w:val="22"/>
              </w:rPr>
              <w:t>.</w:t>
            </w:r>
          </w:p>
          <w:p w14:paraId="44DFE743" w14:textId="63A9406E" w:rsidR="004B7ED4" w:rsidRDefault="002C50C3" w:rsidP="006B7E56">
            <w:pPr>
              <w:pBdr>
                <w:top w:val="nil"/>
                <w:left w:val="nil"/>
                <w:bottom w:val="nil"/>
                <w:right w:val="nil"/>
                <w:between w:val="nil"/>
              </w:pBdr>
              <w:spacing w:before="120" w:after="120"/>
              <w:jc w:val="both"/>
              <w:rPr>
                <w:rFonts w:ascii="Times New Roman" w:hAnsi="Times New Roman" w:cs="Times New Roman"/>
                <w:sz w:val="22"/>
                <w:szCs w:val="22"/>
              </w:rPr>
            </w:pPr>
            <w:r w:rsidRPr="00FB2419">
              <w:rPr>
                <w:rFonts w:ascii="Times New Roman" w:eastAsia="Times New Roman" w:hAnsi="Times New Roman" w:cs="Times New Roman"/>
                <w:sz w:val="22"/>
                <w:szCs w:val="22"/>
              </w:rPr>
              <w:t>D</w:t>
            </w:r>
            <w:r w:rsidR="00A46E2D" w:rsidRPr="00FB2419">
              <w:rPr>
                <w:rFonts w:ascii="Times New Roman" w:eastAsia="Times New Roman" w:hAnsi="Times New Roman" w:cs="Times New Roman"/>
                <w:sz w:val="22"/>
                <w:szCs w:val="22"/>
              </w:rPr>
              <w:t>yrektyw</w:t>
            </w:r>
            <w:r w:rsidRPr="00FB2419">
              <w:rPr>
                <w:rFonts w:ascii="Times New Roman" w:eastAsia="Times New Roman" w:hAnsi="Times New Roman" w:cs="Times New Roman"/>
                <w:sz w:val="22"/>
                <w:szCs w:val="22"/>
              </w:rPr>
              <w:t>a</w:t>
            </w:r>
            <w:r w:rsidR="00A46E2D" w:rsidRPr="00FB2419">
              <w:rPr>
                <w:rFonts w:ascii="Times New Roman" w:eastAsia="Times New Roman" w:hAnsi="Times New Roman" w:cs="Times New Roman"/>
                <w:sz w:val="22"/>
                <w:szCs w:val="22"/>
              </w:rPr>
              <w:t xml:space="preserve"> 2019/882 </w:t>
            </w:r>
            <w:r w:rsidRPr="00FB2419">
              <w:rPr>
                <w:rFonts w:ascii="Times New Roman" w:eastAsia="Times New Roman" w:hAnsi="Times New Roman" w:cs="Times New Roman"/>
                <w:sz w:val="22"/>
                <w:szCs w:val="22"/>
              </w:rPr>
              <w:t xml:space="preserve">definiuje pojęcie osoby z niepełnosprawnością </w:t>
            </w:r>
            <w:r w:rsidR="00644F7C" w:rsidRPr="00FB2419">
              <w:rPr>
                <w:rFonts w:ascii="Times New Roman" w:hAnsi="Times New Roman" w:cs="Times New Roman"/>
                <w:sz w:val="22"/>
                <w:szCs w:val="22"/>
              </w:rPr>
              <w:t>zgodnie z Konwencją o prawach osób niepełnosprawnych</w:t>
            </w:r>
            <w:r w:rsidR="00A920B6">
              <w:rPr>
                <w:rFonts w:ascii="Times New Roman" w:hAnsi="Times New Roman" w:cs="Times New Roman"/>
                <w:sz w:val="22"/>
                <w:szCs w:val="22"/>
              </w:rPr>
              <w:t>,</w:t>
            </w:r>
            <w:r w:rsidR="00644F7C" w:rsidRPr="00FB2419">
              <w:rPr>
                <w:rFonts w:ascii="Times New Roman" w:hAnsi="Times New Roman" w:cs="Times New Roman"/>
                <w:sz w:val="22"/>
                <w:szCs w:val="22"/>
              </w:rPr>
              <w:t xml:space="preserve"> </w:t>
            </w:r>
            <w:r w:rsidR="004F0ECC">
              <w:rPr>
                <w:rFonts w:ascii="Times New Roman" w:eastAsia="Times New Roman" w:hAnsi="Times New Roman" w:cs="Times New Roman"/>
                <w:sz w:val="22"/>
                <w:szCs w:val="22"/>
              </w:rPr>
              <w:t>sporządzoną w Nowym Jorku dnia 13 grudnia 2006 r. (Dz. U. z 2012 r. poz. 1169</w:t>
            </w:r>
            <w:r w:rsidR="0019176E">
              <w:rPr>
                <w:rFonts w:ascii="Times New Roman" w:eastAsia="Times New Roman" w:hAnsi="Times New Roman" w:cs="Times New Roman"/>
                <w:sz w:val="22"/>
                <w:szCs w:val="22"/>
              </w:rPr>
              <w:t xml:space="preserve"> oraz z 2018 r. poz. 1217)</w:t>
            </w:r>
            <w:r w:rsidR="004F0ECC">
              <w:rPr>
                <w:rFonts w:ascii="Times New Roman" w:hAnsi="Times New Roman" w:cs="Times New Roman"/>
                <w:sz w:val="22"/>
                <w:szCs w:val="22"/>
              </w:rPr>
              <w:t xml:space="preserve">, </w:t>
            </w:r>
            <w:r w:rsidR="00644F7C" w:rsidRPr="004F0ECC">
              <w:rPr>
                <w:rFonts w:ascii="Times New Roman" w:hAnsi="Times New Roman" w:cs="Times New Roman"/>
                <w:sz w:val="22"/>
                <w:szCs w:val="22"/>
              </w:rPr>
              <w:t>zwaną dalej „Konwencją”</w:t>
            </w:r>
            <w:r w:rsidR="00A46E2D" w:rsidRPr="004B7ED4">
              <w:rPr>
                <w:rFonts w:ascii="Times New Roman" w:hAnsi="Times New Roman" w:cs="Times New Roman"/>
                <w:sz w:val="22"/>
                <w:szCs w:val="22"/>
              </w:rPr>
              <w:t xml:space="preserve">. </w:t>
            </w:r>
            <w:r w:rsidRPr="004B7ED4">
              <w:rPr>
                <w:rFonts w:ascii="Times New Roman" w:hAnsi="Times New Roman" w:cs="Times New Roman"/>
                <w:sz w:val="22"/>
                <w:szCs w:val="22"/>
              </w:rPr>
              <w:t>Zgodnie z konwencyjną definicją „osoby niepełnosprawne” to osoby, które mają długotrwale naruszoną sprawność fizyczną, psychiczną, intelektualną lub w zakresie zmysłów</w:t>
            </w:r>
            <w:r w:rsidR="00862427">
              <w:rPr>
                <w:rFonts w:ascii="Times New Roman" w:hAnsi="Times New Roman" w:cs="Times New Roman"/>
                <w:sz w:val="22"/>
                <w:szCs w:val="22"/>
              </w:rPr>
              <w:t>,</w:t>
            </w:r>
            <w:r w:rsidRPr="004B7ED4">
              <w:rPr>
                <w:rFonts w:ascii="Times New Roman" w:hAnsi="Times New Roman" w:cs="Times New Roman"/>
                <w:sz w:val="22"/>
                <w:szCs w:val="22"/>
              </w:rPr>
              <w:t xml:space="preserve"> co może, </w:t>
            </w:r>
            <w:r w:rsidR="005F5ECA">
              <w:rPr>
                <w:rFonts w:ascii="Times New Roman" w:hAnsi="Times New Roman" w:cs="Times New Roman"/>
                <w:sz w:val="22"/>
                <w:szCs w:val="22"/>
              </w:rPr>
              <w:br/>
            </w:r>
            <w:r w:rsidRPr="004B7ED4">
              <w:rPr>
                <w:rFonts w:ascii="Times New Roman" w:hAnsi="Times New Roman" w:cs="Times New Roman"/>
                <w:sz w:val="22"/>
                <w:szCs w:val="22"/>
              </w:rPr>
              <w:t xml:space="preserve">w oddziaływaniu z różnymi barierami, utrudniać im pełny i skuteczny udział w życiu społecznym na zasadzie równości </w:t>
            </w:r>
            <w:r w:rsidR="005F5ECA">
              <w:rPr>
                <w:rFonts w:ascii="Times New Roman" w:hAnsi="Times New Roman" w:cs="Times New Roman"/>
                <w:sz w:val="22"/>
                <w:szCs w:val="22"/>
              </w:rPr>
              <w:br/>
            </w:r>
            <w:r w:rsidRPr="004B7ED4">
              <w:rPr>
                <w:rFonts w:ascii="Times New Roman" w:hAnsi="Times New Roman" w:cs="Times New Roman"/>
                <w:sz w:val="22"/>
                <w:szCs w:val="22"/>
              </w:rPr>
              <w:t>z innymi osobami.</w:t>
            </w:r>
          </w:p>
          <w:p w14:paraId="5CB7BE18" w14:textId="6C260597" w:rsidR="006B7E56" w:rsidRPr="008F3DA0" w:rsidRDefault="002C50C3" w:rsidP="008F3DA0">
            <w:pPr>
              <w:pBdr>
                <w:top w:val="nil"/>
                <w:left w:val="nil"/>
                <w:bottom w:val="nil"/>
                <w:right w:val="nil"/>
                <w:between w:val="nil"/>
              </w:pBdr>
              <w:spacing w:before="120" w:after="120"/>
              <w:jc w:val="both"/>
              <w:rPr>
                <w:rFonts w:ascii="Times New Roman" w:hAnsi="Times New Roman" w:cs="Times New Roman"/>
                <w:sz w:val="22"/>
                <w:szCs w:val="22"/>
              </w:rPr>
            </w:pPr>
            <w:r w:rsidRPr="004B7ED4">
              <w:rPr>
                <w:rFonts w:ascii="Times New Roman" w:hAnsi="Times New Roman" w:cs="Times New Roman"/>
                <w:sz w:val="22"/>
                <w:szCs w:val="22"/>
              </w:rPr>
              <w:t>Jednocześnie p</w:t>
            </w:r>
            <w:r w:rsidR="00A46E2D" w:rsidRPr="004B7ED4">
              <w:rPr>
                <w:rFonts w:ascii="Times New Roman" w:hAnsi="Times New Roman" w:cs="Times New Roman"/>
                <w:sz w:val="22"/>
                <w:szCs w:val="22"/>
              </w:rPr>
              <w:t>rzepisy dyrektywy 2019/882</w:t>
            </w:r>
            <w:r w:rsidR="004B7ED4">
              <w:rPr>
                <w:rFonts w:ascii="Times New Roman" w:hAnsi="Times New Roman" w:cs="Times New Roman"/>
                <w:sz w:val="22"/>
                <w:szCs w:val="22"/>
              </w:rPr>
              <w:t xml:space="preserve"> dotyczą</w:t>
            </w:r>
            <w:r w:rsidR="00A46E2D" w:rsidRPr="004B7ED4">
              <w:rPr>
                <w:rFonts w:ascii="Times New Roman" w:hAnsi="Times New Roman" w:cs="Times New Roman"/>
                <w:sz w:val="22"/>
                <w:szCs w:val="22"/>
              </w:rPr>
              <w:t xml:space="preserve"> również innych osób, które doświadczają ograniczeń funkcjonalnych, takich jak osoby starsze, kobiety w ciąży czy osoby podróżujące z bagażem</w:t>
            </w:r>
            <w:r w:rsidR="00A46E2D" w:rsidRPr="004B7ED4">
              <w:rPr>
                <w:rFonts w:ascii="Times New Roman" w:eastAsia="Times New Roman" w:hAnsi="Times New Roman" w:cs="Times New Roman"/>
                <w:sz w:val="22"/>
                <w:szCs w:val="22"/>
              </w:rPr>
              <w:t xml:space="preserve">. Pojęcie </w:t>
            </w:r>
            <w:r w:rsidR="006B7E56" w:rsidRPr="004B7ED4">
              <w:rPr>
                <w:rFonts w:ascii="Times New Roman" w:eastAsia="Times New Roman" w:hAnsi="Times New Roman" w:cs="Times New Roman"/>
                <w:sz w:val="22"/>
                <w:szCs w:val="22"/>
              </w:rPr>
              <w:t xml:space="preserve">„osób </w:t>
            </w:r>
            <w:r w:rsidR="005F5ECA">
              <w:rPr>
                <w:rFonts w:ascii="Times New Roman" w:eastAsia="Times New Roman" w:hAnsi="Times New Roman" w:cs="Times New Roman"/>
                <w:sz w:val="22"/>
                <w:szCs w:val="22"/>
              </w:rPr>
              <w:br/>
            </w:r>
            <w:r w:rsidR="006B7E56" w:rsidRPr="004B7ED4">
              <w:rPr>
                <w:rFonts w:ascii="Times New Roman" w:eastAsia="Times New Roman" w:hAnsi="Times New Roman" w:cs="Times New Roman"/>
                <w:sz w:val="22"/>
                <w:szCs w:val="22"/>
              </w:rPr>
              <w:t xml:space="preserve">z ograniczeniami funkcjonalnymi” obejmuje </w:t>
            </w:r>
            <w:r w:rsidR="006B7E56" w:rsidRPr="004B7ED4">
              <w:rPr>
                <w:rFonts w:ascii="Times New Roman" w:hAnsi="Times New Roman" w:cs="Times New Roman"/>
                <w:sz w:val="22"/>
                <w:szCs w:val="22"/>
              </w:rPr>
              <w:t xml:space="preserve">osoby, </w:t>
            </w:r>
            <w:r w:rsidR="005F3A29" w:rsidRPr="004B7ED4">
              <w:rPr>
                <w:rFonts w:ascii="Times New Roman" w:hAnsi="Times New Roman" w:cs="Times New Roman"/>
                <w:sz w:val="22"/>
                <w:szCs w:val="22"/>
              </w:rPr>
              <w:t>które</w:t>
            </w:r>
            <w:r w:rsidR="005F3A29" w:rsidRPr="008F3DA0">
              <w:rPr>
                <w:rFonts w:ascii="Times New Roman" w:hAnsi="Times New Roman" w:cs="Times New Roman"/>
                <w:sz w:val="22"/>
                <w:szCs w:val="22"/>
              </w:rPr>
              <w:t xml:space="preserve"> mają</w:t>
            </w:r>
            <w:r w:rsidR="006B7E56" w:rsidRPr="008F3DA0">
              <w:rPr>
                <w:rFonts w:ascii="Times New Roman" w:hAnsi="Times New Roman" w:cs="Times New Roman"/>
                <w:sz w:val="22"/>
                <w:szCs w:val="22"/>
              </w:rPr>
              <w:t xml:space="preserve"> naruszoną sprawność fizyczną, psychiczną, intelektualną lub w zakresie zmysłów</w:t>
            </w:r>
            <w:r w:rsidR="00644F7C" w:rsidRPr="008F3DA0">
              <w:rPr>
                <w:rFonts w:ascii="Times New Roman" w:hAnsi="Times New Roman" w:cs="Times New Roman"/>
                <w:sz w:val="22"/>
                <w:szCs w:val="22"/>
              </w:rPr>
              <w:t>,</w:t>
            </w:r>
            <w:r w:rsidR="00904776">
              <w:rPr>
                <w:rFonts w:ascii="Times New Roman" w:hAnsi="Times New Roman" w:cs="Times New Roman"/>
                <w:sz w:val="22"/>
                <w:szCs w:val="22"/>
              </w:rPr>
              <w:t xml:space="preserve"> a także</w:t>
            </w:r>
            <w:r w:rsidR="006B7E56" w:rsidRPr="008F3DA0">
              <w:rPr>
                <w:rFonts w:ascii="Times New Roman" w:hAnsi="Times New Roman" w:cs="Times New Roman"/>
                <w:sz w:val="22"/>
                <w:szCs w:val="22"/>
              </w:rPr>
              <w:t xml:space="preserve"> </w:t>
            </w:r>
            <w:r w:rsidR="002D1CD9" w:rsidRPr="008F3DA0">
              <w:rPr>
                <w:rFonts w:ascii="Times New Roman" w:hAnsi="Times New Roman" w:cs="Times New Roman"/>
                <w:sz w:val="22"/>
                <w:szCs w:val="22"/>
              </w:rPr>
              <w:t>osoby, które</w:t>
            </w:r>
            <w:r w:rsidR="00067382">
              <w:rPr>
                <w:rFonts w:ascii="Times New Roman" w:hAnsi="Times New Roman" w:cs="Times New Roman"/>
                <w:sz w:val="22"/>
                <w:szCs w:val="22"/>
              </w:rPr>
              <w:t xml:space="preserve"> </w:t>
            </w:r>
            <w:r w:rsidR="006B7E56" w:rsidRPr="008F3DA0">
              <w:rPr>
                <w:rFonts w:ascii="Times New Roman" w:hAnsi="Times New Roman" w:cs="Times New Roman"/>
                <w:sz w:val="22"/>
                <w:szCs w:val="22"/>
              </w:rPr>
              <w:t xml:space="preserve">doświadczają naruszenia sprawności wynikającego z wieku lub z innych przyczyn związanych z niepełną sprawnością </w:t>
            </w:r>
            <w:r w:rsidR="008004F2" w:rsidRPr="008F3DA0">
              <w:rPr>
                <w:rFonts w:ascii="Times New Roman" w:hAnsi="Times New Roman" w:cs="Times New Roman"/>
                <w:sz w:val="22"/>
                <w:szCs w:val="22"/>
              </w:rPr>
              <w:t xml:space="preserve">w sposób trwały lub czasowy, </w:t>
            </w:r>
            <w:r w:rsidR="006B7E56" w:rsidRPr="008F3DA0">
              <w:rPr>
                <w:rFonts w:ascii="Times New Roman" w:hAnsi="Times New Roman" w:cs="Times New Roman"/>
                <w:sz w:val="22"/>
                <w:szCs w:val="22"/>
              </w:rPr>
              <w:t>które to naruszenia sprawności mogą, w</w:t>
            </w:r>
            <w:r w:rsidR="00DD341B">
              <w:rPr>
                <w:rFonts w:ascii="Times New Roman" w:hAnsi="Times New Roman" w:cs="Times New Roman"/>
                <w:sz w:val="22"/>
                <w:szCs w:val="22"/>
              </w:rPr>
              <w:t> </w:t>
            </w:r>
            <w:r w:rsidR="006B7E56" w:rsidRPr="008F3DA0">
              <w:rPr>
                <w:rFonts w:ascii="Times New Roman" w:hAnsi="Times New Roman" w:cs="Times New Roman"/>
                <w:sz w:val="22"/>
                <w:szCs w:val="22"/>
              </w:rPr>
              <w:t>oddziaływaniu z różnymi barierami, zmniejszać dostęp takich osób do produktów i usług, co z kolei prowadzi do sytuacji wymagającej dostosowań tych produktów i usług do szczególnych potrzeb takich osób.</w:t>
            </w:r>
          </w:p>
          <w:p w14:paraId="100486DF" w14:textId="542E355B" w:rsidR="00EC4C5C" w:rsidRPr="003A59B0" w:rsidRDefault="006B7E56" w:rsidP="005E4822">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gruncie </w:t>
            </w:r>
            <w:r w:rsidR="004B7ED4">
              <w:rPr>
                <w:rFonts w:ascii="Times New Roman" w:eastAsia="Times New Roman" w:hAnsi="Times New Roman" w:cs="Times New Roman"/>
                <w:sz w:val="22"/>
                <w:szCs w:val="22"/>
              </w:rPr>
              <w:t xml:space="preserve">projektowanej ustawy </w:t>
            </w:r>
            <w:r w:rsidR="004F0ECC">
              <w:rPr>
                <w:rFonts w:ascii="Times New Roman" w:eastAsia="Times New Roman" w:hAnsi="Times New Roman" w:cs="Times New Roman"/>
                <w:sz w:val="22"/>
                <w:szCs w:val="22"/>
              </w:rPr>
              <w:t>wdrażającej dyrektywę 2019/882</w:t>
            </w:r>
            <w:r w:rsidR="00087D96">
              <w:rPr>
                <w:rFonts w:ascii="Times New Roman" w:eastAsia="Times New Roman" w:hAnsi="Times New Roman" w:cs="Times New Roman"/>
                <w:sz w:val="22"/>
                <w:szCs w:val="22"/>
              </w:rPr>
              <w:t xml:space="preserve"> </w:t>
            </w:r>
            <w:r w:rsidR="00DE728A">
              <w:rPr>
                <w:rFonts w:ascii="Times New Roman" w:eastAsia="Times New Roman" w:hAnsi="Times New Roman" w:cs="Times New Roman"/>
                <w:sz w:val="22"/>
                <w:szCs w:val="22"/>
              </w:rPr>
              <w:t>dla określenia</w:t>
            </w:r>
            <w:r w:rsidR="004F0ECC">
              <w:rPr>
                <w:rFonts w:ascii="Times New Roman" w:eastAsia="Times New Roman" w:hAnsi="Times New Roman" w:cs="Times New Roman"/>
                <w:sz w:val="22"/>
                <w:szCs w:val="22"/>
              </w:rPr>
              <w:t xml:space="preserve"> zarówno</w:t>
            </w:r>
            <w:r w:rsidR="00DE728A">
              <w:rPr>
                <w:rFonts w:ascii="Times New Roman" w:eastAsia="Times New Roman" w:hAnsi="Times New Roman" w:cs="Times New Roman"/>
                <w:sz w:val="22"/>
                <w:szCs w:val="22"/>
              </w:rPr>
              <w:t xml:space="preserve"> osób </w:t>
            </w:r>
            <w:r w:rsidR="005F5ECA">
              <w:rPr>
                <w:rFonts w:ascii="Times New Roman" w:eastAsia="Times New Roman" w:hAnsi="Times New Roman" w:cs="Times New Roman"/>
                <w:sz w:val="22"/>
                <w:szCs w:val="22"/>
              </w:rPr>
              <w:br/>
            </w:r>
            <w:r w:rsidR="00DE728A">
              <w:rPr>
                <w:rFonts w:ascii="Times New Roman" w:eastAsia="Times New Roman" w:hAnsi="Times New Roman" w:cs="Times New Roman"/>
                <w:sz w:val="22"/>
                <w:szCs w:val="22"/>
              </w:rPr>
              <w:t>z</w:t>
            </w:r>
            <w:r w:rsidR="004B7ED4">
              <w:rPr>
                <w:rFonts w:ascii="Times New Roman" w:eastAsia="Times New Roman" w:hAnsi="Times New Roman" w:cs="Times New Roman"/>
                <w:sz w:val="22"/>
                <w:szCs w:val="22"/>
              </w:rPr>
              <w:t xml:space="preserve"> niepełnosprawnościami</w:t>
            </w:r>
            <w:r w:rsidR="009E4537">
              <w:rPr>
                <w:rFonts w:ascii="Times New Roman" w:eastAsia="Times New Roman" w:hAnsi="Times New Roman" w:cs="Times New Roman"/>
                <w:sz w:val="22"/>
                <w:szCs w:val="22"/>
              </w:rPr>
              <w:t>, jak</w:t>
            </w:r>
            <w:r w:rsidR="004B7ED4">
              <w:rPr>
                <w:rFonts w:ascii="Times New Roman" w:eastAsia="Times New Roman" w:hAnsi="Times New Roman" w:cs="Times New Roman"/>
                <w:sz w:val="22"/>
                <w:szCs w:val="22"/>
              </w:rPr>
              <w:t xml:space="preserve"> i osób z</w:t>
            </w:r>
            <w:r w:rsidR="00DE728A">
              <w:rPr>
                <w:rFonts w:ascii="Times New Roman" w:eastAsia="Times New Roman" w:hAnsi="Times New Roman" w:cs="Times New Roman"/>
                <w:sz w:val="22"/>
                <w:szCs w:val="22"/>
              </w:rPr>
              <w:t xml:space="preserve"> ograniczeniami funkcjonalnymi</w:t>
            </w:r>
            <w:r w:rsidR="009E4537">
              <w:rPr>
                <w:rFonts w:ascii="Times New Roman" w:eastAsia="Times New Roman" w:hAnsi="Times New Roman" w:cs="Times New Roman"/>
                <w:sz w:val="22"/>
                <w:szCs w:val="22"/>
              </w:rPr>
              <w:t>,</w:t>
            </w:r>
            <w:r w:rsidR="00DE728A">
              <w:rPr>
                <w:rFonts w:ascii="Times New Roman" w:eastAsia="Times New Roman" w:hAnsi="Times New Roman" w:cs="Times New Roman"/>
                <w:sz w:val="22"/>
                <w:szCs w:val="22"/>
              </w:rPr>
              <w:t xml:space="preserve"> </w:t>
            </w:r>
            <w:r w:rsidR="00862427">
              <w:rPr>
                <w:rFonts w:ascii="Times New Roman" w:eastAsia="Times New Roman" w:hAnsi="Times New Roman" w:cs="Times New Roman"/>
                <w:sz w:val="22"/>
                <w:szCs w:val="22"/>
              </w:rPr>
              <w:t xml:space="preserve">jest </w:t>
            </w:r>
            <w:r w:rsidR="00087D96">
              <w:rPr>
                <w:rFonts w:ascii="Times New Roman" w:eastAsia="Times New Roman" w:hAnsi="Times New Roman" w:cs="Times New Roman"/>
                <w:sz w:val="22"/>
                <w:szCs w:val="22"/>
              </w:rPr>
              <w:t xml:space="preserve">stosowany </w:t>
            </w:r>
            <w:r w:rsidR="00DE728A">
              <w:rPr>
                <w:rFonts w:ascii="Times New Roman" w:eastAsia="Times New Roman" w:hAnsi="Times New Roman" w:cs="Times New Roman"/>
                <w:sz w:val="22"/>
                <w:szCs w:val="22"/>
              </w:rPr>
              <w:t>termin</w:t>
            </w:r>
            <w:r w:rsidR="00CD4F94">
              <w:rPr>
                <w:rFonts w:ascii="Times New Roman" w:eastAsia="Times New Roman" w:hAnsi="Times New Roman" w:cs="Times New Roman"/>
                <w:sz w:val="22"/>
                <w:szCs w:val="22"/>
              </w:rPr>
              <w:t xml:space="preserve"> „osoby ze szczególnymi potrzebami” wprowadzony w ustawie z dnia </w:t>
            </w:r>
            <w:r w:rsidR="00CD4F94" w:rsidRPr="00CD4F94">
              <w:rPr>
                <w:rFonts w:ascii="Times New Roman" w:eastAsia="Times New Roman" w:hAnsi="Times New Roman" w:cs="Times New Roman"/>
                <w:sz w:val="22"/>
                <w:szCs w:val="22"/>
              </w:rPr>
              <w:t>19</w:t>
            </w:r>
            <w:r w:rsidR="00CD4F94">
              <w:rPr>
                <w:rFonts w:ascii="Times New Roman" w:eastAsia="Times New Roman" w:hAnsi="Times New Roman" w:cs="Times New Roman"/>
                <w:sz w:val="22"/>
                <w:szCs w:val="22"/>
              </w:rPr>
              <w:t xml:space="preserve"> </w:t>
            </w:r>
            <w:r w:rsidR="00CD4F94" w:rsidRPr="00CD4F94">
              <w:rPr>
                <w:rFonts w:ascii="Times New Roman" w:eastAsia="Times New Roman" w:hAnsi="Times New Roman" w:cs="Times New Roman"/>
                <w:sz w:val="22"/>
                <w:szCs w:val="22"/>
              </w:rPr>
              <w:t>lipca</w:t>
            </w:r>
            <w:r w:rsidR="00CD4F94">
              <w:rPr>
                <w:rFonts w:ascii="Times New Roman" w:eastAsia="Times New Roman" w:hAnsi="Times New Roman" w:cs="Times New Roman"/>
                <w:sz w:val="22"/>
                <w:szCs w:val="22"/>
              </w:rPr>
              <w:t xml:space="preserve"> </w:t>
            </w:r>
            <w:r w:rsidR="00CD4F94" w:rsidRPr="00CD4F94">
              <w:rPr>
                <w:rFonts w:ascii="Times New Roman" w:eastAsia="Times New Roman" w:hAnsi="Times New Roman" w:cs="Times New Roman"/>
                <w:sz w:val="22"/>
                <w:szCs w:val="22"/>
              </w:rPr>
              <w:t>2019</w:t>
            </w:r>
            <w:r w:rsidR="0015228A">
              <w:rPr>
                <w:rFonts w:ascii="Times New Roman" w:eastAsia="Times New Roman" w:hAnsi="Times New Roman" w:cs="Times New Roman"/>
                <w:sz w:val="22"/>
                <w:szCs w:val="22"/>
              </w:rPr>
              <w:t> </w:t>
            </w:r>
            <w:r w:rsidR="0096579D">
              <w:rPr>
                <w:rFonts w:ascii="Times New Roman" w:eastAsia="Times New Roman" w:hAnsi="Times New Roman" w:cs="Times New Roman"/>
                <w:sz w:val="22"/>
                <w:szCs w:val="22"/>
              </w:rPr>
              <w:t>r.</w:t>
            </w:r>
            <w:r w:rsidR="00CD4F94" w:rsidRPr="00CD4F94">
              <w:rPr>
                <w:rFonts w:ascii="Times New Roman" w:eastAsia="Times New Roman" w:hAnsi="Times New Roman" w:cs="Times New Roman"/>
                <w:sz w:val="22"/>
                <w:szCs w:val="22"/>
              </w:rPr>
              <w:t xml:space="preserve"> o zapewni</w:t>
            </w:r>
            <w:r w:rsidR="0096579D">
              <w:rPr>
                <w:rFonts w:ascii="Times New Roman" w:eastAsia="Times New Roman" w:hAnsi="Times New Roman" w:cs="Times New Roman"/>
                <w:sz w:val="22"/>
                <w:szCs w:val="22"/>
              </w:rPr>
              <w:t>a</w:t>
            </w:r>
            <w:r w:rsidR="00CD4F94" w:rsidRPr="00CD4F94">
              <w:rPr>
                <w:rFonts w:ascii="Times New Roman" w:eastAsia="Times New Roman" w:hAnsi="Times New Roman" w:cs="Times New Roman"/>
                <w:sz w:val="22"/>
                <w:szCs w:val="22"/>
              </w:rPr>
              <w:t>niu dostępności os</w:t>
            </w:r>
            <w:r w:rsidR="0096579D">
              <w:rPr>
                <w:rFonts w:ascii="Times New Roman" w:eastAsia="Times New Roman" w:hAnsi="Times New Roman" w:cs="Times New Roman"/>
                <w:sz w:val="22"/>
                <w:szCs w:val="22"/>
              </w:rPr>
              <w:t>obom</w:t>
            </w:r>
            <w:r w:rsidR="00CD4F94" w:rsidRPr="00CD4F94">
              <w:rPr>
                <w:rFonts w:ascii="Times New Roman" w:eastAsia="Times New Roman" w:hAnsi="Times New Roman" w:cs="Times New Roman"/>
                <w:sz w:val="22"/>
                <w:szCs w:val="22"/>
              </w:rPr>
              <w:t xml:space="preserve"> ze szczególnymi potrzebami</w:t>
            </w:r>
            <w:r w:rsidR="0096579D">
              <w:rPr>
                <w:rFonts w:ascii="Times New Roman" w:eastAsia="Times New Roman" w:hAnsi="Times New Roman" w:cs="Times New Roman"/>
                <w:sz w:val="22"/>
                <w:szCs w:val="22"/>
              </w:rPr>
              <w:t xml:space="preserve"> (Dz. U. z 202</w:t>
            </w:r>
            <w:r w:rsidR="00503426">
              <w:rPr>
                <w:rFonts w:ascii="Times New Roman" w:eastAsia="Times New Roman" w:hAnsi="Times New Roman" w:cs="Times New Roman"/>
                <w:sz w:val="22"/>
                <w:szCs w:val="22"/>
              </w:rPr>
              <w:t>2</w:t>
            </w:r>
            <w:r w:rsidR="0096579D">
              <w:rPr>
                <w:rFonts w:ascii="Times New Roman" w:eastAsia="Times New Roman" w:hAnsi="Times New Roman" w:cs="Times New Roman"/>
                <w:sz w:val="22"/>
                <w:szCs w:val="22"/>
              </w:rPr>
              <w:t xml:space="preserve"> r. poz. </w:t>
            </w:r>
            <w:r w:rsidR="00503426">
              <w:rPr>
                <w:rFonts w:ascii="Times New Roman" w:eastAsia="Times New Roman" w:hAnsi="Times New Roman" w:cs="Times New Roman"/>
                <w:sz w:val="22"/>
                <w:szCs w:val="22"/>
              </w:rPr>
              <w:t>2240</w:t>
            </w:r>
            <w:r w:rsidR="0096579D">
              <w:rPr>
                <w:rFonts w:ascii="Times New Roman" w:eastAsia="Times New Roman" w:hAnsi="Times New Roman" w:cs="Times New Roman"/>
                <w:sz w:val="22"/>
                <w:szCs w:val="22"/>
              </w:rPr>
              <w:t>)</w:t>
            </w:r>
            <w:r w:rsidR="00CD4F94">
              <w:rPr>
                <w:rFonts w:ascii="Times New Roman" w:eastAsia="Times New Roman" w:hAnsi="Times New Roman" w:cs="Times New Roman"/>
                <w:sz w:val="22"/>
                <w:szCs w:val="22"/>
              </w:rPr>
              <w:t>.</w:t>
            </w:r>
            <w:r w:rsidR="00CD4F94">
              <w:t xml:space="preserve"> </w:t>
            </w:r>
            <w:r w:rsidR="00CD4F94" w:rsidRPr="00CD4F94">
              <w:rPr>
                <w:rFonts w:ascii="Times New Roman" w:eastAsia="Times New Roman" w:hAnsi="Times New Roman" w:cs="Times New Roman"/>
                <w:sz w:val="22"/>
                <w:szCs w:val="22"/>
              </w:rPr>
              <w:t>Osoby ze szczególnymi potrzebami to takie, które ze względu na swoje cechy</w:t>
            </w:r>
            <w:r w:rsidR="0096579D">
              <w:rPr>
                <w:rFonts w:ascii="Times New Roman" w:eastAsia="Times New Roman" w:hAnsi="Times New Roman" w:cs="Times New Roman"/>
                <w:sz w:val="22"/>
                <w:szCs w:val="22"/>
              </w:rPr>
              <w:t xml:space="preserve"> zewnętrzne lub wewnętrzne</w:t>
            </w:r>
            <w:r w:rsidR="00CD4F94" w:rsidRPr="00CD4F94">
              <w:rPr>
                <w:rFonts w:ascii="Times New Roman" w:eastAsia="Times New Roman" w:hAnsi="Times New Roman" w:cs="Times New Roman"/>
                <w:sz w:val="22"/>
                <w:szCs w:val="22"/>
              </w:rPr>
              <w:t xml:space="preserve"> albo </w:t>
            </w:r>
            <w:r w:rsidR="0096579D">
              <w:rPr>
                <w:rFonts w:ascii="Times New Roman" w:eastAsia="Times New Roman" w:hAnsi="Times New Roman" w:cs="Times New Roman"/>
                <w:sz w:val="22"/>
                <w:szCs w:val="22"/>
              </w:rPr>
              <w:t xml:space="preserve">ze względu na </w:t>
            </w:r>
            <w:r w:rsidR="00CD4F94" w:rsidRPr="00CD4F94">
              <w:rPr>
                <w:rFonts w:ascii="Times New Roman" w:eastAsia="Times New Roman" w:hAnsi="Times New Roman" w:cs="Times New Roman"/>
                <w:sz w:val="22"/>
                <w:szCs w:val="22"/>
              </w:rPr>
              <w:t xml:space="preserve">okoliczności, w których się znajdują, muszą podjąć dodatkowe działania </w:t>
            </w:r>
            <w:r w:rsidR="0096579D">
              <w:rPr>
                <w:rFonts w:ascii="Times New Roman" w:eastAsia="Times New Roman" w:hAnsi="Times New Roman" w:cs="Times New Roman"/>
                <w:sz w:val="22"/>
                <w:szCs w:val="22"/>
              </w:rPr>
              <w:lastRenderedPageBreak/>
              <w:t xml:space="preserve">lub zastosować dodatkowe środki </w:t>
            </w:r>
            <w:r w:rsidR="00CD4F94" w:rsidRPr="00CD4F94">
              <w:rPr>
                <w:rFonts w:ascii="Times New Roman" w:eastAsia="Times New Roman" w:hAnsi="Times New Roman" w:cs="Times New Roman"/>
                <w:sz w:val="22"/>
                <w:szCs w:val="22"/>
              </w:rPr>
              <w:t>w celu przezwyciężenia barier</w:t>
            </w:r>
            <w:r w:rsidR="0096579D">
              <w:rPr>
                <w:rFonts w:ascii="Times New Roman" w:eastAsia="Times New Roman" w:hAnsi="Times New Roman" w:cs="Times New Roman"/>
                <w:sz w:val="22"/>
                <w:szCs w:val="22"/>
              </w:rPr>
              <w:t>, aby uczestniczyć</w:t>
            </w:r>
            <w:r w:rsidR="00CD4F94" w:rsidRPr="00CD4F94">
              <w:rPr>
                <w:rFonts w:ascii="Times New Roman" w:eastAsia="Times New Roman" w:hAnsi="Times New Roman" w:cs="Times New Roman"/>
                <w:sz w:val="22"/>
                <w:szCs w:val="22"/>
              </w:rPr>
              <w:t xml:space="preserve"> w różnych sferach życia na </w:t>
            </w:r>
            <w:r w:rsidR="0096579D">
              <w:rPr>
                <w:rFonts w:ascii="Times New Roman" w:eastAsia="Times New Roman" w:hAnsi="Times New Roman" w:cs="Times New Roman"/>
                <w:sz w:val="22"/>
                <w:szCs w:val="22"/>
              </w:rPr>
              <w:t xml:space="preserve">zasadzie równości </w:t>
            </w:r>
            <w:r w:rsidR="00CD4F94" w:rsidRPr="00CD4F94">
              <w:rPr>
                <w:rFonts w:ascii="Times New Roman" w:eastAsia="Times New Roman" w:hAnsi="Times New Roman" w:cs="Times New Roman"/>
                <w:sz w:val="22"/>
                <w:szCs w:val="22"/>
              </w:rPr>
              <w:t>z innymi osobami.</w:t>
            </w:r>
            <w:r w:rsidR="00F93A45">
              <w:rPr>
                <w:rFonts w:ascii="Times New Roman" w:eastAsia="Times New Roman" w:hAnsi="Times New Roman" w:cs="Times New Roman"/>
                <w:sz w:val="22"/>
                <w:szCs w:val="22"/>
              </w:rPr>
              <w:t xml:space="preserve"> </w:t>
            </w:r>
            <w:r w:rsidR="004F0ECC">
              <w:rPr>
                <w:rFonts w:ascii="Times New Roman" w:eastAsia="Times New Roman" w:hAnsi="Times New Roman" w:cs="Times New Roman"/>
                <w:sz w:val="22"/>
                <w:szCs w:val="22"/>
              </w:rPr>
              <w:t>Pojęcie to będzie zatem obejmowało zarówno</w:t>
            </w:r>
            <w:r w:rsidR="005F5ECA">
              <w:rPr>
                <w:rFonts w:ascii="Times New Roman" w:eastAsia="Times New Roman" w:hAnsi="Times New Roman" w:cs="Times New Roman"/>
                <w:sz w:val="22"/>
                <w:szCs w:val="22"/>
              </w:rPr>
              <w:t xml:space="preserve"> </w:t>
            </w:r>
            <w:r w:rsidR="00E90D95">
              <w:rPr>
                <w:rFonts w:ascii="Times New Roman" w:eastAsia="Times New Roman" w:hAnsi="Times New Roman" w:cs="Times New Roman"/>
                <w:sz w:val="22"/>
                <w:szCs w:val="22"/>
              </w:rPr>
              <w:t>o</w:t>
            </w:r>
            <w:r w:rsidR="003A59B0">
              <w:rPr>
                <w:rFonts w:ascii="Times New Roman" w:eastAsia="Times New Roman" w:hAnsi="Times New Roman" w:cs="Times New Roman"/>
                <w:sz w:val="22"/>
                <w:szCs w:val="22"/>
              </w:rPr>
              <w:t>soby z niepełnosprawnościami</w:t>
            </w:r>
            <w:r w:rsidR="004F0ECC">
              <w:rPr>
                <w:rFonts w:ascii="Times New Roman" w:eastAsia="Times New Roman" w:hAnsi="Times New Roman" w:cs="Times New Roman"/>
                <w:sz w:val="22"/>
                <w:szCs w:val="22"/>
              </w:rPr>
              <w:t>, jak</w:t>
            </w:r>
            <w:r w:rsidR="00F93A45">
              <w:rPr>
                <w:rFonts w:ascii="Times New Roman" w:eastAsia="Times New Roman" w:hAnsi="Times New Roman" w:cs="Times New Roman"/>
                <w:sz w:val="22"/>
                <w:szCs w:val="22"/>
              </w:rPr>
              <w:t xml:space="preserve"> i </w:t>
            </w:r>
            <w:r w:rsidR="003A59B0">
              <w:rPr>
                <w:rFonts w:ascii="Times New Roman" w:eastAsia="Times New Roman" w:hAnsi="Times New Roman" w:cs="Times New Roman"/>
                <w:sz w:val="22"/>
                <w:szCs w:val="22"/>
              </w:rPr>
              <w:t>osoby starsze</w:t>
            </w:r>
            <w:r w:rsidR="004F0ECC">
              <w:rPr>
                <w:rFonts w:ascii="Times New Roman" w:eastAsia="Times New Roman" w:hAnsi="Times New Roman" w:cs="Times New Roman"/>
                <w:sz w:val="22"/>
                <w:szCs w:val="22"/>
              </w:rPr>
              <w:t>, kobiety w ciąży czy osob</w:t>
            </w:r>
            <w:r w:rsidR="00862427">
              <w:rPr>
                <w:rFonts w:ascii="Times New Roman" w:eastAsia="Times New Roman" w:hAnsi="Times New Roman" w:cs="Times New Roman"/>
                <w:sz w:val="22"/>
                <w:szCs w:val="22"/>
              </w:rPr>
              <w:t>y</w:t>
            </w:r>
            <w:r w:rsidR="004F0ECC">
              <w:rPr>
                <w:rFonts w:ascii="Times New Roman" w:eastAsia="Times New Roman" w:hAnsi="Times New Roman" w:cs="Times New Roman"/>
                <w:sz w:val="22"/>
                <w:szCs w:val="22"/>
              </w:rPr>
              <w:t xml:space="preserve"> podróżując</w:t>
            </w:r>
            <w:r w:rsidR="00862427">
              <w:rPr>
                <w:rFonts w:ascii="Times New Roman" w:eastAsia="Times New Roman" w:hAnsi="Times New Roman" w:cs="Times New Roman"/>
                <w:sz w:val="22"/>
                <w:szCs w:val="22"/>
              </w:rPr>
              <w:t>e</w:t>
            </w:r>
            <w:r w:rsidR="004F0ECC">
              <w:rPr>
                <w:rFonts w:ascii="Times New Roman" w:eastAsia="Times New Roman" w:hAnsi="Times New Roman" w:cs="Times New Roman"/>
                <w:sz w:val="22"/>
                <w:szCs w:val="22"/>
              </w:rPr>
              <w:t xml:space="preserve"> z małymi dziećmi</w:t>
            </w:r>
            <w:r w:rsidR="003A59B0">
              <w:rPr>
                <w:rFonts w:ascii="Times New Roman" w:eastAsia="Times New Roman" w:hAnsi="Times New Roman" w:cs="Times New Roman"/>
                <w:sz w:val="22"/>
                <w:szCs w:val="22"/>
              </w:rPr>
              <w:t>.</w:t>
            </w:r>
          </w:p>
          <w:p w14:paraId="18B6DEEC" w14:textId="77777777" w:rsidR="00EC4C5C" w:rsidRDefault="00515863" w:rsidP="003C56B8">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Wym</w:t>
            </w:r>
            <w:r w:rsidR="00C12BD1">
              <w:rPr>
                <w:rFonts w:ascii="Times New Roman" w:eastAsia="Times New Roman" w:hAnsi="Times New Roman" w:cs="Times New Roman"/>
                <w:sz w:val="22"/>
                <w:szCs w:val="22"/>
              </w:rPr>
              <w:t>agania</w:t>
            </w:r>
            <w:r>
              <w:rPr>
                <w:rFonts w:ascii="Times New Roman" w:eastAsia="Times New Roman" w:hAnsi="Times New Roman" w:cs="Times New Roman"/>
                <w:sz w:val="22"/>
                <w:szCs w:val="22"/>
              </w:rPr>
              <w:t xml:space="preserve"> dotyczące dostępności zawarte w projekcie ustawy zapewniają możliwość dostępu do produktów i usług maksymalnie dużej liczbie osób bez względu na ich ewentualne</w:t>
            </w:r>
            <w:r w:rsidR="0096579D">
              <w:rPr>
                <w:rFonts w:ascii="Times New Roman" w:eastAsia="Times New Roman" w:hAnsi="Times New Roman" w:cs="Times New Roman"/>
                <w:sz w:val="22"/>
                <w:szCs w:val="22"/>
              </w:rPr>
              <w:t xml:space="preserve"> szczególne </w:t>
            </w:r>
            <w:r w:rsidR="00DD2FAD">
              <w:rPr>
                <w:rFonts w:ascii="Times New Roman" w:eastAsia="Times New Roman" w:hAnsi="Times New Roman" w:cs="Times New Roman"/>
                <w:sz w:val="22"/>
                <w:szCs w:val="22"/>
              </w:rPr>
              <w:t>potrzeby</w:t>
            </w:r>
            <w:r w:rsidR="00033BB9">
              <w:rPr>
                <w:rFonts w:ascii="Times New Roman" w:eastAsia="Times New Roman" w:hAnsi="Times New Roman" w:cs="Times New Roman"/>
                <w:sz w:val="22"/>
                <w:szCs w:val="22"/>
              </w:rPr>
              <w:t xml:space="preserve">, </w:t>
            </w:r>
            <w:r w:rsidR="006A3FF1">
              <w:rPr>
                <w:rFonts w:ascii="Times New Roman" w:eastAsia="Times New Roman" w:hAnsi="Times New Roman" w:cs="Times New Roman"/>
                <w:sz w:val="22"/>
                <w:szCs w:val="22"/>
              </w:rPr>
              <w:t>w tym</w:t>
            </w:r>
            <w:r w:rsidR="00033BB9">
              <w:rPr>
                <w:rFonts w:ascii="Times New Roman" w:eastAsia="Times New Roman" w:hAnsi="Times New Roman" w:cs="Times New Roman"/>
                <w:sz w:val="22"/>
                <w:szCs w:val="22"/>
              </w:rPr>
              <w:t xml:space="preserve"> niepełnosp</w:t>
            </w:r>
            <w:r w:rsidR="00392E0B">
              <w:rPr>
                <w:rFonts w:ascii="Times New Roman" w:eastAsia="Times New Roman" w:hAnsi="Times New Roman" w:cs="Times New Roman"/>
                <w:sz w:val="22"/>
                <w:szCs w:val="22"/>
              </w:rPr>
              <w:t>r</w:t>
            </w:r>
            <w:r w:rsidR="00033BB9">
              <w:rPr>
                <w:rFonts w:ascii="Times New Roman" w:eastAsia="Times New Roman" w:hAnsi="Times New Roman" w:cs="Times New Roman"/>
                <w:sz w:val="22"/>
                <w:szCs w:val="22"/>
              </w:rPr>
              <w:t>a</w:t>
            </w:r>
            <w:r w:rsidR="00392E0B">
              <w:rPr>
                <w:rFonts w:ascii="Times New Roman" w:eastAsia="Times New Roman" w:hAnsi="Times New Roman" w:cs="Times New Roman"/>
                <w:sz w:val="22"/>
                <w:szCs w:val="22"/>
              </w:rPr>
              <w:t>wność.</w:t>
            </w:r>
          </w:p>
          <w:p w14:paraId="3A92C945" w14:textId="77777777" w:rsidR="004E52EE" w:rsidRDefault="00542BBA" w:rsidP="003C56B8">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Jednocześnie i</w:t>
            </w:r>
            <w:r w:rsidR="004E52EE">
              <w:rPr>
                <w:rFonts w:ascii="Times New Roman" w:eastAsia="Times New Roman" w:hAnsi="Times New Roman" w:cs="Times New Roman"/>
                <w:sz w:val="22"/>
                <w:szCs w:val="22"/>
              </w:rPr>
              <w:t xml:space="preserve">mplementowana dyrektywa 2019/882 jest jednym z narzędzi prawnych wspierających wdrożenie Konwencji. </w:t>
            </w:r>
            <w:r w:rsidR="00070A8B">
              <w:rPr>
                <w:rFonts w:ascii="Times New Roman" w:eastAsia="Times New Roman" w:hAnsi="Times New Roman" w:cs="Times New Roman"/>
                <w:sz w:val="22"/>
                <w:szCs w:val="22"/>
              </w:rPr>
              <w:t>W imieniu UE K</w:t>
            </w:r>
            <w:r w:rsidR="004E52EE" w:rsidRPr="004E52EE">
              <w:rPr>
                <w:rFonts w:ascii="Times New Roman" w:eastAsia="Times New Roman" w:hAnsi="Times New Roman" w:cs="Times New Roman"/>
                <w:sz w:val="22"/>
                <w:szCs w:val="22"/>
              </w:rPr>
              <w:t>onwencję podp</w:t>
            </w:r>
            <w:r w:rsidR="004E52EE">
              <w:rPr>
                <w:rFonts w:ascii="Times New Roman" w:eastAsia="Times New Roman" w:hAnsi="Times New Roman" w:cs="Times New Roman"/>
                <w:sz w:val="22"/>
                <w:szCs w:val="22"/>
              </w:rPr>
              <w:t>isano w dniu 30 marca 2007</w:t>
            </w:r>
            <w:r w:rsidR="0015228A">
              <w:rPr>
                <w:rFonts w:ascii="Times New Roman" w:eastAsia="Times New Roman" w:hAnsi="Times New Roman" w:cs="Times New Roman"/>
                <w:sz w:val="22"/>
                <w:szCs w:val="22"/>
              </w:rPr>
              <w:t> </w:t>
            </w:r>
            <w:r w:rsidR="004E52EE">
              <w:rPr>
                <w:rFonts w:ascii="Times New Roman" w:eastAsia="Times New Roman" w:hAnsi="Times New Roman" w:cs="Times New Roman"/>
                <w:sz w:val="22"/>
                <w:szCs w:val="22"/>
              </w:rPr>
              <w:t xml:space="preserve">r., a jej ratyfikacja nastąpiła </w:t>
            </w:r>
            <w:r w:rsidR="0096579D">
              <w:rPr>
                <w:rFonts w:ascii="Times New Roman" w:eastAsia="Times New Roman" w:hAnsi="Times New Roman" w:cs="Times New Roman"/>
                <w:sz w:val="22"/>
                <w:szCs w:val="22"/>
              </w:rPr>
              <w:t xml:space="preserve">w </w:t>
            </w:r>
            <w:r w:rsidR="004E52EE">
              <w:rPr>
                <w:rFonts w:ascii="Times New Roman" w:eastAsia="Times New Roman" w:hAnsi="Times New Roman" w:cs="Times New Roman"/>
                <w:sz w:val="22"/>
                <w:szCs w:val="22"/>
              </w:rPr>
              <w:t>2010</w:t>
            </w:r>
            <w:r w:rsidR="0015228A">
              <w:rPr>
                <w:rFonts w:ascii="Times New Roman" w:eastAsia="Times New Roman" w:hAnsi="Times New Roman" w:cs="Times New Roman"/>
                <w:sz w:val="22"/>
                <w:szCs w:val="22"/>
              </w:rPr>
              <w:t> </w:t>
            </w:r>
            <w:r w:rsidR="004E52EE">
              <w:rPr>
                <w:rFonts w:ascii="Times New Roman" w:eastAsia="Times New Roman" w:hAnsi="Times New Roman" w:cs="Times New Roman"/>
                <w:sz w:val="22"/>
                <w:szCs w:val="22"/>
              </w:rPr>
              <w:t>r.</w:t>
            </w:r>
            <w:r w:rsidR="004E52EE" w:rsidRPr="004E52EE">
              <w:rPr>
                <w:rFonts w:ascii="Times New Roman" w:eastAsia="Times New Roman" w:hAnsi="Times New Roman" w:cs="Times New Roman"/>
                <w:sz w:val="22"/>
                <w:szCs w:val="22"/>
              </w:rPr>
              <w:t xml:space="preserve"> </w:t>
            </w:r>
            <w:r w:rsidR="0096579D">
              <w:rPr>
                <w:rFonts w:ascii="Times New Roman" w:eastAsia="Times New Roman" w:hAnsi="Times New Roman" w:cs="Times New Roman"/>
                <w:sz w:val="22"/>
                <w:szCs w:val="22"/>
              </w:rPr>
              <w:t xml:space="preserve">UE jest stroną Konwencji od dnia 21 stycznia 2011 r. </w:t>
            </w:r>
            <w:r w:rsidR="004E52EE">
              <w:rPr>
                <w:rFonts w:ascii="Times New Roman" w:eastAsia="Times New Roman" w:hAnsi="Times New Roman" w:cs="Times New Roman"/>
                <w:sz w:val="22"/>
                <w:szCs w:val="22"/>
              </w:rPr>
              <w:t xml:space="preserve">Również </w:t>
            </w:r>
            <w:r w:rsidR="004E52EE" w:rsidRPr="004E52EE">
              <w:rPr>
                <w:rFonts w:ascii="Times New Roman" w:eastAsia="Times New Roman" w:hAnsi="Times New Roman" w:cs="Times New Roman"/>
                <w:sz w:val="22"/>
                <w:szCs w:val="22"/>
              </w:rPr>
              <w:t>wszystkie państwa członkowskie UE podpisały i ratyfikowały Konwencję</w:t>
            </w:r>
            <w:r w:rsidR="004E52EE">
              <w:rPr>
                <w:rFonts w:ascii="Times New Roman" w:eastAsia="Times New Roman" w:hAnsi="Times New Roman" w:cs="Times New Roman"/>
                <w:sz w:val="22"/>
                <w:szCs w:val="22"/>
              </w:rPr>
              <w:t>.</w:t>
            </w:r>
          </w:p>
          <w:p w14:paraId="2C40251F" w14:textId="261A0A23" w:rsidR="00EC4C5C" w:rsidRDefault="004E52EE" w:rsidP="00DD15A9">
            <w:pPr>
              <w:pBdr>
                <w:top w:val="nil"/>
                <w:left w:val="nil"/>
                <w:bottom w:val="nil"/>
                <w:right w:val="nil"/>
                <w:between w:val="nil"/>
              </w:pBd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Konwencja </w:t>
            </w:r>
            <w:r w:rsidR="00F52A19">
              <w:rPr>
                <w:rFonts w:ascii="Times New Roman" w:eastAsia="Times New Roman" w:hAnsi="Times New Roman" w:cs="Times New Roman"/>
                <w:sz w:val="22"/>
                <w:szCs w:val="22"/>
              </w:rPr>
              <w:t xml:space="preserve">zobowiązuje </w:t>
            </w:r>
            <w:r w:rsidR="00862427">
              <w:rPr>
                <w:rFonts w:ascii="Times New Roman" w:eastAsia="Times New Roman" w:hAnsi="Times New Roman" w:cs="Times New Roman"/>
                <w:sz w:val="22"/>
                <w:szCs w:val="22"/>
              </w:rPr>
              <w:t>P</w:t>
            </w:r>
            <w:r w:rsidR="00F52A19">
              <w:rPr>
                <w:rFonts w:ascii="Times New Roman" w:eastAsia="Times New Roman" w:hAnsi="Times New Roman" w:cs="Times New Roman"/>
                <w:sz w:val="22"/>
                <w:szCs w:val="22"/>
              </w:rPr>
              <w:t>aństwa-</w:t>
            </w:r>
            <w:r w:rsidR="00862427">
              <w:rPr>
                <w:rFonts w:ascii="Times New Roman" w:eastAsia="Times New Roman" w:hAnsi="Times New Roman" w:cs="Times New Roman"/>
                <w:sz w:val="22"/>
                <w:szCs w:val="22"/>
              </w:rPr>
              <w:t>S</w:t>
            </w:r>
            <w:r w:rsidR="00F52A19">
              <w:rPr>
                <w:rFonts w:ascii="Times New Roman" w:eastAsia="Times New Roman" w:hAnsi="Times New Roman" w:cs="Times New Roman"/>
                <w:sz w:val="22"/>
                <w:szCs w:val="22"/>
              </w:rPr>
              <w:t>tron</w:t>
            </w:r>
            <w:r w:rsidR="00515863">
              <w:rPr>
                <w:rFonts w:ascii="Times New Roman" w:eastAsia="Times New Roman" w:hAnsi="Times New Roman" w:cs="Times New Roman"/>
                <w:sz w:val="22"/>
                <w:szCs w:val="22"/>
              </w:rPr>
              <w:t xml:space="preserve">y do zapewnienia pełnej realizacji wszystkich praw człowieka i podstawowych wolności, bez jakiejkolwiek dyskryminacji ze względu na niepełnosprawność. W art. 9 Konwencja zobowiązuje organy państwowe i samorządowe do przygotowania rozwiązań, które spełniłyby wymagania dostępności dla osób o różnych potrzebach funkcjonalnych. Według Konwencji mają one m.in. prawo do niezależnego życia w społeczności lokalnej, wsparcia, edukacji włączającej, pracy na otwartym rynku, samostanowienia czy wreszcie równego dostępu do przestrzeni publicznej i informacji. </w:t>
            </w:r>
            <w:r w:rsidR="00C71740" w:rsidRPr="00C71740">
              <w:rPr>
                <w:rFonts w:ascii="Times New Roman" w:eastAsia="Times New Roman" w:hAnsi="Times New Roman" w:cs="Times New Roman"/>
                <w:sz w:val="22"/>
                <w:szCs w:val="22"/>
              </w:rPr>
              <w:t>To właśnie paradygmat Konwencji wskazuje, że ograniczenia w dostępności wpływają na wiele obszarów życia obywateli, determinując ich sytuację społeczną i ekonomiczną</w:t>
            </w:r>
            <w:r w:rsidR="00515863">
              <w:rPr>
                <w:rFonts w:ascii="Times New Roman" w:eastAsia="Times New Roman" w:hAnsi="Times New Roman" w:cs="Times New Roman"/>
                <w:sz w:val="22"/>
                <w:szCs w:val="22"/>
              </w:rPr>
              <w:t>.</w:t>
            </w:r>
          </w:p>
          <w:p w14:paraId="33DCF3EC" w14:textId="736CADDB" w:rsidR="004E52EE" w:rsidRDefault="004A7465" w:rsidP="003C56B8">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poziomie UE g</w:t>
            </w:r>
            <w:r w:rsidR="004E52EE" w:rsidRPr="004E52EE">
              <w:rPr>
                <w:rFonts w:ascii="Times New Roman" w:eastAsia="Times New Roman" w:hAnsi="Times New Roman" w:cs="Times New Roman"/>
                <w:sz w:val="22"/>
                <w:szCs w:val="22"/>
              </w:rPr>
              <w:t xml:space="preserve">łówne elementy Konwencji znajdują swe odzwierciedlenie w </w:t>
            </w:r>
            <w:r w:rsidR="00FC2E79">
              <w:rPr>
                <w:rFonts w:ascii="Times New Roman" w:eastAsia="Times New Roman" w:hAnsi="Times New Roman" w:cs="Times New Roman"/>
                <w:sz w:val="22"/>
                <w:szCs w:val="22"/>
              </w:rPr>
              <w:t>strategii UE „</w:t>
            </w:r>
            <w:r w:rsidR="00FC2E79" w:rsidRPr="00FC2E79">
              <w:rPr>
                <w:rFonts w:ascii="Times New Roman" w:eastAsia="Times New Roman" w:hAnsi="Times New Roman" w:cs="Times New Roman"/>
                <w:sz w:val="22"/>
                <w:szCs w:val="22"/>
              </w:rPr>
              <w:t>Unia równości: Strategia na rzecz praw osób z niepełnosprawnościami na lata 2021–2030</w:t>
            </w:r>
            <w:r w:rsidR="00FC2E79">
              <w:rPr>
                <w:rFonts w:ascii="Times New Roman" w:eastAsia="Times New Roman" w:hAnsi="Times New Roman" w:cs="Times New Roman"/>
                <w:sz w:val="22"/>
                <w:szCs w:val="22"/>
              </w:rPr>
              <w:t xml:space="preserve"> (</w:t>
            </w:r>
            <w:r w:rsidR="005F3A29" w:rsidRPr="00FC2E79">
              <w:rPr>
                <w:rFonts w:ascii="Times New Roman" w:eastAsia="Times New Roman" w:hAnsi="Times New Roman" w:cs="Times New Roman"/>
                <w:sz w:val="22"/>
                <w:szCs w:val="22"/>
              </w:rPr>
              <w:t>COM (</w:t>
            </w:r>
            <w:r w:rsidR="00FC2E79" w:rsidRPr="00FC2E79">
              <w:rPr>
                <w:rFonts w:ascii="Times New Roman" w:eastAsia="Times New Roman" w:hAnsi="Times New Roman" w:cs="Times New Roman"/>
                <w:sz w:val="22"/>
                <w:szCs w:val="22"/>
              </w:rPr>
              <w:t xml:space="preserve">2021) 101 </w:t>
            </w:r>
            <w:proofErr w:type="spellStart"/>
            <w:r w:rsidR="005F3A29" w:rsidRPr="00FC2E79">
              <w:rPr>
                <w:rFonts w:ascii="Times New Roman" w:eastAsia="Times New Roman" w:hAnsi="Times New Roman" w:cs="Times New Roman"/>
                <w:sz w:val="22"/>
                <w:szCs w:val="22"/>
              </w:rPr>
              <w:t>fina</w:t>
            </w:r>
            <w:r w:rsidR="00D1416A">
              <w:rPr>
                <w:rFonts w:ascii="Times New Roman" w:eastAsia="Times New Roman" w:hAnsi="Times New Roman" w:cs="Times New Roman"/>
                <w:sz w:val="22"/>
                <w:szCs w:val="22"/>
              </w:rPr>
              <w:t>l</w:t>
            </w:r>
            <w:proofErr w:type="spellEnd"/>
            <w:r w:rsidR="00FC2E79">
              <w:rPr>
                <w:rFonts w:ascii="Times New Roman" w:eastAsia="Times New Roman" w:hAnsi="Times New Roman" w:cs="Times New Roman"/>
                <w:sz w:val="22"/>
                <w:szCs w:val="22"/>
              </w:rPr>
              <w:t>)</w:t>
            </w:r>
            <w:r w:rsidR="00CB23EA">
              <w:rPr>
                <w:rFonts w:ascii="Times New Roman" w:eastAsia="Times New Roman" w:hAnsi="Times New Roman" w:cs="Times New Roman"/>
                <w:sz w:val="22"/>
                <w:szCs w:val="22"/>
              </w:rPr>
              <w:t xml:space="preserve">. </w:t>
            </w:r>
            <w:r w:rsidR="00FC2E79">
              <w:rPr>
                <w:rFonts w:ascii="Times New Roman" w:eastAsia="Times New Roman" w:hAnsi="Times New Roman" w:cs="Times New Roman"/>
                <w:sz w:val="22"/>
                <w:szCs w:val="22"/>
              </w:rPr>
              <w:t>Już wcześniejsza „</w:t>
            </w:r>
            <w:r w:rsidR="00FC2E79" w:rsidRPr="00FC2E79">
              <w:rPr>
                <w:rFonts w:ascii="Times New Roman" w:eastAsia="Times New Roman" w:hAnsi="Times New Roman" w:cs="Times New Roman"/>
                <w:sz w:val="22"/>
                <w:szCs w:val="22"/>
              </w:rPr>
              <w:t>Europejska strategia w spraw</w:t>
            </w:r>
            <w:r w:rsidR="00FC2E79">
              <w:rPr>
                <w:rFonts w:ascii="Times New Roman" w:eastAsia="Times New Roman" w:hAnsi="Times New Roman" w:cs="Times New Roman"/>
                <w:sz w:val="22"/>
                <w:szCs w:val="22"/>
              </w:rPr>
              <w:t>ie niepełnosprawności 2010–2020</w:t>
            </w:r>
            <w:r w:rsidR="00C60465">
              <w:rPr>
                <w:rFonts w:ascii="Times New Roman" w:eastAsia="Times New Roman" w:hAnsi="Times New Roman" w:cs="Times New Roman"/>
                <w:sz w:val="22"/>
                <w:szCs w:val="22"/>
              </w:rPr>
              <w:t xml:space="preserve">: </w:t>
            </w:r>
            <w:r w:rsidR="00C60465" w:rsidRPr="00C60465">
              <w:rPr>
                <w:rFonts w:ascii="Times New Roman" w:eastAsia="Times New Roman" w:hAnsi="Times New Roman" w:cs="Times New Roman"/>
                <w:sz w:val="22"/>
                <w:szCs w:val="22"/>
              </w:rPr>
              <w:t>Odnowione zobowiązanie do budowania Europy bez barier</w:t>
            </w:r>
            <w:r w:rsidR="00FC2E79">
              <w:rPr>
                <w:rFonts w:ascii="Times New Roman" w:eastAsia="Times New Roman" w:hAnsi="Times New Roman" w:cs="Times New Roman"/>
                <w:sz w:val="22"/>
                <w:szCs w:val="22"/>
              </w:rPr>
              <w:t>”</w:t>
            </w:r>
            <w:r w:rsidR="002E225F" w:rsidRPr="002E225F">
              <w:rPr>
                <w:sz w:val="30"/>
                <w:szCs w:val="30"/>
              </w:rPr>
              <w:t xml:space="preserve"> </w:t>
            </w:r>
            <w:r w:rsidR="002E225F">
              <w:rPr>
                <w:rFonts w:ascii="Times New Roman" w:eastAsia="Times New Roman" w:hAnsi="Times New Roman" w:cs="Times New Roman"/>
                <w:sz w:val="22"/>
                <w:szCs w:val="22"/>
              </w:rPr>
              <w:t>(</w:t>
            </w:r>
            <w:r w:rsidR="005F3A29">
              <w:rPr>
                <w:rFonts w:ascii="Times New Roman" w:eastAsia="Times New Roman" w:hAnsi="Times New Roman" w:cs="Times New Roman"/>
                <w:sz w:val="22"/>
                <w:szCs w:val="22"/>
              </w:rPr>
              <w:t>C</w:t>
            </w:r>
            <w:r w:rsidR="005F3A29" w:rsidRPr="002E225F">
              <w:rPr>
                <w:rFonts w:ascii="Times New Roman" w:eastAsia="Times New Roman" w:hAnsi="Times New Roman" w:cs="Times New Roman"/>
                <w:sz w:val="22"/>
                <w:szCs w:val="22"/>
              </w:rPr>
              <w:t>OM (</w:t>
            </w:r>
            <w:r w:rsidR="002E225F" w:rsidRPr="002E225F">
              <w:rPr>
                <w:rFonts w:ascii="Times New Roman" w:eastAsia="Times New Roman" w:hAnsi="Times New Roman" w:cs="Times New Roman"/>
                <w:sz w:val="22"/>
                <w:szCs w:val="22"/>
              </w:rPr>
              <w:t>2010) 636</w:t>
            </w:r>
            <w:r w:rsidR="002E225F">
              <w:rPr>
                <w:rFonts w:ascii="Times New Roman" w:eastAsia="Times New Roman" w:hAnsi="Times New Roman" w:cs="Times New Roman"/>
                <w:sz w:val="22"/>
                <w:szCs w:val="22"/>
              </w:rPr>
              <w:t xml:space="preserve"> </w:t>
            </w:r>
            <w:proofErr w:type="spellStart"/>
            <w:r w:rsidR="005F3A29">
              <w:rPr>
                <w:rFonts w:ascii="Times New Roman" w:eastAsia="Times New Roman" w:hAnsi="Times New Roman" w:cs="Times New Roman"/>
                <w:sz w:val="22"/>
                <w:szCs w:val="22"/>
              </w:rPr>
              <w:t>fina</w:t>
            </w:r>
            <w:r w:rsidR="00291BD4">
              <w:rPr>
                <w:rFonts w:ascii="Times New Roman" w:eastAsia="Times New Roman" w:hAnsi="Times New Roman" w:cs="Times New Roman"/>
                <w:sz w:val="22"/>
                <w:szCs w:val="22"/>
              </w:rPr>
              <w:t>l</w:t>
            </w:r>
            <w:proofErr w:type="spellEnd"/>
            <w:r w:rsidR="002E225F">
              <w:rPr>
                <w:rFonts w:ascii="Times New Roman" w:eastAsia="Times New Roman" w:hAnsi="Times New Roman" w:cs="Times New Roman"/>
                <w:sz w:val="22"/>
                <w:szCs w:val="22"/>
              </w:rPr>
              <w:t>)</w:t>
            </w:r>
            <w:r w:rsidR="00FC2E79">
              <w:rPr>
                <w:rFonts w:ascii="Times New Roman" w:eastAsia="Times New Roman" w:hAnsi="Times New Roman" w:cs="Times New Roman"/>
                <w:sz w:val="22"/>
                <w:szCs w:val="22"/>
              </w:rPr>
              <w:t xml:space="preserve"> wspierała</w:t>
            </w:r>
            <w:r w:rsidR="00FC2E79" w:rsidRPr="00FC2E79">
              <w:rPr>
                <w:rFonts w:ascii="Times New Roman" w:eastAsia="Times New Roman" w:hAnsi="Times New Roman" w:cs="Times New Roman"/>
                <w:sz w:val="22"/>
                <w:szCs w:val="22"/>
              </w:rPr>
              <w:t xml:space="preserve"> budowanie Europy bez bari</w:t>
            </w:r>
            <w:r w:rsidR="00FC2E79">
              <w:rPr>
                <w:rFonts w:ascii="Times New Roman" w:eastAsia="Times New Roman" w:hAnsi="Times New Roman" w:cs="Times New Roman"/>
                <w:sz w:val="22"/>
                <w:szCs w:val="22"/>
              </w:rPr>
              <w:t>er, promując również</w:t>
            </w:r>
            <w:r w:rsidR="0096579D">
              <w:rPr>
                <w:rFonts w:ascii="Times New Roman" w:eastAsia="Times New Roman" w:hAnsi="Times New Roman" w:cs="Times New Roman"/>
                <w:sz w:val="22"/>
                <w:szCs w:val="22"/>
              </w:rPr>
              <w:t xml:space="preserve"> –</w:t>
            </w:r>
            <w:r w:rsidR="00FC2E79">
              <w:rPr>
                <w:rFonts w:ascii="Times New Roman" w:eastAsia="Times New Roman" w:hAnsi="Times New Roman" w:cs="Times New Roman"/>
                <w:sz w:val="22"/>
                <w:szCs w:val="22"/>
              </w:rPr>
              <w:t xml:space="preserve"> </w:t>
            </w:r>
            <w:r w:rsidR="0096579D">
              <w:rPr>
                <w:rFonts w:ascii="Times New Roman" w:eastAsia="Times New Roman" w:hAnsi="Times New Roman" w:cs="Times New Roman"/>
                <w:sz w:val="22"/>
                <w:szCs w:val="22"/>
              </w:rPr>
              <w:t xml:space="preserve">finansowane </w:t>
            </w:r>
            <w:r w:rsidR="0096579D" w:rsidRPr="00FC2E79">
              <w:rPr>
                <w:rFonts w:ascii="Times New Roman" w:eastAsia="Times New Roman" w:hAnsi="Times New Roman" w:cs="Times New Roman"/>
                <w:sz w:val="22"/>
                <w:szCs w:val="22"/>
              </w:rPr>
              <w:t xml:space="preserve">z funduszy </w:t>
            </w:r>
            <w:r w:rsidR="0096579D">
              <w:rPr>
                <w:rFonts w:ascii="Times New Roman" w:eastAsia="Times New Roman" w:hAnsi="Times New Roman" w:cs="Times New Roman"/>
                <w:sz w:val="22"/>
                <w:szCs w:val="22"/>
              </w:rPr>
              <w:t xml:space="preserve">europejskich – </w:t>
            </w:r>
            <w:r w:rsidR="00FC2E79">
              <w:rPr>
                <w:rFonts w:ascii="Times New Roman" w:eastAsia="Times New Roman" w:hAnsi="Times New Roman" w:cs="Times New Roman"/>
                <w:sz w:val="22"/>
                <w:szCs w:val="22"/>
              </w:rPr>
              <w:t>działania</w:t>
            </w:r>
            <w:r w:rsidR="0096579D">
              <w:rPr>
                <w:rFonts w:ascii="Times New Roman" w:eastAsia="Times New Roman" w:hAnsi="Times New Roman" w:cs="Times New Roman"/>
                <w:sz w:val="22"/>
                <w:szCs w:val="22"/>
              </w:rPr>
              <w:t xml:space="preserve"> podejmowane w tym celu</w:t>
            </w:r>
            <w:r w:rsidR="00FC2E79">
              <w:rPr>
                <w:rFonts w:ascii="Times New Roman" w:eastAsia="Times New Roman" w:hAnsi="Times New Roman" w:cs="Times New Roman"/>
                <w:sz w:val="22"/>
                <w:szCs w:val="22"/>
              </w:rPr>
              <w:t>.</w:t>
            </w:r>
            <w:r w:rsidR="00FC2E79" w:rsidRPr="00FC2E79">
              <w:rPr>
                <w:rFonts w:ascii="Times New Roman" w:eastAsia="Times New Roman" w:hAnsi="Times New Roman" w:cs="Times New Roman"/>
                <w:sz w:val="22"/>
                <w:szCs w:val="22"/>
              </w:rPr>
              <w:t xml:space="preserve"> </w:t>
            </w:r>
            <w:r w:rsidR="00FC2E79">
              <w:rPr>
                <w:rFonts w:ascii="Times New Roman" w:eastAsia="Times New Roman" w:hAnsi="Times New Roman" w:cs="Times New Roman"/>
                <w:sz w:val="22"/>
                <w:szCs w:val="22"/>
              </w:rPr>
              <w:t>Z oceny Komisji Europejskiej</w:t>
            </w:r>
            <w:r w:rsidR="00FC2E79" w:rsidRPr="00FC2E79">
              <w:rPr>
                <w:rFonts w:ascii="Times New Roman" w:eastAsia="Times New Roman" w:hAnsi="Times New Roman" w:cs="Times New Roman"/>
                <w:sz w:val="22"/>
                <w:szCs w:val="22"/>
              </w:rPr>
              <w:t xml:space="preserve"> wynika, że</w:t>
            </w:r>
            <w:r w:rsidR="00CB23EA">
              <w:rPr>
                <w:rFonts w:ascii="Times New Roman" w:eastAsia="Times New Roman" w:hAnsi="Times New Roman" w:cs="Times New Roman"/>
                <w:sz w:val="22"/>
                <w:szCs w:val="22"/>
              </w:rPr>
              <w:t> </w:t>
            </w:r>
            <w:r w:rsidR="00FC2E79" w:rsidRPr="00FC2E79">
              <w:rPr>
                <w:rFonts w:ascii="Times New Roman" w:eastAsia="Times New Roman" w:hAnsi="Times New Roman" w:cs="Times New Roman"/>
                <w:sz w:val="22"/>
                <w:szCs w:val="22"/>
              </w:rPr>
              <w:t xml:space="preserve">strategia ta przyczyniła się do poprawy sytuacji w wielu obszarach, zwłaszcza pod względem dostępności </w:t>
            </w:r>
            <w:r w:rsidR="0096579D">
              <w:rPr>
                <w:rFonts w:ascii="Times New Roman" w:eastAsia="Times New Roman" w:hAnsi="Times New Roman" w:cs="Times New Roman"/>
                <w:sz w:val="22"/>
                <w:szCs w:val="22"/>
              </w:rPr>
              <w:t xml:space="preserve">dla </w:t>
            </w:r>
            <w:r w:rsidR="00FC2E79" w:rsidRPr="00FC2E79">
              <w:rPr>
                <w:rFonts w:ascii="Times New Roman" w:eastAsia="Times New Roman" w:hAnsi="Times New Roman" w:cs="Times New Roman"/>
                <w:sz w:val="22"/>
                <w:szCs w:val="22"/>
              </w:rPr>
              <w:t>osób z</w:t>
            </w:r>
            <w:r w:rsidR="00CB23EA">
              <w:rPr>
                <w:rFonts w:ascii="Times New Roman" w:eastAsia="Times New Roman" w:hAnsi="Times New Roman" w:cs="Times New Roman"/>
                <w:sz w:val="22"/>
                <w:szCs w:val="22"/>
              </w:rPr>
              <w:t> </w:t>
            </w:r>
            <w:r w:rsidR="00FC2E79" w:rsidRPr="00FC2E79">
              <w:rPr>
                <w:rFonts w:ascii="Times New Roman" w:eastAsia="Times New Roman" w:hAnsi="Times New Roman" w:cs="Times New Roman"/>
                <w:sz w:val="22"/>
                <w:szCs w:val="22"/>
              </w:rPr>
              <w:t>niepełnosprawnościami i promowania ich praw, nadając kwestii niepełnosprawności wysoki priorytet w programie UE.</w:t>
            </w:r>
            <w:r w:rsidR="00FC2E79">
              <w:rPr>
                <w:rFonts w:ascii="Times New Roman" w:eastAsia="Times New Roman" w:hAnsi="Times New Roman" w:cs="Times New Roman"/>
                <w:sz w:val="22"/>
                <w:szCs w:val="22"/>
              </w:rPr>
              <w:t xml:space="preserve"> </w:t>
            </w:r>
            <w:r w:rsidR="00B1539F">
              <w:rPr>
                <w:rFonts w:ascii="Times New Roman" w:eastAsia="Times New Roman" w:hAnsi="Times New Roman" w:cs="Times New Roman"/>
                <w:sz w:val="22"/>
                <w:szCs w:val="22"/>
              </w:rPr>
              <w:t>Obecna strategia, poszerzając zakres europejskich działań w obszarz</w:t>
            </w:r>
            <w:r w:rsidR="00732148">
              <w:rPr>
                <w:rFonts w:ascii="Times New Roman" w:eastAsia="Times New Roman" w:hAnsi="Times New Roman" w:cs="Times New Roman"/>
                <w:sz w:val="22"/>
                <w:szCs w:val="22"/>
              </w:rPr>
              <w:t>e praw osób z ni</w:t>
            </w:r>
            <w:r w:rsidR="00B1539F">
              <w:rPr>
                <w:rFonts w:ascii="Times New Roman" w:eastAsia="Times New Roman" w:hAnsi="Times New Roman" w:cs="Times New Roman"/>
                <w:sz w:val="22"/>
                <w:szCs w:val="22"/>
              </w:rPr>
              <w:t>epełnosprawnościami, ponownie umieszcza dostę</w:t>
            </w:r>
            <w:r w:rsidR="00DC1B10">
              <w:rPr>
                <w:rFonts w:ascii="Times New Roman" w:eastAsia="Times New Roman" w:hAnsi="Times New Roman" w:cs="Times New Roman"/>
                <w:sz w:val="22"/>
                <w:szCs w:val="22"/>
              </w:rPr>
              <w:t>p</w:t>
            </w:r>
            <w:r w:rsidR="00B1539F">
              <w:rPr>
                <w:rFonts w:ascii="Times New Roman" w:eastAsia="Times New Roman" w:hAnsi="Times New Roman" w:cs="Times New Roman"/>
                <w:sz w:val="22"/>
                <w:szCs w:val="22"/>
              </w:rPr>
              <w:t>ność na czołowym miejscu polityki UE na rzecz równości</w:t>
            </w:r>
            <w:r w:rsidR="00732148">
              <w:rPr>
                <w:rFonts w:ascii="Times New Roman" w:eastAsia="Times New Roman" w:hAnsi="Times New Roman" w:cs="Times New Roman"/>
                <w:sz w:val="22"/>
                <w:szCs w:val="22"/>
              </w:rPr>
              <w:t xml:space="preserve">. </w:t>
            </w:r>
            <w:r w:rsidR="00070A8B">
              <w:rPr>
                <w:rFonts w:ascii="Times New Roman" w:eastAsia="Times New Roman" w:hAnsi="Times New Roman" w:cs="Times New Roman"/>
                <w:sz w:val="22"/>
                <w:szCs w:val="22"/>
              </w:rPr>
              <w:t>Strategia wspiera</w:t>
            </w:r>
            <w:r w:rsidR="004E52EE" w:rsidRPr="004E52EE">
              <w:rPr>
                <w:rFonts w:ascii="Times New Roman" w:eastAsia="Times New Roman" w:hAnsi="Times New Roman" w:cs="Times New Roman"/>
                <w:sz w:val="22"/>
                <w:szCs w:val="22"/>
              </w:rPr>
              <w:t xml:space="preserve"> praktyczne wdrożenie postanowień Konwencji </w:t>
            </w:r>
            <w:r w:rsidR="0077420D">
              <w:rPr>
                <w:rFonts w:ascii="Times New Roman" w:eastAsia="Times New Roman" w:hAnsi="Times New Roman" w:cs="Times New Roman"/>
                <w:sz w:val="22"/>
                <w:szCs w:val="22"/>
              </w:rPr>
              <w:t xml:space="preserve">zarówno </w:t>
            </w:r>
            <w:r w:rsidR="00070A8B">
              <w:rPr>
                <w:rFonts w:ascii="Times New Roman" w:eastAsia="Times New Roman" w:hAnsi="Times New Roman" w:cs="Times New Roman"/>
                <w:sz w:val="22"/>
                <w:szCs w:val="22"/>
              </w:rPr>
              <w:t xml:space="preserve">na szczeblu </w:t>
            </w:r>
            <w:r w:rsidR="00291BD4">
              <w:rPr>
                <w:rFonts w:ascii="Times New Roman" w:eastAsia="Times New Roman" w:hAnsi="Times New Roman" w:cs="Times New Roman"/>
                <w:sz w:val="22"/>
                <w:szCs w:val="22"/>
              </w:rPr>
              <w:t>UE</w:t>
            </w:r>
            <w:r w:rsidR="00070A8B">
              <w:rPr>
                <w:rFonts w:ascii="Times New Roman" w:eastAsia="Times New Roman" w:hAnsi="Times New Roman" w:cs="Times New Roman"/>
                <w:sz w:val="22"/>
                <w:szCs w:val="22"/>
              </w:rPr>
              <w:t>, jak i krajowym,</w:t>
            </w:r>
            <w:r w:rsidR="004E52EE" w:rsidRPr="004E52EE">
              <w:rPr>
                <w:rFonts w:ascii="Times New Roman" w:eastAsia="Times New Roman" w:hAnsi="Times New Roman" w:cs="Times New Roman"/>
                <w:sz w:val="22"/>
                <w:szCs w:val="22"/>
              </w:rPr>
              <w:t xml:space="preserve"> jako uzupełnienie i wsparcie działań prowadzonych przez państwa członkowskie</w:t>
            </w:r>
            <w:r w:rsidR="00291BD4">
              <w:rPr>
                <w:rFonts w:ascii="Times New Roman" w:eastAsia="Times New Roman" w:hAnsi="Times New Roman" w:cs="Times New Roman"/>
                <w:sz w:val="22"/>
                <w:szCs w:val="22"/>
              </w:rPr>
              <w:t xml:space="preserve"> UE</w:t>
            </w:r>
            <w:r w:rsidR="004E52EE" w:rsidRPr="004E52EE">
              <w:rPr>
                <w:rFonts w:ascii="Times New Roman" w:eastAsia="Times New Roman" w:hAnsi="Times New Roman" w:cs="Times New Roman"/>
                <w:sz w:val="22"/>
                <w:szCs w:val="22"/>
              </w:rPr>
              <w:t xml:space="preserve">, na których spoczywa główna odpowiedzialność za </w:t>
            </w:r>
            <w:r w:rsidR="00070A8B">
              <w:rPr>
                <w:rFonts w:ascii="Times New Roman" w:eastAsia="Times New Roman" w:hAnsi="Times New Roman" w:cs="Times New Roman"/>
                <w:sz w:val="22"/>
                <w:szCs w:val="22"/>
              </w:rPr>
              <w:t xml:space="preserve">kształtowanie i realizację </w:t>
            </w:r>
            <w:r w:rsidR="004E52EE" w:rsidRPr="004E52EE">
              <w:rPr>
                <w:rFonts w:ascii="Times New Roman" w:eastAsia="Times New Roman" w:hAnsi="Times New Roman" w:cs="Times New Roman"/>
                <w:sz w:val="22"/>
                <w:szCs w:val="22"/>
              </w:rPr>
              <w:t>polityki w zakresie niepełnosprawności.</w:t>
            </w:r>
          </w:p>
          <w:p w14:paraId="3E868086" w14:textId="2B56AFEF" w:rsidR="00070A8B" w:rsidRDefault="00515863" w:rsidP="003C56B8">
            <w:pPr>
              <w:widowControl w:val="0"/>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Projektowana ustawa opiera się również na </w:t>
            </w:r>
            <w:r w:rsidR="003A17BE">
              <w:rPr>
                <w:rFonts w:ascii="Times New Roman" w:eastAsia="Times New Roman" w:hAnsi="Times New Roman" w:cs="Times New Roman"/>
                <w:sz w:val="22"/>
                <w:szCs w:val="22"/>
              </w:rPr>
              <w:t>zasadach demokratycznego</w:t>
            </w:r>
            <w:r>
              <w:rPr>
                <w:rFonts w:ascii="Times New Roman" w:eastAsia="Times New Roman" w:hAnsi="Times New Roman" w:cs="Times New Roman"/>
                <w:sz w:val="22"/>
                <w:szCs w:val="22"/>
              </w:rPr>
              <w:t xml:space="preserve"> państwa prawa i wpisanej w ni</w:t>
            </w:r>
            <w:r w:rsidR="0003756C">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ochronie podstawowych praw człowieka. W praktyce oznacza to równość szans w procesie osiągania pozycji społecznej, dóbr materialnych czy realizacji potrzeb i osobistych ambicji każdej samodzielnej jednostki.</w:t>
            </w:r>
          </w:p>
          <w:p w14:paraId="48FD5BB6" w14:textId="37A82397" w:rsidR="00070A8B" w:rsidRDefault="004A7465" w:rsidP="003C56B8">
            <w:pPr>
              <w:widowControl w:val="0"/>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UE podstawowe zasady w tym zakresie znajduj</w:t>
            </w:r>
            <w:r w:rsidR="00AF3826">
              <w:rPr>
                <w:rFonts w:ascii="Times New Roman" w:eastAsia="Times New Roman" w:hAnsi="Times New Roman" w:cs="Times New Roman"/>
                <w:sz w:val="22"/>
                <w:szCs w:val="22"/>
              </w:rPr>
              <w:t>ą się</w:t>
            </w:r>
            <w:r>
              <w:rPr>
                <w:rFonts w:ascii="Times New Roman" w:eastAsia="Times New Roman" w:hAnsi="Times New Roman" w:cs="Times New Roman"/>
                <w:sz w:val="22"/>
                <w:szCs w:val="22"/>
              </w:rPr>
              <w:t xml:space="preserve"> </w:t>
            </w:r>
            <w:r w:rsidR="00F52A19">
              <w:rPr>
                <w:rFonts w:ascii="Times New Roman" w:eastAsia="Times New Roman" w:hAnsi="Times New Roman" w:cs="Times New Roman"/>
                <w:sz w:val="22"/>
                <w:szCs w:val="22"/>
              </w:rPr>
              <w:t>w</w:t>
            </w:r>
            <w:r>
              <w:rPr>
                <w:rFonts w:ascii="Times New Roman" w:eastAsia="Times New Roman" w:hAnsi="Times New Roman" w:cs="Times New Roman"/>
                <w:sz w:val="22"/>
                <w:szCs w:val="22"/>
              </w:rPr>
              <w:t xml:space="preserve"> prawie pierwotnym</w:t>
            </w:r>
            <w:r w:rsidR="00AF3826">
              <w:rPr>
                <w:rFonts w:ascii="Times New Roman" w:eastAsia="Times New Roman" w:hAnsi="Times New Roman" w:cs="Times New Roman"/>
                <w:sz w:val="22"/>
                <w:szCs w:val="22"/>
              </w:rPr>
              <w:t xml:space="preserve"> UE</w:t>
            </w:r>
            <w:r>
              <w:rPr>
                <w:rFonts w:ascii="Times New Roman" w:eastAsia="Times New Roman" w:hAnsi="Times New Roman" w:cs="Times New Roman"/>
                <w:sz w:val="22"/>
                <w:szCs w:val="22"/>
              </w:rPr>
              <w:t>. W 1999</w:t>
            </w:r>
            <w:r w:rsidR="001921C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 </w:t>
            </w:r>
            <w:r w:rsidRPr="004A7465">
              <w:rPr>
                <w:rFonts w:ascii="Times New Roman" w:eastAsia="Times New Roman" w:hAnsi="Times New Roman" w:cs="Times New Roman"/>
                <w:sz w:val="22"/>
                <w:szCs w:val="22"/>
              </w:rPr>
              <w:t>wszedł w życie Traktat z</w:t>
            </w:r>
            <w:r w:rsidR="00CB23EA">
              <w:rPr>
                <w:rFonts w:ascii="Times New Roman" w:eastAsia="Times New Roman" w:hAnsi="Times New Roman" w:cs="Times New Roman"/>
                <w:sz w:val="22"/>
                <w:szCs w:val="22"/>
              </w:rPr>
              <w:t> </w:t>
            </w:r>
            <w:r w:rsidRPr="004A7465">
              <w:rPr>
                <w:rFonts w:ascii="Times New Roman" w:eastAsia="Times New Roman" w:hAnsi="Times New Roman" w:cs="Times New Roman"/>
                <w:sz w:val="22"/>
                <w:szCs w:val="22"/>
              </w:rPr>
              <w:t xml:space="preserve">Amsterdamu przyznający </w:t>
            </w:r>
            <w:r>
              <w:rPr>
                <w:rFonts w:ascii="Times New Roman" w:eastAsia="Times New Roman" w:hAnsi="Times New Roman" w:cs="Times New Roman"/>
                <w:sz w:val="22"/>
                <w:szCs w:val="22"/>
              </w:rPr>
              <w:t>UE</w:t>
            </w:r>
            <w:r w:rsidR="009D7049">
              <w:rPr>
                <w:rFonts w:ascii="Times New Roman" w:eastAsia="Times New Roman" w:hAnsi="Times New Roman" w:cs="Times New Roman"/>
                <w:sz w:val="22"/>
                <w:szCs w:val="22"/>
              </w:rPr>
              <w:t xml:space="preserve"> wyraźne</w:t>
            </w:r>
            <w:r w:rsidRPr="004A7465">
              <w:rPr>
                <w:rFonts w:ascii="Times New Roman" w:eastAsia="Times New Roman" w:hAnsi="Times New Roman" w:cs="Times New Roman"/>
                <w:sz w:val="22"/>
                <w:szCs w:val="22"/>
              </w:rPr>
              <w:t xml:space="preserve"> kompetencje w zwalczaniu dyskryminacji osób z niepełnosprawnościami. Do Traktatu została również dołączon</w:t>
            </w:r>
            <w:r w:rsidR="004A588D">
              <w:rPr>
                <w:rFonts w:ascii="Times New Roman" w:eastAsia="Times New Roman" w:hAnsi="Times New Roman" w:cs="Times New Roman"/>
                <w:sz w:val="22"/>
                <w:szCs w:val="22"/>
              </w:rPr>
              <w:t>a deklaracja stwierdzająca, że instytucje UE</w:t>
            </w:r>
            <w:r w:rsidRPr="004A7465">
              <w:rPr>
                <w:rFonts w:ascii="Times New Roman" w:eastAsia="Times New Roman" w:hAnsi="Times New Roman" w:cs="Times New Roman"/>
                <w:sz w:val="22"/>
                <w:szCs w:val="22"/>
              </w:rPr>
              <w:t xml:space="preserve"> muszą uwzględniać potrzeby osób niepełnosprawnych przy opracowywaniu śro</w:t>
            </w:r>
            <w:r>
              <w:rPr>
                <w:rFonts w:ascii="Times New Roman" w:eastAsia="Times New Roman" w:hAnsi="Times New Roman" w:cs="Times New Roman"/>
                <w:sz w:val="22"/>
                <w:szCs w:val="22"/>
              </w:rPr>
              <w:t>dków na mocy dawnego art. 95 Traktatu o Wspólnocie Europejskiej</w:t>
            </w:r>
            <w:r w:rsidR="00CB23EA">
              <w:rPr>
                <w:rFonts w:ascii="Times New Roman" w:eastAsia="Times New Roman" w:hAnsi="Times New Roman" w:cs="Times New Roman"/>
                <w:sz w:val="22"/>
                <w:szCs w:val="22"/>
              </w:rPr>
              <w:t xml:space="preserve"> – TWE</w:t>
            </w:r>
            <w:r w:rsidR="007C31ED">
              <w:rPr>
                <w:rFonts w:ascii="Times New Roman" w:eastAsia="Times New Roman" w:hAnsi="Times New Roman" w:cs="Times New Roman"/>
                <w:sz w:val="22"/>
                <w:szCs w:val="22"/>
              </w:rPr>
              <w:t>,</w:t>
            </w:r>
            <w:r w:rsidR="008B7F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(obecnie </w:t>
            </w:r>
            <w:r w:rsidR="009D7049">
              <w:rPr>
                <w:rFonts w:ascii="Times New Roman" w:eastAsia="Times New Roman" w:hAnsi="Times New Roman" w:cs="Times New Roman"/>
                <w:sz w:val="22"/>
                <w:szCs w:val="22"/>
              </w:rPr>
              <w:t xml:space="preserve">art. </w:t>
            </w:r>
            <w:r>
              <w:rPr>
                <w:rFonts w:ascii="Times New Roman" w:eastAsia="Times New Roman" w:hAnsi="Times New Roman" w:cs="Times New Roman"/>
                <w:sz w:val="22"/>
                <w:szCs w:val="22"/>
              </w:rPr>
              <w:t>114 T</w:t>
            </w:r>
            <w:r w:rsidR="007C31ED">
              <w:rPr>
                <w:rFonts w:ascii="Times New Roman" w:eastAsia="Times New Roman" w:hAnsi="Times New Roman" w:cs="Times New Roman"/>
                <w:sz w:val="22"/>
                <w:szCs w:val="22"/>
              </w:rPr>
              <w:t>raktatu o Funkcjonowaniu U</w:t>
            </w:r>
            <w:r w:rsidR="003765F8">
              <w:rPr>
                <w:rFonts w:ascii="Times New Roman" w:eastAsia="Times New Roman" w:hAnsi="Times New Roman" w:cs="Times New Roman"/>
                <w:sz w:val="22"/>
                <w:szCs w:val="22"/>
              </w:rPr>
              <w:t xml:space="preserve">nii </w:t>
            </w:r>
            <w:r w:rsidR="007C31ED">
              <w:rPr>
                <w:rFonts w:ascii="Times New Roman" w:eastAsia="Times New Roman" w:hAnsi="Times New Roman" w:cs="Times New Roman"/>
                <w:sz w:val="22"/>
                <w:szCs w:val="22"/>
              </w:rPr>
              <w:t>E</w:t>
            </w:r>
            <w:r w:rsidR="003765F8">
              <w:rPr>
                <w:rFonts w:ascii="Times New Roman" w:eastAsia="Times New Roman" w:hAnsi="Times New Roman" w:cs="Times New Roman"/>
                <w:sz w:val="22"/>
                <w:szCs w:val="22"/>
              </w:rPr>
              <w:t>uropejskiej</w:t>
            </w:r>
            <w:r w:rsidR="00CB23EA">
              <w:rPr>
                <w:rFonts w:ascii="Times New Roman" w:eastAsia="Times New Roman" w:hAnsi="Times New Roman" w:cs="Times New Roman"/>
                <w:sz w:val="22"/>
                <w:szCs w:val="22"/>
              </w:rPr>
              <w:t xml:space="preserve"> – TFUE</w:t>
            </w:r>
            <w:r w:rsidR="008B7F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który </w:t>
            </w:r>
            <w:r w:rsidR="003765F8">
              <w:rPr>
                <w:rFonts w:ascii="Times New Roman" w:eastAsia="Times New Roman" w:hAnsi="Times New Roman" w:cs="Times New Roman"/>
                <w:sz w:val="22"/>
                <w:szCs w:val="22"/>
              </w:rPr>
              <w:t>stanowi</w:t>
            </w:r>
            <w:r w:rsidR="00BD7D2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podstaw</w:t>
            </w:r>
            <w:r w:rsidR="003765F8">
              <w:rPr>
                <w:rFonts w:ascii="Times New Roman" w:eastAsia="Times New Roman" w:hAnsi="Times New Roman" w:cs="Times New Roman"/>
                <w:sz w:val="22"/>
                <w:szCs w:val="22"/>
              </w:rPr>
              <w:t>ę</w:t>
            </w:r>
            <w:r>
              <w:rPr>
                <w:rFonts w:ascii="Times New Roman" w:eastAsia="Times New Roman" w:hAnsi="Times New Roman" w:cs="Times New Roman"/>
                <w:sz w:val="22"/>
                <w:szCs w:val="22"/>
              </w:rPr>
              <w:t xml:space="preserve"> prawną implementowanej dyrektywy</w:t>
            </w:r>
            <w:r w:rsidR="00AF3826">
              <w:rPr>
                <w:rFonts w:ascii="Times New Roman" w:eastAsia="Times New Roman" w:hAnsi="Times New Roman" w:cs="Times New Roman"/>
                <w:sz w:val="22"/>
                <w:szCs w:val="22"/>
              </w:rPr>
              <w:t xml:space="preserve"> 2019/882</w:t>
            </w:r>
            <w:r w:rsidRPr="004A7465">
              <w:rPr>
                <w:rFonts w:ascii="Times New Roman" w:eastAsia="Times New Roman" w:hAnsi="Times New Roman" w:cs="Times New Roman"/>
                <w:sz w:val="22"/>
                <w:szCs w:val="22"/>
              </w:rPr>
              <w:t>), czyli środków mających na celu zbliżanie przepisów prawnych o znaczeniu dla funkcjonowania rynku wewnętrznego.</w:t>
            </w:r>
            <w:r w:rsidR="008B7F10">
              <w:rPr>
                <w:rFonts w:ascii="Times New Roman" w:eastAsia="Times New Roman" w:hAnsi="Times New Roman" w:cs="Times New Roman"/>
                <w:sz w:val="22"/>
                <w:szCs w:val="22"/>
              </w:rPr>
              <w:t xml:space="preserve"> </w:t>
            </w:r>
            <w:r w:rsidR="008B7F10" w:rsidRPr="008B7F10">
              <w:rPr>
                <w:rFonts w:ascii="Times New Roman" w:eastAsia="Times New Roman" w:hAnsi="Times New Roman" w:cs="Times New Roman"/>
                <w:sz w:val="22"/>
                <w:szCs w:val="22"/>
              </w:rPr>
              <w:t xml:space="preserve">Z punktu widzenia niepełnosprawności można przyjąć, że </w:t>
            </w:r>
            <w:r w:rsidR="008B7F10">
              <w:rPr>
                <w:rFonts w:ascii="Times New Roman" w:eastAsia="Times New Roman" w:hAnsi="Times New Roman" w:cs="Times New Roman"/>
                <w:sz w:val="22"/>
                <w:szCs w:val="22"/>
              </w:rPr>
              <w:t>najbardziej znaczącą zmianą było</w:t>
            </w:r>
            <w:r w:rsidR="008B7F10" w:rsidRPr="008B7F10">
              <w:rPr>
                <w:rFonts w:ascii="Times New Roman" w:eastAsia="Times New Roman" w:hAnsi="Times New Roman" w:cs="Times New Roman"/>
                <w:sz w:val="22"/>
                <w:szCs w:val="22"/>
              </w:rPr>
              <w:t xml:space="preserve"> włączenie</w:t>
            </w:r>
            <w:r w:rsidR="008B7F10">
              <w:rPr>
                <w:rFonts w:ascii="Times New Roman" w:eastAsia="Times New Roman" w:hAnsi="Times New Roman" w:cs="Times New Roman"/>
                <w:sz w:val="22"/>
                <w:szCs w:val="22"/>
              </w:rPr>
              <w:t xml:space="preserve"> </w:t>
            </w:r>
            <w:r w:rsidR="008B7F10" w:rsidRPr="008B7F10">
              <w:rPr>
                <w:rFonts w:ascii="Times New Roman" w:eastAsia="Times New Roman" w:hAnsi="Times New Roman" w:cs="Times New Roman"/>
                <w:sz w:val="22"/>
                <w:szCs w:val="22"/>
              </w:rPr>
              <w:t xml:space="preserve">ogólnego artykułu o niedyskryminacji do treści </w:t>
            </w:r>
            <w:r w:rsidR="003765F8">
              <w:rPr>
                <w:rFonts w:ascii="Times New Roman" w:eastAsia="Times New Roman" w:hAnsi="Times New Roman" w:cs="Times New Roman"/>
                <w:sz w:val="22"/>
                <w:szCs w:val="22"/>
              </w:rPr>
              <w:t>T</w:t>
            </w:r>
            <w:r w:rsidR="008B7F10" w:rsidRPr="008B7F10">
              <w:rPr>
                <w:rFonts w:ascii="Times New Roman" w:eastAsia="Times New Roman" w:hAnsi="Times New Roman" w:cs="Times New Roman"/>
                <w:sz w:val="22"/>
                <w:szCs w:val="22"/>
              </w:rPr>
              <w:t>raktatu, w którym wyraźn</w:t>
            </w:r>
            <w:r w:rsidR="008B7F10">
              <w:rPr>
                <w:rFonts w:ascii="Times New Roman" w:eastAsia="Times New Roman" w:hAnsi="Times New Roman" w:cs="Times New Roman"/>
                <w:sz w:val="22"/>
                <w:szCs w:val="22"/>
              </w:rPr>
              <w:t>ie wymieniono niepełnosprawność (dawny art. 13 TWE, obecnie art. 19 TFUE).</w:t>
            </w:r>
          </w:p>
          <w:p w14:paraId="3AB43673" w14:textId="77777777" w:rsidR="00070A8B" w:rsidRDefault="008B7F10" w:rsidP="00DD15A9">
            <w:pPr>
              <w:widowControl w:val="0"/>
              <w:spacing w:after="120"/>
              <w:jc w:val="both"/>
              <w:rPr>
                <w:rFonts w:ascii="Times New Roman" w:eastAsia="Times New Roman" w:hAnsi="Times New Roman" w:cs="Times New Roman"/>
                <w:sz w:val="22"/>
                <w:szCs w:val="22"/>
              </w:rPr>
            </w:pPr>
            <w:r w:rsidRPr="008B7F10">
              <w:rPr>
                <w:rFonts w:ascii="Times New Roman" w:eastAsia="Times New Roman" w:hAnsi="Times New Roman" w:cs="Times New Roman"/>
                <w:sz w:val="22"/>
                <w:szCs w:val="22"/>
              </w:rPr>
              <w:t xml:space="preserve">Po wejściu w życie </w:t>
            </w:r>
            <w:r w:rsidR="002F6542">
              <w:rPr>
                <w:rFonts w:ascii="Times New Roman" w:eastAsia="Times New Roman" w:hAnsi="Times New Roman" w:cs="Times New Roman"/>
                <w:sz w:val="22"/>
                <w:szCs w:val="22"/>
              </w:rPr>
              <w:t>T</w:t>
            </w:r>
            <w:r w:rsidRPr="008B7F10">
              <w:rPr>
                <w:rFonts w:ascii="Times New Roman" w:eastAsia="Times New Roman" w:hAnsi="Times New Roman" w:cs="Times New Roman"/>
                <w:sz w:val="22"/>
                <w:szCs w:val="22"/>
              </w:rPr>
              <w:t xml:space="preserve">raktatu </w:t>
            </w:r>
            <w:r w:rsidR="002F6542">
              <w:rPr>
                <w:rFonts w:ascii="Times New Roman" w:eastAsia="Times New Roman" w:hAnsi="Times New Roman" w:cs="Times New Roman"/>
                <w:sz w:val="22"/>
                <w:szCs w:val="22"/>
              </w:rPr>
              <w:t>L</w:t>
            </w:r>
            <w:r w:rsidRPr="008B7F10">
              <w:rPr>
                <w:rFonts w:ascii="Times New Roman" w:eastAsia="Times New Roman" w:hAnsi="Times New Roman" w:cs="Times New Roman"/>
                <w:sz w:val="22"/>
                <w:szCs w:val="22"/>
              </w:rPr>
              <w:t xml:space="preserve">izbońskiego </w:t>
            </w:r>
            <w:r w:rsidR="003765F8">
              <w:rPr>
                <w:rFonts w:ascii="Times New Roman" w:eastAsia="Times New Roman" w:hAnsi="Times New Roman" w:cs="Times New Roman"/>
                <w:sz w:val="22"/>
                <w:szCs w:val="22"/>
              </w:rPr>
              <w:t>(</w:t>
            </w:r>
            <w:r w:rsidR="007C31ED">
              <w:rPr>
                <w:rFonts w:ascii="Times New Roman" w:eastAsia="Times New Roman" w:hAnsi="Times New Roman" w:cs="Times New Roman"/>
                <w:sz w:val="22"/>
                <w:szCs w:val="22"/>
              </w:rPr>
              <w:t>1 grudnia 2009</w:t>
            </w:r>
            <w:r w:rsidR="00457A76">
              <w:rPr>
                <w:rFonts w:ascii="Times New Roman" w:eastAsia="Times New Roman" w:hAnsi="Times New Roman" w:cs="Times New Roman"/>
                <w:sz w:val="22"/>
                <w:szCs w:val="22"/>
              </w:rPr>
              <w:t xml:space="preserve"> </w:t>
            </w:r>
            <w:r w:rsidR="007C31ED">
              <w:rPr>
                <w:rFonts w:ascii="Times New Roman" w:eastAsia="Times New Roman" w:hAnsi="Times New Roman" w:cs="Times New Roman"/>
                <w:sz w:val="22"/>
                <w:szCs w:val="22"/>
              </w:rPr>
              <w:t>r.</w:t>
            </w:r>
            <w:r w:rsidR="003765F8">
              <w:rPr>
                <w:rFonts w:ascii="Times New Roman" w:eastAsia="Times New Roman" w:hAnsi="Times New Roman" w:cs="Times New Roman"/>
                <w:sz w:val="22"/>
                <w:szCs w:val="22"/>
              </w:rPr>
              <w:t>)</w:t>
            </w:r>
            <w:r w:rsidR="007C31ED">
              <w:rPr>
                <w:rFonts w:ascii="Times New Roman" w:eastAsia="Times New Roman" w:hAnsi="Times New Roman" w:cs="Times New Roman"/>
                <w:sz w:val="22"/>
                <w:szCs w:val="22"/>
              </w:rPr>
              <w:t xml:space="preserve"> </w:t>
            </w:r>
            <w:r w:rsidRPr="008B7F10">
              <w:rPr>
                <w:rFonts w:ascii="Times New Roman" w:eastAsia="Times New Roman" w:hAnsi="Times New Roman" w:cs="Times New Roman"/>
                <w:sz w:val="22"/>
                <w:szCs w:val="22"/>
              </w:rPr>
              <w:t xml:space="preserve">art. </w:t>
            </w:r>
            <w:r w:rsidR="007C31ED">
              <w:rPr>
                <w:rFonts w:ascii="Times New Roman" w:eastAsia="Times New Roman" w:hAnsi="Times New Roman" w:cs="Times New Roman"/>
                <w:sz w:val="22"/>
                <w:szCs w:val="22"/>
              </w:rPr>
              <w:t xml:space="preserve">19 TFUE </w:t>
            </w:r>
            <w:r w:rsidRPr="008B7F10">
              <w:rPr>
                <w:rFonts w:ascii="Times New Roman" w:eastAsia="Times New Roman" w:hAnsi="Times New Roman" w:cs="Times New Roman"/>
                <w:sz w:val="22"/>
                <w:szCs w:val="22"/>
              </w:rPr>
              <w:t>pozostaje głównym przepisem przyznającym UE uprawnienia prawodawcze w zakresie zwalczania dyskryminacji ze względu na niepełnosprawność. Wprowadzono przy tym nowy art. 10 TFUE, który stanowi, że „przy określaniu i realizacji swoich polityk i działań Unia dąży do zwalczania wszelkiej dyskryminacji ze względu na płeć, rasę lub pochodzenie etniczne, religię lub światopogląd, niepełnosprawność, wiek lub orientację seksualną”.</w:t>
            </w:r>
          </w:p>
          <w:p w14:paraId="2E99B1BF" w14:textId="0801CAA7" w:rsidR="00515863" w:rsidRDefault="008B7F10" w:rsidP="00707E91">
            <w:pPr>
              <w:widowControl w:val="0"/>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Również </w:t>
            </w:r>
            <w:r w:rsidR="00515863">
              <w:rPr>
                <w:rFonts w:ascii="Times New Roman" w:eastAsia="Times New Roman" w:hAnsi="Times New Roman" w:cs="Times New Roman"/>
                <w:sz w:val="22"/>
                <w:szCs w:val="22"/>
              </w:rPr>
              <w:t xml:space="preserve">Karta </w:t>
            </w:r>
            <w:r w:rsidR="003765F8">
              <w:rPr>
                <w:rFonts w:ascii="Times New Roman" w:eastAsia="Times New Roman" w:hAnsi="Times New Roman" w:cs="Times New Roman"/>
                <w:sz w:val="22"/>
                <w:szCs w:val="22"/>
              </w:rPr>
              <w:t>P</w:t>
            </w:r>
            <w:r w:rsidR="00515863">
              <w:rPr>
                <w:rFonts w:ascii="Times New Roman" w:eastAsia="Times New Roman" w:hAnsi="Times New Roman" w:cs="Times New Roman"/>
                <w:sz w:val="22"/>
                <w:szCs w:val="22"/>
              </w:rPr>
              <w:t xml:space="preserve">raw </w:t>
            </w:r>
            <w:r w:rsidR="003765F8">
              <w:rPr>
                <w:rFonts w:ascii="Times New Roman" w:eastAsia="Times New Roman" w:hAnsi="Times New Roman" w:cs="Times New Roman"/>
                <w:sz w:val="22"/>
                <w:szCs w:val="22"/>
              </w:rPr>
              <w:t>P</w:t>
            </w:r>
            <w:r w:rsidR="00515863">
              <w:rPr>
                <w:rFonts w:ascii="Times New Roman" w:eastAsia="Times New Roman" w:hAnsi="Times New Roman" w:cs="Times New Roman"/>
                <w:sz w:val="22"/>
                <w:szCs w:val="22"/>
              </w:rPr>
              <w:t>odstawowych Unii Europejskiej</w:t>
            </w:r>
            <w:r w:rsidR="003765F8">
              <w:rPr>
                <w:rFonts w:ascii="Times New Roman" w:eastAsia="Times New Roman" w:hAnsi="Times New Roman" w:cs="Times New Roman"/>
                <w:sz w:val="22"/>
                <w:szCs w:val="22"/>
              </w:rPr>
              <w:t>, zwana dale</w:t>
            </w:r>
            <w:r w:rsidR="00244FA0">
              <w:rPr>
                <w:rFonts w:ascii="Times New Roman" w:eastAsia="Times New Roman" w:hAnsi="Times New Roman" w:cs="Times New Roman"/>
                <w:sz w:val="22"/>
                <w:szCs w:val="22"/>
              </w:rPr>
              <w:t>j</w:t>
            </w:r>
            <w:r w:rsidR="003765F8">
              <w:rPr>
                <w:rFonts w:ascii="Times New Roman" w:eastAsia="Times New Roman" w:hAnsi="Times New Roman" w:cs="Times New Roman"/>
                <w:sz w:val="22"/>
                <w:szCs w:val="22"/>
              </w:rPr>
              <w:t xml:space="preserve"> „Kartą”</w:t>
            </w:r>
            <w:r w:rsidR="002F6542">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 xml:space="preserve">zawiera szereg przepisów, które dotyczą osób </w:t>
            </w:r>
            <w:r w:rsidR="008A537F">
              <w:rPr>
                <w:rFonts w:ascii="Times New Roman" w:eastAsia="Times New Roman" w:hAnsi="Times New Roman" w:cs="Times New Roman"/>
                <w:sz w:val="22"/>
                <w:szCs w:val="22"/>
              </w:rPr>
              <w:t xml:space="preserve">z </w:t>
            </w:r>
            <w:r w:rsidR="00515863">
              <w:rPr>
                <w:rFonts w:ascii="Times New Roman" w:eastAsia="Times New Roman" w:hAnsi="Times New Roman" w:cs="Times New Roman"/>
                <w:sz w:val="22"/>
                <w:szCs w:val="22"/>
              </w:rPr>
              <w:t xml:space="preserve">niepełnosprawnościami, w szczególności: prawo do godności </w:t>
            </w:r>
            <w:r w:rsidR="00596E06">
              <w:rPr>
                <w:rFonts w:ascii="Times New Roman" w:eastAsia="Times New Roman" w:hAnsi="Times New Roman" w:cs="Times New Roman"/>
                <w:sz w:val="22"/>
                <w:szCs w:val="22"/>
              </w:rPr>
              <w:t>człowieka</w:t>
            </w:r>
            <w:r w:rsidR="00515863">
              <w:rPr>
                <w:rFonts w:ascii="Times New Roman" w:eastAsia="Times New Roman" w:hAnsi="Times New Roman" w:cs="Times New Roman"/>
                <w:sz w:val="22"/>
                <w:szCs w:val="22"/>
              </w:rPr>
              <w:t xml:space="preserve"> (art. 1), prawo </w:t>
            </w:r>
            <w:r w:rsidR="00596E06">
              <w:rPr>
                <w:rFonts w:ascii="Times New Roman" w:eastAsia="Times New Roman" w:hAnsi="Times New Roman" w:cs="Times New Roman"/>
                <w:sz w:val="22"/>
                <w:szCs w:val="22"/>
              </w:rPr>
              <w:t xml:space="preserve">człowieka </w:t>
            </w:r>
            <w:r w:rsidR="00515863">
              <w:rPr>
                <w:rFonts w:ascii="Times New Roman" w:eastAsia="Times New Roman" w:hAnsi="Times New Roman" w:cs="Times New Roman"/>
                <w:sz w:val="22"/>
                <w:szCs w:val="22"/>
              </w:rPr>
              <w:t xml:space="preserve">do integralności </w:t>
            </w:r>
            <w:r w:rsidR="00457A76">
              <w:rPr>
                <w:rFonts w:ascii="Times New Roman" w:eastAsia="Times New Roman" w:hAnsi="Times New Roman" w:cs="Times New Roman"/>
                <w:sz w:val="22"/>
                <w:szCs w:val="22"/>
              </w:rPr>
              <w:br/>
            </w:r>
            <w:r w:rsidR="00515863">
              <w:rPr>
                <w:rFonts w:ascii="Times New Roman" w:eastAsia="Times New Roman" w:hAnsi="Times New Roman" w:cs="Times New Roman"/>
                <w:sz w:val="22"/>
                <w:szCs w:val="22"/>
              </w:rPr>
              <w:t xml:space="preserve">(art. 3), prawo do nauki (art. 14), prawo wyboru zawodu i prawo do podejmowania pracy (art. 15) </w:t>
            </w:r>
            <w:r w:rsidR="003765F8">
              <w:rPr>
                <w:rFonts w:ascii="Times New Roman" w:eastAsia="Times New Roman" w:hAnsi="Times New Roman" w:cs="Times New Roman"/>
                <w:sz w:val="22"/>
                <w:szCs w:val="22"/>
              </w:rPr>
              <w:t xml:space="preserve">oraz prawo </w:t>
            </w:r>
            <w:r w:rsidR="00515863">
              <w:rPr>
                <w:rFonts w:ascii="Times New Roman" w:eastAsia="Times New Roman" w:hAnsi="Times New Roman" w:cs="Times New Roman"/>
                <w:sz w:val="22"/>
                <w:szCs w:val="22"/>
              </w:rPr>
              <w:t>swobod</w:t>
            </w:r>
            <w:r w:rsidR="003765F8">
              <w:rPr>
                <w:rFonts w:ascii="Times New Roman" w:eastAsia="Times New Roman" w:hAnsi="Times New Roman" w:cs="Times New Roman"/>
                <w:sz w:val="22"/>
                <w:szCs w:val="22"/>
              </w:rPr>
              <w:t>y</w:t>
            </w:r>
            <w:r w:rsidR="00515863">
              <w:rPr>
                <w:rFonts w:ascii="Times New Roman" w:eastAsia="Times New Roman" w:hAnsi="Times New Roman" w:cs="Times New Roman"/>
                <w:sz w:val="22"/>
                <w:szCs w:val="22"/>
              </w:rPr>
              <w:t xml:space="preserve"> przemieszczania się i </w:t>
            </w:r>
            <w:r w:rsidR="00596E06">
              <w:rPr>
                <w:rFonts w:ascii="Times New Roman" w:eastAsia="Times New Roman" w:hAnsi="Times New Roman" w:cs="Times New Roman"/>
                <w:sz w:val="22"/>
                <w:szCs w:val="22"/>
              </w:rPr>
              <w:t>pobytu</w:t>
            </w:r>
            <w:r w:rsidR="00515863">
              <w:rPr>
                <w:rFonts w:ascii="Times New Roman" w:eastAsia="Times New Roman" w:hAnsi="Times New Roman" w:cs="Times New Roman"/>
                <w:sz w:val="22"/>
                <w:szCs w:val="22"/>
              </w:rPr>
              <w:t xml:space="preserve"> (art. 45). Zwłaszcza art. 25 Karty </w:t>
            </w:r>
            <w:r w:rsidR="00AF3826">
              <w:rPr>
                <w:rFonts w:ascii="Times New Roman" w:eastAsia="Times New Roman" w:hAnsi="Times New Roman" w:cs="Times New Roman"/>
                <w:sz w:val="22"/>
                <w:szCs w:val="22"/>
              </w:rPr>
              <w:t>stanowi</w:t>
            </w:r>
            <w:r w:rsidR="00515863">
              <w:rPr>
                <w:rFonts w:ascii="Times New Roman" w:eastAsia="Times New Roman" w:hAnsi="Times New Roman" w:cs="Times New Roman"/>
                <w:sz w:val="22"/>
                <w:szCs w:val="22"/>
              </w:rPr>
              <w:t xml:space="preserve">, że UE uznaje i szanuje prawo osób </w:t>
            </w:r>
            <w:r w:rsidR="003745D4">
              <w:rPr>
                <w:rFonts w:ascii="Times New Roman" w:eastAsia="Times New Roman" w:hAnsi="Times New Roman" w:cs="Times New Roman"/>
                <w:sz w:val="22"/>
                <w:szCs w:val="22"/>
              </w:rPr>
              <w:br/>
            </w:r>
            <w:r w:rsidR="00515863">
              <w:rPr>
                <w:rFonts w:ascii="Times New Roman" w:eastAsia="Times New Roman" w:hAnsi="Times New Roman" w:cs="Times New Roman"/>
                <w:sz w:val="22"/>
                <w:szCs w:val="22"/>
              </w:rPr>
              <w:t>w</w:t>
            </w:r>
            <w:r w:rsidR="003745D4">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 xml:space="preserve">podeszłym wieku do godnego i niezależnego życia oraz do uczestniczenia w życiu społecznym i kulturalnym. </w:t>
            </w:r>
            <w:r w:rsidR="003745D4">
              <w:rPr>
                <w:rFonts w:ascii="Times New Roman" w:eastAsia="Times New Roman" w:hAnsi="Times New Roman" w:cs="Times New Roman"/>
                <w:sz w:val="22"/>
                <w:szCs w:val="22"/>
              </w:rPr>
              <w:br/>
            </w:r>
            <w:r w:rsidR="003765F8">
              <w:rPr>
                <w:rFonts w:ascii="Times New Roman" w:eastAsia="Times New Roman" w:hAnsi="Times New Roman" w:cs="Times New Roman"/>
                <w:sz w:val="22"/>
                <w:szCs w:val="22"/>
              </w:rPr>
              <w:t xml:space="preserve">Na uwagę zasługuje </w:t>
            </w:r>
            <w:r w:rsidR="00D43C98">
              <w:rPr>
                <w:rFonts w:ascii="Times New Roman" w:eastAsia="Times New Roman" w:hAnsi="Times New Roman" w:cs="Times New Roman"/>
                <w:sz w:val="22"/>
                <w:szCs w:val="22"/>
              </w:rPr>
              <w:t>też</w:t>
            </w:r>
            <w:r w:rsidR="003765F8">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art. 26 Karty</w:t>
            </w:r>
            <w:r w:rsidR="003765F8">
              <w:rPr>
                <w:rFonts w:ascii="Times New Roman" w:eastAsia="Times New Roman" w:hAnsi="Times New Roman" w:cs="Times New Roman"/>
                <w:sz w:val="22"/>
                <w:szCs w:val="22"/>
              </w:rPr>
              <w:t xml:space="preserve">, </w:t>
            </w:r>
            <w:r w:rsidR="00AF3826">
              <w:rPr>
                <w:rFonts w:ascii="Times New Roman" w:eastAsia="Times New Roman" w:hAnsi="Times New Roman" w:cs="Times New Roman"/>
                <w:sz w:val="22"/>
                <w:szCs w:val="22"/>
              </w:rPr>
              <w:t>zgodnie z</w:t>
            </w:r>
            <w:r w:rsidR="003765F8">
              <w:rPr>
                <w:rFonts w:ascii="Times New Roman" w:eastAsia="Times New Roman" w:hAnsi="Times New Roman" w:cs="Times New Roman"/>
                <w:sz w:val="22"/>
                <w:szCs w:val="22"/>
              </w:rPr>
              <w:t xml:space="preserve"> którym</w:t>
            </w:r>
            <w:r w:rsidR="00AF3826">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UE uznaje i szanuje prawo osób z niepełnosprawnościami do korzystania ze środków mających zapewnić im samodzielność, integrację społeczną i zawodową oraz udział w życiu społeczności.</w:t>
            </w:r>
            <w:r>
              <w:rPr>
                <w:rFonts w:ascii="Times New Roman" w:eastAsia="Times New Roman" w:hAnsi="Times New Roman" w:cs="Times New Roman"/>
                <w:sz w:val="22"/>
                <w:szCs w:val="22"/>
              </w:rPr>
              <w:t xml:space="preserve"> Wraz z wejściem </w:t>
            </w:r>
            <w:r w:rsidR="009D7049">
              <w:rPr>
                <w:rFonts w:ascii="Times New Roman" w:eastAsia="Times New Roman" w:hAnsi="Times New Roman" w:cs="Times New Roman"/>
                <w:sz w:val="22"/>
                <w:szCs w:val="22"/>
              </w:rPr>
              <w:t>w życie Traktatu z</w:t>
            </w:r>
            <w:r w:rsidR="00197819">
              <w:rPr>
                <w:rFonts w:ascii="Times New Roman" w:eastAsia="Times New Roman" w:hAnsi="Times New Roman" w:cs="Times New Roman"/>
                <w:sz w:val="22"/>
                <w:szCs w:val="22"/>
              </w:rPr>
              <w:t> </w:t>
            </w:r>
            <w:r w:rsidR="009D7049">
              <w:rPr>
                <w:rFonts w:ascii="Times New Roman" w:eastAsia="Times New Roman" w:hAnsi="Times New Roman" w:cs="Times New Roman"/>
                <w:sz w:val="22"/>
                <w:szCs w:val="22"/>
              </w:rPr>
              <w:t xml:space="preserve">Lizbony </w:t>
            </w:r>
            <w:r w:rsidRPr="008B7F10">
              <w:rPr>
                <w:rFonts w:ascii="Times New Roman" w:eastAsia="Times New Roman" w:hAnsi="Times New Roman" w:cs="Times New Roman"/>
                <w:sz w:val="22"/>
                <w:szCs w:val="22"/>
              </w:rPr>
              <w:t xml:space="preserve">Karta </w:t>
            </w:r>
            <w:r w:rsidR="009D7049">
              <w:rPr>
                <w:rFonts w:ascii="Times New Roman" w:eastAsia="Times New Roman" w:hAnsi="Times New Roman" w:cs="Times New Roman"/>
                <w:sz w:val="22"/>
                <w:szCs w:val="22"/>
              </w:rPr>
              <w:t>otrzymała taką samą moc prawn</w:t>
            </w:r>
            <w:r w:rsidR="00DF6CAB">
              <w:rPr>
                <w:rFonts w:ascii="Times New Roman" w:eastAsia="Times New Roman" w:hAnsi="Times New Roman" w:cs="Times New Roman"/>
                <w:sz w:val="22"/>
                <w:szCs w:val="22"/>
              </w:rPr>
              <w:t>ą</w:t>
            </w:r>
            <w:r w:rsidR="009D7049">
              <w:rPr>
                <w:rFonts w:ascii="Times New Roman" w:eastAsia="Times New Roman" w:hAnsi="Times New Roman" w:cs="Times New Roman"/>
                <w:sz w:val="22"/>
                <w:szCs w:val="22"/>
              </w:rPr>
              <w:t xml:space="preserve"> jak traktaty unijne (zgodnie z art. 6 ust. 1 Traktatu o Unii Europejskiej)</w:t>
            </w:r>
            <w:r w:rsidRPr="008B7F10">
              <w:rPr>
                <w:rFonts w:ascii="Times New Roman" w:eastAsia="Times New Roman" w:hAnsi="Times New Roman" w:cs="Times New Roman"/>
                <w:sz w:val="22"/>
                <w:szCs w:val="22"/>
              </w:rPr>
              <w:t>, a tym samym stała się wiążącym źródłem pr</w:t>
            </w:r>
            <w:r w:rsidR="009D7049">
              <w:rPr>
                <w:rFonts w:ascii="Times New Roman" w:eastAsia="Times New Roman" w:hAnsi="Times New Roman" w:cs="Times New Roman"/>
                <w:sz w:val="22"/>
                <w:szCs w:val="22"/>
              </w:rPr>
              <w:t>awa pierwotnego</w:t>
            </w:r>
            <w:r w:rsidR="00AF3826">
              <w:rPr>
                <w:rFonts w:ascii="Times New Roman" w:eastAsia="Times New Roman" w:hAnsi="Times New Roman" w:cs="Times New Roman"/>
                <w:sz w:val="22"/>
                <w:szCs w:val="22"/>
              </w:rPr>
              <w:t xml:space="preserve"> UE</w:t>
            </w:r>
            <w:r w:rsidR="009D7049">
              <w:rPr>
                <w:rFonts w:ascii="Times New Roman" w:eastAsia="Times New Roman" w:hAnsi="Times New Roman" w:cs="Times New Roman"/>
                <w:sz w:val="22"/>
                <w:szCs w:val="22"/>
              </w:rPr>
              <w:t xml:space="preserve">. Karta </w:t>
            </w:r>
            <w:r w:rsidRPr="008B7F10">
              <w:rPr>
                <w:rFonts w:ascii="Times New Roman" w:eastAsia="Times New Roman" w:hAnsi="Times New Roman" w:cs="Times New Roman"/>
                <w:sz w:val="22"/>
                <w:szCs w:val="22"/>
              </w:rPr>
              <w:t xml:space="preserve">opiera się na </w:t>
            </w:r>
            <w:r w:rsidR="00AF3826">
              <w:rPr>
                <w:rFonts w:ascii="Times New Roman" w:eastAsia="Times New Roman" w:hAnsi="Times New Roman" w:cs="Times New Roman"/>
                <w:sz w:val="22"/>
                <w:szCs w:val="22"/>
              </w:rPr>
              <w:t>E</w:t>
            </w:r>
            <w:r w:rsidRPr="008B7F10">
              <w:rPr>
                <w:rFonts w:ascii="Times New Roman" w:eastAsia="Times New Roman" w:hAnsi="Times New Roman" w:cs="Times New Roman"/>
                <w:sz w:val="22"/>
                <w:szCs w:val="22"/>
              </w:rPr>
              <w:t>uropejskiej Konwencji</w:t>
            </w:r>
            <w:r w:rsidR="003765F8">
              <w:rPr>
                <w:rFonts w:ascii="Times New Roman" w:eastAsia="Times New Roman" w:hAnsi="Times New Roman" w:cs="Times New Roman"/>
                <w:sz w:val="22"/>
                <w:szCs w:val="22"/>
              </w:rPr>
              <w:t xml:space="preserve"> o ochronie</w:t>
            </w:r>
            <w:r w:rsidRPr="008B7F10">
              <w:rPr>
                <w:rFonts w:ascii="Times New Roman" w:eastAsia="Times New Roman" w:hAnsi="Times New Roman" w:cs="Times New Roman"/>
                <w:sz w:val="22"/>
                <w:szCs w:val="22"/>
              </w:rPr>
              <w:t xml:space="preserve"> </w:t>
            </w:r>
            <w:r w:rsidR="003765F8">
              <w:rPr>
                <w:rFonts w:ascii="Times New Roman" w:eastAsia="Times New Roman" w:hAnsi="Times New Roman" w:cs="Times New Roman"/>
                <w:sz w:val="22"/>
                <w:szCs w:val="22"/>
              </w:rPr>
              <w:t>p</w:t>
            </w:r>
            <w:r w:rsidRPr="008B7F10">
              <w:rPr>
                <w:rFonts w:ascii="Times New Roman" w:eastAsia="Times New Roman" w:hAnsi="Times New Roman" w:cs="Times New Roman"/>
                <w:sz w:val="22"/>
                <w:szCs w:val="22"/>
              </w:rPr>
              <w:t xml:space="preserve">raw </w:t>
            </w:r>
            <w:r w:rsidR="003765F8">
              <w:rPr>
                <w:rFonts w:ascii="Times New Roman" w:eastAsia="Times New Roman" w:hAnsi="Times New Roman" w:cs="Times New Roman"/>
                <w:sz w:val="22"/>
                <w:szCs w:val="22"/>
              </w:rPr>
              <w:t>c</w:t>
            </w:r>
            <w:r w:rsidRPr="008B7F10">
              <w:rPr>
                <w:rFonts w:ascii="Times New Roman" w:eastAsia="Times New Roman" w:hAnsi="Times New Roman" w:cs="Times New Roman"/>
                <w:sz w:val="22"/>
                <w:szCs w:val="22"/>
              </w:rPr>
              <w:t xml:space="preserve">złowieka i </w:t>
            </w:r>
            <w:r w:rsidR="003765F8">
              <w:rPr>
                <w:rFonts w:ascii="Times New Roman" w:eastAsia="Times New Roman" w:hAnsi="Times New Roman" w:cs="Times New Roman"/>
                <w:sz w:val="22"/>
                <w:szCs w:val="22"/>
              </w:rPr>
              <w:t>p</w:t>
            </w:r>
            <w:r w:rsidRPr="008B7F10">
              <w:rPr>
                <w:rFonts w:ascii="Times New Roman" w:eastAsia="Times New Roman" w:hAnsi="Times New Roman" w:cs="Times New Roman"/>
                <w:sz w:val="22"/>
                <w:szCs w:val="22"/>
              </w:rPr>
              <w:t>odstawo</w:t>
            </w:r>
            <w:r>
              <w:rPr>
                <w:rFonts w:ascii="Times New Roman" w:eastAsia="Times New Roman" w:hAnsi="Times New Roman" w:cs="Times New Roman"/>
                <w:sz w:val="22"/>
                <w:szCs w:val="22"/>
              </w:rPr>
              <w:t xml:space="preserve">wych </w:t>
            </w:r>
            <w:r w:rsidR="003765F8">
              <w:rPr>
                <w:rFonts w:ascii="Times New Roman" w:eastAsia="Times New Roman" w:hAnsi="Times New Roman" w:cs="Times New Roman"/>
                <w:sz w:val="22"/>
                <w:szCs w:val="22"/>
              </w:rPr>
              <w:t>w</w:t>
            </w:r>
            <w:r>
              <w:rPr>
                <w:rFonts w:ascii="Times New Roman" w:eastAsia="Times New Roman" w:hAnsi="Times New Roman" w:cs="Times New Roman"/>
                <w:sz w:val="22"/>
                <w:szCs w:val="22"/>
              </w:rPr>
              <w:t>olności</w:t>
            </w:r>
            <w:r w:rsidRPr="008B7F10">
              <w:rPr>
                <w:rFonts w:ascii="Times New Roman" w:eastAsia="Times New Roman" w:hAnsi="Times New Roman" w:cs="Times New Roman"/>
                <w:sz w:val="22"/>
                <w:szCs w:val="22"/>
              </w:rPr>
              <w:t xml:space="preserve"> oraz na innych instrumentach europejskich i międzynarodowych z zakresu ochrony praw człowieka</w:t>
            </w:r>
            <w:r w:rsidR="007B6D17">
              <w:rPr>
                <w:rFonts w:ascii="Times New Roman" w:eastAsia="Times New Roman" w:hAnsi="Times New Roman" w:cs="Times New Roman"/>
                <w:sz w:val="22"/>
                <w:szCs w:val="22"/>
              </w:rPr>
              <w:t>. J</w:t>
            </w:r>
            <w:r w:rsidRPr="008B7F10">
              <w:rPr>
                <w:rFonts w:ascii="Times New Roman" w:eastAsia="Times New Roman" w:hAnsi="Times New Roman" w:cs="Times New Roman"/>
                <w:sz w:val="22"/>
                <w:szCs w:val="22"/>
              </w:rPr>
              <w:t xml:space="preserve">est </w:t>
            </w:r>
            <w:r w:rsidR="009D7049">
              <w:rPr>
                <w:rFonts w:ascii="Times New Roman" w:eastAsia="Times New Roman" w:hAnsi="Times New Roman" w:cs="Times New Roman"/>
                <w:sz w:val="22"/>
                <w:szCs w:val="22"/>
              </w:rPr>
              <w:t xml:space="preserve">jednocześnie </w:t>
            </w:r>
            <w:r w:rsidRPr="008B7F10">
              <w:rPr>
                <w:rFonts w:ascii="Times New Roman" w:eastAsia="Times New Roman" w:hAnsi="Times New Roman" w:cs="Times New Roman"/>
                <w:sz w:val="22"/>
                <w:szCs w:val="22"/>
              </w:rPr>
              <w:t>innowacyjna pod wieloma wzg</w:t>
            </w:r>
            <w:r w:rsidR="009D7049">
              <w:rPr>
                <w:rFonts w:ascii="Times New Roman" w:eastAsia="Times New Roman" w:hAnsi="Times New Roman" w:cs="Times New Roman"/>
                <w:sz w:val="22"/>
                <w:szCs w:val="22"/>
              </w:rPr>
              <w:t>lędami, między innymi z uwagi</w:t>
            </w:r>
            <w:r w:rsidRPr="008B7F10">
              <w:rPr>
                <w:rFonts w:ascii="Times New Roman" w:eastAsia="Times New Roman" w:hAnsi="Times New Roman" w:cs="Times New Roman"/>
                <w:sz w:val="22"/>
                <w:szCs w:val="22"/>
              </w:rPr>
              <w:t xml:space="preserve"> na objęcie sw</w:t>
            </w:r>
            <w:r w:rsidR="008C6AED">
              <w:rPr>
                <w:rFonts w:ascii="Times New Roman" w:eastAsia="Times New Roman" w:hAnsi="Times New Roman" w:cs="Times New Roman"/>
                <w:sz w:val="22"/>
                <w:szCs w:val="22"/>
              </w:rPr>
              <w:t>oi</w:t>
            </w:r>
            <w:r w:rsidRPr="008B7F10">
              <w:rPr>
                <w:rFonts w:ascii="Times New Roman" w:eastAsia="Times New Roman" w:hAnsi="Times New Roman" w:cs="Times New Roman"/>
                <w:sz w:val="22"/>
                <w:szCs w:val="22"/>
              </w:rPr>
              <w:t>mi postanowieniami niepełnosprawności czy też wiek</w:t>
            </w:r>
            <w:r w:rsidR="007B6D17">
              <w:rPr>
                <w:rFonts w:ascii="Times New Roman" w:eastAsia="Times New Roman" w:hAnsi="Times New Roman" w:cs="Times New Roman"/>
                <w:sz w:val="22"/>
                <w:szCs w:val="22"/>
              </w:rPr>
              <w:t>u</w:t>
            </w:r>
            <w:r w:rsidRPr="008B7F10">
              <w:rPr>
                <w:rFonts w:ascii="Times New Roman" w:eastAsia="Times New Roman" w:hAnsi="Times New Roman" w:cs="Times New Roman"/>
                <w:sz w:val="22"/>
                <w:szCs w:val="22"/>
              </w:rPr>
              <w:t xml:space="preserve"> lub orientacj</w:t>
            </w:r>
            <w:r w:rsidR="003765F8">
              <w:rPr>
                <w:rFonts w:ascii="Times New Roman" w:eastAsia="Times New Roman" w:hAnsi="Times New Roman" w:cs="Times New Roman"/>
                <w:sz w:val="22"/>
                <w:szCs w:val="22"/>
              </w:rPr>
              <w:t xml:space="preserve">i </w:t>
            </w:r>
            <w:r w:rsidRPr="008B7F10">
              <w:rPr>
                <w:rFonts w:ascii="Times New Roman" w:eastAsia="Times New Roman" w:hAnsi="Times New Roman" w:cs="Times New Roman"/>
                <w:sz w:val="22"/>
                <w:szCs w:val="22"/>
              </w:rPr>
              <w:t>seksualn</w:t>
            </w:r>
            <w:r w:rsidR="007B6D17">
              <w:rPr>
                <w:rFonts w:ascii="Times New Roman" w:eastAsia="Times New Roman" w:hAnsi="Times New Roman" w:cs="Times New Roman"/>
                <w:sz w:val="22"/>
                <w:szCs w:val="22"/>
              </w:rPr>
              <w:t>ej</w:t>
            </w:r>
            <w:r w:rsidRPr="008B7F10">
              <w:rPr>
                <w:rFonts w:ascii="Times New Roman" w:eastAsia="Times New Roman" w:hAnsi="Times New Roman" w:cs="Times New Roman"/>
                <w:sz w:val="22"/>
                <w:szCs w:val="22"/>
              </w:rPr>
              <w:t xml:space="preserve"> jako zakazan</w:t>
            </w:r>
            <w:r w:rsidR="007B6D17">
              <w:rPr>
                <w:rFonts w:ascii="Times New Roman" w:eastAsia="Times New Roman" w:hAnsi="Times New Roman" w:cs="Times New Roman"/>
                <w:sz w:val="22"/>
                <w:szCs w:val="22"/>
              </w:rPr>
              <w:t>ych</w:t>
            </w:r>
            <w:r w:rsidRPr="008B7F10">
              <w:rPr>
                <w:rFonts w:ascii="Times New Roman" w:eastAsia="Times New Roman" w:hAnsi="Times New Roman" w:cs="Times New Roman"/>
                <w:sz w:val="22"/>
                <w:szCs w:val="22"/>
              </w:rPr>
              <w:t xml:space="preserve"> przyczyn dyskryminacji.</w:t>
            </w:r>
          </w:p>
          <w:p w14:paraId="5944A94D" w14:textId="04F4F038" w:rsidR="00EC4C5C" w:rsidRDefault="00515863" w:rsidP="003C56B8">
            <w:pPr>
              <w:widowControl w:val="0"/>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Konstytucja R</w:t>
            </w:r>
            <w:r w:rsidR="00244FA0">
              <w:rPr>
                <w:rFonts w:ascii="Times New Roman" w:eastAsia="Times New Roman" w:hAnsi="Times New Roman" w:cs="Times New Roman"/>
                <w:sz w:val="22"/>
                <w:szCs w:val="22"/>
              </w:rPr>
              <w:t xml:space="preserve">zeczypospolitej </w:t>
            </w:r>
            <w:r>
              <w:rPr>
                <w:rFonts w:ascii="Times New Roman" w:eastAsia="Times New Roman" w:hAnsi="Times New Roman" w:cs="Times New Roman"/>
                <w:sz w:val="22"/>
                <w:szCs w:val="22"/>
              </w:rPr>
              <w:t>P</w:t>
            </w:r>
            <w:r w:rsidR="00244FA0">
              <w:rPr>
                <w:rFonts w:ascii="Times New Roman" w:eastAsia="Times New Roman" w:hAnsi="Times New Roman" w:cs="Times New Roman"/>
                <w:sz w:val="22"/>
                <w:szCs w:val="22"/>
              </w:rPr>
              <w:t>olskiej</w:t>
            </w:r>
            <w:r>
              <w:rPr>
                <w:rFonts w:ascii="Times New Roman" w:eastAsia="Times New Roman" w:hAnsi="Times New Roman" w:cs="Times New Roman"/>
                <w:sz w:val="22"/>
                <w:szCs w:val="22"/>
              </w:rPr>
              <w:t xml:space="preserve"> z </w:t>
            </w:r>
            <w:r w:rsidR="00244FA0">
              <w:rPr>
                <w:rFonts w:ascii="Times New Roman" w:eastAsia="Times New Roman" w:hAnsi="Times New Roman" w:cs="Times New Roman"/>
                <w:sz w:val="22"/>
                <w:szCs w:val="22"/>
              </w:rPr>
              <w:t xml:space="preserve">dnia 2 kwietnia </w:t>
            </w:r>
            <w:r>
              <w:rPr>
                <w:rFonts w:ascii="Times New Roman" w:eastAsia="Times New Roman" w:hAnsi="Times New Roman" w:cs="Times New Roman"/>
                <w:sz w:val="22"/>
                <w:szCs w:val="22"/>
              </w:rPr>
              <w:t>1997</w:t>
            </w:r>
            <w:r w:rsidR="00640A07">
              <w:rPr>
                <w:rFonts w:ascii="Times New Roman" w:eastAsia="Times New Roman" w:hAnsi="Times New Roman" w:cs="Times New Roman"/>
                <w:sz w:val="22"/>
                <w:szCs w:val="22"/>
              </w:rPr>
              <w:t> </w:t>
            </w:r>
            <w:r>
              <w:rPr>
                <w:rFonts w:ascii="Times New Roman" w:eastAsia="Times New Roman" w:hAnsi="Times New Roman" w:cs="Times New Roman"/>
                <w:sz w:val="22"/>
                <w:szCs w:val="22"/>
              </w:rPr>
              <w:t>r.</w:t>
            </w:r>
            <w:r w:rsidR="00244FA0">
              <w:rPr>
                <w:rFonts w:ascii="Times New Roman" w:eastAsia="Times New Roman" w:hAnsi="Times New Roman" w:cs="Times New Roman"/>
                <w:sz w:val="22"/>
                <w:szCs w:val="22"/>
              </w:rPr>
              <w:t xml:space="preserve"> (Dz. U. poz. 483, z </w:t>
            </w:r>
            <w:proofErr w:type="spellStart"/>
            <w:r w:rsidR="00244FA0">
              <w:rPr>
                <w:rFonts w:ascii="Times New Roman" w:eastAsia="Times New Roman" w:hAnsi="Times New Roman" w:cs="Times New Roman"/>
                <w:sz w:val="22"/>
                <w:szCs w:val="22"/>
              </w:rPr>
              <w:t>późn</w:t>
            </w:r>
            <w:proofErr w:type="spellEnd"/>
            <w:r w:rsidR="00244FA0">
              <w:rPr>
                <w:rFonts w:ascii="Times New Roman" w:eastAsia="Times New Roman" w:hAnsi="Times New Roman" w:cs="Times New Roman"/>
                <w:sz w:val="22"/>
                <w:szCs w:val="22"/>
              </w:rPr>
              <w:t>. zm.) w art. 32 ust. 2</w:t>
            </w:r>
            <w:r>
              <w:rPr>
                <w:rFonts w:ascii="Times New Roman" w:eastAsia="Times New Roman" w:hAnsi="Times New Roman" w:cs="Times New Roman"/>
                <w:sz w:val="22"/>
                <w:szCs w:val="22"/>
              </w:rPr>
              <w:t xml:space="preserve"> stanowi, że nikt nie może być dyskryminowany w życiu politycznym, społecznym lub gospodarczym z jakiejkolwiek przyczyny, również bez względu na różnice wynikające z</w:t>
            </w:r>
            <w:r w:rsidR="00B833E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niepełnosprawności czy trwałych lub czasowych ograniczeń w mobilności i</w:t>
            </w:r>
            <w:r w:rsidR="00DD341B">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percepcji. Postulat równości został </w:t>
            </w:r>
            <w:r w:rsidR="00244FA0">
              <w:rPr>
                <w:rFonts w:ascii="Times New Roman" w:eastAsia="Times New Roman" w:hAnsi="Times New Roman" w:cs="Times New Roman"/>
                <w:sz w:val="22"/>
                <w:szCs w:val="22"/>
              </w:rPr>
              <w:t>zatem</w:t>
            </w:r>
            <w:r w:rsidR="00B833E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sformułowany jako istotna przesłanka organizowania ładu społecznego opartego na solidarności, w którym odrzuca się jakiekolwiek formy wykluczenia społecznego.</w:t>
            </w:r>
          </w:p>
          <w:p w14:paraId="3A1FE2AA" w14:textId="77777777" w:rsidR="006146C8" w:rsidRDefault="008B57FD" w:rsidP="003C56B8">
            <w:pPr>
              <w:widowControl w:val="0"/>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Również S</w:t>
            </w:r>
            <w:r w:rsidR="006146C8" w:rsidRPr="006146C8">
              <w:rPr>
                <w:rFonts w:ascii="Times New Roman" w:eastAsia="Times New Roman" w:hAnsi="Times New Roman" w:cs="Times New Roman"/>
                <w:sz w:val="22"/>
                <w:szCs w:val="22"/>
              </w:rPr>
              <w:t>trategi</w:t>
            </w:r>
            <w:r w:rsidR="00FF2A80">
              <w:rPr>
                <w:rFonts w:ascii="Times New Roman" w:eastAsia="Times New Roman" w:hAnsi="Times New Roman" w:cs="Times New Roman"/>
                <w:sz w:val="22"/>
                <w:szCs w:val="22"/>
              </w:rPr>
              <w:t>a</w:t>
            </w:r>
            <w:r w:rsidR="006146C8" w:rsidRPr="006146C8">
              <w:rPr>
                <w:rFonts w:ascii="Times New Roman" w:eastAsia="Times New Roman" w:hAnsi="Times New Roman" w:cs="Times New Roman"/>
                <w:sz w:val="22"/>
                <w:szCs w:val="22"/>
              </w:rPr>
              <w:t xml:space="preserve"> na rzecz Osób z Niepełnosprawnościami </w:t>
            </w:r>
            <w:r w:rsidR="00B71CCD">
              <w:rPr>
                <w:rFonts w:ascii="Times New Roman" w:eastAsia="Times New Roman" w:hAnsi="Times New Roman" w:cs="Times New Roman"/>
                <w:sz w:val="22"/>
                <w:szCs w:val="22"/>
              </w:rPr>
              <w:t xml:space="preserve">na lata </w:t>
            </w:r>
            <w:r w:rsidR="006146C8" w:rsidRPr="006146C8">
              <w:rPr>
                <w:rFonts w:ascii="Times New Roman" w:eastAsia="Times New Roman" w:hAnsi="Times New Roman" w:cs="Times New Roman"/>
                <w:sz w:val="22"/>
                <w:szCs w:val="22"/>
              </w:rPr>
              <w:t xml:space="preserve">2021–2030 </w:t>
            </w:r>
            <w:r w:rsidR="00CF24D2">
              <w:rPr>
                <w:rFonts w:ascii="Times New Roman" w:eastAsia="Times New Roman" w:hAnsi="Times New Roman" w:cs="Times New Roman"/>
                <w:sz w:val="22"/>
                <w:szCs w:val="22"/>
              </w:rPr>
              <w:t>(</w:t>
            </w:r>
            <w:r w:rsidR="006146C8" w:rsidRPr="006146C8">
              <w:rPr>
                <w:rFonts w:ascii="Times New Roman" w:eastAsia="Times New Roman" w:hAnsi="Times New Roman" w:cs="Times New Roman"/>
                <w:sz w:val="22"/>
                <w:szCs w:val="22"/>
              </w:rPr>
              <w:t>przyjęt</w:t>
            </w:r>
            <w:r w:rsidR="00FF2A80">
              <w:rPr>
                <w:rFonts w:ascii="Times New Roman" w:eastAsia="Times New Roman" w:hAnsi="Times New Roman" w:cs="Times New Roman"/>
                <w:sz w:val="22"/>
                <w:szCs w:val="22"/>
              </w:rPr>
              <w:t>a</w:t>
            </w:r>
            <w:r w:rsidR="006146C8" w:rsidRPr="006146C8">
              <w:rPr>
                <w:rFonts w:ascii="Times New Roman" w:eastAsia="Times New Roman" w:hAnsi="Times New Roman" w:cs="Times New Roman"/>
                <w:sz w:val="22"/>
                <w:szCs w:val="22"/>
              </w:rPr>
              <w:t xml:space="preserve"> uchwałą nr 27 Rady Ministrów </w:t>
            </w:r>
            <w:r w:rsidR="000B0C37">
              <w:rPr>
                <w:rFonts w:ascii="Times New Roman" w:eastAsia="Times New Roman" w:hAnsi="Times New Roman" w:cs="Times New Roman"/>
                <w:sz w:val="22"/>
                <w:szCs w:val="22"/>
              </w:rPr>
              <w:br/>
            </w:r>
            <w:r w:rsidR="006146C8" w:rsidRPr="006146C8">
              <w:rPr>
                <w:rFonts w:ascii="Times New Roman" w:eastAsia="Times New Roman" w:hAnsi="Times New Roman" w:cs="Times New Roman"/>
                <w:sz w:val="22"/>
                <w:szCs w:val="22"/>
              </w:rPr>
              <w:t>z dnia 16 lutego 2021 r. w sprawie przyjęcia dokumentu Strategia na rzecz Osób z Niepełnosprawnościami 2021–2030 (M.P. poz. 218) – w Priorytecie II</w:t>
            </w:r>
            <w:r w:rsidR="0080380B">
              <w:rPr>
                <w:rFonts w:ascii="Times New Roman" w:eastAsia="Times New Roman" w:hAnsi="Times New Roman" w:cs="Times New Roman"/>
                <w:sz w:val="22"/>
                <w:szCs w:val="22"/>
              </w:rPr>
              <w:t>,</w:t>
            </w:r>
            <w:r w:rsidR="006146C8" w:rsidRPr="006146C8">
              <w:rPr>
                <w:rFonts w:ascii="Times New Roman" w:eastAsia="Times New Roman" w:hAnsi="Times New Roman" w:cs="Times New Roman"/>
                <w:sz w:val="22"/>
                <w:szCs w:val="22"/>
              </w:rPr>
              <w:t xml:space="preserve"> Działaniu 3.6</w:t>
            </w:r>
            <w:r w:rsidR="003765F8">
              <w:rPr>
                <w:rFonts w:ascii="Times New Roman" w:eastAsia="Times New Roman" w:hAnsi="Times New Roman" w:cs="Times New Roman"/>
                <w:sz w:val="22"/>
                <w:szCs w:val="22"/>
              </w:rPr>
              <w:t>.</w:t>
            </w:r>
            <w:r w:rsidR="006146C8" w:rsidRPr="006146C8">
              <w:rPr>
                <w:rFonts w:ascii="Times New Roman" w:eastAsia="Times New Roman" w:hAnsi="Times New Roman" w:cs="Times New Roman"/>
                <w:sz w:val="22"/>
                <w:szCs w:val="22"/>
              </w:rPr>
              <w:t xml:space="preserve"> „Zwiększenie dostępności infrastruktury, produktów i usług </w:t>
            </w:r>
            <w:r w:rsidR="000B0C37">
              <w:rPr>
                <w:rFonts w:ascii="Times New Roman" w:eastAsia="Times New Roman" w:hAnsi="Times New Roman" w:cs="Times New Roman"/>
                <w:sz w:val="22"/>
                <w:szCs w:val="22"/>
              </w:rPr>
              <w:br/>
            </w:r>
            <w:r w:rsidR="006146C8" w:rsidRPr="006146C8">
              <w:rPr>
                <w:rFonts w:ascii="Times New Roman" w:eastAsia="Times New Roman" w:hAnsi="Times New Roman" w:cs="Times New Roman"/>
                <w:sz w:val="22"/>
                <w:szCs w:val="22"/>
              </w:rPr>
              <w:t>o charakterze powszechnym oferowanych przez podmioty gospodarcze” przewiduje działania wspierające proces efektywnej implementacji dyrektywy 2019/882 jako realizacji polityki rządu polskiego na rzecz dostępności w wielu obszarach życia społeczno-gospodarczego, w tym w zakresie rozwiązań wspierających przedsiębiorców w procesie wdrażania dostępności.</w:t>
            </w:r>
          </w:p>
          <w:p w14:paraId="7447589D" w14:textId="28BB79C5" w:rsidR="00EC4C5C" w:rsidRPr="005A5881" w:rsidRDefault="00515863" w:rsidP="00233281">
            <w:pPr>
              <w:spacing w:before="120" w:after="120"/>
              <w:jc w:val="both"/>
              <w:rPr>
                <w:rFonts w:ascii="Times New Roman" w:eastAsia="Times New Roman" w:hAnsi="Times New Roman" w:cs="Times New Roman"/>
                <w:sz w:val="22"/>
                <w:szCs w:val="22"/>
              </w:rPr>
            </w:pPr>
            <w:r w:rsidRPr="00231F84">
              <w:rPr>
                <w:rFonts w:ascii="Times New Roman" w:eastAsia="Times New Roman" w:hAnsi="Times New Roman" w:cs="Times New Roman"/>
                <w:sz w:val="22"/>
                <w:szCs w:val="22"/>
              </w:rPr>
              <w:t>Według wyników Narodowego Spisu Powszechnego Ludności i Mieszkań z 2011</w:t>
            </w:r>
            <w:r w:rsidR="00640A07">
              <w:rPr>
                <w:rFonts w:ascii="Times New Roman" w:eastAsia="Times New Roman" w:hAnsi="Times New Roman" w:cs="Times New Roman"/>
                <w:sz w:val="22"/>
                <w:szCs w:val="22"/>
              </w:rPr>
              <w:t> </w:t>
            </w:r>
            <w:r w:rsidRPr="00231F84">
              <w:rPr>
                <w:rFonts w:ascii="Times New Roman" w:eastAsia="Times New Roman" w:hAnsi="Times New Roman" w:cs="Times New Roman"/>
                <w:sz w:val="22"/>
                <w:szCs w:val="22"/>
              </w:rPr>
              <w:t>r. liczba osób</w:t>
            </w:r>
            <w:r w:rsidR="006D5808">
              <w:rPr>
                <w:rFonts w:ascii="Times New Roman" w:eastAsia="Times New Roman" w:hAnsi="Times New Roman" w:cs="Times New Roman"/>
                <w:sz w:val="22"/>
                <w:szCs w:val="22"/>
              </w:rPr>
              <w:t xml:space="preserve"> </w:t>
            </w:r>
            <w:r w:rsidRPr="00231F84">
              <w:rPr>
                <w:rFonts w:ascii="Times New Roman" w:eastAsia="Times New Roman" w:hAnsi="Times New Roman" w:cs="Times New Roman"/>
                <w:sz w:val="22"/>
                <w:szCs w:val="22"/>
              </w:rPr>
              <w:t>z</w:t>
            </w:r>
            <w:r w:rsidR="00FB23F3">
              <w:rPr>
                <w:rFonts w:ascii="Times New Roman" w:eastAsia="Times New Roman" w:hAnsi="Times New Roman" w:cs="Times New Roman"/>
                <w:sz w:val="22"/>
                <w:szCs w:val="22"/>
              </w:rPr>
              <w:t> </w:t>
            </w:r>
            <w:r w:rsidRPr="00231F84">
              <w:rPr>
                <w:rFonts w:ascii="Times New Roman" w:eastAsia="Times New Roman" w:hAnsi="Times New Roman" w:cs="Times New Roman"/>
                <w:sz w:val="22"/>
                <w:szCs w:val="22"/>
              </w:rPr>
              <w:t xml:space="preserve">niepełnosprawnościami w Polsce wynosiła </w:t>
            </w:r>
            <w:r w:rsidR="00B47E2B">
              <w:rPr>
                <w:rFonts w:ascii="Times New Roman" w:eastAsia="Times New Roman" w:hAnsi="Times New Roman" w:cs="Times New Roman"/>
                <w:sz w:val="22"/>
                <w:szCs w:val="22"/>
              </w:rPr>
              <w:t>prawie</w:t>
            </w:r>
            <w:r w:rsidR="00357874">
              <w:rPr>
                <w:rFonts w:ascii="Times New Roman" w:eastAsia="Times New Roman" w:hAnsi="Times New Roman" w:cs="Times New Roman"/>
                <w:sz w:val="22"/>
                <w:szCs w:val="22"/>
              </w:rPr>
              <w:t xml:space="preserve"> </w:t>
            </w:r>
            <w:r w:rsidR="00B47E2B">
              <w:rPr>
                <w:rFonts w:ascii="Times New Roman" w:eastAsia="Times New Roman" w:hAnsi="Times New Roman" w:cs="Times New Roman"/>
                <w:sz w:val="22"/>
                <w:szCs w:val="22"/>
              </w:rPr>
              <w:t>4,7</w:t>
            </w:r>
            <w:r w:rsidRPr="00231F84">
              <w:rPr>
                <w:rFonts w:ascii="Times New Roman" w:eastAsia="Times New Roman" w:hAnsi="Times New Roman" w:cs="Times New Roman"/>
                <w:sz w:val="22"/>
                <w:szCs w:val="22"/>
              </w:rPr>
              <w:t xml:space="preserve"> mln (dokładnie </w:t>
            </w:r>
            <w:r w:rsidR="00B47E2B" w:rsidRPr="00B47E2B">
              <w:rPr>
                <w:rFonts w:ascii="Times New Roman" w:eastAsia="Times New Roman" w:hAnsi="Times New Roman" w:cs="Times New Roman"/>
                <w:sz w:val="22"/>
                <w:szCs w:val="22"/>
              </w:rPr>
              <w:t>4697,0</w:t>
            </w:r>
            <w:r w:rsidR="00B47E2B">
              <w:rPr>
                <w:rFonts w:ascii="Times New Roman" w:eastAsia="Times New Roman" w:hAnsi="Times New Roman" w:cs="Times New Roman"/>
                <w:sz w:val="22"/>
                <w:szCs w:val="22"/>
              </w:rPr>
              <w:t xml:space="preserve"> tys.). </w:t>
            </w:r>
            <w:r w:rsidRPr="00231F84">
              <w:rPr>
                <w:rFonts w:ascii="Times New Roman" w:eastAsia="Times New Roman" w:hAnsi="Times New Roman" w:cs="Times New Roman"/>
                <w:sz w:val="22"/>
                <w:szCs w:val="22"/>
              </w:rPr>
              <w:t xml:space="preserve">Tym samym liczba osób z niepełnosprawnościami stanowiła wówczas 12,2% ludności kraju. </w:t>
            </w:r>
            <w:r w:rsidR="00233281" w:rsidRPr="00231F84">
              <w:rPr>
                <w:rFonts w:ascii="Times New Roman" w:eastAsia="Times New Roman" w:hAnsi="Times New Roman" w:cs="Times New Roman"/>
                <w:sz w:val="22"/>
                <w:szCs w:val="22"/>
              </w:rPr>
              <w:t>Natomiast w świetle wyników Europejskiego Ankietowego Badania Zdrowia (</w:t>
            </w:r>
            <w:proofErr w:type="spellStart"/>
            <w:r w:rsidR="00233281" w:rsidRPr="00231F84">
              <w:rPr>
                <w:rFonts w:ascii="Times New Roman" w:eastAsia="Times New Roman" w:hAnsi="Times New Roman" w:cs="Times New Roman"/>
                <w:sz w:val="22"/>
                <w:szCs w:val="22"/>
              </w:rPr>
              <w:t>European</w:t>
            </w:r>
            <w:proofErr w:type="spellEnd"/>
            <w:r w:rsidR="00233281" w:rsidRPr="00231F84">
              <w:rPr>
                <w:rFonts w:ascii="Times New Roman" w:eastAsia="Times New Roman" w:hAnsi="Times New Roman" w:cs="Times New Roman"/>
                <w:sz w:val="22"/>
                <w:szCs w:val="22"/>
              </w:rPr>
              <w:t xml:space="preserve"> </w:t>
            </w:r>
            <w:proofErr w:type="spellStart"/>
            <w:r w:rsidR="00233281" w:rsidRPr="00231F84">
              <w:rPr>
                <w:rFonts w:ascii="Times New Roman" w:eastAsia="Times New Roman" w:hAnsi="Times New Roman" w:cs="Times New Roman"/>
                <w:sz w:val="22"/>
                <w:szCs w:val="22"/>
              </w:rPr>
              <w:t>Health</w:t>
            </w:r>
            <w:proofErr w:type="spellEnd"/>
            <w:r w:rsidR="00233281" w:rsidRPr="00231F84">
              <w:rPr>
                <w:rFonts w:ascii="Times New Roman" w:eastAsia="Times New Roman" w:hAnsi="Times New Roman" w:cs="Times New Roman"/>
                <w:sz w:val="22"/>
                <w:szCs w:val="22"/>
              </w:rPr>
              <w:t xml:space="preserve"> Interview </w:t>
            </w:r>
            <w:proofErr w:type="spellStart"/>
            <w:r w:rsidR="00233281" w:rsidRPr="00231F84">
              <w:rPr>
                <w:rFonts w:ascii="Times New Roman" w:eastAsia="Times New Roman" w:hAnsi="Times New Roman" w:cs="Times New Roman"/>
                <w:sz w:val="22"/>
                <w:szCs w:val="22"/>
              </w:rPr>
              <w:t>Survey</w:t>
            </w:r>
            <w:proofErr w:type="spellEnd"/>
            <w:r w:rsidR="00233281" w:rsidRPr="00231F84">
              <w:rPr>
                <w:rFonts w:ascii="Times New Roman" w:eastAsia="Times New Roman" w:hAnsi="Times New Roman" w:cs="Times New Roman"/>
                <w:sz w:val="22"/>
                <w:szCs w:val="22"/>
              </w:rPr>
              <w:t xml:space="preserve"> – EHIS) w 2014 r</w:t>
            </w:r>
            <w:r w:rsidR="003765F8" w:rsidRPr="00231F84">
              <w:rPr>
                <w:rFonts w:ascii="Times New Roman" w:eastAsia="Times New Roman" w:hAnsi="Times New Roman" w:cs="Times New Roman"/>
                <w:sz w:val="22"/>
                <w:szCs w:val="22"/>
              </w:rPr>
              <w:t>.</w:t>
            </w:r>
            <w:r w:rsidR="00233281" w:rsidRPr="00231F84">
              <w:rPr>
                <w:rFonts w:ascii="Times New Roman" w:eastAsia="Times New Roman" w:hAnsi="Times New Roman" w:cs="Times New Roman"/>
                <w:sz w:val="22"/>
                <w:szCs w:val="22"/>
              </w:rPr>
              <w:t xml:space="preserve"> w Polsce było 7,7 mln (dokładnie 7689,8 tys.) osób niepełnosprawnych biologicznie, tj. osób, które zadeklarowały ograniczoną zdolność wykonywania czynności</w:t>
            </w:r>
            <w:r w:rsidR="008C6AED">
              <w:rPr>
                <w:rFonts w:ascii="Times New Roman" w:eastAsia="Times New Roman" w:hAnsi="Times New Roman" w:cs="Times New Roman"/>
                <w:sz w:val="22"/>
                <w:szCs w:val="22"/>
              </w:rPr>
              <w:t>,</w:t>
            </w:r>
            <w:r w:rsidR="00233281" w:rsidRPr="00231F84">
              <w:rPr>
                <w:rFonts w:ascii="Times New Roman" w:eastAsia="Times New Roman" w:hAnsi="Times New Roman" w:cs="Times New Roman"/>
                <w:sz w:val="22"/>
                <w:szCs w:val="22"/>
              </w:rPr>
              <w:t xml:space="preserve"> jakie ludzie zwykle wykonują (zgodnie z jednolitą dla UE definicją zastosowaną w badaniu uwzględniono </w:t>
            </w:r>
            <w:r w:rsidR="00233281" w:rsidRPr="005A5881">
              <w:rPr>
                <w:rFonts w:ascii="Times New Roman" w:eastAsia="Times New Roman" w:hAnsi="Times New Roman" w:cs="Times New Roman"/>
                <w:sz w:val="22"/>
                <w:szCs w:val="22"/>
              </w:rPr>
              <w:t>zarówno poważne</w:t>
            </w:r>
            <w:r w:rsidR="003765F8" w:rsidRPr="005A5881">
              <w:rPr>
                <w:rFonts w:ascii="Times New Roman" w:eastAsia="Times New Roman" w:hAnsi="Times New Roman" w:cs="Times New Roman"/>
                <w:sz w:val="22"/>
                <w:szCs w:val="22"/>
              </w:rPr>
              <w:t>,</w:t>
            </w:r>
            <w:r w:rsidR="00233281" w:rsidRPr="005A5881">
              <w:rPr>
                <w:rFonts w:ascii="Times New Roman" w:eastAsia="Times New Roman" w:hAnsi="Times New Roman" w:cs="Times New Roman"/>
                <w:sz w:val="22"/>
                <w:szCs w:val="22"/>
              </w:rPr>
              <w:t xml:space="preserve"> jak i mniej poważne ograniczenia, powodujące niemożność wykonywania ww. czynności przez okres co najmniej 6 </w:t>
            </w:r>
            <w:r w:rsidR="005B6838" w:rsidRPr="005A5881">
              <w:rPr>
                <w:rFonts w:ascii="Times New Roman" w:eastAsia="Times New Roman" w:hAnsi="Times New Roman" w:cs="Times New Roman"/>
                <w:sz w:val="22"/>
                <w:szCs w:val="22"/>
              </w:rPr>
              <w:t xml:space="preserve">ostatnich </w:t>
            </w:r>
            <w:r w:rsidR="00233281" w:rsidRPr="005A5881">
              <w:rPr>
                <w:rFonts w:ascii="Times New Roman" w:eastAsia="Times New Roman" w:hAnsi="Times New Roman" w:cs="Times New Roman"/>
                <w:sz w:val="22"/>
                <w:szCs w:val="22"/>
              </w:rPr>
              <w:t xml:space="preserve">miesięcy). Wśród nich było 2464,8 tys. </w:t>
            </w:r>
            <w:r w:rsidR="00066012" w:rsidRPr="005A5881">
              <w:rPr>
                <w:rFonts w:ascii="Times New Roman" w:eastAsia="Times New Roman" w:hAnsi="Times New Roman" w:cs="Times New Roman"/>
                <w:sz w:val="22"/>
                <w:szCs w:val="22"/>
              </w:rPr>
              <w:t xml:space="preserve">osób </w:t>
            </w:r>
            <w:r w:rsidR="00233281" w:rsidRPr="005A5881">
              <w:rPr>
                <w:rFonts w:ascii="Times New Roman" w:eastAsia="Times New Roman" w:hAnsi="Times New Roman" w:cs="Times New Roman"/>
                <w:sz w:val="22"/>
                <w:szCs w:val="22"/>
              </w:rPr>
              <w:t>z poważnymi ograniczeniami sprawności i 5225 tys. osób z mniej poważnymi ograniczeniami.</w:t>
            </w:r>
            <w:r w:rsidR="00E75B4F" w:rsidRPr="005A5881">
              <w:rPr>
                <w:rFonts w:ascii="Times New Roman" w:eastAsia="Times New Roman" w:hAnsi="Times New Roman" w:cs="Times New Roman"/>
                <w:sz w:val="22"/>
                <w:szCs w:val="22"/>
              </w:rPr>
              <w:t xml:space="preserve"> </w:t>
            </w:r>
          </w:p>
          <w:p w14:paraId="701F7C76" w14:textId="26E0DDC8" w:rsidR="00AD7C29" w:rsidRPr="005A5881" w:rsidRDefault="00994902" w:rsidP="00AD7C29">
            <w:pPr>
              <w:spacing w:before="120" w:after="120"/>
              <w:jc w:val="both"/>
              <w:rPr>
                <w:rFonts w:ascii="Times New Roman" w:eastAsia="Times New Roman" w:hAnsi="Times New Roman" w:cs="Times New Roman"/>
                <w:sz w:val="22"/>
                <w:szCs w:val="22"/>
              </w:rPr>
            </w:pPr>
            <w:r w:rsidRPr="005A5881">
              <w:rPr>
                <w:rFonts w:ascii="Times New Roman" w:eastAsia="Times New Roman" w:hAnsi="Times New Roman" w:cs="Times New Roman"/>
                <w:sz w:val="22"/>
                <w:szCs w:val="22"/>
              </w:rPr>
              <w:t>W 2021 r. przeprowadz</w:t>
            </w:r>
            <w:r w:rsidR="005A5881" w:rsidRPr="005A5881">
              <w:rPr>
                <w:rFonts w:ascii="Times New Roman" w:eastAsia="Times New Roman" w:hAnsi="Times New Roman" w:cs="Times New Roman"/>
                <w:sz w:val="22"/>
                <w:szCs w:val="22"/>
              </w:rPr>
              <w:t>o</w:t>
            </w:r>
            <w:r w:rsidRPr="005A5881">
              <w:rPr>
                <w:rFonts w:ascii="Times New Roman" w:eastAsia="Times New Roman" w:hAnsi="Times New Roman" w:cs="Times New Roman"/>
                <w:sz w:val="22"/>
                <w:szCs w:val="22"/>
              </w:rPr>
              <w:t>no kolejny Narodowy Spis Powszechny Ludności i Mieszkań</w:t>
            </w:r>
            <w:r w:rsidR="006D5808" w:rsidRPr="005A5881">
              <w:rPr>
                <w:rFonts w:ascii="Times New Roman" w:eastAsia="Times New Roman" w:hAnsi="Times New Roman" w:cs="Times New Roman"/>
                <w:sz w:val="22"/>
                <w:szCs w:val="22"/>
              </w:rPr>
              <w:t xml:space="preserve"> (NSP’2021)</w:t>
            </w:r>
            <w:r w:rsidRPr="005A5881">
              <w:rPr>
                <w:rFonts w:ascii="Times New Roman" w:eastAsia="Times New Roman" w:hAnsi="Times New Roman" w:cs="Times New Roman"/>
                <w:sz w:val="22"/>
                <w:szCs w:val="22"/>
              </w:rPr>
              <w:t xml:space="preserve">, a jego wyniki pokazały znaczący wzrost liczby osób </w:t>
            </w:r>
            <w:r w:rsidR="00AD7C29" w:rsidRPr="005A5881">
              <w:rPr>
                <w:rFonts w:ascii="Times New Roman" w:eastAsia="Times New Roman" w:hAnsi="Times New Roman" w:cs="Times New Roman"/>
                <w:sz w:val="22"/>
                <w:szCs w:val="22"/>
              </w:rPr>
              <w:t xml:space="preserve">z </w:t>
            </w:r>
            <w:r w:rsidRPr="005A5881">
              <w:rPr>
                <w:rFonts w:ascii="Times New Roman" w:eastAsia="Times New Roman" w:hAnsi="Times New Roman" w:cs="Times New Roman"/>
                <w:sz w:val="22"/>
                <w:szCs w:val="22"/>
              </w:rPr>
              <w:t>niepełnosprawn</w:t>
            </w:r>
            <w:r w:rsidR="00AD7C29" w:rsidRPr="005A5881">
              <w:rPr>
                <w:rFonts w:ascii="Times New Roman" w:eastAsia="Times New Roman" w:hAnsi="Times New Roman" w:cs="Times New Roman"/>
                <w:sz w:val="22"/>
                <w:szCs w:val="22"/>
              </w:rPr>
              <w:t>ościami</w:t>
            </w:r>
            <w:r w:rsidRPr="005A5881">
              <w:rPr>
                <w:rFonts w:ascii="Times New Roman" w:eastAsia="Times New Roman" w:hAnsi="Times New Roman" w:cs="Times New Roman"/>
                <w:sz w:val="22"/>
                <w:szCs w:val="22"/>
              </w:rPr>
              <w:t xml:space="preserve"> (o ponad 26% więcej niż w 2011 r.), głównie wśród osób niepełnosprawnych biologicznie</w:t>
            </w:r>
            <w:r w:rsidR="00AD7C29" w:rsidRPr="005A5881">
              <w:rPr>
                <w:rFonts w:ascii="Times New Roman" w:eastAsia="Times New Roman" w:hAnsi="Times New Roman" w:cs="Times New Roman"/>
                <w:sz w:val="22"/>
                <w:szCs w:val="22"/>
              </w:rPr>
              <w:t xml:space="preserve">. W </w:t>
            </w:r>
            <w:r w:rsidR="00D1416A">
              <w:rPr>
                <w:rFonts w:ascii="Times New Roman" w:eastAsia="Times New Roman" w:hAnsi="Times New Roman" w:cs="Times New Roman"/>
                <w:sz w:val="22"/>
                <w:szCs w:val="22"/>
              </w:rPr>
              <w:t xml:space="preserve">NSP’2021 </w:t>
            </w:r>
            <w:r w:rsidR="00AD7C29" w:rsidRPr="005A5881">
              <w:rPr>
                <w:rFonts w:ascii="Times New Roman" w:eastAsia="Times New Roman" w:hAnsi="Times New Roman" w:cs="Times New Roman"/>
                <w:sz w:val="22"/>
                <w:szCs w:val="22"/>
              </w:rPr>
              <w:t>przyjęto, że osoby niepełnosprawne (z niepełnosprawnościami) są to takie osoby, które posiadają odpowiednie orzeczenie wydane przez organ do tego uprawniony</w:t>
            </w:r>
            <w:r w:rsidR="008C6AED">
              <w:rPr>
                <w:rFonts w:ascii="Times New Roman" w:eastAsia="Times New Roman" w:hAnsi="Times New Roman" w:cs="Times New Roman"/>
                <w:sz w:val="22"/>
                <w:szCs w:val="22"/>
              </w:rPr>
              <w:t>,</w:t>
            </w:r>
            <w:r w:rsidR="00AD7C29" w:rsidRPr="005A5881">
              <w:rPr>
                <w:rFonts w:ascii="Times New Roman" w:eastAsia="Times New Roman" w:hAnsi="Times New Roman" w:cs="Times New Roman"/>
                <w:sz w:val="22"/>
                <w:szCs w:val="22"/>
              </w:rPr>
              <w:t xml:space="preserve"> lub osoby, które takiego orzeczenia nie posiadają, lecz ich sprawność fizyczna, psychiczna lub umysłowa trwale lub okresowo utrudnia, ogranicza lub uniemożliwia wykonywanie codziennych czynności, naukę, pracę oraz pełnienie ról społecznych.</w:t>
            </w:r>
          </w:p>
          <w:p w14:paraId="02F6BDC5" w14:textId="77777777" w:rsidR="00AD7C29" w:rsidRPr="005A5881" w:rsidRDefault="00AD7C29" w:rsidP="00AD7C29">
            <w:pPr>
              <w:spacing w:before="120" w:after="120"/>
              <w:jc w:val="both"/>
              <w:rPr>
                <w:rFonts w:ascii="Times New Roman" w:eastAsia="Times New Roman" w:hAnsi="Times New Roman" w:cs="Times New Roman"/>
                <w:sz w:val="22"/>
                <w:szCs w:val="22"/>
              </w:rPr>
            </w:pPr>
            <w:r w:rsidRPr="005A5881">
              <w:rPr>
                <w:rFonts w:ascii="Times New Roman" w:eastAsia="Times New Roman" w:hAnsi="Times New Roman" w:cs="Times New Roman"/>
                <w:sz w:val="22"/>
                <w:szCs w:val="22"/>
              </w:rPr>
              <w:t>Statystyczny podział zbiorowości osób z niepełnosprawnościa</w:t>
            </w:r>
            <w:r w:rsidR="006D5808" w:rsidRPr="005A5881">
              <w:rPr>
                <w:rFonts w:ascii="Times New Roman" w:eastAsia="Times New Roman" w:hAnsi="Times New Roman" w:cs="Times New Roman"/>
                <w:sz w:val="22"/>
                <w:szCs w:val="22"/>
              </w:rPr>
              <w:t>m</w:t>
            </w:r>
            <w:r w:rsidRPr="005A5881">
              <w:rPr>
                <w:rFonts w:ascii="Times New Roman" w:eastAsia="Times New Roman" w:hAnsi="Times New Roman" w:cs="Times New Roman"/>
                <w:sz w:val="22"/>
                <w:szCs w:val="22"/>
              </w:rPr>
              <w:t>i wyróżnia dwie podstawowe grupy:</w:t>
            </w:r>
          </w:p>
          <w:p w14:paraId="4EDAEEA1" w14:textId="1E0A5CB2" w:rsidR="00AD7C29" w:rsidRPr="005A5881" w:rsidRDefault="00AD7C29" w:rsidP="0099361D">
            <w:pPr>
              <w:numPr>
                <w:ilvl w:val="0"/>
                <w:numId w:val="40"/>
              </w:numPr>
              <w:spacing w:before="120" w:after="120"/>
              <w:jc w:val="both"/>
              <w:rPr>
                <w:rFonts w:ascii="Times New Roman" w:eastAsia="Times New Roman" w:hAnsi="Times New Roman" w:cs="Times New Roman"/>
                <w:sz w:val="22"/>
                <w:szCs w:val="22"/>
              </w:rPr>
            </w:pPr>
            <w:r w:rsidRPr="005A5881">
              <w:rPr>
                <w:rFonts w:ascii="Times New Roman" w:eastAsia="Times New Roman" w:hAnsi="Times New Roman" w:cs="Times New Roman"/>
                <w:sz w:val="22"/>
                <w:szCs w:val="22"/>
              </w:rPr>
              <w:t>osoby niepełnosprawne prawnie, tj. takie, które posiada</w:t>
            </w:r>
            <w:r w:rsidR="006D5808" w:rsidRPr="005A5881">
              <w:rPr>
                <w:rFonts w:ascii="Times New Roman" w:eastAsia="Times New Roman" w:hAnsi="Times New Roman" w:cs="Times New Roman"/>
                <w:sz w:val="22"/>
                <w:szCs w:val="22"/>
              </w:rPr>
              <w:t>ją</w:t>
            </w:r>
            <w:r w:rsidRPr="005A5881">
              <w:rPr>
                <w:rFonts w:ascii="Times New Roman" w:eastAsia="Times New Roman" w:hAnsi="Times New Roman" w:cs="Times New Roman"/>
                <w:sz w:val="22"/>
                <w:szCs w:val="22"/>
              </w:rPr>
              <w:t xml:space="preserve"> odpowiednie, aktualne orzeczenie wydane przez organ do tego uprawniony (niezależnie od tego</w:t>
            </w:r>
            <w:r w:rsidR="008C6AED">
              <w:rPr>
                <w:rFonts w:ascii="Times New Roman" w:eastAsia="Times New Roman" w:hAnsi="Times New Roman" w:cs="Times New Roman"/>
                <w:sz w:val="22"/>
                <w:szCs w:val="22"/>
              </w:rPr>
              <w:t>,</w:t>
            </w:r>
            <w:r w:rsidRPr="005A5881">
              <w:rPr>
                <w:rFonts w:ascii="Times New Roman" w:eastAsia="Times New Roman" w:hAnsi="Times New Roman" w:cs="Times New Roman"/>
                <w:sz w:val="22"/>
                <w:szCs w:val="22"/>
              </w:rPr>
              <w:t xml:space="preserve"> czy wydane do celów rentowych czy </w:t>
            </w:r>
            <w:proofErr w:type="spellStart"/>
            <w:r w:rsidRPr="005A5881">
              <w:rPr>
                <w:rFonts w:ascii="Times New Roman" w:eastAsia="Times New Roman" w:hAnsi="Times New Roman" w:cs="Times New Roman"/>
                <w:sz w:val="22"/>
                <w:szCs w:val="22"/>
              </w:rPr>
              <w:t>pozarentowych</w:t>
            </w:r>
            <w:proofErr w:type="spellEnd"/>
            <w:r w:rsidRPr="005A5881">
              <w:rPr>
                <w:rFonts w:ascii="Times New Roman" w:eastAsia="Times New Roman" w:hAnsi="Times New Roman" w:cs="Times New Roman"/>
                <w:sz w:val="22"/>
                <w:szCs w:val="22"/>
              </w:rPr>
              <w:t>)</w:t>
            </w:r>
            <w:r w:rsidR="008D2ADB">
              <w:rPr>
                <w:rFonts w:ascii="Times New Roman" w:eastAsia="Times New Roman" w:hAnsi="Times New Roman" w:cs="Times New Roman"/>
                <w:sz w:val="22"/>
                <w:szCs w:val="22"/>
              </w:rPr>
              <w:t>;</w:t>
            </w:r>
          </w:p>
          <w:p w14:paraId="40017BF2" w14:textId="77777777" w:rsidR="00AD7C29" w:rsidRPr="005A5881" w:rsidRDefault="00AD7C29" w:rsidP="0099361D">
            <w:pPr>
              <w:numPr>
                <w:ilvl w:val="0"/>
                <w:numId w:val="40"/>
              </w:numPr>
              <w:spacing w:before="120" w:after="120"/>
              <w:jc w:val="both"/>
              <w:rPr>
                <w:rFonts w:ascii="Times New Roman" w:eastAsia="Times New Roman" w:hAnsi="Times New Roman" w:cs="Times New Roman"/>
                <w:sz w:val="22"/>
                <w:szCs w:val="22"/>
              </w:rPr>
            </w:pPr>
            <w:r w:rsidRPr="005A5881">
              <w:rPr>
                <w:rFonts w:ascii="Times New Roman" w:eastAsia="Times New Roman" w:hAnsi="Times New Roman" w:cs="Times New Roman"/>
                <w:sz w:val="22"/>
                <w:szCs w:val="22"/>
              </w:rPr>
              <w:t>osoby niepełnosprawne wyłącznie biologicznie, tj. takie, które nie posiada</w:t>
            </w:r>
            <w:r w:rsidR="006D5808" w:rsidRPr="005A5881">
              <w:rPr>
                <w:rFonts w:ascii="Times New Roman" w:eastAsia="Times New Roman" w:hAnsi="Times New Roman" w:cs="Times New Roman"/>
                <w:sz w:val="22"/>
                <w:szCs w:val="22"/>
              </w:rPr>
              <w:t>ją</w:t>
            </w:r>
            <w:r w:rsidRPr="005A5881">
              <w:rPr>
                <w:rFonts w:ascii="Times New Roman" w:eastAsia="Times New Roman" w:hAnsi="Times New Roman" w:cs="Times New Roman"/>
                <w:sz w:val="22"/>
                <w:szCs w:val="22"/>
              </w:rPr>
              <w:t xml:space="preserve"> orzeczenia, ale odczuwa</w:t>
            </w:r>
            <w:r w:rsidR="006D5808" w:rsidRPr="005A5881">
              <w:rPr>
                <w:rFonts w:ascii="Times New Roman" w:eastAsia="Times New Roman" w:hAnsi="Times New Roman" w:cs="Times New Roman"/>
                <w:sz w:val="22"/>
                <w:szCs w:val="22"/>
              </w:rPr>
              <w:t>ją</w:t>
            </w:r>
            <w:r w:rsidRPr="005A5881">
              <w:rPr>
                <w:rFonts w:ascii="Times New Roman" w:eastAsia="Times New Roman" w:hAnsi="Times New Roman" w:cs="Times New Roman"/>
                <w:sz w:val="22"/>
                <w:szCs w:val="22"/>
              </w:rPr>
              <w:t xml:space="preserve"> całkowicie, poważnie lub umiarkowanie ograniczoną zdolność do wykonywania czynności podstawowych dla ich wieku.</w:t>
            </w:r>
          </w:p>
          <w:p w14:paraId="13FCBB26" w14:textId="5A727FB4" w:rsidR="00AD7C29" w:rsidRDefault="006D5808" w:rsidP="006D5808">
            <w:pPr>
              <w:spacing w:before="120" w:after="120"/>
              <w:jc w:val="both"/>
              <w:rPr>
                <w:rFonts w:ascii="Times New Roman" w:eastAsia="Times New Roman" w:hAnsi="Times New Roman" w:cs="Times New Roman"/>
                <w:sz w:val="22"/>
                <w:szCs w:val="22"/>
              </w:rPr>
            </w:pPr>
            <w:r w:rsidRPr="005A5881">
              <w:rPr>
                <w:rFonts w:ascii="Times New Roman" w:eastAsia="Times New Roman" w:hAnsi="Times New Roman" w:cs="Times New Roman"/>
                <w:sz w:val="22"/>
                <w:szCs w:val="22"/>
              </w:rPr>
              <w:t>Warto zauważyć, że zbierane w ramach NSP’2021 dane odnoszące się do posiadanych ograniczeń w codziennym funkcjonowaniu były gromadzone na zasadzie dobrowolności (deklaracja i subiektywna ocena respondenta) zgodnie z</w:t>
            </w:r>
            <w:r w:rsidR="00DD341B">
              <w:rPr>
                <w:rFonts w:ascii="Times New Roman" w:eastAsia="Times New Roman" w:hAnsi="Times New Roman" w:cs="Times New Roman"/>
                <w:sz w:val="22"/>
                <w:szCs w:val="22"/>
              </w:rPr>
              <w:t> </w:t>
            </w:r>
            <w:r w:rsidRPr="005A5881">
              <w:rPr>
                <w:rFonts w:ascii="Times New Roman" w:eastAsia="Times New Roman" w:hAnsi="Times New Roman" w:cs="Times New Roman"/>
                <w:sz w:val="22"/>
                <w:szCs w:val="22"/>
              </w:rPr>
              <w:t>przepisami ustawy</w:t>
            </w:r>
            <w:r w:rsidR="00D1416A">
              <w:rPr>
                <w:rFonts w:ascii="Times New Roman" w:eastAsia="Times New Roman" w:hAnsi="Times New Roman" w:cs="Times New Roman"/>
                <w:sz w:val="22"/>
                <w:szCs w:val="22"/>
              </w:rPr>
              <w:t xml:space="preserve"> z dnia 9 sierpnia 2019 r. o narodowym spisie powszechnym ludności i mieszkań w 2021 r. (Dz. U. z</w:t>
            </w:r>
            <w:r w:rsidR="00DD341B">
              <w:rPr>
                <w:rFonts w:ascii="Times New Roman" w:eastAsia="Times New Roman" w:hAnsi="Times New Roman" w:cs="Times New Roman"/>
                <w:sz w:val="22"/>
                <w:szCs w:val="22"/>
              </w:rPr>
              <w:t> </w:t>
            </w:r>
            <w:r w:rsidR="00D1416A">
              <w:rPr>
                <w:rFonts w:ascii="Times New Roman" w:eastAsia="Times New Roman" w:hAnsi="Times New Roman" w:cs="Times New Roman"/>
                <w:sz w:val="22"/>
                <w:szCs w:val="22"/>
              </w:rPr>
              <w:t>2021 r. poz. 1143)</w:t>
            </w:r>
            <w:r w:rsidRPr="005A5881">
              <w:rPr>
                <w:rFonts w:ascii="Times New Roman" w:eastAsia="Times New Roman" w:hAnsi="Times New Roman" w:cs="Times New Roman"/>
                <w:sz w:val="22"/>
                <w:szCs w:val="22"/>
              </w:rPr>
              <w:t>. Wyniki spisu ludności w 2021 r</w:t>
            </w:r>
            <w:r w:rsidR="00A876E7">
              <w:rPr>
                <w:rFonts w:ascii="Times New Roman" w:eastAsia="Times New Roman" w:hAnsi="Times New Roman" w:cs="Times New Roman"/>
                <w:sz w:val="22"/>
                <w:szCs w:val="22"/>
              </w:rPr>
              <w:t>.</w:t>
            </w:r>
            <w:r w:rsidRPr="005A5881">
              <w:rPr>
                <w:rFonts w:ascii="Times New Roman" w:eastAsia="Times New Roman" w:hAnsi="Times New Roman" w:cs="Times New Roman"/>
                <w:sz w:val="22"/>
                <w:szCs w:val="22"/>
              </w:rPr>
              <w:t xml:space="preserve"> wykazały, że liczba osób z niepełnosprawnościami wyniosła 5447,5</w:t>
            </w:r>
            <w:r w:rsidR="0055310F">
              <w:rPr>
                <w:rFonts w:ascii="Times New Roman" w:eastAsia="Times New Roman" w:hAnsi="Times New Roman" w:cs="Times New Roman"/>
                <w:sz w:val="22"/>
                <w:szCs w:val="22"/>
              </w:rPr>
              <w:t> </w:t>
            </w:r>
            <w:r w:rsidRPr="005A5881">
              <w:rPr>
                <w:rFonts w:ascii="Times New Roman" w:eastAsia="Times New Roman" w:hAnsi="Times New Roman" w:cs="Times New Roman"/>
                <w:sz w:val="22"/>
                <w:szCs w:val="22"/>
              </w:rPr>
              <w:t xml:space="preserve">tys., </w:t>
            </w:r>
            <w:r w:rsidR="00A876E7">
              <w:rPr>
                <w:rFonts w:ascii="Times New Roman" w:eastAsia="Times New Roman" w:hAnsi="Times New Roman" w:cs="Times New Roman"/>
                <w:sz w:val="22"/>
                <w:szCs w:val="22"/>
              </w:rPr>
              <w:t xml:space="preserve">co </w:t>
            </w:r>
            <w:r w:rsidRPr="005A5881">
              <w:rPr>
                <w:rFonts w:ascii="Times New Roman" w:eastAsia="Times New Roman" w:hAnsi="Times New Roman" w:cs="Times New Roman"/>
                <w:sz w:val="22"/>
                <w:szCs w:val="22"/>
              </w:rPr>
              <w:t>stanowi</w:t>
            </w:r>
            <w:r w:rsidR="00A876E7">
              <w:rPr>
                <w:rFonts w:ascii="Times New Roman" w:eastAsia="Times New Roman" w:hAnsi="Times New Roman" w:cs="Times New Roman"/>
                <w:sz w:val="22"/>
                <w:szCs w:val="22"/>
              </w:rPr>
              <w:t>ło</w:t>
            </w:r>
            <w:r w:rsidRPr="005A5881">
              <w:rPr>
                <w:rFonts w:ascii="Times New Roman" w:eastAsia="Times New Roman" w:hAnsi="Times New Roman" w:cs="Times New Roman"/>
                <w:sz w:val="22"/>
                <w:szCs w:val="22"/>
              </w:rPr>
              <w:t xml:space="preserve"> 14,3% ogólnej populacji. W porównaniu do wyników spisu z 2011 r</w:t>
            </w:r>
            <w:r w:rsidR="00A876E7">
              <w:rPr>
                <w:rFonts w:ascii="Times New Roman" w:eastAsia="Times New Roman" w:hAnsi="Times New Roman" w:cs="Times New Roman"/>
                <w:sz w:val="22"/>
                <w:szCs w:val="22"/>
              </w:rPr>
              <w:t>.</w:t>
            </w:r>
            <w:r w:rsidRPr="005A5881">
              <w:rPr>
                <w:rFonts w:ascii="Times New Roman" w:eastAsia="Times New Roman" w:hAnsi="Times New Roman" w:cs="Times New Roman"/>
                <w:sz w:val="22"/>
                <w:szCs w:val="22"/>
              </w:rPr>
              <w:t xml:space="preserve"> liczba osób z</w:t>
            </w:r>
            <w:r w:rsidR="00DD341B">
              <w:rPr>
                <w:rFonts w:ascii="Times New Roman" w:eastAsia="Times New Roman" w:hAnsi="Times New Roman" w:cs="Times New Roman"/>
                <w:sz w:val="22"/>
                <w:szCs w:val="22"/>
              </w:rPr>
              <w:t> </w:t>
            </w:r>
            <w:r w:rsidRPr="005A5881">
              <w:rPr>
                <w:rFonts w:ascii="Times New Roman" w:eastAsia="Times New Roman" w:hAnsi="Times New Roman" w:cs="Times New Roman"/>
                <w:sz w:val="22"/>
                <w:szCs w:val="22"/>
              </w:rPr>
              <w:t>niepełnosprawnościami zwiększyła się o 750,5 tys., tj. o 16,0%. Zwiększyła się również liczba osób niepełnosprawnych tylko biologicznie (tzn. nieposiadających prawnego orzeczenia stwierdzającego niepełnosprawność, natomiast deklarujących odczuwanie ograniczenia sprawności) z 1565,6 tys. w 2011 r</w:t>
            </w:r>
            <w:r w:rsidR="00A876E7">
              <w:rPr>
                <w:rFonts w:ascii="Times New Roman" w:eastAsia="Times New Roman" w:hAnsi="Times New Roman" w:cs="Times New Roman"/>
                <w:sz w:val="22"/>
                <w:szCs w:val="22"/>
              </w:rPr>
              <w:t>.</w:t>
            </w:r>
            <w:r w:rsidRPr="005A5881">
              <w:rPr>
                <w:rFonts w:ascii="Times New Roman" w:eastAsia="Times New Roman" w:hAnsi="Times New Roman" w:cs="Times New Roman"/>
                <w:sz w:val="22"/>
                <w:szCs w:val="22"/>
              </w:rPr>
              <w:t xml:space="preserve"> do 1976,3 tys. w 2021 roku</w:t>
            </w:r>
            <w:r w:rsidR="00A876E7">
              <w:rPr>
                <w:rFonts w:ascii="Times New Roman" w:eastAsia="Times New Roman" w:hAnsi="Times New Roman" w:cs="Times New Roman"/>
                <w:sz w:val="22"/>
                <w:szCs w:val="22"/>
              </w:rPr>
              <w:t>,</w:t>
            </w:r>
            <w:r w:rsidRPr="005A5881">
              <w:rPr>
                <w:rFonts w:ascii="Times New Roman" w:eastAsia="Times New Roman" w:hAnsi="Times New Roman" w:cs="Times New Roman"/>
                <w:sz w:val="22"/>
                <w:szCs w:val="22"/>
              </w:rPr>
              <w:t xml:space="preserve"> tj. o 26,2%.</w:t>
            </w:r>
          </w:p>
          <w:p w14:paraId="61A4582D" w14:textId="6EB61617" w:rsidR="00AD7C29" w:rsidRDefault="00AD7C29" w:rsidP="00233281">
            <w:pPr>
              <w:spacing w:before="120" w:after="120"/>
              <w:jc w:val="both"/>
              <w:rPr>
                <w:rFonts w:ascii="Times New Roman" w:eastAsia="Times New Roman" w:hAnsi="Times New Roman" w:cs="Times New Roman"/>
                <w:sz w:val="22"/>
                <w:szCs w:val="22"/>
              </w:rPr>
            </w:pPr>
            <w:r w:rsidRPr="00231F84">
              <w:rPr>
                <w:rFonts w:ascii="Times New Roman" w:eastAsia="Times New Roman" w:hAnsi="Times New Roman" w:cs="Times New Roman"/>
                <w:sz w:val="22"/>
                <w:szCs w:val="22"/>
              </w:rPr>
              <w:t>W</w:t>
            </w:r>
            <w:r w:rsidR="00387E99">
              <w:rPr>
                <w:rFonts w:ascii="Times New Roman" w:eastAsia="Times New Roman" w:hAnsi="Times New Roman" w:cs="Times New Roman"/>
                <w:sz w:val="22"/>
                <w:szCs w:val="22"/>
              </w:rPr>
              <w:t>skazuje się, że</w:t>
            </w:r>
            <w:r w:rsidRPr="00231F84">
              <w:rPr>
                <w:rFonts w:ascii="Times New Roman" w:eastAsia="Times New Roman" w:hAnsi="Times New Roman" w:cs="Times New Roman"/>
                <w:sz w:val="22"/>
                <w:szCs w:val="22"/>
              </w:rPr>
              <w:t xml:space="preserve"> w zależności od przyjętego kryterium niepełnosprawności biologicznej (a ściślej </w:t>
            </w:r>
            <w:r>
              <w:rPr>
                <w:rFonts w:ascii="Times New Roman" w:eastAsia="Times New Roman" w:hAnsi="Times New Roman" w:cs="Times New Roman"/>
                <w:sz w:val="22"/>
                <w:szCs w:val="22"/>
              </w:rPr>
              <w:t xml:space="preserve">– </w:t>
            </w:r>
            <w:r w:rsidRPr="00231F84">
              <w:rPr>
                <w:rFonts w:ascii="Times New Roman" w:eastAsia="Times New Roman" w:hAnsi="Times New Roman" w:cs="Times New Roman"/>
                <w:sz w:val="22"/>
                <w:szCs w:val="22"/>
              </w:rPr>
              <w:t>poziomu ograniczeń) populacja osób niepełnosprawnych w Polsce może liczyć od 4,9 mln osób do 7,7 mln osób. Nie należy także zapominać o</w:t>
            </w:r>
            <w:r w:rsidR="00DD341B">
              <w:rPr>
                <w:rFonts w:ascii="Times New Roman" w:eastAsia="Times New Roman" w:hAnsi="Times New Roman" w:cs="Times New Roman"/>
                <w:sz w:val="22"/>
                <w:szCs w:val="22"/>
              </w:rPr>
              <w:t> </w:t>
            </w:r>
            <w:r w:rsidRPr="00231F84">
              <w:rPr>
                <w:rFonts w:ascii="Times New Roman" w:eastAsia="Times New Roman" w:hAnsi="Times New Roman" w:cs="Times New Roman"/>
                <w:sz w:val="22"/>
                <w:szCs w:val="22"/>
              </w:rPr>
              <w:t>osobach starszych, które choć nie mają poczucia przynależności do grupy osób z niepełnosprawnościami i się z tą grupą nie identyfikują, to stawiane są przed tymi samymi wyzwaniami co osoby z niepełnosprawnościami, szczególnie podczas wykonywania czynności związanych z używaniem narządu wzroku czy motoryki. Należy podkreślić, że nie każda niepełnosprawność powoduje powstawanie barier czy utrudnień w dostępie do informacji i</w:t>
            </w:r>
            <w:r>
              <w:rPr>
                <w:rFonts w:ascii="Times New Roman" w:eastAsia="Times New Roman" w:hAnsi="Times New Roman" w:cs="Times New Roman"/>
                <w:sz w:val="22"/>
                <w:szCs w:val="22"/>
              </w:rPr>
              <w:t xml:space="preserve"> </w:t>
            </w:r>
            <w:r w:rsidRPr="00231F84">
              <w:rPr>
                <w:rFonts w:ascii="Times New Roman" w:eastAsia="Times New Roman" w:hAnsi="Times New Roman" w:cs="Times New Roman"/>
                <w:sz w:val="22"/>
                <w:szCs w:val="22"/>
              </w:rPr>
              <w:t>usług prezentowanych drogą elektroniczną, jednak można oszacować, że w</w:t>
            </w:r>
            <w:r>
              <w:rPr>
                <w:rFonts w:ascii="Times New Roman" w:eastAsia="Times New Roman" w:hAnsi="Times New Roman" w:cs="Times New Roman"/>
                <w:sz w:val="22"/>
                <w:szCs w:val="22"/>
              </w:rPr>
              <w:t xml:space="preserve"> </w:t>
            </w:r>
            <w:r w:rsidRPr="00231F84">
              <w:rPr>
                <w:rFonts w:ascii="Times New Roman" w:eastAsia="Times New Roman" w:hAnsi="Times New Roman" w:cs="Times New Roman"/>
                <w:sz w:val="22"/>
                <w:szCs w:val="22"/>
              </w:rPr>
              <w:t>Polsce istnieje prawdopodobnie grupa ok. 5</w:t>
            </w:r>
            <w:r w:rsidR="00A876E7">
              <w:rPr>
                <w:rFonts w:ascii="Times New Roman" w:eastAsia="Times New Roman" w:hAnsi="Times New Roman" w:cs="Times New Roman"/>
                <w:sz w:val="22"/>
                <w:szCs w:val="22"/>
              </w:rPr>
              <w:t>–</w:t>
            </w:r>
            <w:r w:rsidRPr="00231F84">
              <w:rPr>
                <w:rFonts w:ascii="Times New Roman" w:eastAsia="Times New Roman" w:hAnsi="Times New Roman" w:cs="Times New Roman"/>
                <w:sz w:val="22"/>
                <w:szCs w:val="22"/>
              </w:rPr>
              <w:t>6 mln osób, które mogą mieć trudności, a</w:t>
            </w:r>
            <w:r>
              <w:rPr>
                <w:rFonts w:ascii="Times New Roman" w:eastAsia="Times New Roman" w:hAnsi="Times New Roman" w:cs="Times New Roman"/>
                <w:sz w:val="22"/>
                <w:szCs w:val="22"/>
              </w:rPr>
              <w:t xml:space="preserve"> </w:t>
            </w:r>
            <w:r w:rsidRPr="00231F84">
              <w:rPr>
                <w:rFonts w:ascii="Times New Roman" w:eastAsia="Times New Roman" w:hAnsi="Times New Roman" w:cs="Times New Roman"/>
                <w:sz w:val="22"/>
                <w:szCs w:val="22"/>
              </w:rPr>
              <w:t>w niektórych przypadkach znaleźć się w sytuacji całkowitej bezradności wobec coraz powszechniejszego wymogu wymiany informacji i dostępu do usług drogą elektroniczną.</w:t>
            </w:r>
          </w:p>
          <w:p w14:paraId="78D7991A" w14:textId="77777777" w:rsidR="00EC4C5C" w:rsidRDefault="00515863" w:rsidP="003C56B8">
            <w:pPr>
              <w:widowControl w:val="0"/>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Polsce nie przeprowadzono do tej pory kompleksowego badania dostępności produktów i usług oferowanych powszechnie przez podmioty prywatne. </w:t>
            </w:r>
            <w:r w:rsidR="00874F67">
              <w:rPr>
                <w:rFonts w:ascii="Times New Roman" w:eastAsia="Times New Roman" w:hAnsi="Times New Roman" w:cs="Times New Roman"/>
                <w:sz w:val="22"/>
                <w:szCs w:val="22"/>
              </w:rPr>
              <w:t xml:space="preserve">Posiadane </w:t>
            </w:r>
            <w:r>
              <w:rPr>
                <w:rFonts w:ascii="Times New Roman" w:eastAsia="Times New Roman" w:hAnsi="Times New Roman" w:cs="Times New Roman"/>
                <w:sz w:val="22"/>
                <w:szCs w:val="22"/>
              </w:rPr>
              <w:t xml:space="preserve">dane odnoszą się wyłącznie do charakterystyki infrastruktury </w:t>
            </w:r>
            <w:r w:rsidR="00624C74">
              <w:rPr>
                <w:rFonts w:ascii="Times New Roman" w:eastAsia="Times New Roman" w:hAnsi="Times New Roman" w:cs="Times New Roman"/>
                <w:sz w:val="22"/>
                <w:szCs w:val="22"/>
              </w:rPr>
              <w:br/>
            </w:r>
            <w:r>
              <w:rPr>
                <w:rFonts w:ascii="Times New Roman" w:eastAsia="Times New Roman" w:hAnsi="Times New Roman" w:cs="Times New Roman"/>
                <w:sz w:val="22"/>
                <w:szCs w:val="22"/>
              </w:rPr>
              <w:t>i</w:t>
            </w:r>
            <w:r w:rsidR="00624C7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działania podmiotów publicznych. </w:t>
            </w:r>
            <w:r w:rsidR="00FF1860">
              <w:rPr>
                <w:rFonts w:ascii="Times New Roman" w:eastAsia="Times New Roman" w:hAnsi="Times New Roman" w:cs="Times New Roman"/>
                <w:sz w:val="22"/>
                <w:szCs w:val="22"/>
              </w:rPr>
              <w:t>R</w:t>
            </w:r>
            <w:r w:rsidR="00FF1860" w:rsidRPr="00FF1860">
              <w:rPr>
                <w:rFonts w:ascii="Times New Roman" w:eastAsia="Times New Roman" w:hAnsi="Times New Roman" w:cs="Times New Roman"/>
                <w:sz w:val="22"/>
                <w:szCs w:val="22"/>
              </w:rPr>
              <w:t xml:space="preserve">ządowy Program Dostępność Plus </w:t>
            </w:r>
            <w:r w:rsidR="00A17BC6">
              <w:rPr>
                <w:rFonts w:ascii="Times New Roman" w:eastAsia="Times New Roman" w:hAnsi="Times New Roman" w:cs="Times New Roman"/>
                <w:sz w:val="22"/>
                <w:szCs w:val="22"/>
              </w:rPr>
              <w:t>(</w:t>
            </w:r>
            <w:r w:rsidR="00FF1860" w:rsidRPr="00FF1860">
              <w:rPr>
                <w:rFonts w:ascii="Times New Roman" w:eastAsia="Times New Roman" w:hAnsi="Times New Roman" w:cs="Times New Roman"/>
                <w:sz w:val="22"/>
                <w:szCs w:val="22"/>
              </w:rPr>
              <w:t>przyjęty w dniu 17 lipca 2018</w:t>
            </w:r>
            <w:r w:rsidR="00640A07">
              <w:rPr>
                <w:rFonts w:ascii="Times New Roman" w:eastAsia="Times New Roman" w:hAnsi="Times New Roman" w:cs="Times New Roman"/>
                <w:sz w:val="22"/>
                <w:szCs w:val="22"/>
              </w:rPr>
              <w:t> </w:t>
            </w:r>
            <w:r w:rsidR="00FF1860" w:rsidRPr="00FF1860">
              <w:rPr>
                <w:rFonts w:ascii="Times New Roman" w:eastAsia="Times New Roman" w:hAnsi="Times New Roman" w:cs="Times New Roman"/>
                <w:sz w:val="22"/>
                <w:szCs w:val="22"/>
              </w:rPr>
              <w:t>r. uchwałą Rady Ministrów</w:t>
            </w:r>
            <w:r w:rsidR="00A17BC6">
              <w:rPr>
                <w:rFonts w:ascii="Times New Roman" w:eastAsia="Times New Roman" w:hAnsi="Times New Roman" w:cs="Times New Roman"/>
                <w:sz w:val="22"/>
                <w:szCs w:val="22"/>
              </w:rPr>
              <w:t>)</w:t>
            </w:r>
            <w:r w:rsidR="00FF1860" w:rsidRPr="00FF1860">
              <w:rPr>
                <w:rFonts w:ascii="Times New Roman" w:eastAsia="Times New Roman" w:hAnsi="Times New Roman" w:cs="Times New Roman"/>
                <w:sz w:val="22"/>
                <w:szCs w:val="22"/>
              </w:rPr>
              <w:t xml:space="preserve"> </w:t>
            </w:r>
            <w:r w:rsidR="00FF1860">
              <w:rPr>
                <w:rFonts w:ascii="Times New Roman" w:eastAsia="Times New Roman" w:hAnsi="Times New Roman" w:cs="Times New Roman"/>
                <w:sz w:val="22"/>
                <w:szCs w:val="22"/>
              </w:rPr>
              <w:t>zawiera d</w:t>
            </w:r>
            <w:r>
              <w:rPr>
                <w:rFonts w:ascii="Times New Roman" w:eastAsia="Times New Roman" w:hAnsi="Times New Roman" w:cs="Times New Roman"/>
                <w:sz w:val="22"/>
                <w:szCs w:val="22"/>
              </w:rPr>
              <w:t>iagnozę opartą o dane w wymiarze dostępności architektonicznej, transportowej, cyfrowej oraz między innymi w dostępie do edukacji, zdrowia i kultury. Stan dostępności obrazują także wyrywkowe badania prowadzone przez Najwyższą Izbę Kontroli na poziomie miast wojewódzkich lub wybranych powiatów oraz przez różne organizacje pozarządowe zajmujące się tą tematyką.</w:t>
            </w:r>
          </w:p>
          <w:p w14:paraId="021963B9" w14:textId="1C21E132" w:rsidR="00EC4C5C" w:rsidRDefault="00515863" w:rsidP="00707E91">
            <w:pPr>
              <w:widowControl w:val="0"/>
              <w:spacing w:before="120" w:after="120"/>
              <w:ind w:right="-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„Badanie potrzeb osób niepełnosprawnych” przeprowadzone na zlecenie Państwowego Funduszu Rehabilitacji Osób </w:t>
            </w:r>
            <w:r>
              <w:rPr>
                <w:rFonts w:ascii="Times New Roman" w:eastAsia="Times New Roman" w:hAnsi="Times New Roman" w:cs="Times New Roman"/>
                <w:sz w:val="22"/>
                <w:szCs w:val="22"/>
              </w:rPr>
              <w:lastRenderedPageBreak/>
              <w:t>Niepełnosprawnych (PFRON) w 2017</w:t>
            </w:r>
            <w:r w:rsidR="00640A07">
              <w:rPr>
                <w:rFonts w:ascii="Times New Roman" w:eastAsia="Times New Roman" w:hAnsi="Times New Roman" w:cs="Times New Roman"/>
                <w:sz w:val="22"/>
                <w:szCs w:val="22"/>
              </w:rPr>
              <w:t> </w:t>
            </w:r>
            <w:r>
              <w:rPr>
                <w:rFonts w:ascii="Times New Roman" w:eastAsia="Times New Roman" w:hAnsi="Times New Roman" w:cs="Times New Roman"/>
                <w:sz w:val="22"/>
                <w:szCs w:val="22"/>
              </w:rPr>
              <w:t>r. wskazuje, że brak dostępności w wielu obszarach jest jedną z największych barier dla osób z niepełnosprawnościami w życiu społecznym i zawodowym. Na podstawie wyników badania ilościowego obszar komunikacji i informacji należy uznać za dość istotny w kontekście potrzeb ogółu osób z</w:t>
            </w:r>
            <w:r w:rsidR="00E80E7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niepełnosprawnościami, których zaspokojenie zapewni im optymalne funkcjonowanie. Wśród spontanicznych wskazań badanych wymieniano zapotrzebowanie na różnego rodzaju przyrządy/urządzenia/technologie – łącznie </w:t>
            </w:r>
            <w:r w:rsidR="00232332">
              <w:rPr>
                <w:rFonts w:ascii="Times New Roman" w:eastAsia="Times New Roman" w:hAnsi="Times New Roman" w:cs="Times New Roman"/>
                <w:sz w:val="22"/>
                <w:szCs w:val="22"/>
              </w:rPr>
              <w:t xml:space="preserve">ten </w:t>
            </w:r>
            <w:r>
              <w:rPr>
                <w:rFonts w:ascii="Times New Roman" w:eastAsia="Times New Roman" w:hAnsi="Times New Roman" w:cs="Times New Roman"/>
                <w:sz w:val="22"/>
                <w:szCs w:val="22"/>
              </w:rPr>
              <w:t>aspekt wskazało 37% badanych. Należy podkreślić, że dostęp do przyrządów, urządzeń oraz technologii jest szczególnie istotny dla osób z dysfunkcją wzroku (58%) oraz słuchu (50%) – jest to najważniejsza potrzeba w przypadku tych dwóch grup.</w:t>
            </w:r>
            <w:r w:rsidR="009E239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Ponadto ogółem 36% wymieniło sprawy związane z transportem/przemieszczaniem się – głównie zniesienie barier architektonicznych (29%), które </w:t>
            </w:r>
            <w:r w:rsidR="00B87D8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jak pokazują wyniki badania</w:t>
            </w:r>
            <w:r w:rsidR="00B87D8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nadal powszechnie występują. Obszar ten należy do najważniejszych potrzeb osób z dysfunkcją narządu ruchu (51%). Jest to potrzeba również istotna dla osób z dysfunkcją wzroku (34%).</w:t>
            </w:r>
            <w:r w:rsidR="009E239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Dodatkowo dla 17% badanych istotne jest zniesienie barier komunikacyjnych (sygnalizacja głosowa, większy druk, tablice </w:t>
            </w:r>
            <w:proofErr w:type="spellStart"/>
            <w:r>
              <w:rPr>
                <w:rFonts w:ascii="Times New Roman" w:eastAsia="Times New Roman" w:hAnsi="Times New Roman" w:cs="Times New Roman"/>
                <w:sz w:val="22"/>
                <w:szCs w:val="22"/>
              </w:rPr>
              <w:t>tyflo</w:t>
            </w:r>
            <w:proofErr w:type="spellEnd"/>
            <w:r>
              <w:rPr>
                <w:rFonts w:ascii="Times New Roman" w:eastAsia="Times New Roman" w:hAnsi="Times New Roman" w:cs="Times New Roman"/>
                <w:sz w:val="22"/>
                <w:szCs w:val="22"/>
              </w:rPr>
              <w:t xml:space="preserve">, alfabet Braille’a czy też dostępność tłumacza migowego), a dla 9% </w:t>
            </w:r>
            <w:r w:rsidR="00B87D8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dostęp do informacji (finansowanie dostępu do </w:t>
            </w:r>
            <w:r w:rsidR="003765F8">
              <w:rPr>
                <w:rFonts w:ascii="Times New Roman" w:eastAsia="Times New Roman" w:hAnsi="Times New Roman" w:cs="Times New Roman"/>
                <w:sz w:val="22"/>
                <w:szCs w:val="22"/>
              </w:rPr>
              <w:t>I</w:t>
            </w:r>
            <w:r>
              <w:rPr>
                <w:rFonts w:ascii="Times New Roman" w:eastAsia="Times New Roman" w:hAnsi="Times New Roman" w:cs="Times New Roman"/>
                <w:sz w:val="22"/>
                <w:szCs w:val="22"/>
              </w:rPr>
              <w:t>nternetu, pomoc w załatwianiu spraw urzędowych czy dostępność dokumentów dla osób z niepełnosprawnościami). Bariery komunikacyjne dotyczą przede wszystkim grupy osób z dysfunkcją słuchu (39%) oraz wzroku (41%).</w:t>
            </w:r>
          </w:p>
          <w:p w14:paraId="23136BA1" w14:textId="77777777" w:rsidR="00EC4C5C" w:rsidRDefault="00515863" w:rsidP="003C56B8">
            <w:pPr>
              <w:widowControl w:val="0"/>
              <w:spacing w:before="120" w:after="120"/>
              <w:ind w:right="-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Polsce zmiany demograficzne i starzenie się społeczeństwa sprawiają, że liczba osób z</w:t>
            </w:r>
            <w:r w:rsidR="00636638">
              <w:rPr>
                <w:rFonts w:ascii="Times New Roman" w:eastAsia="Times New Roman" w:hAnsi="Times New Roman" w:cs="Times New Roman"/>
                <w:sz w:val="22"/>
                <w:szCs w:val="22"/>
              </w:rPr>
              <w:t>e szczególnymi potrzebami</w:t>
            </w:r>
            <w:r>
              <w:rPr>
                <w:rFonts w:ascii="Times New Roman" w:eastAsia="Times New Roman" w:hAnsi="Times New Roman" w:cs="Times New Roman"/>
                <w:sz w:val="22"/>
                <w:szCs w:val="22"/>
              </w:rPr>
              <w:t xml:space="preserve"> szybko wzrasta. Obecnie w Polsce osoby powyżej 65. roku życia stanowią ok. 16% mieszkańców. W 2025</w:t>
            </w:r>
            <w:r w:rsidR="00640A07">
              <w:rPr>
                <w:rFonts w:ascii="Times New Roman" w:eastAsia="Times New Roman" w:hAnsi="Times New Roman" w:cs="Times New Roman"/>
                <w:sz w:val="22"/>
                <w:szCs w:val="22"/>
              </w:rPr>
              <w:t> </w:t>
            </w:r>
            <w:r>
              <w:rPr>
                <w:rFonts w:ascii="Times New Roman" w:eastAsia="Times New Roman" w:hAnsi="Times New Roman" w:cs="Times New Roman"/>
                <w:sz w:val="22"/>
                <w:szCs w:val="22"/>
              </w:rPr>
              <w:t>r. będzie to już 22% ludności, a w 2050</w:t>
            </w:r>
            <w:r w:rsidR="00640A07">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r. </w:t>
            </w:r>
            <w:r w:rsidR="003765F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33%. Według prognoz seniorzy będą stanowili coraz liczniejszą grupę społeczną </w:t>
            </w:r>
            <w:r w:rsidR="003765F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zdrowszą i dłużej aktywną (także zawodowo) niż dziś, ale w znacznej części wymagającą opieki i wsparcia </w:t>
            </w:r>
            <w:r w:rsidR="00872B52">
              <w:rPr>
                <w:rFonts w:ascii="Times New Roman" w:eastAsia="Times New Roman" w:hAnsi="Times New Roman" w:cs="Times New Roman"/>
                <w:sz w:val="22"/>
                <w:szCs w:val="22"/>
              </w:rPr>
              <w:br/>
            </w:r>
            <w:r>
              <w:rPr>
                <w:rFonts w:ascii="Times New Roman" w:eastAsia="Times New Roman" w:hAnsi="Times New Roman" w:cs="Times New Roman"/>
                <w:sz w:val="22"/>
                <w:szCs w:val="22"/>
              </w:rPr>
              <w:t>w samodzielnym funkcjonowaniu (szczególnie w przypadku osób sędziwych po 80. roku życia, których liczba w 2030</w:t>
            </w:r>
            <w:r w:rsidR="00640A07">
              <w:rPr>
                <w:rFonts w:ascii="Times New Roman" w:eastAsia="Times New Roman" w:hAnsi="Times New Roman" w:cs="Times New Roman"/>
                <w:sz w:val="22"/>
                <w:szCs w:val="22"/>
              </w:rPr>
              <w:t> </w:t>
            </w:r>
            <w:r>
              <w:rPr>
                <w:rFonts w:ascii="Times New Roman" w:eastAsia="Times New Roman" w:hAnsi="Times New Roman" w:cs="Times New Roman"/>
                <w:sz w:val="22"/>
                <w:szCs w:val="22"/>
              </w:rPr>
              <w:t>r</w:t>
            </w:r>
            <w:r w:rsidR="00F1671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wyniesie ok. 2,2 mln). Wraz z wydłużaniem się życia zauważalny jest wzrost liczby osób z</w:t>
            </w:r>
            <w:r w:rsidR="00872B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niepełnosprawnościami wynikającymi między innymi z osłabienia wzroku, słuchu</w:t>
            </w:r>
            <w:r w:rsidR="00A82CF3">
              <w:rPr>
                <w:rFonts w:ascii="Times New Roman" w:eastAsia="Times New Roman" w:hAnsi="Times New Roman" w:cs="Times New Roman"/>
                <w:sz w:val="22"/>
                <w:szCs w:val="22"/>
              </w:rPr>
              <w:t xml:space="preserve"> czy</w:t>
            </w:r>
            <w:r>
              <w:rPr>
                <w:rFonts w:ascii="Times New Roman" w:eastAsia="Times New Roman" w:hAnsi="Times New Roman" w:cs="Times New Roman"/>
                <w:sz w:val="22"/>
                <w:szCs w:val="22"/>
              </w:rPr>
              <w:t xml:space="preserve"> narządu ruchu.</w:t>
            </w:r>
          </w:p>
          <w:p w14:paraId="3B14B48A" w14:textId="01B8C827" w:rsidR="00F16712" w:rsidRDefault="00515863" w:rsidP="00707E91">
            <w:pPr>
              <w:widowControl w:val="0"/>
              <w:spacing w:before="120" w:after="120"/>
              <w:ind w:right="-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Dotychczas </w:t>
            </w:r>
            <w:r w:rsidR="007063BA">
              <w:rPr>
                <w:rFonts w:ascii="Times New Roman" w:eastAsia="Times New Roman" w:hAnsi="Times New Roman" w:cs="Times New Roman"/>
                <w:sz w:val="22"/>
                <w:szCs w:val="22"/>
              </w:rPr>
              <w:t xml:space="preserve">te </w:t>
            </w:r>
            <w:r>
              <w:rPr>
                <w:rFonts w:ascii="Times New Roman" w:eastAsia="Times New Roman" w:hAnsi="Times New Roman" w:cs="Times New Roman"/>
                <w:sz w:val="22"/>
                <w:szCs w:val="22"/>
              </w:rPr>
              <w:t xml:space="preserve">kwestie nie były </w:t>
            </w:r>
            <w:r w:rsidR="00A82CF3">
              <w:rPr>
                <w:rFonts w:ascii="Times New Roman" w:eastAsia="Times New Roman" w:hAnsi="Times New Roman" w:cs="Times New Roman"/>
                <w:sz w:val="22"/>
                <w:szCs w:val="22"/>
              </w:rPr>
              <w:t>unormowane</w:t>
            </w:r>
            <w:r w:rsidR="00BC4F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kompleksowo w prawie polskim. Wybrane obszary dostępności są przedmiotem regulacji m.in. w </w:t>
            </w:r>
            <w:r w:rsidR="00A82CF3">
              <w:rPr>
                <w:rFonts w:ascii="Times New Roman" w:eastAsia="Times New Roman" w:hAnsi="Times New Roman" w:cs="Times New Roman"/>
                <w:sz w:val="22"/>
                <w:szCs w:val="22"/>
              </w:rPr>
              <w:t xml:space="preserve">przepisach </w:t>
            </w:r>
            <w:r>
              <w:rPr>
                <w:rFonts w:ascii="Times New Roman" w:eastAsia="Times New Roman" w:hAnsi="Times New Roman" w:cs="Times New Roman"/>
                <w:sz w:val="22"/>
                <w:szCs w:val="22"/>
              </w:rPr>
              <w:t>prawa budowlanego, o zapewni</w:t>
            </w:r>
            <w:r w:rsidR="00A82CF3">
              <w:rPr>
                <w:rFonts w:ascii="Times New Roman" w:eastAsia="Times New Roman" w:hAnsi="Times New Roman" w:cs="Times New Roman"/>
                <w:sz w:val="22"/>
                <w:szCs w:val="22"/>
              </w:rPr>
              <w:t>a</w:t>
            </w:r>
            <w:r>
              <w:rPr>
                <w:rFonts w:ascii="Times New Roman" w:eastAsia="Times New Roman" w:hAnsi="Times New Roman" w:cs="Times New Roman"/>
                <w:sz w:val="22"/>
                <w:szCs w:val="22"/>
              </w:rPr>
              <w:t>niu dostępności os</w:t>
            </w:r>
            <w:r w:rsidR="00A82CF3">
              <w:rPr>
                <w:rFonts w:ascii="Times New Roman" w:eastAsia="Times New Roman" w:hAnsi="Times New Roman" w:cs="Times New Roman"/>
                <w:sz w:val="22"/>
                <w:szCs w:val="22"/>
              </w:rPr>
              <w:t>obom</w:t>
            </w:r>
            <w:r>
              <w:rPr>
                <w:rFonts w:ascii="Times New Roman" w:eastAsia="Times New Roman" w:hAnsi="Times New Roman" w:cs="Times New Roman"/>
                <w:sz w:val="22"/>
                <w:szCs w:val="22"/>
              </w:rPr>
              <w:t xml:space="preserve"> ze</w:t>
            </w:r>
            <w:r w:rsidR="00C47E5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szczególnymi potrzebami, o dostępności cyfrowej stron internetowych</w:t>
            </w:r>
            <w:r w:rsidR="00C37049">
              <w:t xml:space="preserve"> </w:t>
            </w:r>
            <w:r w:rsidR="00C37049" w:rsidRPr="00C37049">
              <w:rPr>
                <w:rFonts w:ascii="Times New Roman" w:eastAsia="Times New Roman" w:hAnsi="Times New Roman" w:cs="Times New Roman"/>
                <w:sz w:val="22"/>
                <w:szCs w:val="22"/>
              </w:rPr>
              <w:t>i aplikacji mobilnych</w:t>
            </w:r>
            <w:r>
              <w:rPr>
                <w:rFonts w:ascii="Times New Roman" w:eastAsia="Times New Roman" w:hAnsi="Times New Roman" w:cs="Times New Roman"/>
                <w:sz w:val="22"/>
                <w:szCs w:val="22"/>
              </w:rPr>
              <w:t xml:space="preserve">, </w:t>
            </w:r>
            <w:r w:rsidR="00A82CF3">
              <w:rPr>
                <w:rFonts w:ascii="Times New Roman" w:eastAsia="Times New Roman" w:hAnsi="Times New Roman" w:cs="Times New Roman"/>
                <w:sz w:val="22"/>
                <w:szCs w:val="22"/>
              </w:rPr>
              <w:t>p</w:t>
            </w:r>
            <w:r>
              <w:rPr>
                <w:rFonts w:ascii="Times New Roman" w:eastAsia="Times New Roman" w:hAnsi="Times New Roman" w:cs="Times New Roman"/>
                <w:sz w:val="22"/>
                <w:szCs w:val="22"/>
              </w:rPr>
              <w:t>raw</w:t>
            </w:r>
            <w:r w:rsidR="00A82CF3">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zamówień publicznych, o</w:t>
            </w:r>
            <w:r w:rsidR="00F16712">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transporcie kolejowym, o transporcie drogowym, o </w:t>
            </w:r>
            <w:r w:rsidR="00A82CF3">
              <w:rPr>
                <w:rFonts w:ascii="Times New Roman" w:eastAsia="Times New Roman" w:hAnsi="Times New Roman" w:cs="Times New Roman"/>
                <w:sz w:val="22"/>
                <w:szCs w:val="22"/>
              </w:rPr>
              <w:t xml:space="preserve">publicznym </w:t>
            </w:r>
            <w:r>
              <w:rPr>
                <w:rFonts w:ascii="Times New Roman" w:eastAsia="Times New Roman" w:hAnsi="Times New Roman" w:cs="Times New Roman"/>
                <w:sz w:val="22"/>
                <w:szCs w:val="22"/>
              </w:rPr>
              <w:t xml:space="preserve">transporcie zbiorowym, </w:t>
            </w:r>
            <w:r w:rsidR="00A82CF3">
              <w:rPr>
                <w:rFonts w:ascii="Times New Roman" w:eastAsia="Times New Roman" w:hAnsi="Times New Roman" w:cs="Times New Roman"/>
                <w:sz w:val="22"/>
                <w:szCs w:val="22"/>
              </w:rPr>
              <w:t>p</w:t>
            </w:r>
            <w:r>
              <w:rPr>
                <w:rFonts w:ascii="Times New Roman" w:eastAsia="Times New Roman" w:hAnsi="Times New Roman" w:cs="Times New Roman"/>
                <w:sz w:val="22"/>
                <w:szCs w:val="22"/>
              </w:rPr>
              <w:t>raw</w:t>
            </w:r>
            <w:r w:rsidR="00A82CF3">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telekomunikacyjne</w:t>
            </w:r>
            <w:r w:rsidR="00B87D8C">
              <w:rPr>
                <w:rFonts w:ascii="Times New Roman" w:eastAsia="Times New Roman" w:hAnsi="Times New Roman" w:cs="Times New Roman"/>
                <w:sz w:val="22"/>
                <w:szCs w:val="22"/>
              </w:rPr>
              <w:t>go czy</w:t>
            </w:r>
            <w:r w:rsidR="00BC4F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 radiofonii i telewizji. Przepisy te </w:t>
            </w:r>
            <w:r w:rsidR="0084556E">
              <w:rPr>
                <w:rFonts w:ascii="Times New Roman" w:eastAsia="Times New Roman" w:hAnsi="Times New Roman" w:cs="Times New Roman"/>
                <w:sz w:val="22"/>
                <w:szCs w:val="22"/>
              </w:rPr>
              <w:t>są zatem</w:t>
            </w:r>
            <w:r w:rsidR="00A82C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rozproszone i nie tworzą zespołu norm zapewniających odpowiedni poziom dostępności produktów i usług. Zwłaszcza prywatne podmioty gospodarcze nie są objęte spójną i kompletną regulacją w tym zakresie.</w:t>
            </w:r>
          </w:p>
          <w:p w14:paraId="245EF3B1" w14:textId="2E0D8074" w:rsidR="004356CE" w:rsidRDefault="00515863" w:rsidP="003C56B8">
            <w:pPr>
              <w:widowControl w:val="0"/>
              <w:spacing w:before="120" w:after="120"/>
              <w:ind w:right="-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Ostatnie zmiany prawa polskiego w tym zakresie </w:t>
            </w:r>
            <w:r w:rsidR="007063BA">
              <w:rPr>
                <w:rFonts w:ascii="Times New Roman" w:eastAsia="Times New Roman" w:hAnsi="Times New Roman" w:cs="Times New Roman"/>
                <w:sz w:val="22"/>
                <w:szCs w:val="22"/>
              </w:rPr>
              <w:t xml:space="preserve">były </w:t>
            </w:r>
            <w:r>
              <w:rPr>
                <w:rFonts w:ascii="Times New Roman" w:eastAsia="Times New Roman" w:hAnsi="Times New Roman" w:cs="Times New Roman"/>
                <w:sz w:val="22"/>
                <w:szCs w:val="22"/>
              </w:rPr>
              <w:t>skierowane do podmiotów publicznych</w:t>
            </w:r>
            <w:r w:rsidR="007063B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69B793CE" w14:textId="3DC278CA" w:rsidR="00F16712" w:rsidRDefault="007063BA" w:rsidP="004356CE">
            <w:pPr>
              <w:widowControl w:val="0"/>
              <w:numPr>
                <w:ilvl w:val="0"/>
                <w:numId w:val="25"/>
              </w:numPr>
              <w:spacing w:before="120" w:after="120"/>
              <w:ind w:right="-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dniu </w:t>
            </w:r>
            <w:r w:rsidR="00515863">
              <w:rPr>
                <w:rFonts w:ascii="Times New Roman" w:eastAsia="Times New Roman" w:hAnsi="Times New Roman" w:cs="Times New Roman"/>
                <w:sz w:val="22"/>
                <w:szCs w:val="22"/>
              </w:rPr>
              <w:t>20 września 2019</w:t>
            </w:r>
            <w:r w:rsidR="00640A07">
              <w:rPr>
                <w:rFonts w:ascii="Times New Roman" w:eastAsia="Times New Roman" w:hAnsi="Times New Roman" w:cs="Times New Roman"/>
                <w:sz w:val="22"/>
                <w:szCs w:val="22"/>
              </w:rPr>
              <w:t> </w:t>
            </w:r>
            <w:r w:rsidR="00515863">
              <w:rPr>
                <w:rFonts w:ascii="Times New Roman" w:eastAsia="Times New Roman" w:hAnsi="Times New Roman" w:cs="Times New Roman"/>
                <w:sz w:val="22"/>
                <w:szCs w:val="22"/>
              </w:rPr>
              <w:t>r. weszła w życie ustawa z dnia 19 lipca 2019</w:t>
            </w:r>
            <w:r w:rsidR="00640A07">
              <w:rPr>
                <w:rFonts w:ascii="Times New Roman" w:eastAsia="Times New Roman" w:hAnsi="Times New Roman" w:cs="Times New Roman"/>
                <w:sz w:val="22"/>
                <w:szCs w:val="22"/>
              </w:rPr>
              <w:t> </w:t>
            </w:r>
            <w:r w:rsidR="00515863">
              <w:rPr>
                <w:rFonts w:ascii="Times New Roman" w:eastAsia="Times New Roman" w:hAnsi="Times New Roman" w:cs="Times New Roman"/>
                <w:sz w:val="22"/>
                <w:szCs w:val="22"/>
              </w:rPr>
              <w:t xml:space="preserve">r. o zapewnianiu dostępności osobom </w:t>
            </w:r>
            <w:r w:rsidR="00C47E5B">
              <w:rPr>
                <w:rFonts w:ascii="Times New Roman" w:eastAsia="Times New Roman" w:hAnsi="Times New Roman" w:cs="Times New Roman"/>
                <w:sz w:val="22"/>
                <w:szCs w:val="22"/>
              </w:rPr>
              <w:br/>
            </w:r>
            <w:r w:rsidR="00515863">
              <w:rPr>
                <w:rFonts w:ascii="Times New Roman" w:eastAsia="Times New Roman" w:hAnsi="Times New Roman" w:cs="Times New Roman"/>
                <w:sz w:val="22"/>
                <w:szCs w:val="22"/>
              </w:rPr>
              <w:t xml:space="preserve">ze szczególnymi </w:t>
            </w:r>
            <w:r w:rsidR="003A17BE">
              <w:rPr>
                <w:rFonts w:ascii="Times New Roman" w:eastAsia="Times New Roman" w:hAnsi="Times New Roman" w:cs="Times New Roman"/>
                <w:sz w:val="22"/>
                <w:szCs w:val="22"/>
              </w:rPr>
              <w:t xml:space="preserve">potrzebami. </w:t>
            </w:r>
            <w:r w:rsidR="00515863">
              <w:rPr>
                <w:rFonts w:ascii="Times New Roman" w:eastAsia="Times New Roman" w:hAnsi="Times New Roman" w:cs="Times New Roman"/>
                <w:sz w:val="22"/>
                <w:szCs w:val="22"/>
              </w:rPr>
              <w:t xml:space="preserve">Ustawa określa środki służące zapewnianiu dostępności architektonicznej, cyfrowej oraz informacyjno-komunikacyjnej osobom ze szczególnymi potrzebami. Obowiązek zapewnienia wskazanej dostępności dotyczy podmiotów publicznych i ma być realizowany przez stosowanie uniwersalnego projektowania albo racjonalnego usprawnienia w rozumieniu </w:t>
            </w:r>
            <w:r w:rsidR="009A0E2F">
              <w:rPr>
                <w:rFonts w:ascii="Times New Roman" w:eastAsia="Times New Roman" w:hAnsi="Times New Roman" w:cs="Times New Roman"/>
                <w:sz w:val="22"/>
                <w:szCs w:val="22"/>
              </w:rPr>
              <w:t>K</w:t>
            </w:r>
            <w:r w:rsidR="00515863">
              <w:rPr>
                <w:rFonts w:ascii="Times New Roman" w:eastAsia="Times New Roman" w:hAnsi="Times New Roman" w:cs="Times New Roman"/>
                <w:sz w:val="22"/>
                <w:szCs w:val="22"/>
              </w:rPr>
              <w:t>onwencji. Utworzono ponadto Fundusz Dostępności jako państwowy fundusz celowy</w:t>
            </w:r>
            <w:r w:rsidR="00B87D8C">
              <w:rPr>
                <w:rFonts w:ascii="Times New Roman" w:eastAsia="Times New Roman" w:hAnsi="Times New Roman" w:cs="Times New Roman"/>
                <w:sz w:val="22"/>
                <w:szCs w:val="22"/>
              </w:rPr>
              <w:t>,</w:t>
            </w:r>
            <w:r w:rsidR="00515863">
              <w:rPr>
                <w:rFonts w:ascii="Times New Roman" w:eastAsia="Times New Roman" w:hAnsi="Times New Roman" w:cs="Times New Roman"/>
                <w:sz w:val="22"/>
                <w:szCs w:val="22"/>
              </w:rPr>
              <w:t xml:space="preserve"> </w:t>
            </w:r>
            <w:r w:rsidR="00B87D8C" w:rsidRPr="00B87D8C">
              <w:rPr>
                <w:rFonts w:ascii="Times New Roman" w:hAnsi="Times New Roman" w:cs="Times New Roman"/>
                <w:sz w:val="22"/>
                <w:szCs w:val="22"/>
              </w:rPr>
              <w:t xml:space="preserve">którego środki przeznacza się </w:t>
            </w:r>
            <w:r w:rsidR="00515863" w:rsidRPr="00B87D8C">
              <w:rPr>
                <w:rFonts w:ascii="Times New Roman" w:eastAsia="Times New Roman" w:hAnsi="Times New Roman" w:cs="Times New Roman"/>
                <w:sz w:val="22"/>
                <w:szCs w:val="22"/>
              </w:rPr>
              <w:t>na</w:t>
            </w:r>
            <w:r w:rsidR="00515863">
              <w:rPr>
                <w:rFonts w:ascii="Times New Roman" w:eastAsia="Times New Roman" w:hAnsi="Times New Roman" w:cs="Times New Roman"/>
                <w:sz w:val="22"/>
                <w:szCs w:val="22"/>
              </w:rPr>
              <w:t xml:space="preserve"> realizację zadań polegających </w:t>
            </w:r>
            <w:r w:rsidR="00C47E5B">
              <w:rPr>
                <w:rFonts w:ascii="Times New Roman" w:eastAsia="Times New Roman" w:hAnsi="Times New Roman" w:cs="Times New Roman"/>
                <w:sz w:val="22"/>
                <w:szCs w:val="22"/>
              </w:rPr>
              <w:br/>
            </w:r>
            <w:r w:rsidR="00515863">
              <w:rPr>
                <w:rFonts w:ascii="Times New Roman" w:eastAsia="Times New Roman" w:hAnsi="Times New Roman" w:cs="Times New Roman"/>
                <w:sz w:val="22"/>
                <w:szCs w:val="22"/>
              </w:rPr>
              <w:t xml:space="preserve">na wsparciu działań w zakresie zapewniania dostępności osobom ze szczególnymi potrzebami. Odpowiedzialny za koordynację działań dotyczących zapewnienia dostępności jest minister właściwy do spraw rozwoju regionalnego, przy którym utworzono Radę Dostępności. </w:t>
            </w:r>
            <w:r>
              <w:rPr>
                <w:rFonts w:ascii="Times New Roman" w:eastAsia="Times New Roman" w:hAnsi="Times New Roman" w:cs="Times New Roman"/>
                <w:sz w:val="22"/>
                <w:szCs w:val="22"/>
              </w:rPr>
              <w:t xml:space="preserve">Zgodnie z tą ustawą </w:t>
            </w:r>
            <w:r w:rsidR="005F4F0A">
              <w:rPr>
                <w:rFonts w:ascii="Times New Roman" w:eastAsia="Times New Roman" w:hAnsi="Times New Roman" w:cs="Times New Roman"/>
                <w:sz w:val="22"/>
                <w:szCs w:val="22"/>
              </w:rPr>
              <w:t xml:space="preserve">od </w:t>
            </w:r>
            <w:r>
              <w:rPr>
                <w:rFonts w:ascii="Times New Roman" w:eastAsia="Times New Roman" w:hAnsi="Times New Roman" w:cs="Times New Roman"/>
                <w:sz w:val="22"/>
                <w:szCs w:val="22"/>
              </w:rPr>
              <w:t xml:space="preserve">dnia </w:t>
            </w:r>
            <w:r w:rsidR="00722830" w:rsidRPr="00722830">
              <w:rPr>
                <w:rFonts w:ascii="Times New Roman" w:eastAsia="Times New Roman" w:hAnsi="Times New Roman" w:cs="Times New Roman"/>
                <w:sz w:val="22"/>
                <w:szCs w:val="22"/>
              </w:rPr>
              <w:t>6 września 2021</w:t>
            </w:r>
            <w:r w:rsidR="00640A07">
              <w:rPr>
                <w:rFonts w:ascii="Times New Roman" w:eastAsia="Times New Roman" w:hAnsi="Times New Roman" w:cs="Times New Roman"/>
                <w:sz w:val="22"/>
                <w:szCs w:val="22"/>
              </w:rPr>
              <w:t> </w:t>
            </w:r>
            <w:r w:rsidR="00722830" w:rsidRPr="00722830">
              <w:rPr>
                <w:rFonts w:ascii="Times New Roman" w:eastAsia="Times New Roman" w:hAnsi="Times New Roman" w:cs="Times New Roman"/>
                <w:sz w:val="22"/>
                <w:szCs w:val="22"/>
              </w:rPr>
              <w:t>r. został uruchomiony proces skargowy</w:t>
            </w:r>
            <w:r w:rsidR="007F65DE" w:rsidRPr="00722830">
              <w:rPr>
                <w:rFonts w:ascii="Times New Roman" w:eastAsia="Times New Roman" w:hAnsi="Times New Roman" w:cs="Times New Roman"/>
                <w:sz w:val="22"/>
                <w:szCs w:val="22"/>
              </w:rPr>
              <w:t xml:space="preserve"> na brak dostępności</w:t>
            </w:r>
            <w:r w:rsidR="00230FB2">
              <w:rPr>
                <w:rFonts w:ascii="Times New Roman" w:eastAsia="Times New Roman" w:hAnsi="Times New Roman" w:cs="Times New Roman"/>
                <w:sz w:val="22"/>
                <w:szCs w:val="22"/>
              </w:rPr>
              <w:t>,</w:t>
            </w:r>
            <w:r w:rsidR="00722830" w:rsidRPr="00722830">
              <w:rPr>
                <w:rFonts w:ascii="Times New Roman" w:eastAsia="Times New Roman" w:hAnsi="Times New Roman" w:cs="Times New Roman"/>
                <w:sz w:val="22"/>
                <w:szCs w:val="22"/>
              </w:rPr>
              <w:t xml:space="preserve"> </w:t>
            </w:r>
            <w:r w:rsidR="00230FB2" w:rsidRPr="00230FB2">
              <w:rPr>
                <w:rFonts w:ascii="Times New Roman" w:eastAsia="Times New Roman" w:hAnsi="Times New Roman" w:cs="Times New Roman"/>
                <w:sz w:val="22"/>
                <w:szCs w:val="22"/>
              </w:rPr>
              <w:t>który leży w kompetencji PFRON</w:t>
            </w:r>
            <w:r w:rsidR="005F3A29" w:rsidRPr="00722830">
              <w:rPr>
                <w:rFonts w:ascii="Times New Roman" w:eastAsia="Times New Roman" w:hAnsi="Times New Roman" w:cs="Times New Roman"/>
                <w:sz w:val="22"/>
                <w:szCs w:val="22"/>
              </w:rPr>
              <w:t>.</w:t>
            </w:r>
            <w:r w:rsidR="00722830" w:rsidRPr="00722830">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 xml:space="preserve">Ustawa wprowadziła także odpowiednie zmiany w innych ustawach, w tym w </w:t>
            </w:r>
            <w:r w:rsidR="007F65DE">
              <w:rPr>
                <w:rFonts w:ascii="Times New Roman" w:eastAsia="Times New Roman" w:hAnsi="Times New Roman" w:cs="Times New Roman"/>
                <w:sz w:val="22"/>
                <w:szCs w:val="22"/>
              </w:rPr>
              <w:t xml:space="preserve">przepisach </w:t>
            </w:r>
            <w:r w:rsidR="00515863">
              <w:rPr>
                <w:rFonts w:ascii="Times New Roman" w:eastAsia="Times New Roman" w:hAnsi="Times New Roman" w:cs="Times New Roman"/>
                <w:sz w:val="22"/>
                <w:szCs w:val="22"/>
              </w:rPr>
              <w:t>ustaw</w:t>
            </w:r>
            <w:r w:rsidR="007F65DE">
              <w:rPr>
                <w:rFonts w:ascii="Times New Roman" w:eastAsia="Times New Roman" w:hAnsi="Times New Roman" w:cs="Times New Roman"/>
                <w:sz w:val="22"/>
                <w:szCs w:val="22"/>
              </w:rPr>
              <w:t>y</w:t>
            </w:r>
            <w:r w:rsidR="00515863">
              <w:rPr>
                <w:rFonts w:ascii="Times New Roman" w:eastAsia="Times New Roman" w:hAnsi="Times New Roman" w:cs="Times New Roman"/>
                <w:sz w:val="22"/>
                <w:szCs w:val="22"/>
              </w:rPr>
              <w:t xml:space="preserve"> z dnia 7 lipca 1994</w:t>
            </w:r>
            <w:r w:rsidR="00640A07">
              <w:rPr>
                <w:rFonts w:ascii="Times New Roman" w:eastAsia="Times New Roman" w:hAnsi="Times New Roman" w:cs="Times New Roman"/>
                <w:sz w:val="22"/>
                <w:szCs w:val="22"/>
              </w:rPr>
              <w:t> </w:t>
            </w:r>
            <w:r w:rsidR="00515863">
              <w:rPr>
                <w:rFonts w:ascii="Times New Roman" w:eastAsia="Times New Roman" w:hAnsi="Times New Roman" w:cs="Times New Roman"/>
                <w:sz w:val="22"/>
                <w:szCs w:val="22"/>
              </w:rPr>
              <w:t xml:space="preserve">r. </w:t>
            </w:r>
            <w:r w:rsidR="009B6EE1">
              <w:rPr>
                <w:rFonts w:ascii="Times New Roman" w:eastAsia="Times New Roman" w:hAnsi="Times New Roman" w:cs="Times New Roman"/>
                <w:sz w:val="22"/>
                <w:szCs w:val="22"/>
              </w:rPr>
              <w:t>–</w:t>
            </w:r>
            <w:r w:rsidR="00515863">
              <w:rPr>
                <w:rFonts w:ascii="Times New Roman" w:eastAsia="Times New Roman" w:hAnsi="Times New Roman" w:cs="Times New Roman"/>
                <w:sz w:val="22"/>
                <w:szCs w:val="22"/>
              </w:rPr>
              <w:t xml:space="preserve"> Prawo </w:t>
            </w:r>
            <w:r w:rsidR="003A17BE">
              <w:rPr>
                <w:rFonts w:ascii="Times New Roman" w:eastAsia="Times New Roman" w:hAnsi="Times New Roman" w:cs="Times New Roman"/>
                <w:sz w:val="22"/>
                <w:szCs w:val="22"/>
              </w:rPr>
              <w:t>budowlane</w:t>
            </w:r>
            <w:r w:rsidR="009A0E2F">
              <w:rPr>
                <w:rFonts w:ascii="Times New Roman" w:eastAsia="Times New Roman" w:hAnsi="Times New Roman" w:cs="Times New Roman"/>
                <w:sz w:val="22"/>
                <w:szCs w:val="22"/>
              </w:rPr>
              <w:t xml:space="preserve"> (Dz. U. z 202</w:t>
            </w:r>
            <w:r w:rsidR="00A876E7">
              <w:rPr>
                <w:rFonts w:ascii="Times New Roman" w:eastAsia="Times New Roman" w:hAnsi="Times New Roman" w:cs="Times New Roman"/>
                <w:sz w:val="22"/>
                <w:szCs w:val="22"/>
              </w:rPr>
              <w:t>3</w:t>
            </w:r>
            <w:r w:rsidR="00640A07">
              <w:rPr>
                <w:rFonts w:ascii="Times New Roman" w:eastAsia="Times New Roman" w:hAnsi="Times New Roman" w:cs="Times New Roman"/>
                <w:sz w:val="22"/>
                <w:szCs w:val="22"/>
              </w:rPr>
              <w:t> </w:t>
            </w:r>
            <w:r w:rsidR="009A0E2F">
              <w:rPr>
                <w:rFonts w:ascii="Times New Roman" w:eastAsia="Times New Roman" w:hAnsi="Times New Roman" w:cs="Times New Roman"/>
                <w:sz w:val="22"/>
                <w:szCs w:val="22"/>
              </w:rPr>
              <w:t xml:space="preserve">r. poz. </w:t>
            </w:r>
            <w:r w:rsidR="00A876E7">
              <w:rPr>
                <w:rFonts w:ascii="Times New Roman" w:eastAsia="Times New Roman" w:hAnsi="Times New Roman" w:cs="Times New Roman"/>
                <w:sz w:val="22"/>
                <w:szCs w:val="22"/>
              </w:rPr>
              <w:t>682</w:t>
            </w:r>
            <w:r w:rsidR="00503426">
              <w:rPr>
                <w:rFonts w:ascii="Times New Roman" w:eastAsia="Times New Roman" w:hAnsi="Times New Roman" w:cs="Times New Roman"/>
                <w:sz w:val="22"/>
                <w:szCs w:val="22"/>
              </w:rPr>
              <w:t xml:space="preserve">, z </w:t>
            </w:r>
            <w:proofErr w:type="spellStart"/>
            <w:r w:rsidR="00503426">
              <w:rPr>
                <w:rFonts w:ascii="Times New Roman" w:eastAsia="Times New Roman" w:hAnsi="Times New Roman" w:cs="Times New Roman"/>
                <w:sz w:val="22"/>
                <w:szCs w:val="22"/>
              </w:rPr>
              <w:t>późn</w:t>
            </w:r>
            <w:proofErr w:type="spellEnd"/>
            <w:r w:rsidR="00503426">
              <w:rPr>
                <w:rFonts w:ascii="Times New Roman" w:eastAsia="Times New Roman" w:hAnsi="Times New Roman" w:cs="Times New Roman"/>
                <w:sz w:val="22"/>
                <w:szCs w:val="22"/>
              </w:rPr>
              <w:t>. zm.</w:t>
            </w:r>
            <w:r w:rsidR="009A0E2F">
              <w:rPr>
                <w:rFonts w:ascii="Times New Roman" w:eastAsia="Times New Roman" w:hAnsi="Times New Roman" w:cs="Times New Roman"/>
                <w:sz w:val="22"/>
                <w:szCs w:val="22"/>
              </w:rPr>
              <w:t>)</w:t>
            </w:r>
            <w:r w:rsidR="003A17BE">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w której nałożono obowiązek określenia w treści projektu budowlanego, w zależności od przeznaczenia projektowanego obiektu, niezbędnych warunków do korzystania z obiektu przez osoby ze szczególnymi potrzebami</w:t>
            </w:r>
            <w:r w:rsidR="007F65DE">
              <w:rPr>
                <w:rFonts w:ascii="Times New Roman" w:eastAsia="Times New Roman" w:hAnsi="Times New Roman" w:cs="Times New Roman"/>
                <w:sz w:val="22"/>
                <w:szCs w:val="22"/>
              </w:rPr>
              <w:t>;</w:t>
            </w:r>
          </w:p>
          <w:p w14:paraId="42AE431E" w14:textId="43775A47" w:rsidR="00EC4C5C" w:rsidRPr="00F16712" w:rsidRDefault="007F65DE" w:rsidP="004356CE">
            <w:pPr>
              <w:widowControl w:val="0"/>
              <w:numPr>
                <w:ilvl w:val="0"/>
                <w:numId w:val="25"/>
              </w:numPr>
              <w:spacing w:before="120" w:after="120"/>
              <w:ind w:right="-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dniu </w:t>
            </w:r>
            <w:r w:rsidR="00515863">
              <w:rPr>
                <w:rFonts w:ascii="Times New Roman" w:eastAsia="Times New Roman" w:hAnsi="Times New Roman" w:cs="Times New Roman"/>
                <w:sz w:val="22"/>
                <w:szCs w:val="22"/>
              </w:rPr>
              <w:t>23 maja 2019</w:t>
            </w:r>
            <w:r w:rsidR="00640A07">
              <w:rPr>
                <w:rFonts w:ascii="Times New Roman" w:eastAsia="Times New Roman" w:hAnsi="Times New Roman" w:cs="Times New Roman"/>
                <w:sz w:val="22"/>
                <w:szCs w:val="22"/>
              </w:rPr>
              <w:t> </w:t>
            </w:r>
            <w:r w:rsidR="00515863">
              <w:rPr>
                <w:rFonts w:ascii="Times New Roman" w:eastAsia="Times New Roman" w:hAnsi="Times New Roman" w:cs="Times New Roman"/>
                <w:sz w:val="22"/>
                <w:szCs w:val="22"/>
              </w:rPr>
              <w:t>r</w:t>
            </w:r>
            <w:r w:rsidR="009A0E2F">
              <w:rPr>
                <w:rFonts w:ascii="Times New Roman" w:eastAsia="Times New Roman" w:hAnsi="Times New Roman" w:cs="Times New Roman"/>
                <w:sz w:val="22"/>
                <w:szCs w:val="22"/>
              </w:rPr>
              <w:t>.</w:t>
            </w:r>
            <w:r w:rsidR="00515863">
              <w:rPr>
                <w:rFonts w:ascii="Times New Roman" w:eastAsia="Times New Roman" w:hAnsi="Times New Roman" w:cs="Times New Roman"/>
                <w:sz w:val="22"/>
                <w:szCs w:val="22"/>
              </w:rPr>
              <w:t xml:space="preserve"> weszła w życie ustawa</w:t>
            </w:r>
            <w:r w:rsidR="009A0E2F">
              <w:rPr>
                <w:rFonts w:ascii="Times New Roman" w:eastAsia="Times New Roman" w:hAnsi="Times New Roman" w:cs="Times New Roman"/>
                <w:sz w:val="22"/>
                <w:szCs w:val="22"/>
              </w:rPr>
              <w:t xml:space="preserve"> z dnia 4 kwietnia 2019</w:t>
            </w:r>
            <w:r w:rsidR="00640A07">
              <w:rPr>
                <w:rFonts w:ascii="Times New Roman" w:eastAsia="Times New Roman" w:hAnsi="Times New Roman" w:cs="Times New Roman"/>
                <w:sz w:val="22"/>
                <w:szCs w:val="22"/>
              </w:rPr>
              <w:t> </w:t>
            </w:r>
            <w:r w:rsidR="009A0E2F">
              <w:rPr>
                <w:rFonts w:ascii="Times New Roman" w:eastAsia="Times New Roman" w:hAnsi="Times New Roman" w:cs="Times New Roman"/>
                <w:sz w:val="22"/>
                <w:szCs w:val="22"/>
              </w:rPr>
              <w:t>r.</w:t>
            </w:r>
            <w:r w:rsidR="00515863">
              <w:rPr>
                <w:rFonts w:ascii="Times New Roman" w:eastAsia="Times New Roman" w:hAnsi="Times New Roman" w:cs="Times New Roman"/>
                <w:sz w:val="22"/>
                <w:szCs w:val="22"/>
              </w:rPr>
              <w:t xml:space="preserve"> </w:t>
            </w:r>
            <w:r w:rsidR="00695D25" w:rsidRPr="00695D25">
              <w:rPr>
                <w:rFonts w:ascii="Times New Roman" w:eastAsia="Times New Roman" w:hAnsi="Times New Roman" w:cs="Times New Roman"/>
                <w:sz w:val="22"/>
                <w:szCs w:val="22"/>
              </w:rPr>
              <w:t>o dostępności cyfrowej stron internetowych i aplikacji mobilnych podmiotów publicznych</w:t>
            </w:r>
            <w:r w:rsidR="009A0E2F">
              <w:rPr>
                <w:rFonts w:ascii="Times New Roman" w:eastAsia="Times New Roman" w:hAnsi="Times New Roman" w:cs="Times New Roman"/>
                <w:sz w:val="22"/>
                <w:szCs w:val="22"/>
              </w:rPr>
              <w:t xml:space="preserve"> (Dz. U. </w:t>
            </w:r>
            <w:r w:rsidR="0087567D">
              <w:rPr>
                <w:rFonts w:ascii="Times New Roman" w:eastAsia="Times New Roman" w:hAnsi="Times New Roman" w:cs="Times New Roman"/>
                <w:sz w:val="22"/>
                <w:szCs w:val="22"/>
              </w:rPr>
              <w:t xml:space="preserve">z 2023 r. </w:t>
            </w:r>
            <w:r w:rsidR="009A0E2F">
              <w:rPr>
                <w:rFonts w:ascii="Times New Roman" w:eastAsia="Times New Roman" w:hAnsi="Times New Roman" w:cs="Times New Roman"/>
                <w:sz w:val="22"/>
                <w:szCs w:val="22"/>
              </w:rPr>
              <w:t xml:space="preserve">poz. </w:t>
            </w:r>
            <w:r>
              <w:rPr>
                <w:rFonts w:ascii="Times New Roman" w:eastAsia="Times New Roman" w:hAnsi="Times New Roman" w:cs="Times New Roman"/>
                <w:sz w:val="22"/>
                <w:szCs w:val="22"/>
              </w:rPr>
              <w:t>1440</w:t>
            </w:r>
            <w:r w:rsidR="009A0E2F">
              <w:rPr>
                <w:rFonts w:ascii="Times New Roman" w:eastAsia="Times New Roman" w:hAnsi="Times New Roman" w:cs="Times New Roman"/>
                <w:sz w:val="22"/>
                <w:szCs w:val="22"/>
              </w:rPr>
              <w:t>)</w:t>
            </w:r>
            <w:r w:rsidR="003A17BE">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 xml:space="preserve">Ustawa dotyczy dostępności cyfrowej stron internetowych i aplikacji mobilnych podmiotów publicznych. </w:t>
            </w:r>
            <w:r w:rsidR="009A0E2F">
              <w:rPr>
                <w:rFonts w:ascii="Times New Roman" w:eastAsia="Times New Roman" w:hAnsi="Times New Roman" w:cs="Times New Roman"/>
                <w:sz w:val="22"/>
                <w:szCs w:val="22"/>
              </w:rPr>
              <w:t>Ustawa w</w:t>
            </w:r>
            <w:r w:rsidR="00515863">
              <w:rPr>
                <w:rFonts w:ascii="Times New Roman" w:eastAsia="Times New Roman" w:hAnsi="Times New Roman" w:cs="Times New Roman"/>
                <w:sz w:val="22"/>
                <w:szCs w:val="22"/>
              </w:rPr>
              <w:t>prowadz</w:t>
            </w:r>
            <w:r w:rsidR="009A0E2F">
              <w:rPr>
                <w:rFonts w:ascii="Times New Roman" w:eastAsia="Times New Roman" w:hAnsi="Times New Roman" w:cs="Times New Roman"/>
                <w:sz w:val="22"/>
                <w:szCs w:val="22"/>
              </w:rPr>
              <w:t>iła</w:t>
            </w:r>
            <w:r w:rsidR="00515863">
              <w:rPr>
                <w:rFonts w:ascii="Times New Roman" w:eastAsia="Times New Roman" w:hAnsi="Times New Roman" w:cs="Times New Roman"/>
                <w:sz w:val="22"/>
                <w:szCs w:val="22"/>
              </w:rPr>
              <w:t xml:space="preserve"> obowiązek umieszczania na stronach </w:t>
            </w:r>
            <w:r w:rsidR="00640A07">
              <w:rPr>
                <w:rFonts w:ascii="Times New Roman" w:eastAsia="Times New Roman" w:hAnsi="Times New Roman" w:cs="Times New Roman"/>
                <w:sz w:val="22"/>
                <w:szCs w:val="22"/>
              </w:rPr>
              <w:t>internetowych</w:t>
            </w:r>
            <w:r w:rsidR="00515863">
              <w:rPr>
                <w:rFonts w:ascii="Times New Roman" w:eastAsia="Times New Roman" w:hAnsi="Times New Roman" w:cs="Times New Roman"/>
                <w:sz w:val="22"/>
                <w:szCs w:val="22"/>
              </w:rPr>
              <w:t xml:space="preserve"> deklaracji dostępności. Określa</w:t>
            </w:r>
            <w:r w:rsidR="009A0E2F">
              <w:rPr>
                <w:rFonts w:ascii="Times New Roman" w:eastAsia="Times New Roman" w:hAnsi="Times New Roman" w:cs="Times New Roman"/>
                <w:sz w:val="22"/>
                <w:szCs w:val="22"/>
              </w:rPr>
              <w:t xml:space="preserve"> również</w:t>
            </w:r>
            <w:r w:rsidR="00515863">
              <w:rPr>
                <w:rFonts w:ascii="Times New Roman" w:eastAsia="Times New Roman" w:hAnsi="Times New Roman" w:cs="Times New Roman"/>
                <w:sz w:val="22"/>
                <w:szCs w:val="22"/>
              </w:rPr>
              <w:t xml:space="preserve"> kompetencje </w:t>
            </w:r>
            <w:r w:rsidR="009B6EE1">
              <w:rPr>
                <w:rFonts w:ascii="Times New Roman" w:eastAsia="Times New Roman" w:hAnsi="Times New Roman" w:cs="Times New Roman"/>
                <w:sz w:val="22"/>
                <w:szCs w:val="22"/>
              </w:rPr>
              <w:t xml:space="preserve">urzędu ministra </w:t>
            </w:r>
            <w:r w:rsidR="00503426">
              <w:rPr>
                <w:rFonts w:ascii="Times New Roman" w:eastAsia="Times New Roman" w:hAnsi="Times New Roman" w:cs="Times New Roman"/>
                <w:sz w:val="22"/>
                <w:szCs w:val="22"/>
              </w:rPr>
              <w:t xml:space="preserve">właściwego </w:t>
            </w:r>
            <w:r w:rsidR="009B6EE1">
              <w:rPr>
                <w:rFonts w:ascii="Times New Roman" w:eastAsia="Times New Roman" w:hAnsi="Times New Roman" w:cs="Times New Roman"/>
                <w:sz w:val="22"/>
                <w:szCs w:val="22"/>
              </w:rPr>
              <w:t>d</w:t>
            </w:r>
            <w:r w:rsidR="009A0E2F">
              <w:rPr>
                <w:rFonts w:ascii="Times New Roman" w:eastAsia="Times New Roman" w:hAnsi="Times New Roman" w:cs="Times New Roman"/>
                <w:sz w:val="22"/>
                <w:szCs w:val="22"/>
              </w:rPr>
              <w:t>o spraw</w:t>
            </w:r>
            <w:r w:rsidR="009B6EE1">
              <w:rPr>
                <w:rFonts w:ascii="Times New Roman" w:eastAsia="Times New Roman" w:hAnsi="Times New Roman" w:cs="Times New Roman"/>
                <w:sz w:val="22"/>
                <w:szCs w:val="22"/>
              </w:rPr>
              <w:t xml:space="preserve"> </w:t>
            </w:r>
            <w:r w:rsidR="00866878">
              <w:rPr>
                <w:rFonts w:ascii="Times New Roman" w:eastAsia="Times New Roman" w:hAnsi="Times New Roman" w:cs="Times New Roman"/>
                <w:sz w:val="22"/>
                <w:szCs w:val="22"/>
              </w:rPr>
              <w:t>informatyzacji</w:t>
            </w:r>
            <w:r w:rsidR="00515863">
              <w:rPr>
                <w:rFonts w:ascii="Times New Roman" w:eastAsia="Times New Roman" w:hAnsi="Times New Roman" w:cs="Times New Roman"/>
                <w:sz w:val="22"/>
                <w:szCs w:val="22"/>
              </w:rPr>
              <w:t xml:space="preserve"> w zakresie monitoringu stron </w:t>
            </w:r>
            <w:r w:rsidR="00640A07">
              <w:rPr>
                <w:rFonts w:ascii="Times New Roman" w:eastAsia="Times New Roman" w:hAnsi="Times New Roman" w:cs="Times New Roman"/>
                <w:sz w:val="22"/>
                <w:szCs w:val="22"/>
              </w:rPr>
              <w:t>internetowych</w:t>
            </w:r>
            <w:r w:rsidR="00515863">
              <w:rPr>
                <w:rFonts w:ascii="Times New Roman" w:eastAsia="Times New Roman" w:hAnsi="Times New Roman" w:cs="Times New Roman"/>
                <w:sz w:val="22"/>
                <w:szCs w:val="22"/>
              </w:rPr>
              <w:t xml:space="preserve"> i aplikacji mobilnych oraz zasady</w:t>
            </w:r>
            <w:r w:rsidR="00B87D8C">
              <w:rPr>
                <w:rFonts w:ascii="Times New Roman" w:eastAsia="Times New Roman" w:hAnsi="Times New Roman" w:cs="Times New Roman"/>
                <w:sz w:val="22"/>
                <w:szCs w:val="22"/>
              </w:rPr>
              <w:t xml:space="preserve"> tego monitoringu</w:t>
            </w:r>
            <w:r w:rsidR="00515863">
              <w:rPr>
                <w:rFonts w:ascii="Times New Roman" w:eastAsia="Times New Roman" w:hAnsi="Times New Roman" w:cs="Times New Roman"/>
                <w:sz w:val="22"/>
                <w:szCs w:val="22"/>
              </w:rPr>
              <w:t xml:space="preserve">. Opisuje procedurę </w:t>
            </w:r>
            <w:r w:rsidR="009A0E2F">
              <w:rPr>
                <w:rFonts w:ascii="Times New Roman" w:eastAsia="Times New Roman" w:hAnsi="Times New Roman" w:cs="Times New Roman"/>
                <w:sz w:val="22"/>
                <w:szCs w:val="22"/>
              </w:rPr>
              <w:t xml:space="preserve">postępowania </w:t>
            </w:r>
            <w:r w:rsidR="00515863">
              <w:rPr>
                <w:rFonts w:ascii="Times New Roman" w:eastAsia="Times New Roman" w:hAnsi="Times New Roman" w:cs="Times New Roman"/>
                <w:sz w:val="22"/>
                <w:szCs w:val="22"/>
              </w:rPr>
              <w:t xml:space="preserve">w </w:t>
            </w:r>
            <w:r w:rsidR="009A0E2F">
              <w:rPr>
                <w:rFonts w:ascii="Times New Roman" w:eastAsia="Times New Roman" w:hAnsi="Times New Roman" w:cs="Times New Roman"/>
                <w:sz w:val="22"/>
                <w:szCs w:val="22"/>
              </w:rPr>
              <w:t>przypadku</w:t>
            </w:r>
            <w:r w:rsidR="00515863">
              <w:rPr>
                <w:rFonts w:ascii="Times New Roman" w:eastAsia="Times New Roman" w:hAnsi="Times New Roman" w:cs="Times New Roman"/>
                <w:sz w:val="22"/>
                <w:szCs w:val="22"/>
              </w:rPr>
              <w:t xml:space="preserve"> nieprzestrzegania dostępności cyfrowej. Dostępność cyfrowa oznacza zgodność z</w:t>
            </w:r>
            <w:r w:rsidR="00594CEE">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wymaganiami WCAG 2.1. AA określonymi w tabeli załączonej do ustawy. Wymagania te pokrywają się z pkt 9, 10 i</w:t>
            </w:r>
            <w:r w:rsidR="00F16712">
              <w:rPr>
                <w:rFonts w:ascii="Times New Roman" w:eastAsia="Times New Roman" w:hAnsi="Times New Roman" w:cs="Times New Roman"/>
                <w:sz w:val="22"/>
                <w:szCs w:val="22"/>
              </w:rPr>
              <w:t> </w:t>
            </w:r>
            <w:r w:rsidR="00515863">
              <w:rPr>
                <w:rFonts w:ascii="Times New Roman" w:eastAsia="Times New Roman" w:hAnsi="Times New Roman" w:cs="Times New Roman"/>
                <w:sz w:val="22"/>
                <w:szCs w:val="22"/>
              </w:rPr>
              <w:t xml:space="preserve">11 normy </w:t>
            </w:r>
            <w:r w:rsidR="00C115D2" w:rsidRPr="001F0D83">
              <w:rPr>
                <w:rFonts w:ascii="Times New Roman" w:eastAsia="Times New Roman" w:hAnsi="Times New Roman" w:cs="Times New Roman"/>
                <w:sz w:val="22"/>
                <w:szCs w:val="22"/>
              </w:rPr>
              <w:t>ETSI EN 301 549 V3.2.1:2021</w:t>
            </w:r>
            <w:r w:rsidR="00515863">
              <w:rPr>
                <w:rFonts w:ascii="Times New Roman" w:eastAsia="Times New Roman" w:hAnsi="Times New Roman" w:cs="Times New Roman"/>
                <w:sz w:val="22"/>
                <w:szCs w:val="22"/>
              </w:rPr>
              <w:t xml:space="preserve">. Ustawa wdraża dyrektywę Parlamentu Europejskiego i Rady (UE) 2016/2102 z dnia 26 października 2016 r. w sprawie dostępności stron internetowych i mobilnych aplikacji organów sektora </w:t>
            </w:r>
            <w:r w:rsidR="003A17BE">
              <w:rPr>
                <w:rFonts w:ascii="Times New Roman" w:eastAsia="Times New Roman" w:hAnsi="Times New Roman" w:cs="Times New Roman"/>
                <w:sz w:val="22"/>
                <w:szCs w:val="22"/>
              </w:rPr>
              <w:t>publicznego</w:t>
            </w:r>
            <w:r w:rsidR="009A0E2F">
              <w:rPr>
                <w:rFonts w:ascii="Times New Roman" w:eastAsia="Times New Roman" w:hAnsi="Times New Roman" w:cs="Times New Roman"/>
                <w:sz w:val="22"/>
                <w:szCs w:val="22"/>
              </w:rPr>
              <w:t xml:space="preserve"> (Dz. Urz. UE L 327 z 02.12.2016, str. 1)</w:t>
            </w:r>
            <w:r w:rsidR="003A17BE">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Zmienia też ustawę z dnia 17 lutego 2005</w:t>
            </w:r>
            <w:r w:rsidR="00D0290F">
              <w:rPr>
                <w:rFonts w:ascii="Times New Roman" w:eastAsia="Times New Roman" w:hAnsi="Times New Roman" w:cs="Times New Roman"/>
                <w:sz w:val="22"/>
                <w:szCs w:val="22"/>
              </w:rPr>
              <w:t> </w:t>
            </w:r>
            <w:r w:rsidR="00515863">
              <w:rPr>
                <w:rFonts w:ascii="Times New Roman" w:eastAsia="Times New Roman" w:hAnsi="Times New Roman" w:cs="Times New Roman"/>
                <w:sz w:val="22"/>
                <w:szCs w:val="22"/>
              </w:rPr>
              <w:t>r. o informatyzacji działalności podmiotów realizujących zadania publiczne</w:t>
            </w:r>
            <w:r w:rsidR="009A0E2F">
              <w:rPr>
                <w:rFonts w:ascii="Times New Roman" w:eastAsia="Times New Roman" w:hAnsi="Times New Roman" w:cs="Times New Roman"/>
                <w:sz w:val="22"/>
                <w:szCs w:val="22"/>
              </w:rPr>
              <w:t xml:space="preserve"> (Dz. U. z 202</w:t>
            </w:r>
            <w:r w:rsidR="0087567D">
              <w:rPr>
                <w:rFonts w:ascii="Times New Roman" w:eastAsia="Times New Roman" w:hAnsi="Times New Roman" w:cs="Times New Roman"/>
                <w:sz w:val="22"/>
                <w:szCs w:val="22"/>
              </w:rPr>
              <w:t>3</w:t>
            </w:r>
            <w:r w:rsidR="009A0E2F">
              <w:rPr>
                <w:rFonts w:ascii="Times New Roman" w:eastAsia="Times New Roman" w:hAnsi="Times New Roman" w:cs="Times New Roman"/>
                <w:sz w:val="22"/>
                <w:szCs w:val="22"/>
              </w:rPr>
              <w:t xml:space="preserve"> r. poz. </w:t>
            </w:r>
            <w:r w:rsidR="0087567D">
              <w:rPr>
                <w:rFonts w:ascii="Times New Roman" w:eastAsia="Times New Roman" w:hAnsi="Times New Roman" w:cs="Times New Roman"/>
                <w:sz w:val="22"/>
                <w:szCs w:val="22"/>
              </w:rPr>
              <w:t>57</w:t>
            </w:r>
            <w:r w:rsidR="006B5D49">
              <w:rPr>
                <w:rFonts w:ascii="Times New Roman" w:eastAsia="Times New Roman" w:hAnsi="Times New Roman" w:cs="Times New Roman"/>
                <w:sz w:val="22"/>
                <w:szCs w:val="22"/>
              </w:rPr>
              <w:t xml:space="preserve">, z </w:t>
            </w:r>
            <w:proofErr w:type="spellStart"/>
            <w:r w:rsidR="006B5D49">
              <w:rPr>
                <w:rFonts w:ascii="Times New Roman" w:eastAsia="Times New Roman" w:hAnsi="Times New Roman" w:cs="Times New Roman"/>
                <w:sz w:val="22"/>
                <w:szCs w:val="22"/>
              </w:rPr>
              <w:t>późn</w:t>
            </w:r>
            <w:proofErr w:type="spellEnd"/>
            <w:r w:rsidR="006B5D49">
              <w:rPr>
                <w:rFonts w:ascii="Times New Roman" w:eastAsia="Times New Roman" w:hAnsi="Times New Roman" w:cs="Times New Roman"/>
                <w:sz w:val="22"/>
                <w:szCs w:val="22"/>
              </w:rPr>
              <w:t>. zm.</w:t>
            </w:r>
            <w:r w:rsidR="009A0E2F">
              <w:rPr>
                <w:rFonts w:ascii="Times New Roman" w:eastAsia="Times New Roman" w:hAnsi="Times New Roman" w:cs="Times New Roman"/>
                <w:sz w:val="22"/>
                <w:szCs w:val="22"/>
              </w:rPr>
              <w:t>)</w:t>
            </w:r>
            <w:r w:rsidR="00515863">
              <w:rPr>
                <w:rFonts w:ascii="Times New Roman" w:eastAsia="Times New Roman" w:hAnsi="Times New Roman" w:cs="Times New Roman"/>
                <w:sz w:val="22"/>
                <w:szCs w:val="22"/>
              </w:rPr>
              <w:t>.</w:t>
            </w:r>
          </w:p>
        </w:tc>
      </w:tr>
      <w:tr w:rsidR="00EC4C5C" w14:paraId="7BEA31E2" w14:textId="77777777" w:rsidTr="00231F84">
        <w:trPr>
          <w:trHeight w:val="142"/>
        </w:trPr>
        <w:tc>
          <w:tcPr>
            <w:tcW w:w="10947" w:type="dxa"/>
            <w:gridSpan w:val="29"/>
            <w:shd w:val="clear" w:color="auto" w:fill="99CCFF"/>
            <w:vAlign w:val="center"/>
          </w:tcPr>
          <w:p w14:paraId="011ACAFE" w14:textId="77777777" w:rsidR="00EC4C5C" w:rsidRPr="003E7A0B" w:rsidRDefault="00112BFC" w:rsidP="00F16712">
            <w:pPr>
              <w:pBdr>
                <w:top w:val="nil"/>
                <w:left w:val="nil"/>
                <w:bottom w:val="nil"/>
                <w:right w:val="nil"/>
                <w:between w:val="nil"/>
              </w:pBdr>
              <w:jc w:val="both"/>
              <w:rPr>
                <w:rFonts w:ascii="Times New Roman" w:eastAsia="Times New Roman" w:hAnsi="Times New Roman" w:cs="Times New Roman"/>
                <w:b/>
                <w:sz w:val="22"/>
                <w:szCs w:val="22"/>
              </w:rPr>
            </w:pPr>
            <w:r w:rsidRPr="003E7A0B">
              <w:rPr>
                <w:rFonts w:ascii="Times New Roman" w:eastAsia="Times New Roman" w:hAnsi="Times New Roman" w:cs="Times New Roman"/>
                <w:b/>
                <w:sz w:val="22"/>
                <w:szCs w:val="22"/>
              </w:rPr>
              <w:lastRenderedPageBreak/>
              <w:t xml:space="preserve">2. </w:t>
            </w:r>
            <w:r w:rsidR="00515863" w:rsidRPr="003E7A0B">
              <w:rPr>
                <w:rFonts w:ascii="Times New Roman" w:eastAsia="Times New Roman" w:hAnsi="Times New Roman" w:cs="Times New Roman"/>
                <w:b/>
                <w:sz w:val="22"/>
                <w:szCs w:val="22"/>
              </w:rPr>
              <w:t>Rekomendowane rozwiązanie, w tym planowane narzędzia interwencji, i oczekiwany efekt</w:t>
            </w:r>
          </w:p>
        </w:tc>
      </w:tr>
      <w:tr w:rsidR="00EC4C5C" w14:paraId="5E0A8D8C" w14:textId="77777777" w:rsidTr="00231F84">
        <w:trPr>
          <w:trHeight w:val="142"/>
        </w:trPr>
        <w:tc>
          <w:tcPr>
            <w:tcW w:w="10947" w:type="dxa"/>
            <w:gridSpan w:val="29"/>
          </w:tcPr>
          <w:p w14:paraId="6288B378" w14:textId="77777777" w:rsidR="00362F26" w:rsidRPr="00AF1986" w:rsidRDefault="00D332D9" w:rsidP="005275DF">
            <w:pPr>
              <w:pStyle w:val="Akapitzlist"/>
              <w:numPr>
                <w:ilvl w:val="0"/>
                <w:numId w:val="11"/>
              </w:numPr>
              <w:pBdr>
                <w:top w:val="nil"/>
                <w:left w:val="nil"/>
                <w:bottom w:val="nil"/>
                <w:right w:val="nil"/>
                <w:between w:val="nil"/>
              </w:pBdr>
              <w:spacing w:before="120" w:after="120" w:line="276" w:lineRule="auto"/>
              <w:jc w:val="both"/>
              <w:rPr>
                <w:rFonts w:ascii="Times New Roman" w:eastAsia="Times New Roman" w:hAnsi="Times New Roman" w:cs="Times New Roman"/>
                <w:bCs/>
                <w:sz w:val="22"/>
                <w:szCs w:val="22"/>
              </w:rPr>
            </w:pPr>
            <w:r w:rsidRPr="00AF1986">
              <w:rPr>
                <w:rFonts w:ascii="Times New Roman" w:eastAsia="Times New Roman" w:hAnsi="Times New Roman" w:cs="Times New Roman"/>
                <w:bCs/>
                <w:sz w:val="22"/>
                <w:szCs w:val="22"/>
              </w:rPr>
              <w:t>Założenia i i</w:t>
            </w:r>
            <w:r w:rsidR="00362F26" w:rsidRPr="00AF1986">
              <w:rPr>
                <w:rFonts w:ascii="Times New Roman" w:eastAsia="Times New Roman" w:hAnsi="Times New Roman" w:cs="Times New Roman"/>
                <w:bCs/>
                <w:sz w:val="22"/>
                <w:szCs w:val="22"/>
              </w:rPr>
              <w:t>stota projektowanych rozwiązań</w:t>
            </w:r>
          </w:p>
          <w:p w14:paraId="3159FE74" w14:textId="526777FC" w:rsidR="00976D0E" w:rsidRPr="00231F84" w:rsidRDefault="009578E1" w:rsidP="009578E1">
            <w:pPr>
              <w:pStyle w:val="Akapitzlist"/>
              <w:numPr>
                <w:ilvl w:val="0"/>
                <w:numId w:val="12"/>
              </w:numPr>
              <w:pBdr>
                <w:top w:val="nil"/>
                <w:left w:val="nil"/>
                <w:bottom w:val="nil"/>
                <w:right w:val="nil"/>
                <w:between w:val="nil"/>
              </w:pBdr>
              <w:spacing w:before="120" w:after="120"/>
              <w:ind w:hanging="233"/>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w:t>
            </w:r>
            <w:r w:rsidR="00976D0E" w:rsidRPr="00231F84">
              <w:rPr>
                <w:rFonts w:ascii="Times New Roman" w:eastAsia="Times New Roman" w:hAnsi="Times New Roman" w:cs="Times New Roman"/>
                <w:i/>
                <w:sz w:val="22"/>
                <w:szCs w:val="22"/>
              </w:rPr>
              <w:t>Zakres merytoryczny ustawy</w:t>
            </w:r>
          </w:p>
          <w:p w14:paraId="64836548" w14:textId="77777777" w:rsidR="00F16712" w:rsidRDefault="00515863" w:rsidP="003C56B8">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W </w:t>
            </w:r>
            <w:r w:rsidR="0084556E">
              <w:rPr>
                <w:rFonts w:ascii="Times New Roman" w:eastAsia="Times New Roman" w:hAnsi="Times New Roman" w:cs="Times New Roman"/>
                <w:sz w:val="22"/>
                <w:szCs w:val="22"/>
              </w:rPr>
              <w:t xml:space="preserve">celu </w:t>
            </w:r>
            <w:r>
              <w:rPr>
                <w:rFonts w:ascii="Times New Roman" w:eastAsia="Times New Roman" w:hAnsi="Times New Roman" w:cs="Times New Roman"/>
                <w:sz w:val="22"/>
                <w:szCs w:val="22"/>
              </w:rPr>
              <w:t xml:space="preserve">transpozycji dyrektywy 2019/882 </w:t>
            </w:r>
            <w:r w:rsidR="0084556E">
              <w:rPr>
                <w:rFonts w:ascii="Times New Roman" w:eastAsia="Times New Roman" w:hAnsi="Times New Roman" w:cs="Times New Roman"/>
                <w:sz w:val="22"/>
                <w:szCs w:val="22"/>
              </w:rPr>
              <w:t xml:space="preserve">konieczne jest przyjęcie rozwiązań prawnych, które </w:t>
            </w:r>
            <w:r w:rsidR="00D704F3" w:rsidRPr="00D704F3">
              <w:rPr>
                <w:rFonts w:ascii="Times New Roman" w:eastAsia="Times New Roman" w:hAnsi="Times New Roman" w:cs="Times New Roman"/>
                <w:sz w:val="22"/>
                <w:szCs w:val="22"/>
              </w:rPr>
              <w:t xml:space="preserve">zostały </w:t>
            </w:r>
            <w:r w:rsidR="0084556E">
              <w:rPr>
                <w:rFonts w:ascii="Times New Roman" w:eastAsia="Times New Roman" w:hAnsi="Times New Roman" w:cs="Times New Roman"/>
                <w:sz w:val="22"/>
                <w:szCs w:val="22"/>
              </w:rPr>
              <w:t xml:space="preserve">zawarte </w:t>
            </w:r>
            <w:r w:rsidR="00ED6CFD">
              <w:rPr>
                <w:rFonts w:ascii="Times New Roman" w:eastAsia="Times New Roman" w:hAnsi="Times New Roman" w:cs="Times New Roman"/>
                <w:sz w:val="22"/>
                <w:szCs w:val="22"/>
              </w:rPr>
              <w:br/>
            </w:r>
            <w:r w:rsidR="0084556E">
              <w:rPr>
                <w:rFonts w:ascii="Times New Roman" w:eastAsia="Times New Roman" w:hAnsi="Times New Roman" w:cs="Times New Roman"/>
                <w:sz w:val="22"/>
                <w:szCs w:val="22"/>
              </w:rPr>
              <w:t xml:space="preserve">w projektowanej </w:t>
            </w:r>
            <w:r>
              <w:rPr>
                <w:rFonts w:ascii="Times New Roman" w:eastAsia="Times New Roman" w:hAnsi="Times New Roman" w:cs="Times New Roman"/>
                <w:sz w:val="22"/>
                <w:szCs w:val="22"/>
              </w:rPr>
              <w:t>ustaw</w:t>
            </w:r>
            <w:r w:rsidR="0084556E">
              <w:rPr>
                <w:rFonts w:ascii="Times New Roman" w:eastAsia="Times New Roman" w:hAnsi="Times New Roman" w:cs="Times New Roman"/>
                <w:sz w:val="22"/>
                <w:szCs w:val="22"/>
              </w:rPr>
              <w:t>ie</w:t>
            </w:r>
            <w:r>
              <w:rPr>
                <w:rFonts w:ascii="Times New Roman" w:eastAsia="Times New Roman" w:hAnsi="Times New Roman" w:cs="Times New Roman"/>
                <w:sz w:val="22"/>
                <w:szCs w:val="22"/>
              </w:rPr>
              <w:t xml:space="preserve"> o </w:t>
            </w:r>
            <w:r w:rsidR="006C0FA4" w:rsidRPr="001215BA">
              <w:rPr>
                <w:rFonts w:ascii="Times New Roman" w:hAnsi="Times New Roman" w:cs="Times New Roman"/>
                <w:sz w:val="22"/>
                <w:szCs w:val="22"/>
              </w:rPr>
              <w:t>zapewnianiu spełniania wym</w:t>
            </w:r>
            <w:r w:rsidR="00130FB8">
              <w:rPr>
                <w:rFonts w:ascii="Times New Roman" w:hAnsi="Times New Roman" w:cs="Times New Roman"/>
                <w:sz w:val="22"/>
                <w:szCs w:val="22"/>
              </w:rPr>
              <w:t>agań</w:t>
            </w:r>
            <w:r w:rsidR="006C0FA4" w:rsidRPr="001215BA">
              <w:rPr>
                <w:rFonts w:ascii="Times New Roman" w:hAnsi="Times New Roman" w:cs="Times New Roman"/>
                <w:sz w:val="22"/>
                <w:szCs w:val="22"/>
              </w:rPr>
              <w:t xml:space="preserve"> dostępności niektórych produktów i usług przez podmioty gospodarcze</w:t>
            </w:r>
            <w:r w:rsidR="00C03043">
              <w:rPr>
                <w:rFonts w:ascii="Times New Roman" w:eastAsia="Times New Roman" w:hAnsi="Times New Roman" w:cs="Times New Roman"/>
                <w:sz w:val="22"/>
                <w:szCs w:val="22"/>
              </w:rPr>
              <w:t>.</w:t>
            </w:r>
          </w:p>
          <w:p w14:paraId="1FD15D64" w14:textId="23CB0821" w:rsidR="00EC4C5C" w:rsidRDefault="00515863" w:rsidP="003C56B8">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Rozwiązania przyjęte w projekcie ustawy implementują w całości obligatoryjne elementy</w:t>
            </w:r>
            <w:r w:rsidR="0084556E">
              <w:rPr>
                <w:rFonts w:ascii="Times New Roman" w:eastAsia="Times New Roman" w:hAnsi="Times New Roman" w:cs="Times New Roman"/>
                <w:sz w:val="22"/>
                <w:szCs w:val="22"/>
              </w:rPr>
              <w:t xml:space="preserve"> dyrektywy 2019/882</w:t>
            </w:r>
            <w:r>
              <w:rPr>
                <w:rFonts w:ascii="Times New Roman" w:eastAsia="Times New Roman" w:hAnsi="Times New Roman" w:cs="Times New Roman"/>
                <w:sz w:val="22"/>
                <w:szCs w:val="22"/>
              </w:rPr>
              <w:t xml:space="preserve">. </w:t>
            </w:r>
            <w:r w:rsidR="00F12FE2">
              <w:rPr>
                <w:rFonts w:ascii="Times New Roman" w:eastAsia="Times New Roman" w:hAnsi="Times New Roman" w:cs="Times New Roman"/>
                <w:sz w:val="22"/>
                <w:szCs w:val="22"/>
              </w:rPr>
              <w:br/>
            </w:r>
            <w:r>
              <w:rPr>
                <w:rFonts w:ascii="Times New Roman" w:eastAsia="Times New Roman" w:hAnsi="Times New Roman" w:cs="Times New Roman"/>
                <w:sz w:val="22"/>
                <w:szCs w:val="22"/>
              </w:rPr>
              <w:t>W zakresie rozwiązań, w odniesieniu do których prawo UE pozostawia państwom członkowskim</w:t>
            </w:r>
            <w:r w:rsidR="007F65DE">
              <w:rPr>
                <w:rFonts w:ascii="Times New Roman" w:eastAsia="Times New Roman" w:hAnsi="Times New Roman" w:cs="Times New Roman"/>
                <w:sz w:val="22"/>
                <w:szCs w:val="22"/>
              </w:rPr>
              <w:t xml:space="preserve"> UE</w:t>
            </w:r>
            <w:r>
              <w:rPr>
                <w:rFonts w:ascii="Times New Roman" w:eastAsia="Times New Roman" w:hAnsi="Times New Roman" w:cs="Times New Roman"/>
                <w:sz w:val="22"/>
                <w:szCs w:val="22"/>
              </w:rPr>
              <w:t xml:space="preserve"> możliwość swobodnego kształtowania zakresu i treści przepisów krajowych, pod uwagę wzięto szereg czynników, w</w:t>
            </w:r>
            <w:r w:rsidR="00F16712">
              <w:rPr>
                <w:rFonts w:ascii="Times New Roman" w:eastAsia="Times New Roman" w:hAnsi="Times New Roman" w:cs="Times New Roman"/>
                <w:sz w:val="22"/>
                <w:szCs w:val="22"/>
              </w:rPr>
              <w:t> </w:t>
            </w:r>
            <w:r>
              <w:rPr>
                <w:rFonts w:ascii="Times New Roman" w:eastAsia="Times New Roman" w:hAnsi="Times New Roman" w:cs="Times New Roman"/>
                <w:sz w:val="22"/>
                <w:szCs w:val="22"/>
              </w:rPr>
              <w:t>tym:</w:t>
            </w:r>
          </w:p>
          <w:p w14:paraId="3DF87DD3" w14:textId="77777777" w:rsidR="00EC4C5C" w:rsidRPr="008A3EC2" w:rsidRDefault="00515863" w:rsidP="009578E1">
            <w:pPr>
              <w:numPr>
                <w:ilvl w:val="0"/>
                <w:numId w:val="5"/>
              </w:numPr>
              <w:spacing w:after="80"/>
              <w:ind w:left="714" w:hanging="227"/>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skuteczność funkcjonujących w Polsce instrumentów na rzecz zapewniania dostępności;</w:t>
            </w:r>
          </w:p>
          <w:p w14:paraId="00FFDFD9" w14:textId="77777777" w:rsidR="00EC4C5C" w:rsidRPr="008A3EC2" w:rsidRDefault="00515863" w:rsidP="009578E1">
            <w:pPr>
              <w:numPr>
                <w:ilvl w:val="0"/>
                <w:numId w:val="5"/>
              </w:numPr>
              <w:spacing w:after="80"/>
              <w:ind w:left="714" w:hanging="227"/>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obserwowany stan dostępności produktów, usług i środowiska zbudowanego w Polsce;</w:t>
            </w:r>
          </w:p>
          <w:p w14:paraId="733B334A" w14:textId="77777777" w:rsidR="00EC4C5C" w:rsidRPr="008A3EC2" w:rsidRDefault="00515863" w:rsidP="009578E1">
            <w:pPr>
              <w:numPr>
                <w:ilvl w:val="0"/>
                <w:numId w:val="5"/>
              </w:numPr>
              <w:spacing w:after="80"/>
              <w:ind w:left="714" w:hanging="227"/>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sytuację osób z</w:t>
            </w:r>
            <w:r w:rsidR="00A71CCB">
              <w:rPr>
                <w:rFonts w:ascii="Times New Roman" w:eastAsia="Times New Roman" w:hAnsi="Times New Roman" w:cs="Times New Roman"/>
                <w:sz w:val="22"/>
                <w:szCs w:val="22"/>
              </w:rPr>
              <w:t>e szczególnymi potrzebami</w:t>
            </w:r>
            <w:r w:rsidR="00F12FE2">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w Polsce;</w:t>
            </w:r>
          </w:p>
          <w:p w14:paraId="412B8536" w14:textId="77777777" w:rsidR="00EC4C5C" w:rsidRPr="008A3EC2" w:rsidRDefault="00515863" w:rsidP="009578E1">
            <w:pPr>
              <w:numPr>
                <w:ilvl w:val="0"/>
                <w:numId w:val="5"/>
              </w:numPr>
              <w:spacing w:after="80"/>
              <w:ind w:left="714" w:hanging="227"/>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kondycję ekonomiczną podmiotów gospodarczych funkcjonujących w sektorach gospodarki objętych regulacją, zwłaszcza małych i średnich przedsiębiorstw;</w:t>
            </w:r>
          </w:p>
          <w:p w14:paraId="3DA23A37" w14:textId="77777777" w:rsidR="00EC4C5C" w:rsidRPr="008A3EC2" w:rsidRDefault="00515863" w:rsidP="009578E1">
            <w:pPr>
              <w:numPr>
                <w:ilvl w:val="0"/>
                <w:numId w:val="5"/>
              </w:numPr>
              <w:spacing w:after="80"/>
              <w:ind w:left="714" w:hanging="227"/>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zmiany gospodarcze i społeczne będące wynikiem pandemii wirusa SARS-CoV-2 po 2020 r</w:t>
            </w:r>
            <w:r w:rsidR="00D93AB8">
              <w:rPr>
                <w:rFonts w:ascii="Times New Roman" w:eastAsia="Times New Roman" w:hAnsi="Times New Roman" w:cs="Times New Roman"/>
                <w:sz w:val="22"/>
                <w:szCs w:val="22"/>
              </w:rPr>
              <w:t>.</w:t>
            </w:r>
          </w:p>
          <w:p w14:paraId="13A02268" w14:textId="77777777" w:rsidR="00EC4C5C" w:rsidRDefault="00515863" w:rsidP="009578E1">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Dane do tego potrzebne zostały uzyskane na podstawie m.in. opracowań Głównego Urzędu Statystycznego</w:t>
            </w:r>
            <w:r w:rsidR="0084556E">
              <w:rPr>
                <w:rFonts w:ascii="Times New Roman" w:eastAsia="Times New Roman" w:hAnsi="Times New Roman" w:cs="Times New Roman"/>
                <w:sz w:val="22"/>
                <w:szCs w:val="22"/>
              </w:rPr>
              <w:t xml:space="preserve"> (GUS)</w:t>
            </w:r>
            <w:r>
              <w:rPr>
                <w:rFonts w:ascii="Times New Roman" w:eastAsia="Times New Roman" w:hAnsi="Times New Roman" w:cs="Times New Roman"/>
                <w:sz w:val="22"/>
                <w:szCs w:val="22"/>
              </w:rPr>
              <w:t xml:space="preserve"> </w:t>
            </w:r>
            <w:r w:rsidR="00F12FE2">
              <w:rPr>
                <w:rFonts w:ascii="Times New Roman" w:eastAsia="Times New Roman" w:hAnsi="Times New Roman" w:cs="Times New Roman"/>
                <w:sz w:val="22"/>
                <w:szCs w:val="22"/>
              </w:rPr>
              <w:br/>
            </w:r>
            <w:r>
              <w:rPr>
                <w:rFonts w:ascii="Times New Roman" w:eastAsia="Times New Roman" w:hAnsi="Times New Roman" w:cs="Times New Roman"/>
                <w:sz w:val="22"/>
                <w:szCs w:val="22"/>
              </w:rPr>
              <w:t>oraz wyników analizy wpływu transpozycji dyrektywy 2019/882 na konkurencyjność gospodarki i przedsiębiorczość oraz funkcjonowanie przedsiębiorstw zleconej przez Ministerstwo Funduszy i Polityki Regionalnej</w:t>
            </w:r>
            <w:r w:rsidR="0085314A">
              <w:rPr>
                <w:rFonts w:ascii="Times New Roman" w:eastAsia="Times New Roman" w:hAnsi="Times New Roman" w:cs="Times New Roman"/>
                <w:sz w:val="22"/>
                <w:szCs w:val="22"/>
              </w:rPr>
              <w:t xml:space="preserve"> (</w:t>
            </w:r>
            <w:proofErr w:type="spellStart"/>
            <w:r w:rsidR="0085314A">
              <w:rPr>
                <w:rFonts w:ascii="Times New Roman" w:eastAsia="Times New Roman" w:hAnsi="Times New Roman" w:cs="Times New Roman"/>
                <w:sz w:val="22"/>
                <w:szCs w:val="22"/>
              </w:rPr>
              <w:t>MFiPR</w:t>
            </w:r>
            <w:proofErr w:type="spellEnd"/>
            <w:r w:rsidR="0085314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 2020 r.</w:t>
            </w:r>
          </w:p>
          <w:p w14:paraId="01549BC5" w14:textId="49C0FABE" w:rsidR="00D332D9" w:rsidRPr="00D332D9" w:rsidRDefault="00D332D9" w:rsidP="00D332D9">
            <w:p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Projekt ustawy obejmuje przepisy merytoryczne dotyczące planowanych rozwiązań w zakresie dostępności określonych pr</w:t>
            </w:r>
            <w:r>
              <w:rPr>
                <w:rFonts w:ascii="Times New Roman" w:eastAsia="Times New Roman" w:hAnsi="Times New Roman" w:cs="Times New Roman"/>
                <w:sz w:val="22"/>
                <w:szCs w:val="22"/>
              </w:rPr>
              <w:t xml:space="preserve">oduktów i usług, zawarte w </w:t>
            </w:r>
            <w:r w:rsidR="00A03259">
              <w:rPr>
                <w:rFonts w:ascii="Times New Roman" w:eastAsia="Times New Roman" w:hAnsi="Times New Roman" w:cs="Times New Roman"/>
                <w:sz w:val="22"/>
                <w:szCs w:val="22"/>
              </w:rPr>
              <w:t xml:space="preserve">ośmiu </w:t>
            </w:r>
            <w:r w:rsidRPr="00D332D9">
              <w:rPr>
                <w:rFonts w:ascii="Times New Roman" w:eastAsia="Times New Roman" w:hAnsi="Times New Roman" w:cs="Times New Roman"/>
                <w:sz w:val="22"/>
                <w:szCs w:val="22"/>
              </w:rPr>
              <w:t>rozdziałach.</w:t>
            </w:r>
          </w:p>
          <w:p w14:paraId="25E87995" w14:textId="01A40D46" w:rsidR="00D332D9" w:rsidRPr="00D332D9" w:rsidRDefault="00D332D9" w:rsidP="00D332D9">
            <w:p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 xml:space="preserve">Rozdział pierwszy projektu ustawy zawiera przepisy ogólne. </w:t>
            </w:r>
          </w:p>
          <w:p w14:paraId="628D18A1" w14:textId="380EB87E" w:rsidR="00D332D9" w:rsidRPr="00D332D9" w:rsidRDefault="0098670E" w:rsidP="00D332D9">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0700D7">
              <w:rPr>
                <w:rFonts w:ascii="Times New Roman" w:eastAsia="Times New Roman" w:hAnsi="Times New Roman" w:cs="Times New Roman"/>
                <w:sz w:val="22"/>
                <w:szCs w:val="22"/>
              </w:rPr>
              <w:t>rt.</w:t>
            </w:r>
            <w:r>
              <w:rPr>
                <w:rFonts w:ascii="Times New Roman" w:eastAsia="Times New Roman" w:hAnsi="Times New Roman" w:cs="Times New Roman"/>
                <w:sz w:val="22"/>
                <w:szCs w:val="22"/>
              </w:rPr>
              <w:t xml:space="preserve"> </w:t>
            </w:r>
            <w:r w:rsidR="00D332D9">
              <w:rPr>
                <w:rFonts w:ascii="Times New Roman" w:eastAsia="Times New Roman" w:hAnsi="Times New Roman" w:cs="Times New Roman"/>
                <w:sz w:val="22"/>
                <w:szCs w:val="22"/>
              </w:rPr>
              <w:t xml:space="preserve">1 stanowi o </w:t>
            </w:r>
            <w:r w:rsidR="00D332D9" w:rsidRPr="00D332D9">
              <w:rPr>
                <w:rFonts w:ascii="Times New Roman" w:eastAsia="Times New Roman" w:hAnsi="Times New Roman" w:cs="Times New Roman"/>
                <w:sz w:val="22"/>
                <w:szCs w:val="22"/>
              </w:rPr>
              <w:t>zakres</w:t>
            </w:r>
            <w:r w:rsidR="00D332D9">
              <w:rPr>
                <w:rFonts w:ascii="Times New Roman" w:eastAsia="Times New Roman" w:hAnsi="Times New Roman" w:cs="Times New Roman"/>
                <w:sz w:val="22"/>
                <w:szCs w:val="22"/>
              </w:rPr>
              <w:t>ie</w:t>
            </w:r>
            <w:r w:rsidR="00D332D9" w:rsidRPr="00D332D9">
              <w:rPr>
                <w:rFonts w:ascii="Times New Roman" w:eastAsia="Times New Roman" w:hAnsi="Times New Roman" w:cs="Times New Roman"/>
                <w:sz w:val="22"/>
                <w:szCs w:val="22"/>
              </w:rPr>
              <w:t xml:space="preserve"> przedmiotowy</w:t>
            </w:r>
            <w:r w:rsidR="00D332D9">
              <w:rPr>
                <w:rFonts w:ascii="Times New Roman" w:eastAsia="Times New Roman" w:hAnsi="Times New Roman" w:cs="Times New Roman"/>
                <w:sz w:val="22"/>
                <w:szCs w:val="22"/>
              </w:rPr>
              <w:t>m</w:t>
            </w:r>
            <w:r w:rsidR="00D332D9" w:rsidRPr="00D332D9">
              <w:rPr>
                <w:rFonts w:ascii="Times New Roman" w:eastAsia="Times New Roman" w:hAnsi="Times New Roman" w:cs="Times New Roman"/>
                <w:sz w:val="22"/>
                <w:szCs w:val="22"/>
              </w:rPr>
              <w:t xml:space="preserve"> ustawy. Projekt ustawy określa:</w:t>
            </w:r>
          </w:p>
          <w:p w14:paraId="59F6B31D" w14:textId="77777777" w:rsidR="00D332D9" w:rsidRDefault="00D332D9" w:rsidP="005275DF">
            <w:pPr>
              <w:pStyle w:val="Akapitzlist"/>
              <w:numPr>
                <w:ilvl w:val="0"/>
                <w:numId w:val="10"/>
              </w:num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wym</w:t>
            </w:r>
            <w:r w:rsidR="00130FB8">
              <w:rPr>
                <w:rFonts w:ascii="Times New Roman" w:eastAsia="Times New Roman" w:hAnsi="Times New Roman" w:cs="Times New Roman"/>
                <w:sz w:val="22"/>
                <w:szCs w:val="22"/>
              </w:rPr>
              <w:t>agania</w:t>
            </w:r>
            <w:r w:rsidRPr="00D332D9">
              <w:rPr>
                <w:rFonts w:ascii="Times New Roman" w:eastAsia="Times New Roman" w:hAnsi="Times New Roman" w:cs="Times New Roman"/>
                <w:sz w:val="22"/>
                <w:szCs w:val="22"/>
              </w:rPr>
              <w:t xml:space="preserve"> dostępności produktów i usług;</w:t>
            </w:r>
          </w:p>
          <w:p w14:paraId="684240CA" w14:textId="77777777" w:rsidR="00D332D9" w:rsidRDefault="00D332D9" w:rsidP="005275DF">
            <w:pPr>
              <w:pStyle w:val="Akapitzlist"/>
              <w:numPr>
                <w:ilvl w:val="0"/>
                <w:numId w:val="10"/>
              </w:num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obowiązki podmiotów gospodarczych w zakresie zapewniania spełniania wym</w:t>
            </w:r>
            <w:r w:rsidR="00130FB8">
              <w:rPr>
                <w:rFonts w:ascii="Times New Roman" w:eastAsia="Times New Roman" w:hAnsi="Times New Roman" w:cs="Times New Roman"/>
                <w:sz w:val="22"/>
                <w:szCs w:val="22"/>
              </w:rPr>
              <w:t>agań</w:t>
            </w:r>
            <w:r w:rsidRPr="00D332D9">
              <w:rPr>
                <w:rFonts w:ascii="Times New Roman" w:eastAsia="Times New Roman" w:hAnsi="Times New Roman" w:cs="Times New Roman"/>
                <w:sz w:val="22"/>
                <w:szCs w:val="22"/>
              </w:rPr>
              <w:t xml:space="preserve"> dostępności produktów </w:t>
            </w:r>
            <w:r w:rsidR="0083327A">
              <w:rPr>
                <w:rFonts w:ascii="Times New Roman" w:eastAsia="Times New Roman" w:hAnsi="Times New Roman" w:cs="Times New Roman"/>
                <w:sz w:val="22"/>
                <w:szCs w:val="22"/>
              </w:rPr>
              <w:br/>
            </w:r>
            <w:r w:rsidRPr="00D332D9">
              <w:rPr>
                <w:rFonts w:ascii="Times New Roman" w:eastAsia="Times New Roman" w:hAnsi="Times New Roman" w:cs="Times New Roman"/>
                <w:sz w:val="22"/>
                <w:szCs w:val="22"/>
              </w:rPr>
              <w:t>i usług;</w:t>
            </w:r>
          </w:p>
          <w:p w14:paraId="50BC7CBE" w14:textId="77777777" w:rsidR="00D332D9" w:rsidRPr="00D332D9" w:rsidRDefault="00D332D9" w:rsidP="005275DF">
            <w:pPr>
              <w:pStyle w:val="Akapitzlist"/>
              <w:numPr>
                <w:ilvl w:val="0"/>
                <w:numId w:val="10"/>
              </w:num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system, zasady i tryb sprawowania nadzoru rynku w zakresie zapewniania spełniania wym</w:t>
            </w:r>
            <w:r w:rsidR="00130FB8">
              <w:rPr>
                <w:rFonts w:ascii="Times New Roman" w:eastAsia="Times New Roman" w:hAnsi="Times New Roman" w:cs="Times New Roman"/>
                <w:sz w:val="22"/>
                <w:szCs w:val="22"/>
              </w:rPr>
              <w:t>agań</w:t>
            </w:r>
            <w:r w:rsidRPr="00D332D9">
              <w:rPr>
                <w:rFonts w:ascii="Times New Roman" w:eastAsia="Times New Roman" w:hAnsi="Times New Roman" w:cs="Times New Roman"/>
                <w:sz w:val="22"/>
                <w:szCs w:val="22"/>
              </w:rPr>
              <w:t xml:space="preserve"> dostępności produktów i usług.</w:t>
            </w:r>
          </w:p>
          <w:p w14:paraId="6A0A6C6C" w14:textId="77777777" w:rsidR="00D332D9" w:rsidRDefault="00D332D9" w:rsidP="00D332D9">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Kolejne artykuły określają:</w:t>
            </w:r>
          </w:p>
          <w:p w14:paraId="4FAE0F9A" w14:textId="2C3AC1D3" w:rsidR="00D332D9" w:rsidRPr="00AF1986" w:rsidRDefault="00D332D9" w:rsidP="00AF1986">
            <w:pPr>
              <w:pStyle w:val="Akapitzlist"/>
              <w:numPr>
                <w:ilvl w:val="0"/>
                <w:numId w:val="42"/>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zakres podmiotowy </w:t>
            </w:r>
            <w:r w:rsidR="00224455">
              <w:rPr>
                <w:rFonts w:ascii="Times New Roman" w:eastAsia="Times New Roman" w:hAnsi="Times New Roman" w:cs="Times New Roman"/>
                <w:color w:val="000000"/>
                <w:sz w:val="22"/>
                <w:szCs w:val="22"/>
              </w:rPr>
              <w:t xml:space="preserve">projektowanej </w:t>
            </w:r>
            <w:r>
              <w:rPr>
                <w:rFonts w:ascii="Times New Roman" w:eastAsia="Times New Roman" w:hAnsi="Times New Roman" w:cs="Times New Roman"/>
                <w:sz w:val="22"/>
                <w:szCs w:val="22"/>
              </w:rPr>
              <w:t>ustawy</w:t>
            </w:r>
            <w:r w:rsidR="007F65DE">
              <w:rPr>
                <w:rFonts w:ascii="Times New Roman" w:eastAsia="Times New Roman" w:hAnsi="Times New Roman" w:cs="Times New Roman"/>
                <w:sz w:val="22"/>
                <w:szCs w:val="22"/>
              </w:rPr>
              <w:t xml:space="preserve"> </w:t>
            </w:r>
            <w:r w:rsidRPr="00AF1986">
              <w:rPr>
                <w:rFonts w:ascii="Times New Roman" w:eastAsia="Times New Roman" w:hAnsi="Times New Roman" w:cs="Times New Roman"/>
                <w:sz w:val="22"/>
                <w:szCs w:val="22"/>
              </w:rPr>
              <w:t>(</w:t>
            </w:r>
            <w:r w:rsidR="00415E21" w:rsidRPr="00AF1986">
              <w:rPr>
                <w:rFonts w:ascii="Times New Roman" w:eastAsia="Times New Roman" w:hAnsi="Times New Roman" w:cs="Times New Roman"/>
                <w:sz w:val="22"/>
                <w:szCs w:val="22"/>
              </w:rPr>
              <w:t>z</w:t>
            </w:r>
            <w:r w:rsidRPr="00AF1986">
              <w:rPr>
                <w:rFonts w:ascii="Times New Roman" w:eastAsia="Times New Roman" w:hAnsi="Times New Roman" w:cs="Times New Roman"/>
                <w:sz w:val="22"/>
                <w:szCs w:val="22"/>
              </w:rPr>
              <w:t xml:space="preserve">obowiązanymi na mocy projektu ustawy są podmioty gospodarcze uczestniczące w łańcuchu dostaw i dystrybucji: producenci, upoważnieni przedstawiciele, importerzy, dystrybutorzy, jak również podmioty gospodarcze świadczące usługi odpowiednio do wykonywanej działalności objętej zakresem stosowania </w:t>
            </w:r>
            <w:r w:rsidR="00224455">
              <w:rPr>
                <w:rFonts w:ascii="Times New Roman" w:eastAsia="Times New Roman" w:hAnsi="Times New Roman" w:cs="Times New Roman"/>
                <w:color w:val="000000"/>
                <w:sz w:val="22"/>
                <w:szCs w:val="22"/>
              </w:rPr>
              <w:t xml:space="preserve">projektowanej </w:t>
            </w:r>
            <w:r w:rsidRPr="00AF1986">
              <w:rPr>
                <w:rFonts w:ascii="Times New Roman" w:eastAsia="Times New Roman" w:hAnsi="Times New Roman" w:cs="Times New Roman"/>
                <w:sz w:val="22"/>
                <w:szCs w:val="22"/>
              </w:rPr>
              <w:t>ustawy</w:t>
            </w:r>
            <w:r w:rsidR="00415E21" w:rsidRPr="00AF1986">
              <w:rPr>
                <w:rFonts w:ascii="Times New Roman" w:eastAsia="Times New Roman" w:hAnsi="Times New Roman" w:cs="Times New Roman"/>
                <w:sz w:val="22"/>
                <w:szCs w:val="22"/>
              </w:rPr>
              <w:t>);</w:t>
            </w:r>
          </w:p>
          <w:p w14:paraId="10CEF1EA" w14:textId="652A92DE" w:rsidR="00D332D9" w:rsidRPr="00AF1986" w:rsidRDefault="00013A2F" w:rsidP="00AF1986">
            <w:pPr>
              <w:pStyle w:val="Akapitzlist"/>
              <w:numPr>
                <w:ilvl w:val="0"/>
                <w:numId w:val="42"/>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w:t>
            </w:r>
            <w:r w:rsidR="00D332D9" w:rsidRPr="00013A2F">
              <w:rPr>
                <w:rFonts w:ascii="Times New Roman" w:eastAsia="Times New Roman" w:hAnsi="Times New Roman" w:cs="Times New Roman"/>
                <w:sz w:val="22"/>
                <w:szCs w:val="22"/>
              </w:rPr>
              <w:t>akres stosowania prz</w:t>
            </w:r>
            <w:r w:rsidRPr="00013A2F">
              <w:rPr>
                <w:rFonts w:ascii="Times New Roman" w:eastAsia="Times New Roman" w:hAnsi="Times New Roman" w:cs="Times New Roman"/>
                <w:sz w:val="22"/>
                <w:szCs w:val="22"/>
              </w:rPr>
              <w:t>episów projektu ustawy</w:t>
            </w:r>
            <w:r w:rsidR="007F65DE">
              <w:rPr>
                <w:rFonts w:ascii="Times New Roman" w:eastAsia="Times New Roman" w:hAnsi="Times New Roman" w:cs="Times New Roman"/>
                <w:sz w:val="22"/>
                <w:szCs w:val="22"/>
              </w:rPr>
              <w:t xml:space="preserve"> </w:t>
            </w:r>
            <w:r w:rsidRPr="00AF1986">
              <w:rPr>
                <w:rFonts w:ascii="Times New Roman" w:eastAsia="Times New Roman" w:hAnsi="Times New Roman" w:cs="Times New Roman"/>
                <w:sz w:val="22"/>
                <w:szCs w:val="22"/>
              </w:rPr>
              <w:t>(p</w:t>
            </w:r>
            <w:r w:rsidR="00D332D9" w:rsidRPr="00AF1986">
              <w:rPr>
                <w:rFonts w:ascii="Times New Roman" w:eastAsia="Times New Roman" w:hAnsi="Times New Roman" w:cs="Times New Roman"/>
                <w:sz w:val="22"/>
                <w:szCs w:val="22"/>
              </w:rPr>
              <w:t>rojekt ustawy obejmuje powszechnie używane produkty i usługi, najczęściej wyk</w:t>
            </w:r>
            <w:r w:rsidRPr="00AF1986">
              <w:rPr>
                <w:rFonts w:ascii="Times New Roman" w:eastAsia="Times New Roman" w:hAnsi="Times New Roman" w:cs="Times New Roman"/>
                <w:sz w:val="22"/>
                <w:szCs w:val="22"/>
              </w:rPr>
              <w:t>orzystywane w życiu codziennym);</w:t>
            </w:r>
          </w:p>
          <w:p w14:paraId="5E66B7C8" w14:textId="2D5138F9" w:rsidR="00013A2F" w:rsidRPr="00AF1986" w:rsidRDefault="00013A2F" w:rsidP="00AF1986">
            <w:pPr>
              <w:pStyle w:val="Akapitzlist"/>
              <w:numPr>
                <w:ilvl w:val="0"/>
                <w:numId w:val="42"/>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wyłączenia z zakresu stosowania przepisów projektu ustawy</w:t>
            </w:r>
            <w:r w:rsidR="007F65DE">
              <w:rPr>
                <w:rFonts w:ascii="Times New Roman" w:eastAsia="Times New Roman" w:hAnsi="Times New Roman" w:cs="Times New Roman"/>
                <w:sz w:val="22"/>
                <w:szCs w:val="22"/>
              </w:rPr>
              <w:t xml:space="preserve"> </w:t>
            </w:r>
            <w:r w:rsidRPr="00AF1986">
              <w:rPr>
                <w:rFonts w:ascii="Times New Roman" w:eastAsia="Times New Roman" w:hAnsi="Times New Roman" w:cs="Times New Roman"/>
                <w:sz w:val="22"/>
                <w:szCs w:val="22"/>
              </w:rPr>
              <w:t xml:space="preserve">(wyłączenie usług świadczonych przez </w:t>
            </w:r>
            <w:proofErr w:type="spellStart"/>
            <w:r w:rsidRPr="00AF1986">
              <w:rPr>
                <w:rFonts w:ascii="Times New Roman" w:eastAsia="Times New Roman" w:hAnsi="Times New Roman" w:cs="Times New Roman"/>
                <w:sz w:val="22"/>
                <w:szCs w:val="22"/>
              </w:rPr>
              <w:t>mikroprzedsiębiorców</w:t>
            </w:r>
            <w:proofErr w:type="spellEnd"/>
            <w:r w:rsidR="00A65537" w:rsidRPr="00AF1986">
              <w:rPr>
                <w:rFonts w:ascii="Times New Roman" w:eastAsia="Times New Roman" w:hAnsi="Times New Roman" w:cs="Times New Roman"/>
                <w:sz w:val="22"/>
                <w:szCs w:val="22"/>
              </w:rPr>
              <w:t xml:space="preserve">, a także </w:t>
            </w:r>
            <w:r w:rsidRPr="00AF1986">
              <w:rPr>
                <w:rFonts w:ascii="Times New Roman" w:eastAsia="Times New Roman" w:hAnsi="Times New Roman" w:cs="Times New Roman"/>
                <w:sz w:val="22"/>
                <w:szCs w:val="22"/>
              </w:rPr>
              <w:t xml:space="preserve">stron internetowych </w:t>
            </w:r>
            <w:r w:rsidR="00A65537" w:rsidRPr="00AF1986">
              <w:rPr>
                <w:rFonts w:ascii="Times New Roman" w:eastAsia="Times New Roman" w:hAnsi="Times New Roman" w:cs="Times New Roman"/>
                <w:sz w:val="22"/>
                <w:szCs w:val="22"/>
              </w:rPr>
              <w:t>i aplikacji mobilnych</w:t>
            </w:r>
            <w:r w:rsidR="00116AE1" w:rsidRPr="00AF1986">
              <w:rPr>
                <w:rFonts w:ascii="Times New Roman" w:eastAsia="Times New Roman" w:hAnsi="Times New Roman" w:cs="Times New Roman"/>
                <w:sz w:val="22"/>
                <w:szCs w:val="22"/>
              </w:rPr>
              <w:t xml:space="preserve"> w zakresie okr</w:t>
            </w:r>
            <w:r w:rsidR="00A03259" w:rsidRPr="00AF1986">
              <w:rPr>
                <w:rFonts w:ascii="Times New Roman" w:eastAsia="Times New Roman" w:hAnsi="Times New Roman" w:cs="Times New Roman"/>
                <w:sz w:val="22"/>
                <w:szCs w:val="22"/>
              </w:rPr>
              <w:t>eś</w:t>
            </w:r>
            <w:r w:rsidR="00116AE1" w:rsidRPr="00AF1986">
              <w:rPr>
                <w:rFonts w:ascii="Times New Roman" w:eastAsia="Times New Roman" w:hAnsi="Times New Roman" w:cs="Times New Roman"/>
                <w:sz w:val="22"/>
                <w:szCs w:val="22"/>
              </w:rPr>
              <w:t>lonym w ustawie</w:t>
            </w:r>
            <w:r w:rsidR="00A65537" w:rsidRPr="00AF1986">
              <w:rPr>
                <w:rFonts w:ascii="Times New Roman" w:eastAsia="Times New Roman" w:hAnsi="Times New Roman" w:cs="Times New Roman"/>
                <w:sz w:val="22"/>
                <w:szCs w:val="22"/>
              </w:rPr>
              <w:t xml:space="preserve"> oraz usług komunikacji miejskiej, gminnych, metropolitalnych, powiatowych, powiatowo-gminnych i wojewódzkich przewozów pasażerskich </w:t>
            </w:r>
            <w:r w:rsidRPr="00AF1986">
              <w:rPr>
                <w:rFonts w:ascii="Times New Roman" w:eastAsia="Times New Roman" w:hAnsi="Times New Roman" w:cs="Times New Roman"/>
                <w:sz w:val="22"/>
                <w:szCs w:val="22"/>
              </w:rPr>
              <w:t>w zakresie określonym w dyrektywie 2019/882);</w:t>
            </w:r>
          </w:p>
          <w:p w14:paraId="25A56BC5" w14:textId="77777777" w:rsidR="00013A2F" w:rsidRPr="00013A2F" w:rsidRDefault="00411F68" w:rsidP="00AF1986">
            <w:pPr>
              <w:pStyle w:val="Akapitzlist"/>
              <w:numPr>
                <w:ilvl w:val="0"/>
                <w:numId w:val="42"/>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zakres pojęciowy </w:t>
            </w:r>
            <w:r w:rsidR="00A03259">
              <w:rPr>
                <w:rFonts w:ascii="Times New Roman" w:eastAsia="Times New Roman" w:hAnsi="Times New Roman" w:cs="Times New Roman"/>
                <w:sz w:val="22"/>
                <w:szCs w:val="22"/>
              </w:rPr>
              <w:t>określeń</w:t>
            </w:r>
            <w:r w:rsidR="003E5E4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użytych w projekcie ustaw</w:t>
            </w:r>
            <w:r w:rsidR="00A03259">
              <w:rPr>
                <w:rFonts w:ascii="Times New Roman" w:eastAsia="Times New Roman" w:hAnsi="Times New Roman" w:cs="Times New Roman"/>
                <w:sz w:val="22"/>
                <w:szCs w:val="22"/>
              </w:rPr>
              <w:t>ie</w:t>
            </w:r>
            <w:r>
              <w:rPr>
                <w:rFonts w:ascii="Times New Roman" w:eastAsia="Times New Roman" w:hAnsi="Times New Roman" w:cs="Times New Roman"/>
                <w:sz w:val="22"/>
                <w:szCs w:val="22"/>
              </w:rPr>
              <w:t>.</w:t>
            </w:r>
          </w:p>
          <w:p w14:paraId="56241E8F" w14:textId="54FE3B32" w:rsidR="007274AA" w:rsidRDefault="00D332D9" w:rsidP="00D332D9">
            <w:p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Rozdział drugi projektu ustawy reguluje wym</w:t>
            </w:r>
            <w:r w:rsidR="005A4DB3">
              <w:rPr>
                <w:rFonts w:ascii="Times New Roman" w:eastAsia="Times New Roman" w:hAnsi="Times New Roman" w:cs="Times New Roman"/>
                <w:sz w:val="22"/>
                <w:szCs w:val="22"/>
              </w:rPr>
              <w:t>agania</w:t>
            </w:r>
            <w:r w:rsidRPr="00D332D9">
              <w:rPr>
                <w:rFonts w:ascii="Times New Roman" w:eastAsia="Times New Roman" w:hAnsi="Times New Roman" w:cs="Times New Roman"/>
                <w:sz w:val="22"/>
                <w:szCs w:val="22"/>
              </w:rPr>
              <w:t xml:space="preserve"> dostępności</w:t>
            </w:r>
            <w:r w:rsidR="007F65DE">
              <w:rPr>
                <w:rFonts w:ascii="Times New Roman" w:eastAsia="Times New Roman" w:hAnsi="Times New Roman" w:cs="Times New Roman"/>
                <w:sz w:val="22"/>
                <w:szCs w:val="22"/>
              </w:rPr>
              <w:t xml:space="preserve"> produktów i usług</w:t>
            </w:r>
            <w:r w:rsidRPr="00D332D9">
              <w:rPr>
                <w:rFonts w:ascii="Times New Roman" w:eastAsia="Times New Roman" w:hAnsi="Times New Roman" w:cs="Times New Roman"/>
                <w:sz w:val="22"/>
                <w:szCs w:val="22"/>
              </w:rPr>
              <w:t xml:space="preserve">. </w:t>
            </w:r>
            <w:r w:rsidR="00411F68">
              <w:rPr>
                <w:rFonts w:ascii="Times New Roman" w:eastAsia="Times New Roman" w:hAnsi="Times New Roman" w:cs="Times New Roman"/>
                <w:sz w:val="22"/>
                <w:szCs w:val="22"/>
              </w:rPr>
              <w:t>Opisano ogólne</w:t>
            </w:r>
            <w:r w:rsidR="00C53DA4">
              <w:rPr>
                <w:rFonts w:ascii="Times New Roman" w:eastAsia="Times New Roman" w:hAnsi="Times New Roman" w:cs="Times New Roman"/>
                <w:sz w:val="22"/>
                <w:szCs w:val="22"/>
              </w:rPr>
              <w:t>,</w:t>
            </w:r>
            <w:r w:rsidR="00411F68">
              <w:rPr>
                <w:rFonts w:ascii="Times New Roman" w:eastAsia="Times New Roman" w:hAnsi="Times New Roman" w:cs="Times New Roman"/>
                <w:sz w:val="22"/>
                <w:szCs w:val="22"/>
              </w:rPr>
              <w:t xml:space="preserve"> wspólne wym</w:t>
            </w:r>
            <w:r w:rsidR="005A4DB3">
              <w:rPr>
                <w:rFonts w:ascii="Times New Roman" w:eastAsia="Times New Roman" w:hAnsi="Times New Roman" w:cs="Times New Roman"/>
                <w:sz w:val="22"/>
                <w:szCs w:val="22"/>
              </w:rPr>
              <w:t>agania</w:t>
            </w:r>
            <w:r w:rsidR="00411F68">
              <w:rPr>
                <w:rFonts w:ascii="Times New Roman" w:eastAsia="Times New Roman" w:hAnsi="Times New Roman" w:cs="Times New Roman"/>
                <w:sz w:val="22"/>
                <w:szCs w:val="22"/>
              </w:rPr>
              <w:t xml:space="preserve"> dla produktów oraz odrębnie – ogólne, wspólne wym</w:t>
            </w:r>
            <w:r w:rsidR="005A4DB3">
              <w:rPr>
                <w:rFonts w:ascii="Times New Roman" w:eastAsia="Times New Roman" w:hAnsi="Times New Roman" w:cs="Times New Roman"/>
                <w:sz w:val="22"/>
                <w:szCs w:val="22"/>
              </w:rPr>
              <w:t>agania</w:t>
            </w:r>
            <w:r w:rsidR="00411F68">
              <w:rPr>
                <w:rFonts w:ascii="Times New Roman" w:eastAsia="Times New Roman" w:hAnsi="Times New Roman" w:cs="Times New Roman"/>
                <w:sz w:val="22"/>
                <w:szCs w:val="22"/>
              </w:rPr>
              <w:t xml:space="preserve"> dla usług. Wyszczególniono również specyficzne wym</w:t>
            </w:r>
            <w:r w:rsidR="005A4DB3">
              <w:rPr>
                <w:rFonts w:ascii="Times New Roman" w:eastAsia="Times New Roman" w:hAnsi="Times New Roman" w:cs="Times New Roman"/>
                <w:sz w:val="22"/>
                <w:szCs w:val="22"/>
              </w:rPr>
              <w:t>agania</w:t>
            </w:r>
            <w:r w:rsidR="00411F68">
              <w:rPr>
                <w:rFonts w:ascii="Times New Roman" w:eastAsia="Times New Roman" w:hAnsi="Times New Roman" w:cs="Times New Roman"/>
                <w:sz w:val="22"/>
                <w:szCs w:val="22"/>
              </w:rPr>
              <w:t xml:space="preserve"> dla poszczególnych produktów i usług.</w:t>
            </w:r>
            <w:r w:rsidR="007274AA">
              <w:rPr>
                <w:rFonts w:ascii="Times New Roman" w:eastAsia="Times New Roman" w:hAnsi="Times New Roman" w:cs="Times New Roman"/>
                <w:sz w:val="22"/>
                <w:szCs w:val="22"/>
              </w:rPr>
              <w:t xml:space="preserve"> Wym</w:t>
            </w:r>
            <w:r w:rsidR="005A4DB3">
              <w:rPr>
                <w:rFonts w:ascii="Times New Roman" w:eastAsia="Times New Roman" w:hAnsi="Times New Roman" w:cs="Times New Roman"/>
                <w:sz w:val="22"/>
                <w:szCs w:val="22"/>
              </w:rPr>
              <w:t>agania</w:t>
            </w:r>
            <w:r w:rsidR="007274AA">
              <w:rPr>
                <w:rFonts w:ascii="Times New Roman" w:eastAsia="Times New Roman" w:hAnsi="Times New Roman" w:cs="Times New Roman"/>
                <w:sz w:val="22"/>
                <w:szCs w:val="22"/>
              </w:rPr>
              <w:t xml:space="preserve"> dostępności odnoszą się </w:t>
            </w:r>
            <w:r w:rsidR="007274AA" w:rsidRPr="00300D62">
              <w:rPr>
                <w:rFonts w:ascii="Times New Roman" w:eastAsia="Times New Roman" w:hAnsi="Times New Roman" w:cs="Times New Roman"/>
                <w:sz w:val="22"/>
                <w:szCs w:val="22"/>
              </w:rPr>
              <w:t>m.in.</w:t>
            </w:r>
            <w:r w:rsidR="00300D62" w:rsidRPr="00300D62">
              <w:rPr>
                <w:rFonts w:ascii="Times New Roman" w:eastAsia="Times New Roman" w:hAnsi="Times New Roman" w:cs="Times New Roman"/>
                <w:sz w:val="22"/>
                <w:szCs w:val="22"/>
              </w:rPr>
              <w:t xml:space="preserve"> do właściwości i treści przekazywanych informacji, funkcji interfejsu produktów oraz elementów usług, kompatybilności z urządzeniami wspomagającymi. </w:t>
            </w:r>
            <w:r w:rsidR="00E54E56" w:rsidRPr="00E54E56">
              <w:rPr>
                <w:rFonts w:ascii="Times New Roman" w:eastAsia="Times New Roman" w:hAnsi="Times New Roman" w:cs="Times New Roman"/>
                <w:sz w:val="22"/>
                <w:szCs w:val="22"/>
              </w:rPr>
              <w:t xml:space="preserve">Jeżeli produkt albo usługa posiadają funkcje </w:t>
            </w:r>
            <w:r w:rsidR="00E32DC7">
              <w:rPr>
                <w:rFonts w:ascii="Times New Roman" w:eastAsia="Times New Roman" w:hAnsi="Times New Roman" w:cs="Times New Roman"/>
                <w:sz w:val="22"/>
                <w:szCs w:val="22"/>
              </w:rPr>
              <w:t>lub</w:t>
            </w:r>
            <w:r w:rsidR="00E54E56" w:rsidRPr="00E54E56">
              <w:rPr>
                <w:rFonts w:ascii="Times New Roman" w:eastAsia="Times New Roman" w:hAnsi="Times New Roman" w:cs="Times New Roman"/>
                <w:sz w:val="22"/>
                <w:szCs w:val="22"/>
              </w:rPr>
              <w:t xml:space="preserve"> właściwości, które nie są objęte wymaganiami dostępności określonymi </w:t>
            </w:r>
            <w:r w:rsidR="009578E1">
              <w:rPr>
                <w:rFonts w:ascii="Times New Roman" w:eastAsia="Times New Roman" w:hAnsi="Times New Roman" w:cs="Times New Roman"/>
                <w:sz w:val="22"/>
                <w:szCs w:val="22"/>
              </w:rPr>
              <w:br/>
            </w:r>
            <w:r w:rsidR="00E54E56" w:rsidRPr="00E54E56">
              <w:rPr>
                <w:rFonts w:ascii="Times New Roman" w:eastAsia="Times New Roman" w:hAnsi="Times New Roman" w:cs="Times New Roman"/>
                <w:sz w:val="22"/>
                <w:szCs w:val="22"/>
              </w:rPr>
              <w:t>w art. 7</w:t>
            </w:r>
            <w:r w:rsidR="00A03259">
              <w:rPr>
                <w:rFonts w:ascii="Times New Roman" w:eastAsia="Times New Roman" w:hAnsi="Times New Roman" w:cs="Times New Roman"/>
                <w:sz w:val="22"/>
                <w:szCs w:val="22"/>
              </w:rPr>
              <w:t>–</w:t>
            </w:r>
            <w:r w:rsidR="00E54E56" w:rsidRPr="00E54E56">
              <w:rPr>
                <w:rFonts w:ascii="Times New Roman" w:eastAsia="Times New Roman" w:hAnsi="Times New Roman" w:cs="Times New Roman"/>
                <w:sz w:val="22"/>
                <w:szCs w:val="22"/>
              </w:rPr>
              <w:t>18</w:t>
            </w:r>
            <w:r w:rsidR="007F65DE">
              <w:rPr>
                <w:rFonts w:ascii="Times New Roman" w:eastAsia="Times New Roman" w:hAnsi="Times New Roman" w:cs="Times New Roman"/>
                <w:sz w:val="22"/>
                <w:szCs w:val="22"/>
              </w:rPr>
              <w:t xml:space="preserve"> projektu ustawy</w:t>
            </w:r>
            <w:r w:rsidR="00E54E56" w:rsidRPr="00E54E56">
              <w:rPr>
                <w:rFonts w:ascii="Times New Roman" w:eastAsia="Times New Roman" w:hAnsi="Times New Roman" w:cs="Times New Roman"/>
                <w:sz w:val="22"/>
                <w:szCs w:val="22"/>
              </w:rPr>
              <w:t xml:space="preserve">, podmiot gospodarczy stosuje do nich odpowiednie kryteria funkcjonalne </w:t>
            </w:r>
            <w:r w:rsidR="006B5D49">
              <w:rPr>
                <w:rFonts w:ascii="Times New Roman" w:eastAsia="Times New Roman" w:hAnsi="Times New Roman" w:cs="Times New Roman"/>
                <w:sz w:val="22"/>
                <w:szCs w:val="22"/>
              </w:rPr>
              <w:t>uznawane za</w:t>
            </w:r>
            <w:r w:rsidR="00596E06">
              <w:rPr>
                <w:rFonts w:ascii="Times New Roman" w:eastAsia="Times New Roman" w:hAnsi="Times New Roman" w:cs="Times New Roman"/>
                <w:sz w:val="22"/>
                <w:szCs w:val="22"/>
              </w:rPr>
              <w:t xml:space="preserve"> </w:t>
            </w:r>
            <w:r w:rsidR="00E54E56" w:rsidRPr="00E54E56">
              <w:rPr>
                <w:rFonts w:ascii="Times New Roman" w:eastAsia="Times New Roman" w:hAnsi="Times New Roman" w:cs="Times New Roman"/>
                <w:sz w:val="22"/>
                <w:szCs w:val="22"/>
              </w:rPr>
              <w:t>wymagania dostępności umożliwiając</w:t>
            </w:r>
            <w:r w:rsidR="006B5D49">
              <w:rPr>
                <w:rFonts w:ascii="Times New Roman" w:eastAsia="Times New Roman" w:hAnsi="Times New Roman" w:cs="Times New Roman"/>
                <w:sz w:val="22"/>
                <w:szCs w:val="22"/>
              </w:rPr>
              <w:t>e</w:t>
            </w:r>
            <w:r w:rsidR="00E54E56" w:rsidRPr="00E54E56">
              <w:rPr>
                <w:rFonts w:ascii="Times New Roman" w:eastAsia="Times New Roman" w:hAnsi="Times New Roman" w:cs="Times New Roman"/>
                <w:sz w:val="22"/>
                <w:szCs w:val="22"/>
              </w:rPr>
              <w:t xml:space="preserve"> korzystanie z produktu albo usługi przez osoby ze szczególnymi potrzebami</w:t>
            </w:r>
            <w:r w:rsidR="006C0FA4">
              <w:rPr>
                <w:rFonts w:ascii="Times New Roman" w:hAnsi="Times New Roman" w:cs="Times New Roman"/>
                <w:sz w:val="22"/>
                <w:szCs w:val="22"/>
              </w:rPr>
              <w:t>.</w:t>
            </w:r>
            <w:r w:rsidR="006C0FA4" w:rsidRPr="000909C2">
              <w:t xml:space="preserve"> </w:t>
            </w:r>
            <w:r w:rsidR="006C0FA4" w:rsidRPr="001F0D83">
              <w:rPr>
                <w:rFonts w:ascii="Times New Roman" w:hAnsi="Times New Roman" w:cs="Times New Roman"/>
                <w:sz w:val="22"/>
                <w:szCs w:val="22"/>
              </w:rPr>
              <w:t>Kryteria funkcjonalne</w:t>
            </w:r>
            <w:r w:rsidR="006C0FA4">
              <w:rPr>
                <w:rFonts w:ascii="Times New Roman" w:hAnsi="Times New Roman" w:cs="Times New Roman"/>
                <w:sz w:val="22"/>
                <w:szCs w:val="22"/>
              </w:rPr>
              <w:t xml:space="preserve"> </w:t>
            </w:r>
            <w:r w:rsidR="006C0FA4" w:rsidRPr="001F0D83">
              <w:rPr>
                <w:rFonts w:ascii="Times New Roman" w:hAnsi="Times New Roman" w:cs="Times New Roman"/>
                <w:sz w:val="22"/>
                <w:szCs w:val="22"/>
              </w:rPr>
              <w:t>mogą być stosowane zamiast jednego lub większej liczby wym</w:t>
            </w:r>
            <w:r w:rsidR="005A4DB3">
              <w:rPr>
                <w:rFonts w:ascii="Times New Roman" w:hAnsi="Times New Roman" w:cs="Times New Roman"/>
                <w:sz w:val="22"/>
                <w:szCs w:val="22"/>
              </w:rPr>
              <w:t>agań</w:t>
            </w:r>
            <w:r w:rsidR="006C0FA4" w:rsidRPr="001F0D83">
              <w:rPr>
                <w:rFonts w:ascii="Times New Roman" w:hAnsi="Times New Roman" w:cs="Times New Roman"/>
                <w:sz w:val="22"/>
                <w:szCs w:val="22"/>
              </w:rPr>
              <w:t xml:space="preserve"> dostępności określonych </w:t>
            </w:r>
            <w:r w:rsidR="009578E1">
              <w:rPr>
                <w:rFonts w:ascii="Times New Roman" w:hAnsi="Times New Roman" w:cs="Times New Roman"/>
                <w:sz w:val="22"/>
                <w:szCs w:val="22"/>
              </w:rPr>
              <w:br/>
            </w:r>
            <w:r w:rsidR="006C0FA4" w:rsidRPr="001F0D83">
              <w:rPr>
                <w:rFonts w:ascii="Times New Roman" w:hAnsi="Times New Roman" w:cs="Times New Roman"/>
                <w:sz w:val="22"/>
                <w:szCs w:val="22"/>
              </w:rPr>
              <w:t>w </w:t>
            </w:r>
            <w:r w:rsidR="00E54E56">
              <w:rPr>
                <w:rFonts w:ascii="Times New Roman" w:hAnsi="Times New Roman" w:cs="Times New Roman"/>
                <w:sz w:val="22"/>
                <w:szCs w:val="22"/>
              </w:rPr>
              <w:t>art. 7</w:t>
            </w:r>
            <w:r w:rsidR="00A03259">
              <w:rPr>
                <w:rFonts w:ascii="Times New Roman" w:hAnsi="Times New Roman" w:cs="Times New Roman"/>
                <w:sz w:val="22"/>
                <w:szCs w:val="22"/>
              </w:rPr>
              <w:t>–</w:t>
            </w:r>
            <w:r w:rsidR="00E54E56">
              <w:rPr>
                <w:rFonts w:ascii="Times New Roman" w:hAnsi="Times New Roman" w:cs="Times New Roman"/>
                <w:sz w:val="22"/>
                <w:szCs w:val="22"/>
              </w:rPr>
              <w:t xml:space="preserve">18 </w:t>
            </w:r>
            <w:r w:rsidR="007F65DE">
              <w:rPr>
                <w:rFonts w:ascii="Times New Roman" w:hAnsi="Times New Roman" w:cs="Times New Roman"/>
                <w:sz w:val="22"/>
                <w:szCs w:val="22"/>
              </w:rPr>
              <w:t xml:space="preserve">projektu </w:t>
            </w:r>
            <w:r w:rsidR="006C0FA4" w:rsidRPr="001F0D83">
              <w:rPr>
                <w:rFonts w:ascii="Times New Roman" w:hAnsi="Times New Roman" w:cs="Times New Roman"/>
                <w:sz w:val="22"/>
                <w:szCs w:val="22"/>
              </w:rPr>
              <w:t>ustaw</w:t>
            </w:r>
            <w:r w:rsidR="00E54E56">
              <w:rPr>
                <w:rFonts w:ascii="Times New Roman" w:hAnsi="Times New Roman" w:cs="Times New Roman"/>
                <w:sz w:val="22"/>
                <w:szCs w:val="22"/>
              </w:rPr>
              <w:t>y</w:t>
            </w:r>
            <w:r w:rsidR="006C0FA4" w:rsidRPr="001F0D83">
              <w:rPr>
                <w:rFonts w:ascii="Times New Roman" w:hAnsi="Times New Roman" w:cs="Times New Roman"/>
                <w:sz w:val="22"/>
                <w:szCs w:val="22"/>
              </w:rPr>
              <w:t>, o ile zastosowanie tych wym</w:t>
            </w:r>
            <w:r w:rsidR="005A4DB3">
              <w:rPr>
                <w:rFonts w:ascii="Times New Roman" w:hAnsi="Times New Roman" w:cs="Times New Roman"/>
                <w:sz w:val="22"/>
                <w:szCs w:val="22"/>
              </w:rPr>
              <w:t>agań</w:t>
            </w:r>
            <w:r w:rsidR="006C0FA4" w:rsidRPr="001F0D83">
              <w:rPr>
                <w:rFonts w:ascii="Times New Roman" w:hAnsi="Times New Roman" w:cs="Times New Roman"/>
                <w:sz w:val="22"/>
                <w:szCs w:val="22"/>
              </w:rPr>
              <w:t xml:space="preserve"> prowadzi do równoważnej lub większej dostępności dla osób ze szczególnymi potrzebami</w:t>
            </w:r>
            <w:r w:rsidR="007274AA" w:rsidRPr="00300D62">
              <w:rPr>
                <w:rFonts w:ascii="Times New Roman" w:eastAsia="Times New Roman" w:hAnsi="Times New Roman" w:cs="Times New Roman"/>
                <w:sz w:val="22"/>
                <w:szCs w:val="22"/>
              </w:rPr>
              <w:t>.</w:t>
            </w:r>
          </w:p>
          <w:p w14:paraId="42B5446B" w14:textId="7D8ACB0E" w:rsidR="00435E73" w:rsidRDefault="00411F68" w:rsidP="00D332D9">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Rozdział drugi </w:t>
            </w:r>
            <w:r w:rsidR="005823A5" w:rsidRPr="00D332D9">
              <w:rPr>
                <w:rFonts w:ascii="Times New Roman" w:eastAsia="Times New Roman" w:hAnsi="Times New Roman" w:cs="Times New Roman"/>
                <w:sz w:val="22"/>
                <w:szCs w:val="22"/>
              </w:rPr>
              <w:t xml:space="preserve">projektu ustawy </w:t>
            </w:r>
            <w:r>
              <w:rPr>
                <w:rFonts w:ascii="Times New Roman" w:eastAsia="Times New Roman" w:hAnsi="Times New Roman" w:cs="Times New Roman"/>
                <w:sz w:val="22"/>
                <w:szCs w:val="22"/>
              </w:rPr>
              <w:t xml:space="preserve">wskazuje również na sytuacje, w których podmiot gospodarczy </w:t>
            </w:r>
            <w:r w:rsidR="00EA00B0">
              <w:rPr>
                <w:rFonts w:ascii="Times New Roman" w:eastAsia="Times New Roman" w:hAnsi="Times New Roman" w:cs="Times New Roman"/>
                <w:sz w:val="22"/>
                <w:szCs w:val="22"/>
              </w:rPr>
              <w:t>będzie:</w:t>
            </w:r>
          </w:p>
          <w:p w14:paraId="3F0E8900" w14:textId="125F2148" w:rsidR="00411F68" w:rsidRDefault="00411F68" w:rsidP="00AF1986">
            <w:pPr>
              <w:pStyle w:val="Akapitzlist"/>
              <w:numPr>
                <w:ilvl w:val="0"/>
                <w:numId w:val="43"/>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korzystał z domniemania zgodności swojego produktu lub usługi z odpowiednimi wym</w:t>
            </w:r>
            <w:r w:rsidR="005A4DB3">
              <w:rPr>
                <w:rFonts w:ascii="Times New Roman" w:eastAsia="Times New Roman" w:hAnsi="Times New Roman" w:cs="Times New Roman"/>
                <w:sz w:val="22"/>
                <w:szCs w:val="22"/>
              </w:rPr>
              <w:t>aganiami</w:t>
            </w:r>
            <w:r w:rsidR="00596E06">
              <w:rPr>
                <w:rFonts w:ascii="Times New Roman" w:eastAsia="Times New Roman" w:hAnsi="Times New Roman" w:cs="Times New Roman"/>
                <w:sz w:val="22"/>
                <w:szCs w:val="22"/>
              </w:rPr>
              <w:t xml:space="preserve"> dostępności określonymi w </w:t>
            </w:r>
            <w:r w:rsidR="00224455">
              <w:rPr>
                <w:rFonts w:ascii="Times New Roman" w:eastAsia="Times New Roman" w:hAnsi="Times New Roman" w:cs="Times New Roman"/>
                <w:color w:val="000000"/>
                <w:sz w:val="22"/>
                <w:szCs w:val="22"/>
              </w:rPr>
              <w:t xml:space="preserve">projektowanej </w:t>
            </w:r>
            <w:r w:rsidR="00596E06">
              <w:rPr>
                <w:rFonts w:ascii="Times New Roman" w:eastAsia="Times New Roman" w:hAnsi="Times New Roman" w:cs="Times New Roman"/>
                <w:sz w:val="22"/>
                <w:szCs w:val="22"/>
              </w:rPr>
              <w:t>ustawie</w:t>
            </w:r>
            <w:r w:rsidR="00435E73">
              <w:rPr>
                <w:rFonts w:ascii="Times New Roman" w:eastAsia="Times New Roman" w:hAnsi="Times New Roman" w:cs="Times New Roman"/>
                <w:sz w:val="22"/>
                <w:szCs w:val="22"/>
              </w:rPr>
              <w:t>;</w:t>
            </w:r>
          </w:p>
          <w:p w14:paraId="2BAA8D75" w14:textId="7B828D20" w:rsidR="007274AA" w:rsidRPr="007274AA" w:rsidRDefault="00435E73" w:rsidP="00AF1986">
            <w:pPr>
              <w:pStyle w:val="Akapitzlist"/>
              <w:numPr>
                <w:ilvl w:val="0"/>
                <w:numId w:val="43"/>
              </w:numPr>
              <w:spacing w:after="120"/>
              <w:jc w:val="both"/>
              <w:rPr>
                <w:rFonts w:ascii="Times New Roman" w:eastAsia="Times New Roman" w:hAnsi="Times New Roman" w:cs="Times New Roman"/>
                <w:sz w:val="22"/>
                <w:szCs w:val="22"/>
              </w:rPr>
            </w:pPr>
            <w:r w:rsidRPr="007274AA">
              <w:rPr>
                <w:rFonts w:ascii="Times New Roman" w:eastAsia="Times New Roman" w:hAnsi="Times New Roman" w:cs="Times New Roman"/>
                <w:sz w:val="22"/>
                <w:szCs w:val="22"/>
              </w:rPr>
              <w:t xml:space="preserve">mógł powołać się na klauzule o zasadniczej zmianie produktu albo usługi </w:t>
            </w:r>
            <w:r w:rsidRPr="00E9714F">
              <w:rPr>
                <w:rFonts w:ascii="Times New Roman" w:eastAsia="Times New Roman" w:hAnsi="Times New Roman" w:cs="Times New Roman"/>
                <w:sz w:val="22"/>
                <w:szCs w:val="22"/>
              </w:rPr>
              <w:t>lub nieproporcjonalne obciążenie podmiotu gospodarczego</w:t>
            </w:r>
            <w:r w:rsidR="007274AA" w:rsidRPr="00E9714F">
              <w:rPr>
                <w:rFonts w:ascii="Times New Roman" w:eastAsia="Times New Roman" w:hAnsi="Times New Roman" w:cs="Times New Roman"/>
                <w:sz w:val="22"/>
                <w:szCs w:val="22"/>
              </w:rPr>
              <w:t xml:space="preserve"> – projekt ustawy </w:t>
            </w:r>
            <w:r w:rsidR="007274AA" w:rsidRPr="00A57C8F">
              <w:rPr>
                <w:rFonts w:ascii="Times New Roman" w:eastAsia="Times New Roman" w:hAnsi="Times New Roman" w:cs="Times New Roman"/>
                <w:sz w:val="22"/>
                <w:szCs w:val="22"/>
              </w:rPr>
              <w:t>określa okoliczności, w których podmioty gospodarcze nie są zobowiązane do spełnienia wym</w:t>
            </w:r>
            <w:r w:rsidR="000A6D78">
              <w:rPr>
                <w:rFonts w:ascii="Times New Roman" w:eastAsia="Times New Roman" w:hAnsi="Times New Roman" w:cs="Times New Roman"/>
                <w:sz w:val="22"/>
                <w:szCs w:val="22"/>
              </w:rPr>
              <w:t>agań</w:t>
            </w:r>
            <w:r w:rsidR="007274AA" w:rsidRPr="00A57C8F">
              <w:rPr>
                <w:rFonts w:ascii="Times New Roman" w:eastAsia="Times New Roman" w:hAnsi="Times New Roman" w:cs="Times New Roman"/>
                <w:sz w:val="22"/>
                <w:szCs w:val="22"/>
              </w:rPr>
              <w:t xml:space="preserve"> dostępności; wym</w:t>
            </w:r>
            <w:r w:rsidR="000A6D78">
              <w:rPr>
                <w:rFonts w:ascii="Times New Roman" w:eastAsia="Times New Roman" w:hAnsi="Times New Roman" w:cs="Times New Roman"/>
                <w:sz w:val="22"/>
                <w:szCs w:val="22"/>
              </w:rPr>
              <w:t>agania</w:t>
            </w:r>
            <w:r w:rsidR="007274AA" w:rsidRPr="00A57C8F">
              <w:rPr>
                <w:rFonts w:ascii="Times New Roman" w:eastAsia="Times New Roman" w:hAnsi="Times New Roman" w:cs="Times New Roman"/>
                <w:sz w:val="22"/>
                <w:szCs w:val="22"/>
              </w:rPr>
              <w:t xml:space="preserve"> dostępności określone w projekcie ustawy mają zastosowanie wyłącznie w zakresie, w jakim zapewnienie z nimi zgodności</w:t>
            </w:r>
            <w:r w:rsidR="005823A5">
              <w:rPr>
                <w:rFonts w:ascii="Times New Roman" w:eastAsia="Times New Roman" w:hAnsi="Times New Roman" w:cs="Times New Roman"/>
                <w:sz w:val="22"/>
                <w:szCs w:val="22"/>
              </w:rPr>
              <w:t xml:space="preserve"> </w:t>
            </w:r>
            <w:r w:rsidR="007274AA" w:rsidRPr="00231F84">
              <w:rPr>
                <w:rFonts w:ascii="Times New Roman" w:eastAsia="Times New Roman" w:hAnsi="Times New Roman" w:cs="Times New Roman"/>
                <w:sz w:val="22"/>
                <w:szCs w:val="22"/>
              </w:rPr>
              <w:t xml:space="preserve">nie wymaga wprowadzenia zmiany produktu albo usługi powodującej </w:t>
            </w:r>
            <w:r w:rsidR="00596E06">
              <w:rPr>
                <w:rFonts w:ascii="Times New Roman" w:eastAsia="Times New Roman" w:hAnsi="Times New Roman" w:cs="Times New Roman"/>
                <w:sz w:val="22"/>
                <w:szCs w:val="22"/>
              </w:rPr>
              <w:t>zasadniczą</w:t>
            </w:r>
            <w:r w:rsidR="007274AA" w:rsidRPr="00231F84">
              <w:rPr>
                <w:rFonts w:ascii="Times New Roman" w:eastAsia="Times New Roman" w:hAnsi="Times New Roman" w:cs="Times New Roman"/>
                <w:sz w:val="22"/>
                <w:szCs w:val="22"/>
              </w:rPr>
              <w:t xml:space="preserve"> zmianę podstawowych właściwości takiego produktu albo takiej </w:t>
            </w:r>
            <w:r w:rsidR="007274AA" w:rsidRPr="00231F84">
              <w:rPr>
                <w:rFonts w:ascii="Times New Roman" w:eastAsia="Times New Roman" w:hAnsi="Times New Roman" w:cs="Times New Roman"/>
                <w:sz w:val="22"/>
                <w:szCs w:val="22"/>
              </w:rPr>
              <w:lastRenderedPageBreak/>
              <w:t>usługi (zasadnicz</w:t>
            </w:r>
            <w:r w:rsidR="005823A5">
              <w:rPr>
                <w:rFonts w:ascii="Times New Roman" w:eastAsia="Times New Roman" w:hAnsi="Times New Roman" w:cs="Times New Roman"/>
                <w:sz w:val="22"/>
                <w:szCs w:val="22"/>
              </w:rPr>
              <w:t>ej</w:t>
            </w:r>
            <w:r w:rsidR="007274AA" w:rsidRPr="00231F84">
              <w:rPr>
                <w:rFonts w:ascii="Times New Roman" w:eastAsia="Times New Roman" w:hAnsi="Times New Roman" w:cs="Times New Roman"/>
                <w:sz w:val="22"/>
                <w:szCs w:val="22"/>
              </w:rPr>
              <w:t xml:space="preserve"> zmian</w:t>
            </w:r>
            <w:r w:rsidR="005823A5">
              <w:rPr>
                <w:rFonts w:ascii="Times New Roman" w:eastAsia="Times New Roman" w:hAnsi="Times New Roman" w:cs="Times New Roman"/>
                <w:sz w:val="22"/>
                <w:szCs w:val="22"/>
              </w:rPr>
              <w:t>y</w:t>
            </w:r>
            <w:r w:rsidR="007274AA" w:rsidRPr="00231F84">
              <w:rPr>
                <w:rFonts w:ascii="Times New Roman" w:eastAsia="Times New Roman" w:hAnsi="Times New Roman" w:cs="Times New Roman"/>
                <w:sz w:val="22"/>
                <w:szCs w:val="22"/>
              </w:rPr>
              <w:t xml:space="preserve"> produktu albo usługi)</w:t>
            </w:r>
            <w:r w:rsidR="005823A5">
              <w:rPr>
                <w:rFonts w:ascii="Times New Roman" w:eastAsia="Times New Roman" w:hAnsi="Times New Roman" w:cs="Times New Roman"/>
                <w:sz w:val="22"/>
                <w:szCs w:val="22"/>
              </w:rPr>
              <w:t xml:space="preserve"> oraz </w:t>
            </w:r>
            <w:r w:rsidR="007274AA" w:rsidRPr="007274AA">
              <w:rPr>
                <w:rFonts w:ascii="Times New Roman" w:eastAsia="Times New Roman" w:hAnsi="Times New Roman" w:cs="Times New Roman"/>
                <w:sz w:val="22"/>
                <w:szCs w:val="22"/>
              </w:rPr>
              <w:t>nie stanowi dla podmiotu gospodarczego nieproporcjonalnego obciążenia.</w:t>
            </w:r>
          </w:p>
          <w:p w14:paraId="49018DC8" w14:textId="5A6CEC2D" w:rsidR="00D332D9" w:rsidRDefault="00D332D9" w:rsidP="00D332D9">
            <w:pPr>
              <w:spacing w:after="120"/>
              <w:jc w:val="both"/>
              <w:rPr>
                <w:rFonts w:ascii="Times New Roman" w:eastAsia="Times New Roman" w:hAnsi="Times New Roman" w:cs="Times New Roman"/>
                <w:sz w:val="22"/>
                <w:szCs w:val="22"/>
              </w:rPr>
            </w:pPr>
            <w:r w:rsidRPr="00D332D9">
              <w:rPr>
                <w:rFonts w:ascii="Times New Roman" w:eastAsia="Times New Roman" w:hAnsi="Times New Roman" w:cs="Times New Roman"/>
                <w:sz w:val="22"/>
                <w:szCs w:val="22"/>
              </w:rPr>
              <w:t xml:space="preserve">Rozdział trzeci projektu ustawy reguluje obowiązki podmiotów gospodarczych związane z </w:t>
            </w:r>
            <w:r w:rsidR="00435E73">
              <w:rPr>
                <w:rFonts w:ascii="Times New Roman" w:eastAsia="Times New Roman" w:hAnsi="Times New Roman" w:cs="Times New Roman"/>
                <w:sz w:val="22"/>
                <w:szCs w:val="22"/>
              </w:rPr>
              <w:t>wym</w:t>
            </w:r>
            <w:r w:rsidR="000A6D78">
              <w:rPr>
                <w:rFonts w:ascii="Times New Roman" w:eastAsia="Times New Roman" w:hAnsi="Times New Roman" w:cs="Times New Roman"/>
                <w:sz w:val="22"/>
                <w:szCs w:val="22"/>
              </w:rPr>
              <w:t>aganiami</w:t>
            </w:r>
            <w:r w:rsidR="00435E73">
              <w:rPr>
                <w:rFonts w:ascii="Times New Roman" w:eastAsia="Times New Roman" w:hAnsi="Times New Roman" w:cs="Times New Roman"/>
                <w:sz w:val="22"/>
                <w:szCs w:val="22"/>
              </w:rPr>
              <w:t xml:space="preserve"> dostępności.</w:t>
            </w:r>
            <w:r w:rsidR="00B76C47">
              <w:rPr>
                <w:rFonts w:ascii="Times New Roman" w:eastAsia="Times New Roman" w:hAnsi="Times New Roman" w:cs="Times New Roman"/>
                <w:sz w:val="22"/>
                <w:szCs w:val="22"/>
              </w:rPr>
              <w:t xml:space="preserve"> Opisano </w:t>
            </w:r>
            <w:r w:rsidR="009B2D05">
              <w:rPr>
                <w:rFonts w:ascii="Times New Roman" w:eastAsia="Times New Roman" w:hAnsi="Times New Roman" w:cs="Times New Roman"/>
                <w:sz w:val="22"/>
                <w:szCs w:val="22"/>
              </w:rPr>
              <w:t>wym</w:t>
            </w:r>
            <w:r w:rsidR="000A6D78">
              <w:rPr>
                <w:rFonts w:ascii="Times New Roman" w:eastAsia="Times New Roman" w:hAnsi="Times New Roman" w:cs="Times New Roman"/>
                <w:sz w:val="22"/>
                <w:szCs w:val="22"/>
              </w:rPr>
              <w:t>agania</w:t>
            </w:r>
            <w:r w:rsidR="009B2D05">
              <w:rPr>
                <w:rFonts w:ascii="Times New Roman" w:eastAsia="Times New Roman" w:hAnsi="Times New Roman" w:cs="Times New Roman"/>
                <w:sz w:val="22"/>
                <w:szCs w:val="22"/>
              </w:rPr>
              <w:t xml:space="preserve"> w odniesieniu</w:t>
            </w:r>
            <w:r w:rsidR="00B76C47">
              <w:rPr>
                <w:rFonts w:ascii="Times New Roman" w:eastAsia="Times New Roman" w:hAnsi="Times New Roman" w:cs="Times New Roman"/>
                <w:sz w:val="22"/>
                <w:szCs w:val="22"/>
              </w:rPr>
              <w:t xml:space="preserve"> do produktów i odrębnie – usług.</w:t>
            </w:r>
            <w:r w:rsidR="009B2D05">
              <w:rPr>
                <w:rFonts w:ascii="Times New Roman" w:eastAsia="Times New Roman" w:hAnsi="Times New Roman" w:cs="Times New Roman"/>
                <w:sz w:val="22"/>
                <w:szCs w:val="22"/>
              </w:rPr>
              <w:t xml:space="preserve"> W przypadku produktów projekt </w:t>
            </w:r>
            <w:r w:rsidR="001517E3">
              <w:rPr>
                <w:rFonts w:ascii="Times New Roman" w:eastAsia="Times New Roman" w:hAnsi="Times New Roman" w:cs="Times New Roman"/>
                <w:sz w:val="22"/>
                <w:szCs w:val="22"/>
              </w:rPr>
              <w:t>ustawy</w:t>
            </w:r>
            <w:r w:rsidR="009B2D05">
              <w:rPr>
                <w:rFonts w:ascii="Times New Roman" w:eastAsia="Times New Roman" w:hAnsi="Times New Roman" w:cs="Times New Roman"/>
                <w:sz w:val="22"/>
                <w:szCs w:val="22"/>
              </w:rPr>
              <w:t xml:space="preserve"> określa zasady związane m.in. z wewnętrzną kontrolą produkcji, w tym właściwego sporządzania dokumentacji technicznej, oznakowania CE</w:t>
            </w:r>
            <w:r w:rsidR="005823A5">
              <w:rPr>
                <w:rFonts w:ascii="Times New Roman" w:eastAsia="Times New Roman" w:hAnsi="Times New Roman" w:cs="Times New Roman"/>
                <w:sz w:val="22"/>
                <w:szCs w:val="22"/>
              </w:rPr>
              <w:t xml:space="preserve"> oraz</w:t>
            </w:r>
            <w:r w:rsidR="009B2D05">
              <w:rPr>
                <w:rFonts w:ascii="Times New Roman" w:eastAsia="Times New Roman" w:hAnsi="Times New Roman" w:cs="Times New Roman"/>
                <w:sz w:val="22"/>
                <w:szCs w:val="22"/>
              </w:rPr>
              <w:t xml:space="preserve"> deklaracji zgodności produktów. Odrębne przepisy stanowią o specyficznych obowiązkach poszczególnych uczestników łańcucha dostaw </w:t>
            </w:r>
            <w:r w:rsidR="00E9714F">
              <w:rPr>
                <w:rFonts w:ascii="Times New Roman" w:eastAsia="Times New Roman" w:hAnsi="Times New Roman" w:cs="Times New Roman"/>
                <w:sz w:val="22"/>
                <w:szCs w:val="22"/>
              </w:rPr>
              <w:t xml:space="preserve">i dystrybucji </w:t>
            </w:r>
            <w:r w:rsidR="009B2D05">
              <w:rPr>
                <w:rFonts w:ascii="Times New Roman" w:eastAsia="Times New Roman" w:hAnsi="Times New Roman" w:cs="Times New Roman"/>
                <w:sz w:val="22"/>
                <w:szCs w:val="22"/>
              </w:rPr>
              <w:t>(producentów, upoważnionych przedstawicieli, importerów, dystrybutorów).</w:t>
            </w:r>
          </w:p>
          <w:p w14:paraId="5BA9080C" w14:textId="0AF959E8" w:rsidR="001517E3" w:rsidRDefault="0016244D" w:rsidP="00D332D9">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Rozdział czwarty</w:t>
            </w:r>
            <w:r w:rsidR="004E5BE2">
              <w:rPr>
                <w:rFonts w:ascii="Times New Roman" w:eastAsia="Times New Roman" w:hAnsi="Times New Roman" w:cs="Times New Roman"/>
                <w:sz w:val="22"/>
                <w:szCs w:val="22"/>
              </w:rPr>
              <w:t xml:space="preserve"> zawiera przepisy o dochodzeniu</w:t>
            </w:r>
            <w:r w:rsidR="004E5BE2" w:rsidRPr="009612CC">
              <w:rPr>
                <w:rFonts w:ascii="Times New Roman" w:eastAsia="Times New Roman" w:hAnsi="Times New Roman" w:cs="Times New Roman"/>
                <w:sz w:val="22"/>
                <w:szCs w:val="22"/>
              </w:rPr>
              <w:t xml:space="preserve"> praw przez konsumentów</w:t>
            </w:r>
            <w:r w:rsidR="009D2135">
              <w:rPr>
                <w:rFonts w:ascii="Times New Roman" w:eastAsia="Times New Roman" w:hAnsi="Times New Roman" w:cs="Times New Roman"/>
                <w:sz w:val="22"/>
                <w:szCs w:val="22"/>
              </w:rPr>
              <w:t>.</w:t>
            </w:r>
            <w:r w:rsidR="00F717F3">
              <w:rPr>
                <w:rFonts w:ascii="Times New Roman" w:eastAsia="Times New Roman" w:hAnsi="Times New Roman" w:cs="Times New Roman"/>
                <w:sz w:val="22"/>
                <w:szCs w:val="22"/>
              </w:rPr>
              <w:t xml:space="preserve"> Zgodnie</w:t>
            </w:r>
            <w:r w:rsidR="00654DDD">
              <w:rPr>
                <w:rFonts w:ascii="Times New Roman" w:eastAsia="Times New Roman" w:hAnsi="Times New Roman" w:cs="Times New Roman"/>
                <w:sz w:val="22"/>
                <w:szCs w:val="22"/>
              </w:rPr>
              <w:t xml:space="preserve"> </w:t>
            </w:r>
            <w:r w:rsidR="00F717F3">
              <w:rPr>
                <w:rFonts w:ascii="Times New Roman" w:eastAsia="Times New Roman" w:hAnsi="Times New Roman" w:cs="Times New Roman"/>
                <w:sz w:val="22"/>
                <w:szCs w:val="22"/>
              </w:rPr>
              <w:t xml:space="preserve">z projektem ustawy </w:t>
            </w:r>
            <w:r w:rsidR="00B374FE">
              <w:rPr>
                <w:rFonts w:ascii="Times New Roman" w:eastAsia="Times New Roman" w:hAnsi="Times New Roman" w:cs="Times New Roman"/>
                <w:sz w:val="22"/>
                <w:szCs w:val="22"/>
              </w:rPr>
              <w:t>konsument ma prawo do złożenia do pomiotu gospodarczego skargi na niezapewnienie spełniania wymagań dostępności przez produkt albo usługę</w:t>
            </w:r>
            <w:r w:rsidR="00F717F3">
              <w:rPr>
                <w:rFonts w:ascii="Times New Roman" w:eastAsia="Times New Roman" w:hAnsi="Times New Roman" w:cs="Times New Roman"/>
                <w:sz w:val="22"/>
                <w:szCs w:val="22"/>
              </w:rPr>
              <w:t xml:space="preserve">. Niezależnie od postępowania </w:t>
            </w:r>
            <w:r w:rsidR="0095482E">
              <w:rPr>
                <w:rFonts w:ascii="Times New Roman" w:eastAsia="Times New Roman" w:hAnsi="Times New Roman" w:cs="Times New Roman"/>
                <w:sz w:val="22"/>
                <w:szCs w:val="22"/>
              </w:rPr>
              <w:t>skargowego</w:t>
            </w:r>
            <w:r w:rsidR="00F717F3">
              <w:rPr>
                <w:rFonts w:ascii="Times New Roman" w:eastAsia="Times New Roman" w:hAnsi="Times New Roman" w:cs="Times New Roman"/>
                <w:sz w:val="22"/>
                <w:szCs w:val="22"/>
              </w:rPr>
              <w:t xml:space="preserve">, </w:t>
            </w:r>
            <w:r w:rsidR="009D2135">
              <w:rPr>
                <w:rFonts w:ascii="Times New Roman" w:eastAsia="Times New Roman" w:hAnsi="Times New Roman" w:cs="Times New Roman"/>
                <w:sz w:val="22"/>
                <w:szCs w:val="22"/>
              </w:rPr>
              <w:t xml:space="preserve">które jest przeznaczone tylko dla konsumentów, </w:t>
            </w:r>
            <w:r w:rsidR="00F717F3">
              <w:rPr>
                <w:rFonts w:ascii="Times New Roman" w:eastAsia="Times New Roman" w:hAnsi="Times New Roman" w:cs="Times New Roman"/>
                <w:sz w:val="22"/>
                <w:szCs w:val="22"/>
              </w:rPr>
              <w:t>k</w:t>
            </w:r>
            <w:r w:rsidR="00F717F3" w:rsidRPr="00C07C20">
              <w:rPr>
                <w:rFonts w:ascii="Times New Roman" w:eastAsia="Times New Roman" w:hAnsi="Times New Roman" w:cs="Times New Roman"/>
                <w:sz w:val="22"/>
                <w:szCs w:val="22"/>
              </w:rPr>
              <w:t xml:space="preserve">ażdy </w:t>
            </w:r>
            <w:r w:rsidR="00F717F3">
              <w:rPr>
                <w:rFonts w:ascii="Times New Roman" w:eastAsia="Times New Roman" w:hAnsi="Times New Roman" w:cs="Times New Roman"/>
                <w:sz w:val="22"/>
                <w:szCs w:val="22"/>
              </w:rPr>
              <w:t xml:space="preserve">będzie mógł zgłosić </w:t>
            </w:r>
            <w:r w:rsidR="00085EE7">
              <w:rPr>
                <w:rFonts w:ascii="Times New Roman" w:eastAsia="Times New Roman" w:hAnsi="Times New Roman" w:cs="Times New Roman"/>
                <w:sz w:val="22"/>
                <w:szCs w:val="22"/>
              </w:rPr>
              <w:t xml:space="preserve">Prezesowi Zarządu PFRON </w:t>
            </w:r>
            <w:r w:rsidR="00F717F3">
              <w:rPr>
                <w:rFonts w:ascii="Times New Roman" w:eastAsia="Times New Roman" w:hAnsi="Times New Roman" w:cs="Times New Roman"/>
                <w:sz w:val="22"/>
                <w:szCs w:val="22"/>
              </w:rPr>
              <w:t>z</w:t>
            </w:r>
            <w:r w:rsidR="00F717F3" w:rsidRPr="00C07C20">
              <w:rPr>
                <w:rFonts w:ascii="Times New Roman" w:eastAsia="Times New Roman" w:hAnsi="Times New Roman" w:cs="Times New Roman"/>
                <w:sz w:val="22"/>
                <w:szCs w:val="22"/>
              </w:rPr>
              <w:t>awiadomienie o niespełnianiu przez produkt albo usługę wym</w:t>
            </w:r>
            <w:r w:rsidR="00C9051A">
              <w:rPr>
                <w:rFonts w:ascii="Times New Roman" w:eastAsia="Times New Roman" w:hAnsi="Times New Roman" w:cs="Times New Roman"/>
                <w:sz w:val="22"/>
                <w:szCs w:val="22"/>
              </w:rPr>
              <w:t>agań</w:t>
            </w:r>
            <w:r w:rsidR="00F717F3" w:rsidRPr="00C07C20">
              <w:rPr>
                <w:rFonts w:ascii="Times New Roman" w:eastAsia="Times New Roman" w:hAnsi="Times New Roman" w:cs="Times New Roman"/>
                <w:sz w:val="22"/>
                <w:szCs w:val="22"/>
              </w:rPr>
              <w:t xml:space="preserve"> dostępności</w:t>
            </w:r>
            <w:r w:rsidR="00F717F3">
              <w:rPr>
                <w:rFonts w:ascii="Times New Roman" w:eastAsia="Times New Roman" w:hAnsi="Times New Roman" w:cs="Times New Roman"/>
                <w:sz w:val="22"/>
                <w:szCs w:val="22"/>
              </w:rPr>
              <w:t xml:space="preserve">. </w:t>
            </w:r>
          </w:p>
          <w:p w14:paraId="7EA69EC1" w14:textId="57B1850A" w:rsidR="001E0B0C" w:rsidRDefault="001517E3" w:rsidP="00D332D9">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Rozdział piąty </w:t>
            </w:r>
            <w:r w:rsidR="00131370">
              <w:rPr>
                <w:rFonts w:ascii="Times New Roman" w:eastAsia="Times New Roman" w:hAnsi="Times New Roman" w:cs="Times New Roman"/>
                <w:sz w:val="22"/>
                <w:szCs w:val="22"/>
              </w:rPr>
              <w:t xml:space="preserve">określa </w:t>
            </w:r>
            <w:r w:rsidR="001E0B0C">
              <w:rPr>
                <w:rFonts w:ascii="Times New Roman" w:eastAsia="Times New Roman" w:hAnsi="Times New Roman" w:cs="Times New Roman"/>
                <w:sz w:val="22"/>
                <w:szCs w:val="22"/>
              </w:rPr>
              <w:t xml:space="preserve">system nadzoru </w:t>
            </w:r>
            <w:r w:rsidR="001E0B0C" w:rsidRPr="001E0B0C">
              <w:rPr>
                <w:rFonts w:ascii="Times New Roman" w:eastAsia="Times New Roman" w:hAnsi="Times New Roman" w:cs="Times New Roman"/>
                <w:sz w:val="22"/>
                <w:szCs w:val="22"/>
              </w:rPr>
              <w:t>rynku w zakresie spełniania wym</w:t>
            </w:r>
            <w:r w:rsidR="00131370">
              <w:rPr>
                <w:rFonts w:ascii="Times New Roman" w:eastAsia="Times New Roman" w:hAnsi="Times New Roman" w:cs="Times New Roman"/>
                <w:sz w:val="22"/>
                <w:szCs w:val="22"/>
              </w:rPr>
              <w:t>agań</w:t>
            </w:r>
            <w:r w:rsidR="00EA00B0">
              <w:rPr>
                <w:rFonts w:ascii="Times New Roman" w:eastAsia="Times New Roman" w:hAnsi="Times New Roman" w:cs="Times New Roman"/>
                <w:sz w:val="22"/>
                <w:szCs w:val="22"/>
              </w:rPr>
              <w:t xml:space="preserve"> dostępności produktów i usług.</w:t>
            </w:r>
            <w:r w:rsidR="00157309">
              <w:rPr>
                <w:rFonts w:ascii="Times New Roman" w:eastAsia="Times New Roman" w:hAnsi="Times New Roman" w:cs="Times New Roman"/>
                <w:sz w:val="22"/>
                <w:szCs w:val="22"/>
              </w:rPr>
              <w:t xml:space="preserve"> W przepisach tego rozdziału </w:t>
            </w:r>
            <w:r w:rsidR="005823A5">
              <w:rPr>
                <w:rFonts w:ascii="Times New Roman" w:eastAsia="Times New Roman" w:hAnsi="Times New Roman" w:cs="Times New Roman"/>
                <w:sz w:val="22"/>
                <w:szCs w:val="22"/>
              </w:rPr>
              <w:t xml:space="preserve">są </w:t>
            </w:r>
            <w:r w:rsidR="00157309">
              <w:rPr>
                <w:rFonts w:ascii="Times New Roman" w:eastAsia="Times New Roman" w:hAnsi="Times New Roman" w:cs="Times New Roman"/>
                <w:sz w:val="22"/>
                <w:szCs w:val="22"/>
              </w:rPr>
              <w:t>wskazane</w:t>
            </w:r>
            <w:r w:rsidR="00663E8C">
              <w:rPr>
                <w:rFonts w:ascii="Times New Roman" w:eastAsia="Times New Roman" w:hAnsi="Times New Roman" w:cs="Times New Roman"/>
                <w:sz w:val="22"/>
                <w:szCs w:val="22"/>
              </w:rPr>
              <w:t xml:space="preserve"> poszczególne </w:t>
            </w:r>
            <w:r w:rsidR="00B646E7">
              <w:rPr>
                <w:rFonts w:ascii="Times New Roman" w:eastAsia="Times New Roman" w:hAnsi="Times New Roman" w:cs="Times New Roman"/>
                <w:sz w:val="22"/>
                <w:szCs w:val="22"/>
              </w:rPr>
              <w:t xml:space="preserve">organy </w:t>
            </w:r>
            <w:r w:rsidR="00157309">
              <w:rPr>
                <w:rFonts w:ascii="Times New Roman" w:eastAsia="Times New Roman" w:hAnsi="Times New Roman" w:cs="Times New Roman"/>
                <w:sz w:val="22"/>
                <w:szCs w:val="22"/>
              </w:rPr>
              <w:t>nadzor</w:t>
            </w:r>
            <w:r w:rsidR="00B10A6D">
              <w:rPr>
                <w:rFonts w:ascii="Times New Roman" w:eastAsia="Times New Roman" w:hAnsi="Times New Roman" w:cs="Times New Roman"/>
                <w:sz w:val="22"/>
                <w:szCs w:val="22"/>
              </w:rPr>
              <w:t xml:space="preserve">u rynku z przypisanymi tym </w:t>
            </w:r>
            <w:r w:rsidR="00B646E7">
              <w:rPr>
                <w:rFonts w:ascii="Times New Roman" w:eastAsia="Times New Roman" w:hAnsi="Times New Roman" w:cs="Times New Roman"/>
                <w:sz w:val="22"/>
                <w:szCs w:val="22"/>
              </w:rPr>
              <w:t>organom</w:t>
            </w:r>
            <w:r w:rsidR="00696BDD">
              <w:rPr>
                <w:rFonts w:ascii="Times New Roman" w:eastAsia="Times New Roman" w:hAnsi="Times New Roman" w:cs="Times New Roman"/>
                <w:sz w:val="22"/>
                <w:szCs w:val="22"/>
              </w:rPr>
              <w:t xml:space="preserve"> </w:t>
            </w:r>
            <w:r w:rsidR="00B10A6D">
              <w:rPr>
                <w:rFonts w:ascii="Times New Roman" w:eastAsia="Times New Roman" w:hAnsi="Times New Roman" w:cs="Times New Roman"/>
                <w:sz w:val="22"/>
                <w:szCs w:val="22"/>
              </w:rPr>
              <w:t>rolami w systemie</w:t>
            </w:r>
            <w:r w:rsidR="00B646E7">
              <w:rPr>
                <w:rFonts w:ascii="Times New Roman" w:eastAsia="Times New Roman" w:hAnsi="Times New Roman" w:cs="Times New Roman"/>
                <w:sz w:val="22"/>
                <w:szCs w:val="22"/>
              </w:rPr>
              <w:t xml:space="preserve"> nadzoru rynku</w:t>
            </w:r>
            <w:r w:rsidR="00B10A6D">
              <w:rPr>
                <w:rFonts w:ascii="Times New Roman" w:eastAsia="Times New Roman" w:hAnsi="Times New Roman" w:cs="Times New Roman"/>
                <w:sz w:val="22"/>
                <w:szCs w:val="22"/>
              </w:rPr>
              <w:t>.</w:t>
            </w:r>
          </w:p>
          <w:p w14:paraId="59254F9E" w14:textId="77777777" w:rsidR="00300D62" w:rsidRPr="00300D62" w:rsidRDefault="00300D62" w:rsidP="005823A5">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 xml:space="preserve">Zaproponowany w projekcie ustawy system nadzoru jest rozproszony, podzielony między różne organy zgodnie </w:t>
            </w:r>
            <w:r w:rsidR="005C0290">
              <w:rPr>
                <w:rFonts w:ascii="Times New Roman" w:eastAsia="Times New Roman" w:hAnsi="Times New Roman" w:cs="Times New Roman"/>
                <w:sz w:val="22"/>
                <w:szCs w:val="22"/>
              </w:rPr>
              <w:br/>
            </w:r>
            <w:r w:rsidRPr="00300D62">
              <w:rPr>
                <w:rFonts w:ascii="Times New Roman" w:eastAsia="Times New Roman" w:hAnsi="Times New Roman" w:cs="Times New Roman"/>
                <w:sz w:val="22"/>
                <w:szCs w:val="22"/>
              </w:rPr>
              <w:t xml:space="preserve">z prowadzonymi już działaniami nadzorczymi w ramach poszczególnych sektorów. </w:t>
            </w:r>
            <w:r w:rsidR="00AA06EF">
              <w:rPr>
                <w:rFonts w:ascii="Times New Roman" w:eastAsia="Times New Roman" w:hAnsi="Times New Roman" w:cs="Times New Roman"/>
                <w:sz w:val="22"/>
                <w:szCs w:val="22"/>
              </w:rPr>
              <w:t>Zgodnie z założeniem</w:t>
            </w:r>
            <w:r w:rsidR="00A3794D" w:rsidRPr="00A3794D">
              <w:rPr>
                <w:rFonts w:ascii="Times New Roman" w:eastAsia="Times New Roman" w:hAnsi="Times New Roman" w:cs="Times New Roman"/>
                <w:sz w:val="22"/>
                <w:szCs w:val="22"/>
              </w:rPr>
              <w:t xml:space="preserve"> taki</w:t>
            </w:r>
            <w:r w:rsidRPr="00300D62">
              <w:rPr>
                <w:rFonts w:ascii="Times New Roman" w:eastAsia="Times New Roman" w:hAnsi="Times New Roman" w:cs="Times New Roman"/>
                <w:sz w:val="22"/>
                <w:szCs w:val="22"/>
              </w:rPr>
              <w:t xml:space="preserve"> system pozwoli na wykorzystanie dotychczasowego potencjału, zasobów</w:t>
            </w:r>
            <w:r w:rsidR="00AA06EF">
              <w:rPr>
                <w:rFonts w:ascii="Times New Roman" w:eastAsia="Times New Roman" w:hAnsi="Times New Roman" w:cs="Times New Roman"/>
                <w:sz w:val="22"/>
                <w:szCs w:val="22"/>
              </w:rPr>
              <w:t xml:space="preserve"> i</w:t>
            </w:r>
            <w:r w:rsidRPr="00300D62">
              <w:rPr>
                <w:rFonts w:ascii="Times New Roman" w:eastAsia="Times New Roman" w:hAnsi="Times New Roman" w:cs="Times New Roman"/>
                <w:sz w:val="22"/>
                <w:szCs w:val="22"/>
              </w:rPr>
              <w:t xml:space="preserve"> narzędzi nadzorczych </w:t>
            </w:r>
            <w:r w:rsidR="00AA06EF">
              <w:rPr>
                <w:rFonts w:ascii="Times New Roman" w:eastAsia="Times New Roman" w:hAnsi="Times New Roman" w:cs="Times New Roman"/>
                <w:sz w:val="22"/>
                <w:szCs w:val="22"/>
              </w:rPr>
              <w:t>oraz</w:t>
            </w:r>
            <w:r w:rsidRPr="00300D62">
              <w:rPr>
                <w:rFonts w:ascii="Times New Roman" w:eastAsia="Times New Roman" w:hAnsi="Times New Roman" w:cs="Times New Roman"/>
                <w:sz w:val="22"/>
                <w:szCs w:val="22"/>
              </w:rPr>
              <w:t xml:space="preserve"> dodanie kompetencji </w:t>
            </w:r>
            <w:r w:rsidR="005C0290">
              <w:rPr>
                <w:rFonts w:ascii="Times New Roman" w:eastAsia="Times New Roman" w:hAnsi="Times New Roman" w:cs="Times New Roman"/>
                <w:sz w:val="22"/>
                <w:szCs w:val="22"/>
              </w:rPr>
              <w:br/>
            </w:r>
            <w:r w:rsidRPr="00300D62">
              <w:rPr>
                <w:rFonts w:ascii="Times New Roman" w:eastAsia="Times New Roman" w:hAnsi="Times New Roman" w:cs="Times New Roman"/>
                <w:sz w:val="22"/>
                <w:szCs w:val="22"/>
              </w:rPr>
              <w:t>i zadań związanych ze stosowaniem nowych przepisów.</w:t>
            </w:r>
          </w:p>
          <w:p w14:paraId="076C43D5" w14:textId="77777777" w:rsidR="00300D62" w:rsidRDefault="00300D62" w:rsidP="005823A5">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 xml:space="preserve">Zgodnie z projektem ustawy system nadzoru rynku w zakresie </w:t>
            </w:r>
            <w:r w:rsidR="00A03259">
              <w:rPr>
                <w:rFonts w:ascii="Times New Roman" w:eastAsia="Times New Roman" w:hAnsi="Times New Roman" w:cs="Times New Roman"/>
                <w:sz w:val="22"/>
                <w:szCs w:val="22"/>
              </w:rPr>
              <w:t xml:space="preserve">spełniania wymagań </w:t>
            </w:r>
            <w:r w:rsidRPr="00300D62">
              <w:rPr>
                <w:rFonts w:ascii="Times New Roman" w:eastAsia="Times New Roman" w:hAnsi="Times New Roman" w:cs="Times New Roman"/>
                <w:sz w:val="22"/>
                <w:szCs w:val="22"/>
              </w:rPr>
              <w:t>dostępności produktów i usług tworzą:</w:t>
            </w:r>
          </w:p>
          <w:p w14:paraId="5F72F747" w14:textId="5049B4D0" w:rsidR="00867CF4" w:rsidRPr="00300D62" w:rsidRDefault="00867CF4" w:rsidP="00AF1986">
            <w:pPr>
              <w:numPr>
                <w:ilvl w:val="0"/>
                <w:numId w:val="26"/>
              </w:numPr>
              <w:ind w:left="346" w:hanging="284"/>
              <w:jc w:val="both"/>
              <w:rPr>
                <w:rFonts w:ascii="Times New Roman" w:eastAsia="Times New Roman" w:hAnsi="Times New Roman" w:cs="Times New Roman"/>
                <w:sz w:val="22"/>
                <w:szCs w:val="22"/>
              </w:rPr>
            </w:pPr>
            <w:r w:rsidRPr="00867CF4">
              <w:rPr>
                <w:rFonts w:ascii="Times New Roman" w:eastAsia="Times New Roman" w:hAnsi="Times New Roman" w:cs="Times New Roman"/>
                <w:sz w:val="22"/>
                <w:szCs w:val="22"/>
              </w:rPr>
              <w:t>Prezes Zarządu PFRON</w:t>
            </w:r>
            <w:r w:rsidR="005823A5">
              <w:rPr>
                <w:rFonts w:ascii="Times New Roman" w:eastAsia="Times New Roman" w:hAnsi="Times New Roman" w:cs="Times New Roman"/>
                <w:sz w:val="22"/>
                <w:szCs w:val="22"/>
              </w:rPr>
              <w:t>;</w:t>
            </w:r>
          </w:p>
          <w:p w14:paraId="588541C6" w14:textId="36AA63C8" w:rsidR="00E71C81" w:rsidRPr="001F0D83" w:rsidRDefault="005823A5" w:rsidP="00AF1986">
            <w:pPr>
              <w:pStyle w:val="Akapitzlist"/>
              <w:numPr>
                <w:ilvl w:val="0"/>
                <w:numId w:val="26"/>
              </w:numPr>
              <w:ind w:left="346" w:hanging="284"/>
              <w:jc w:val="both"/>
              <w:rPr>
                <w:rFonts w:ascii="Times New Roman" w:hAnsi="Times New Roman"/>
                <w:sz w:val="22"/>
              </w:rPr>
            </w:pPr>
            <w:r>
              <w:rPr>
                <w:rFonts w:ascii="Times New Roman" w:eastAsia="Times New Roman" w:hAnsi="Times New Roman" w:cs="Times New Roman"/>
                <w:sz w:val="22"/>
                <w:szCs w:val="22"/>
              </w:rPr>
              <w:t>n</w:t>
            </w:r>
            <w:r w:rsidR="00E71C81" w:rsidRPr="006865B1">
              <w:rPr>
                <w:rFonts w:ascii="Times New Roman" w:eastAsia="Times New Roman" w:hAnsi="Times New Roman" w:cs="Times New Roman"/>
                <w:sz w:val="22"/>
                <w:szCs w:val="22"/>
              </w:rPr>
              <w:t>a</w:t>
            </w:r>
            <w:r w:rsidR="00E71C81" w:rsidRPr="00405760">
              <w:rPr>
                <w:rFonts w:ascii="Times New Roman" w:eastAsia="Times New Roman" w:hAnsi="Times New Roman" w:cs="Times New Roman"/>
                <w:sz w:val="22"/>
                <w:szCs w:val="22"/>
              </w:rPr>
              <w:t>stępujące organy nadzoru rynku:</w:t>
            </w:r>
          </w:p>
          <w:p w14:paraId="0B3920C0" w14:textId="77777777" w:rsidR="00667959" w:rsidRPr="00852CE8" w:rsidRDefault="00667959" w:rsidP="00AF1986">
            <w:pPr>
              <w:pStyle w:val="Akapitzlist"/>
              <w:numPr>
                <w:ilvl w:val="0"/>
                <w:numId w:val="16"/>
              </w:numPr>
              <w:spacing w:after="120"/>
              <w:rPr>
                <w:rFonts w:ascii="Times New Roman" w:hAnsi="Times New Roman"/>
                <w:sz w:val="22"/>
              </w:rPr>
            </w:pPr>
            <w:r w:rsidRPr="00554097">
              <w:rPr>
                <w:rFonts w:ascii="Times New Roman" w:hAnsi="Times New Roman"/>
                <w:sz w:val="22"/>
              </w:rPr>
              <w:t>Prezes Urzędu Komunikacji Elektronicznej,</w:t>
            </w:r>
          </w:p>
          <w:p w14:paraId="29AA14BB" w14:textId="77777777" w:rsidR="005C4766" w:rsidRPr="00D04348" w:rsidRDefault="005F1343" w:rsidP="00AF1986">
            <w:pPr>
              <w:pStyle w:val="Akapitzlist"/>
              <w:numPr>
                <w:ilvl w:val="0"/>
                <w:numId w:val="16"/>
              </w:numPr>
              <w:spacing w:after="120"/>
              <w:rPr>
                <w:rFonts w:ascii="Times New Roman" w:hAnsi="Times New Roman"/>
                <w:sz w:val="22"/>
              </w:rPr>
            </w:pPr>
            <w:r w:rsidRPr="00554097">
              <w:rPr>
                <w:rFonts w:ascii="Times New Roman" w:hAnsi="Times New Roman"/>
                <w:sz w:val="22"/>
              </w:rPr>
              <w:t>wojewódzcy inspektorzy transportu drogowego</w:t>
            </w:r>
            <w:r>
              <w:rPr>
                <w:rFonts w:ascii="Times New Roman" w:hAnsi="Times New Roman"/>
                <w:sz w:val="22"/>
              </w:rPr>
              <w:t>,</w:t>
            </w:r>
          </w:p>
          <w:p w14:paraId="7CEA1F80" w14:textId="77777777" w:rsidR="00052164" w:rsidRPr="00D04348" w:rsidRDefault="00300D62" w:rsidP="00AF1986">
            <w:pPr>
              <w:pStyle w:val="Akapitzlist"/>
              <w:numPr>
                <w:ilvl w:val="0"/>
                <w:numId w:val="16"/>
              </w:numPr>
              <w:spacing w:after="120"/>
              <w:rPr>
                <w:rFonts w:ascii="Times New Roman" w:hAnsi="Times New Roman"/>
                <w:sz w:val="22"/>
              </w:rPr>
            </w:pPr>
            <w:r w:rsidRPr="00554097">
              <w:rPr>
                <w:rFonts w:ascii="Times New Roman" w:hAnsi="Times New Roman"/>
                <w:sz w:val="22"/>
              </w:rPr>
              <w:t>Prezes Urzędu Transportu Kolejowego,</w:t>
            </w:r>
          </w:p>
          <w:p w14:paraId="3CC75BF9" w14:textId="77777777" w:rsidR="00052164" w:rsidRPr="00D04348" w:rsidRDefault="00300D62" w:rsidP="00AF1986">
            <w:pPr>
              <w:pStyle w:val="Akapitzlist"/>
              <w:numPr>
                <w:ilvl w:val="0"/>
                <w:numId w:val="16"/>
              </w:numPr>
              <w:spacing w:after="120"/>
              <w:rPr>
                <w:rFonts w:ascii="Times New Roman" w:hAnsi="Times New Roman"/>
                <w:sz w:val="22"/>
              </w:rPr>
            </w:pPr>
            <w:r w:rsidRPr="00554097">
              <w:rPr>
                <w:rFonts w:ascii="Times New Roman" w:hAnsi="Times New Roman"/>
                <w:sz w:val="22"/>
              </w:rPr>
              <w:t>Prezes Urzędu Lotnictwa Cywilnego,</w:t>
            </w:r>
          </w:p>
          <w:p w14:paraId="47203DA4" w14:textId="77777777" w:rsidR="00052164" w:rsidRPr="00D04348" w:rsidRDefault="00300D62" w:rsidP="00AF1986">
            <w:pPr>
              <w:pStyle w:val="Akapitzlist"/>
              <w:numPr>
                <w:ilvl w:val="0"/>
                <w:numId w:val="16"/>
              </w:numPr>
              <w:spacing w:after="120"/>
              <w:rPr>
                <w:rFonts w:ascii="Times New Roman" w:hAnsi="Times New Roman"/>
                <w:sz w:val="22"/>
              </w:rPr>
            </w:pPr>
            <w:r w:rsidRPr="00554097">
              <w:rPr>
                <w:rFonts w:ascii="Times New Roman" w:hAnsi="Times New Roman"/>
                <w:sz w:val="22"/>
              </w:rPr>
              <w:t>dyrektorzy urzędów morskich</w:t>
            </w:r>
            <w:r w:rsidR="00C27E7A">
              <w:rPr>
                <w:rFonts w:ascii="Times New Roman" w:hAnsi="Times New Roman"/>
                <w:sz w:val="22"/>
              </w:rPr>
              <w:t xml:space="preserve"> </w:t>
            </w:r>
            <w:r w:rsidR="00432C93" w:rsidRPr="005823A5">
              <w:rPr>
                <w:rFonts w:ascii="Times New Roman" w:hAnsi="Times New Roman"/>
                <w:sz w:val="22"/>
              </w:rPr>
              <w:t>i</w:t>
            </w:r>
            <w:r w:rsidR="006B5D49" w:rsidRPr="005823A5">
              <w:rPr>
                <w:rFonts w:ascii="Times New Roman" w:hAnsi="Times New Roman"/>
                <w:sz w:val="22"/>
              </w:rPr>
              <w:t xml:space="preserve"> wskazani przez ministra właściwego do spraw żeglugi śródlądowej kierownicy jednostek organizacyjnych podległych temu ministrowi lub przez niego nadzorowanych</w:t>
            </w:r>
            <w:r w:rsidR="00C27E7A" w:rsidRPr="00C27E7A">
              <w:rPr>
                <w:rFonts w:ascii="Times New Roman" w:hAnsi="Times New Roman"/>
                <w:sz w:val="22"/>
              </w:rPr>
              <w:t>,</w:t>
            </w:r>
          </w:p>
          <w:p w14:paraId="3AE9A2C8" w14:textId="77777777" w:rsidR="005C4766" w:rsidRPr="00D04348" w:rsidRDefault="005C4766" w:rsidP="00AF1986">
            <w:pPr>
              <w:pStyle w:val="Akapitzlist"/>
              <w:numPr>
                <w:ilvl w:val="0"/>
                <w:numId w:val="16"/>
              </w:numPr>
              <w:ind w:left="714" w:hanging="357"/>
              <w:rPr>
                <w:rFonts w:ascii="Times New Roman" w:hAnsi="Times New Roman"/>
                <w:sz w:val="22"/>
              </w:rPr>
            </w:pPr>
            <w:r w:rsidRPr="00554097">
              <w:rPr>
                <w:rFonts w:ascii="Times New Roman" w:hAnsi="Times New Roman"/>
                <w:sz w:val="22"/>
              </w:rPr>
              <w:t>Rzecznik Finansowy,</w:t>
            </w:r>
          </w:p>
          <w:p w14:paraId="3016A335" w14:textId="41C2CFCA" w:rsidR="00E71C81" w:rsidRDefault="00E71C81" w:rsidP="00AF1986">
            <w:pPr>
              <w:pStyle w:val="Akapitzlist"/>
              <w:numPr>
                <w:ilvl w:val="0"/>
                <w:numId w:val="16"/>
              </w:numPr>
              <w:ind w:left="714" w:hanging="357"/>
              <w:rPr>
                <w:rFonts w:ascii="Times New Roman" w:hAnsi="Times New Roman"/>
                <w:sz w:val="22"/>
              </w:rPr>
            </w:pPr>
            <w:r w:rsidRPr="00E71C81">
              <w:rPr>
                <w:rFonts w:ascii="Times New Roman" w:hAnsi="Times New Roman"/>
                <w:sz w:val="22"/>
              </w:rPr>
              <w:t>minister właściwy do spraw informatyzacji</w:t>
            </w:r>
            <w:r w:rsidR="005823A5">
              <w:rPr>
                <w:rFonts w:ascii="Times New Roman" w:hAnsi="Times New Roman"/>
                <w:sz w:val="22"/>
              </w:rPr>
              <w:t>;</w:t>
            </w:r>
          </w:p>
          <w:p w14:paraId="6F7FE5D8" w14:textId="69AA53F1" w:rsidR="00E9714F" w:rsidRPr="00E9714F" w:rsidRDefault="005823A5" w:rsidP="00AF1986">
            <w:pPr>
              <w:pStyle w:val="Akapitzlist"/>
              <w:numPr>
                <w:ilvl w:val="0"/>
                <w:numId w:val="26"/>
              </w:numPr>
              <w:spacing w:after="120"/>
              <w:ind w:left="347"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00E9714F" w:rsidRPr="00E9714F">
              <w:rPr>
                <w:rFonts w:ascii="Times New Roman" w:eastAsia="Times New Roman" w:hAnsi="Times New Roman" w:cs="Times New Roman"/>
                <w:sz w:val="22"/>
                <w:szCs w:val="22"/>
              </w:rPr>
              <w:t>rgany celne będące organami odpowiedzialnymi za kontrolę produktów objętych procedurą celną dopuszczenia do obrotu</w:t>
            </w:r>
            <w:r w:rsidR="00224A67">
              <w:rPr>
                <w:rFonts w:ascii="Times New Roman" w:eastAsia="Times New Roman" w:hAnsi="Times New Roman" w:cs="Times New Roman"/>
                <w:sz w:val="22"/>
                <w:szCs w:val="22"/>
              </w:rPr>
              <w:t>.</w:t>
            </w:r>
          </w:p>
          <w:p w14:paraId="18A17526" w14:textId="0986D3A6" w:rsidR="00B10A6D" w:rsidRPr="00654DDD" w:rsidRDefault="00B10A6D" w:rsidP="005823A5">
            <w:pPr>
              <w:pStyle w:val="Bezodstpw"/>
            </w:pPr>
            <w:r w:rsidRPr="00654DDD">
              <w:t xml:space="preserve">Organy nadzoru rynku działają także na podstawie rozporządzenia Parlamentu Europejskiego i Rady (UE) </w:t>
            </w:r>
            <w:r w:rsidR="00E6568C" w:rsidRPr="00654DDD">
              <w:t xml:space="preserve">2019/1020 </w:t>
            </w:r>
            <w:r w:rsidR="00930467" w:rsidRPr="00654DDD">
              <w:br/>
            </w:r>
            <w:r w:rsidRPr="00654DDD">
              <w:t>z dnia 20 czerwca 2019</w:t>
            </w:r>
            <w:r w:rsidR="00BE5296">
              <w:t> </w:t>
            </w:r>
            <w:r w:rsidRPr="00654DDD">
              <w:t>r. w sprawie nadzoru rynku i zgodności produktów oraz zmieniające</w:t>
            </w:r>
            <w:r w:rsidR="008E3700" w:rsidRPr="00654DDD">
              <w:t>go</w:t>
            </w:r>
            <w:r w:rsidRPr="00654DDD">
              <w:t xml:space="preserve"> dyrektywę 2004/42/WE oraz rozporządzenia (WE) nr 765/2008 i (UE) nr 305/2011</w:t>
            </w:r>
            <w:r w:rsidR="00E6568C" w:rsidRPr="00654DDD">
              <w:t xml:space="preserve"> (Dz. Urz. </w:t>
            </w:r>
            <w:r w:rsidR="005823A5">
              <w:t xml:space="preserve">UE </w:t>
            </w:r>
            <w:r w:rsidR="00E6568C" w:rsidRPr="00654DDD">
              <w:rPr>
                <w:rStyle w:val="Uwydatnienie"/>
                <w:i w:val="0"/>
                <w:iCs w:val="0"/>
              </w:rPr>
              <w:t>L 169 z 25.</w:t>
            </w:r>
            <w:r w:rsidR="00653D83" w:rsidRPr="00654DDD">
              <w:rPr>
                <w:rStyle w:val="Uwydatnienie"/>
                <w:i w:val="0"/>
                <w:iCs w:val="0"/>
              </w:rPr>
              <w:t>0</w:t>
            </w:r>
            <w:r w:rsidR="00E6568C" w:rsidRPr="00654DDD">
              <w:rPr>
                <w:rStyle w:val="Uwydatnienie"/>
                <w:i w:val="0"/>
                <w:iCs w:val="0"/>
              </w:rPr>
              <w:t>6.2019, str. 1</w:t>
            </w:r>
            <w:r w:rsidR="000D744F">
              <w:rPr>
                <w:rStyle w:val="Uwydatnienie"/>
                <w:i w:val="0"/>
                <w:iCs w:val="0"/>
              </w:rPr>
              <w:t xml:space="preserve">, z </w:t>
            </w:r>
            <w:proofErr w:type="spellStart"/>
            <w:r w:rsidR="000D744F">
              <w:rPr>
                <w:rStyle w:val="Uwydatnienie"/>
                <w:i w:val="0"/>
                <w:iCs w:val="0"/>
              </w:rPr>
              <w:t>późń</w:t>
            </w:r>
            <w:proofErr w:type="spellEnd"/>
            <w:r w:rsidR="000D744F">
              <w:rPr>
                <w:rStyle w:val="Uwydatnienie"/>
                <w:i w:val="0"/>
                <w:iCs w:val="0"/>
              </w:rPr>
              <w:t>. zm.</w:t>
            </w:r>
            <w:r w:rsidR="00E6568C" w:rsidRPr="00654DDD">
              <w:rPr>
                <w:rStyle w:val="Uwydatnienie"/>
                <w:i w:val="0"/>
                <w:iCs w:val="0"/>
              </w:rPr>
              <w:t>)</w:t>
            </w:r>
            <w:r w:rsidRPr="00654DDD">
              <w:t xml:space="preserve">. </w:t>
            </w:r>
            <w:r w:rsidR="00826F4D" w:rsidRPr="00654DDD">
              <w:t>W zakresie nadzoru nad produktami projekt ustawy, podobnie jak dyrektywa 2019/882</w:t>
            </w:r>
            <w:r w:rsidR="008E3700" w:rsidRPr="00654DDD">
              <w:t>,</w:t>
            </w:r>
            <w:r w:rsidR="00826F4D" w:rsidRPr="00654DDD">
              <w:t xml:space="preserve"> odsyła częściowo do przepisów prawodawstwa </w:t>
            </w:r>
            <w:proofErr w:type="spellStart"/>
            <w:r w:rsidR="00826F4D" w:rsidRPr="00654DDD">
              <w:t>harmonizacyjnego</w:t>
            </w:r>
            <w:proofErr w:type="spellEnd"/>
            <w:r w:rsidR="00FF726C">
              <w:t xml:space="preserve"> UE</w:t>
            </w:r>
            <w:r w:rsidR="00826F4D" w:rsidRPr="00654DDD">
              <w:t xml:space="preserve">, natomiast w zakresie nadzoru nad świadczeniem usług – z uwagi na brak szczegółowych przepisów w dyrektywie 2019/882 – tworzy </w:t>
            </w:r>
            <w:r w:rsidR="00E6568C" w:rsidRPr="00654DDD">
              <w:t xml:space="preserve">system </w:t>
            </w:r>
            <w:r w:rsidR="00826F4D" w:rsidRPr="00654DDD">
              <w:t>dedykowany dostępności.</w:t>
            </w:r>
          </w:p>
          <w:p w14:paraId="0517F904" w14:textId="77777777" w:rsidR="00B43E14" w:rsidRPr="00654DDD" w:rsidRDefault="00FD182A" w:rsidP="00654DDD">
            <w:pPr>
              <w:pStyle w:val="Bezodstpw"/>
            </w:pPr>
            <w:r w:rsidRPr="00654DDD">
              <w:t>K</w:t>
            </w:r>
            <w:r w:rsidR="00B43E14" w:rsidRPr="00654DDD">
              <w:t>ażdy będzie mógł zgłosić odpowiedniemu organowi nadzoru rynku zawiadomienie o niespełnianiu przez produkt albo usługę wym</w:t>
            </w:r>
            <w:r w:rsidR="001B3757">
              <w:t>agań</w:t>
            </w:r>
            <w:r w:rsidR="00B43E14" w:rsidRPr="00654DDD">
              <w:t xml:space="preserve"> dostępności.</w:t>
            </w:r>
          </w:p>
          <w:p w14:paraId="03B8C980" w14:textId="74D23649" w:rsidR="00AA2D1E" w:rsidRDefault="00C202EF" w:rsidP="00654DDD">
            <w:pPr>
              <w:pStyle w:val="Bezodstpw"/>
            </w:pPr>
            <w:r w:rsidRPr="00F21BB5">
              <w:t>W zakresie nieuregulowa</w:t>
            </w:r>
            <w:r w:rsidRPr="00FE6959">
              <w:t>nym w projektowanej ustawie</w:t>
            </w:r>
            <w:r w:rsidRPr="00B43E14">
              <w:t xml:space="preserve"> do postępowań</w:t>
            </w:r>
            <w:r w:rsidR="003A70A0">
              <w:t xml:space="preserve"> i zawiadomień</w:t>
            </w:r>
            <w:r w:rsidRPr="00B43E14">
              <w:t xml:space="preserve"> </w:t>
            </w:r>
            <w:r w:rsidR="00F21BB5" w:rsidRPr="008F3DA0">
              <w:t>w sprawach niespełniania przez produkt albo usługę wym</w:t>
            </w:r>
            <w:r w:rsidR="00CB2F07">
              <w:t>agań</w:t>
            </w:r>
            <w:r w:rsidR="00F21BB5" w:rsidRPr="008F3DA0">
              <w:t xml:space="preserve"> dostępności </w:t>
            </w:r>
            <w:r w:rsidR="00FF726C">
              <w:t>stosuje</w:t>
            </w:r>
            <w:r w:rsidRPr="00FE6959">
              <w:t xml:space="preserve"> się przepisy ustawy z dnia 14 czerwca 1960</w:t>
            </w:r>
            <w:r w:rsidR="00BE5296">
              <w:t> </w:t>
            </w:r>
            <w:r w:rsidRPr="00FE6959">
              <w:t>r. – Kodeks postępowania administracy</w:t>
            </w:r>
            <w:r w:rsidRPr="00B43E14">
              <w:t>jnego</w:t>
            </w:r>
            <w:r w:rsidR="00F21BB5">
              <w:t xml:space="preserve"> </w:t>
            </w:r>
            <w:r w:rsidR="00F21BB5" w:rsidRPr="008F3DA0">
              <w:t>(Dz. U. z 202</w:t>
            </w:r>
            <w:r w:rsidR="00A03259">
              <w:t>3</w:t>
            </w:r>
            <w:r w:rsidR="00F21BB5" w:rsidRPr="008F3DA0">
              <w:t xml:space="preserve"> r. poz.</w:t>
            </w:r>
            <w:r w:rsidR="00503426">
              <w:t xml:space="preserve"> </w:t>
            </w:r>
            <w:r w:rsidR="00A03259">
              <w:t>775</w:t>
            </w:r>
            <w:r w:rsidR="00503426">
              <w:t xml:space="preserve">, z </w:t>
            </w:r>
            <w:proofErr w:type="spellStart"/>
            <w:r w:rsidR="00503426">
              <w:t>późn</w:t>
            </w:r>
            <w:proofErr w:type="spellEnd"/>
            <w:r w:rsidR="00503426">
              <w:t>. zm.</w:t>
            </w:r>
            <w:r w:rsidR="00F21BB5" w:rsidRPr="008F3DA0">
              <w:t>)</w:t>
            </w:r>
            <w:r w:rsidRPr="00F21BB5">
              <w:t>.</w:t>
            </w:r>
          </w:p>
          <w:p w14:paraId="6316EC12" w14:textId="10310C51" w:rsidR="009D2135" w:rsidRPr="009D2135" w:rsidRDefault="009D2135" w:rsidP="00654DDD">
            <w:pPr>
              <w:pStyle w:val="Bezodstpw"/>
            </w:pPr>
            <w:r w:rsidRPr="001F0D83">
              <w:t>W zakresie nieuregulowanym w projektowanej ustawie do kontroli stosuje się przepisy rozdziału 5 ustawy z dnia 6 marca 2018 r. − Prawo przedsiębiorców (Dz. U.</w:t>
            </w:r>
            <w:r w:rsidR="00503426">
              <w:t xml:space="preserve"> </w:t>
            </w:r>
            <w:r w:rsidRPr="001F0D83">
              <w:t>z 202</w:t>
            </w:r>
            <w:r w:rsidR="00085EE7">
              <w:t>3</w:t>
            </w:r>
            <w:r w:rsidRPr="001F0D83">
              <w:t xml:space="preserve"> r. poz. </w:t>
            </w:r>
            <w:r w:rsidR="00085EE7">
              <w:t>221</w:t>
            </w:r>
            <w:r w:rsidR="00A03259">
              <w:t xml:space="preserve">, z </w:t>
            </w:r>
            <w:proofErr w:type="spellStart"/>
            <w:r w:rsidR="00A03259">
              <w:t>późn</w:t>
            </w:r>
            <w:proofErr w:type="spellEnd"/>
            <w:r w:rsidR="00A03259">
              <w:t>. zm.</w:t>
            </w:r>
            <w:r w:rsidRPr="001F0D83">
              <w:t>)</w:t>
            </w:r>
            <w:r w:rsidR="00FF726C">
              <w:rPr>
                <w:rFonts w:cs="Arial"/>
                <w:sz w:val="24"/>
                <w:szCs w:val="20"/>
              </w:rPr>
              <w:t>.</w:t>
            </w:r>
          </w:p>
          <w:p w14:paraId="016B4DB4" w14:textId="6325D5F5" w:rsidR="00716986" w:rsidRDefault="00716986" w:rsidP="00654DDD">
            <w:pPr>
              <w:pStyle w:val="Bezodstpw"/>
            </w:pPr>
            <w:r>
              <w:t xml:space="preserve">W rozdziale szóstym </w:t>
            </w:r>
            <w:r w:rsidR="00FF726C">
              <w:t xml:space="preserve">ustanowiono </w:t>
            </w:r>
            <w:r>
              <w:t xml:space="preserve">system związany z nakładaniem </w:t>
            </w:r>
            <w:r w:rsidR="00E9714F">
              <w:t xml:space="preserve">na podmioty gospodarcze </w:t>
            </w:r>
            <w:r w:rsidR="00503426">
              <w:t xml:space="preserve">administracyjnych </w:t>
            </w:r>
            <w:r>
              <w:t>kar pieniężnych</w:t>
            </w:r>
            <w:r w:rsidR="00E9714F">
              <w:t xml:space="preserve"> za </w:t>
            </w:r>
            <w:r w:rsidR="00236A30">
              <w:t>n</w:t>
            </w:r>
            <w:r w:rsidR="00E9714F">
              <w:t>ieprzestrzeganie wym</w:t>
            </w:r>
            <w:r w:rsidR="00A801A5">
              <w:t>agań</w:t>
            </w:r>
            <w:r w:rsidR="00E9714F">
              <w:t xml:space="preserve"> dos</w:t>
            </w:r>
            <w:r w:rsidR="00E6568C">
              <w:t>t</w:t>
            </w:r>
            <w:r w:rsidR="00E9714F">
              <w:t xml:space="preserve">ępności. </w:t>
            </w:r>
            <w:r w:rsidR="00FF726C">
              <w:t>Uregulowano</w:t>
            </w:r>
            <w:r w:rsidR="00BE5296">
              <w:t>,</w:t>
            </w:r>
            <w:r w:rsidR="00E9714F">
              <w:t xml:space="preserve"> </w:t>
            </w:r>
            <w:r w:rsidR="00A801A5">
              <w:t>kto podlega karze</w:t>
            </w:r>
            <w:r w:rsidR="009578E1">
              <w:t>,</w:t>
            </w:r>
            <w:r w:rsidR="00A801A5">
              <w:t xml:space="preserve"> oraz</w:t>
            </w:r>
            <w:r>
              <w:t xml:space="preserve"> </w:t>
            </w:r>
            <w:r w:rsidR="00FF726C">
              <w:t xml:space="preserve">określono </w:t>
            </w:r>
            <w:r>
              <w:t>sposób naliczania kar.</w:t>
            </w:r>
          </w:p>
          <w:p w14:paraId="0C9099BB" w14:textId="4C0971E2" w:rsidR="0098044D" w:rsidRDefault="00345C7A" w:rsidP="00654DDD">
            <w:pPr>
              <w:pStyle w:val="Bezodstpw"/>
            </w:pPr>
            <w:r w:rsidRPr="00345C7A">
              <w:t xml:space="preserve">Rozdział siódmy zawiera przepisy zmieniające, natomiast </w:t>
            </w:r>
            <w:r w:rsidR="00BE5296">
              <w:t>r</w:t>
            </w:r>
            <w:r w:rsidRPr="00345C7A">
              <w:t>ozdział ósmy obejmuje przepisy przejściowe</w:t>
            </w:r>
            <w:r w:rsidR="00A03259">
              <w:t xml:space="preserve">, </w:t>
            </w:r>
            <w:r w:rsidRPr="00345C7A">
              <w:t>dostosowujące</w:t>
            </w:r>
            <w:r w:rsidR="00A03259">
              <w:t xml:space="preserve"> i</w:t>
            </w:r>
            <w:r w:rsidR="00DD341B">
              <w:t> </w:t>
            </w:r>
            <w:r w:rsidR="00A03259">
              <w:t>przepis końcowy</w:t>
            </w:r>
            <w:r w:rsidR="003934BF">
              <w:t xml:space="preserve">, który </w:t>
            </w:r>
            <w:r w:rsidR="0098044D">
              <w:t xml:space="preserve">określa termin wejścia w życie </w:t>
            </w:r>
            <w:r w:rsidR="00FF726C">
              <w:t xml:space="preserve">projektowanej </w:t>
            </w:r>
            <w:r w:rsidR="0098044D">
              <w:t>ustawy</w:t>
            </w:r>
            <w:r w:rsidR="008C723E">
              <w:t>.</w:t>
            </w:r>
          </w:p>
          <w:p w14:paraId="22665C46" w14:textId="77777777" w:rsidR="0098044D" w:rsidRPr="00554097" w:rsidRDefault="00617D1E" w:rsidP="005275DF">
            <w:pPr>
              <w:pStyle w:val="Akapitzlist"/>
              <w:numPr>
                <w:ilvl w:val="0"/>
                <w:numId w:val="12"/>
              </w:numPr>
              <w:spacing w:before="120" w:after="120"/>
              <w:jc w:val="both"/>
              <w:rPr>
                <w:rFonts w:ascii="Times New Roman" w:eastAsia="Times New Roman" w:hAnsi="Times New Roman" w:cs="Times New Roman"/>
                <w:i/>
                <w:sz w:val="22"/>
                <w:szCs w:val="22"/>
              </w:rPr>
            </w:pPr>
            <w:r w:rsidRPr="00554097">
              <w:rPr>
                <w:rFonts w:ascii="Times New Roman" w:eastAsia="Times New Roman" w:hAnsi="Times New Roman" w:cs="Times New Roman"/>
                <w:i/>
                <w:sz w:val="22"/>
                <w:szCs w:val="22"/>
              </w:rPr>
              <w:t>Przyjęte podejście do rozwiązań prawnych nieobligatoryjnych</w:t>
            </w:r>
          </w:p>
          <w:p w14:paraId="4BEEB764" w14:textId="023FCE9D" w:rsidR="00D332D9" w:rsidRDefault="002B59EE" w:rsidP="00300D62">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Poza obligatoryjnymi przepisami dyrektywa 2019/882 pozwala państwom członkowskim </w:t>
            </w:r>
            <w:r w:rsidR="00FF726C">
              <w:rPr>
                <w:rFonts w:ascii="Times New Roman" w:eastAsia="Times New Roman" w:hAnsi="Times New Roman" w:cs="Times New Roman"/>
                <w:sz w:val="22"/>
                <w:szCs w:val="22"/>
              </w:rPr>
              <w:t xml:space="preserve">UE </w:t>
            </w:r>
            <w:r>
              <w:rPr>
                <w:rFonts w:ascii="Times New Roman" w:eastAsia="Times New Roman" w:hAnsi="Times New Roman" w:cs="Times New Roman"/>
                <w:sz w:val="22"/>
                <w:szCs w:val="22"/>
              </w:rPr>
              <w:t>na podjęcie decyzji co do zasto</w:t>
            </w:r>
            <w:r w:rsidR="008C723E">
              <w:rPr>
                <w:rFonts w:ascii="Times New Roman" w:eastAsia="Times New Roman" w:hAnsi="Times New Roman" w:cs="Times New Roman"/>
                <w:sz w:val="22"/>
                <w:szCs w:val="22"/>
              </w:rPr>
              <w:t>so</w:t>
            </w:r>
            <w:r>
              <w:rPr>
                <w:rFonts w:ascii="Times New Roman" w:eastAsia="Times New Roman" w:hAnsi="Times New Roman" w:cs="Times New Roman"/>
                <w:sz w:val="22"/>
                <w:szCs w:val="22"/>
              </w:rPr>
              <w:t>wania następujących środków:</w:t>
            </w:r>
          </w:p>
          <w:p w14:paraId="1FFE643D" w14:textId="765B1384" w:rsidR="002B59EE" w:rsidRDefault="00FF726C" w:rsidP="009A3CCC">
            <w:pPr>
              <w:pStyle w:val="Akapitzlist"/>
              <w:numPr>
                <w:ilvl w:val="0"/>
                <w:numId w:val="18"/>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u</w:t>
            </w:r>
            <w:r w:rsidR="002B59EE" w:rsidRPr="002B59EE">
              <w:rPr>
                <w:rFonts w:ascii="Times New Roman" w:eastAsia="Times New Roman" w:hAnsi="Times New Roman" w:cs="Times New Roman"/>
                <w:sz w:val="22"/>
                <w:szCs w:val="22"/>
              </w:rPr>
              <w:t xml:space="preserve">względniając warunki krajowe, państwa członkowskie </w:t>
            </w:r>
            <w:r>
              <w:rPr>
                <w:rFonts w:ascii="Times New Roman" w:eastAsia="Times New Roman" w:hAnsi="Times New Roman" w:cs="Times New Roman"/>
                <w:sz w:val="22"/>
                <w:szCs w:val="22"/>
              </w:rPr>
              <w:t xml:space="preserve">UE </w:t>
            </w:r>
            <w:r w:rsidR="002B59EE" w:rsidRPr="002B59EE">
              <w:rPr>
                <w:rFonts w:ascii="Times New Roman" w:eastAsia="Times New Roman" w:hAnsi="Times New Roman" w:cs="Times New Roman"/>
                <w:sz w:val="22"/>
                <w:szCs w:val="22"/>
              </w:rPr>
              <w:t>mogą zdecydować, że środowisko zbudowane wykorzystywane przez klientów korzystają</w:t>
            </w:r>
            <w:r w:rsidR="002B59EE">
              <w:rPr>
                <w:rFonts w:ascii="Times New Roman" w:eastAsia="Times New Roman" w:hAnsi="Times New Roman" w:cs="Times New Roman"/>
                <w:sz w:val="22"/>
                <w:szCs w:val="22"/>
              </w:rPr>
              <w:t xml:space="preserve">cych z usług objętych </w:t>
            </w:r>
            <w:r w:rsidR="002B59EE" w:rsidRPr="002B59EE">
              <w:rPr>
                <w:rFonts w:ascii="Times New Roman" w:eastAsia="Times New Roman" w:hAnsi="Times New Roman" w:cs="Times New Roman"/>
                <w:sz w:val="22"/>
                <w:szCs w:val="22"/>
              </w:rPr>
              <w:t>dyrektywą</w:t>
            </w:r>
            <w:r w:rsidR="002B59EE">
              <w:rPr>
                <w:rFonts w:ascii="Times New Roman" w:eastAsia="Times New Roman" w:hAnsi="Times New Roman" w:cs="Times New Roman"/>
                <w:sz w:val="22"/>
                <w:szCs w:val="22"/>
              </w:rPr>
              <w:t xml:space="preserve"> 2019/882</w:t>
            </w:r>
            <w:r w:rsidR="002B59EE" w:rsidRPr="002B59EE">
              <w:rPr>
                <w:rFonts w:ascii="Times New Roman" w:eastAsia="Times New Roman" w:hAnsi="Times New Roman" w:cs="Times New Roman"/>
                <w:sz w:val="22"/>
                <w:szCs w:val="22"/>
              </w:rPr>
              <w:t xml:space="preserve"> musi spełniać wymogi dostępności określone w załączniku III</w:t>
            </w:r>
            <w:r w:rsidR="00236A30">
              <w:rPr>
                <w:rFonts w:ascii="Times New Roman" w:eastAsia="Times New Roman" w:hAnsi="Times New Roman" w:cs="Times New Roman"/>
                <w:sz w:val="22"/>
                <w:szCs w:val="22"/>
              </w:rPr>
              <w:t xml:space="preserve"> dyrektywy</w:t>
            </w:r>
            <w:r w:rsidR="002B59EE" w:rsidRPr="002B59EE">
              <w:rPr>
                <w:rFonts w:ascii="Times New Roman" w:eastAsia="Times New Roman" w:hAnsi="Times New Roman" w:cs="Times New Roman"/>
                <w:sz w:val="22"/>
                <w:szCs w:val="22"/>
              </w:rPr>
              <w:t xml:space="preserve">, tak </w:t>
            </w:r>
            <w:r w:rsidR="009578E1">
              <w:rPr>
                <w:rFonts w:ascii="Times New Roman" w:eastAsia="Times New Roman" w:hAnsi="Times New Roman" w:cs="Times New Roman"/>
                <w:sz w:val="22"/>
                <w:szCs w:val="22"/>
              </w:rPr>
              <w:t>a</w:t>
            </w:r>
            <w:r w:rsidR="002B59EE" w:rsidRPr="002B59EE">
              <w:rPr>
                <w:rFonts w:ascii="Times New Roman" w:eastAsia="Times New Roman" w:hAnsi="Times New Roman" w:cs="Times New Roman"/>
                <w:sz w:val="22"/>
                <w:szCs w:val="22"/>
              </w:rPr>
              <w:t xml:space="preserve">by zmaksymalizować korzystanie z nich przez osoby </w:t>
            </w:r>
            <w:r w:rsidR="00FA1B09">
              <w:rPr>
                <w:rFonts w:ascii="Times New Roman" w:eastAsia="Times New Roman" w:hAnsi="Times New Roman" w:cs="Times New Roman"/>
                <w:sz w:val="22"/>
                <w:szCs w:val="22"/>
              </w:rPr>
              <w:br/>
            </w:r>
            <w:r w:rsidR="002B59EE" w:rsidRPr="002B59EE">
              <w:rPr>
                <w:rFonts w:ascii="Times New Roman" w:eastAsia="Times New Roman" w:hAnsi="Times New Roman" w:cs="Times New Roman"/>
                <w:sz w:val="22"/>
                <w:szCs w:val="22"/>
              </w:rPr>
              <w:t>z niepełnosprawnościami</w:t>
            </w:r>
            <w:r w:rsidR="002B59EE">
              <w:rPr>
                <w:rFonts w:ascii="Times New Roman" w:eastAsia="Times New Roman" w:hAnsi="Times New Roman" w:cs="Times New Roman"/>
                <w:sz w:val="22"/>
                <w:szCs w:val="22"/>
              </w:rPr>
              <w:t>;</w:t>
            </w:r>
          </w:p>
          <w:p w14:paraId="7D583F57" w14:textId="319E3CE9" w:rsidR="002B59EE" w:rsidRPr="0081063C" w:rsidRDefault="00FF726C" w:rsidP="009A3CCC">
            <w:pPr>
              <w:pStyle w:val="Akapitzlist"/>
              <w:numPr>
                <w:ilvl w:val="0"/>
                <w:numId w:val="18"/>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2B59EE" w:rsidRPr="002B59EE">
              <w:rPr>
                <w:rFonts w:ascii="Times New Roman" w:eastAsia="Times New Roman" w:hAnsi="Times New Roman" w:cs="Times New Roman"/>
                <w:sz w:val="22"/>
                <w:szCs w:val="22"/>
              </w:rPr>
              <w:t xml:space="preserve">aństwa członkowskie </w:t>
            </w:r>
            <w:r>
              <w:rPr>
                <w:rFonts w:ascii="Times New Roman" w:eastAsia="Times New Roman" w:hAnsi="Times New Roman" w:cs="Times New Roman"/>
                <w:sz w:val="22"/>
                <w:szCs w:val="22"/>
              </w:rPr>
              <w:t xml:space="preserve">UE </w:t>
            </w:r>
            <w:r w:rsidR="002B59EE" w:rsidRPr="002B59EE">
              <w:rPr>
                <w:rFonts w:ascii="Times New Roman" w:eastAsia="Times New Roman" w:hAnsi="Times New Roman" w:cs="Times New Roman"/>
                <w:sz w:val="22"/>
                <w:szCs w:val="22"/>
              </w:rPr>
              <w:t>mogą postanowić, że terminale</w:t>
            </w:r>
            <w:r w:rsidR="00596E06">
              <w:rPr>
                <w:rFonts w:ascii="Times New Roman" w:eastAsia="Times New Roman" w:hAnsi="Times New Roman" w:cs="Times New Roman"/>
                <w:sz w:val="22"/>
                <w:szCs w:val="22"/>
              </w:rPr>
              <w:t xml:space="preserve"> </w:t>
            </w:r>
            <w:r w:rsidR="002B59EE" w:rsidRPr="002B59EE">
              <w:rPr>
                <w:rFonts w:ascii="Times New Roman" w:eastAsia="Times New Roman" w:hAnsi="Times New Roman" w:cs="Times New Roman"/>
                <w:sz w:val="22"/>
                <w:szCs w:val="22"/>
              </w:rPr>
              <w:t>stosowane zgodnie z prawem przez usługodawców w</w:t>
            </w:r>
            <w:r w:rsidR="00DD341B">
              <w:rPr>
                <w:rFonts w:ascii="Times New Roman" w:eastAsia="Times New Roman" w:hAnsi="Times New Roman" w:cs="Times New Roman"/>
                <w:sz w:val="22"/>
                <w:szCs w:val="22"/>
              </w:rPr>
              <w:t> </w:t>
            </w:r>
            <w:r w:rsidR="002B59EE" w:rsidRPr="002B59EE">
              <w:rPr>
                <w:rFonts w:ascii="Times New Roman" w:eastAsia="Times New Roman" w:hAnsi="Times New Roman" w:cs="Times New Roman"/>
                <w:sz w:val="22"/>
                <w:szCs w:val="22"/>
              </w:rPr>
              <w:t xml:space="preserve">związku ze świadczeniem usług przed dniem 28 czerwca 2025 r. mogą w dalszym ciągu </w:t>
            </w:r>
            <w:r w:rsidR="005F3A29" w:rsidRPr="002B59EE">
              <w:rPr>
                <w:rFonts w:ascii="Times New Roman" w:eastAsia="Times New Roman" w:hAnsi="Times New Roman" w:cs="Times New Roman"/>
                <w:sz w:val="22"/>
                <w:szCs w:val="22"/>
              </w:rPr>
              <w:t xml:space="preserve">być </w:t>
            </w:r>
            <w:r w:rsidR="005F3A29">
              <w:rPr>
                <w:rFonts w:ascii="Times New Roman" w:eastAsia="Times New Roman" w:hAnsi="Times New Roman" w:cs="Times New Roman"/>
                <w:sz w:val="22"/>
                <w:szCs w:val="22"/>
              </w:rPr>
              <w:t>stosowane</w:t>
            </w:r>
            <w:r w:rsidR="002B59EE" w:rsidRPr="002B59EE">
              <w:rPr>
                <w:rFonts w:ascii="Times New Roman" w:eastAsia="Times New Roman" w:hAnsi="Times New Roman" w:cs="Times New Roman"/>
                <w:sz w:val="22"/>
                <w:szCs w:val="22"/>
              </w:rPr>
              <w:t xml:space="preserve"> do świadczenia podobnych usług aż do upływu okresu ich ekonomicznej użyteczności, nie dłużej </w:t>
            </w:r>
            <w:r w:rsidR="002B59EE" w:rsidRPr="0081063C">
              <w:rPr>
                <w:rFonts w:ascii="Times New Roman" w:eastAsia="Times New Roman" w:hAnsi="Times New Roman" w:cs="Times New Roman"/>
                <w:sz w:val="22"/>
                <w:szCs w:val="22"/>
              </w:rPr>
              <w:t>jednak niż 20 lat od daty rozpoczęcia ich stosowania.</w:t>
            </w:r>
          </w:p>
          <w:p w14:paraId="3D82DBE0" w14:textId="5732029B" w:rsidR="002B59EE" w:rsidRPr="0081063C" w:rsidRDefault="002B59EE" w:rsidP="009A3CCC">
            <w:pPr>
              <w:spacing w:after="120"/>
              <w:jc w:val="both"/>
              <w:rPr>
                <w:rFonts w:ascii="Times New Roman" w:eastAsia="Times New Roman" w:hAnsi="Times New Roman" w:cs="Times New Roman"/>
                <w:sz w:val="22"/>
                <w:szCs w:val="22"/>
              </w:rPr>
            </w:pPr>
            <w:r w:rsidRPr="0081063C">
              <w:rPr>
                <w:rFonts w:ascii="Times New Roman" w:eastAsia="Times New Roman" w:hAnsi="Times New Roman" w:cs="Times New Roman"/>
                <w:sz w:val="22"/>
                <w:szCs w:val="22"/>
              </w:rPr>
              <w:t>W zakresie pozostawionej dowolności projekt ustawy przewiduje:</w:t>
            </w:r>
          </w:p>
          <w:p w14:paraId="6039F02C" w14:textId="568CCA0B" w:rsidR="008C5A38" w:rsidRPr="00116AE1" w:rsidRDefault="00FF726C" w:rsidP="00AF1986">
            <w:pPr>
              <w:pStyle w:val="Nagwek2"/>
              <w:numPr>
                <w:ilvl w:val="0"/>
                <w:numId w:val="45"/>
              </w:numPr>
              <w:spacing w:before="120" w:after="120"/>
              <w:ind w:left="772" w:hanging="425"/>
              <w:jc w:val="both"/>
              <w:rPr>
                <w:rFonts w:ascii="Times New Roman" w:hAnsi="Times New Roman" w:cs="Times New Roman"/>
                <w:b w:val="0"/>
                <w:sz w:val="22"/>
                <w:szCs w:val="22"/>
              </w:rPr>
            </w:pPr>
            <w:r>
              <w:rPr>
                <w:rFonts w:ascii="Times New Roman" w:hAnsi="Times New Roman" w:cs="Times New Roman"/>
                <w:b w:val="0"/>
                <w:sz w:val="22"/>
                <w:szCs w:val="22"/>
              </w:rPr>
              <w:t>b</w:t>
            </w:r>
            <w:r w:rsidR="002B59EE" w:rsidRPr="00946420">
              <w:rPr>
                <w:rFonts w:ascii="Times New Roman" w:hAnsi="Times New Roman" w:cs="Times New Roman"/>
                <w:b w:val="0"/>
                <w:sz w:val="22"/>
                <w:szCs w:val="22"/>
              </w:rPr>
              <w:t>rak obowiązku zapewnienia dostę</w:t>
            </w:r>
            <w:r w:rsidR="00E6568C" w:rsidRPr="00946420">
              <w:rPr>
                <w:rFonts w:ascii="Times New Roman" w:hAnsi="Times New Roman" w:cs="Times New Roman"/>
                <w:b w:val="0"/>
                <w:sz w:val="22"/>
                <w:szCs w:val="22"/>
              </w:rPr>
              <w:t>p</w:t>
            </w:r>
            <w:r w:rsidR="002B59EE" w:rsidRPr="00946420">
              <w:rPr>
                <w:rFonts w:ascii="Times New Roman" w:hAnsi="Times New Roman" w:cs="Times New Roman"/>
                <w:b w:val="0"/>
                <w:sz w:val="22"/>
                <w:szCs w:val="22"/>
              </w:rPr>
              <w:t>ności środowiska zbudowanego przez usługodawców</w:t>
            </w:r>
            <w:r>
              <w:rPr>
                <w:rFonts w:ascii="Times New Roman" w:hAnsi="Times New Roman" w:cs="Times New Roman"/>
                <w:b w:val="0"/>
                <w:sz w:val="22"/>
                <w:szCs w:val="22"/>
              </w:rPr>
              <w:t>; z</w:t>
            </w:r>
            <w:r w:rsidR="0081063C" w:rsidRPr="00946420">
              <w:rPr>
                <w:rFonts w:ascii="Times New Roman" w:hAnsi="Times New Roman" w:cs="Times New Roman"/>
                <w:b w:val="0"/>
                <w:sz w:val="22"/>
                <w:szCs w:val="22"/>
              </w:rPr>
              <w:t xml:space="preserve">godnie z </w:t>
            </w:r>
            <w:r w:rsidR="0081063C" w:rsidRPr="00BE5296">
              <w:rPr>
                <w:rFonts w:ascii="Times New Roman" w:hAnsi="Times New Roman" w:cs="Times New Roman"/>
                <w:b w:val="0"/>
                <w:sz w:val="22"/>
                <w:szCs w:val="22"/>
              </w:rPr>
              <w:t xml:space="preserve">projektem ustawy usługodawca </w:t>
            </w:r>
            <w:r w:rsidR="008C5A38" w:rsidRPr="00116AE1">
              <w:rPr>
                <w:rFonts w:ascii="Times New Roman" w:hAnsi="Times New Roman" w:cs="Times New Roman"/>
                <w:b w:val="0"/>
                <w:sz w:val="22"/>
                <w:szCs w:val="22"/>
              </w:rPr>
              <w:t>w</w:t>
            </w:r>
            <w:r w:rsidR="00E057E7" w:rsidRPr="00116AE1">
              <w:rPr>
                <w:rFonts w:ascii="Times New Roman" w:hAnsi="Times New Roman" w:cs="Times New Roman"/>
                <w:b w:val="0"/>
                <w:sz w:val="22"/>
                <w:szCs w:val="22"/>
              </w:rPr>
              <w:t xml:space="preserve"> </w:t>
            </w:r>
            <w:r w:rsidR="008C5A38" w:rsidRPr="00116AE1">
              <w:rPr>
                <w:rFonts w:ascii="Times New Roman" w:hAnsi="Times New Roman" w:cs="Times New Roman"/>
                <w:b w:val="0"/>
                <w:sz w:val="22"/>
                <w:szCs w:val="22"/>
              </w:rPr>
              <w:t>informacji o oferowanych i świadczonych usługach podaje</w:t>
            </w:r>
            <w:r w:rsidR="00A7334D">
              <w:rPr>
                <w:rFonts w:ascii="Times New Roman" w:hAnsi="Times New Roman" w:cs="Times New Roman"/>
                <w:b w:val="0"/>
                <w:sz w:val="22"/>
                <w:szCs w:val="22"/>
              </w:rPr>
              <w:t xml:space="preserve"> informację o</w:t>
            </w:r>
            <w:r w:rsidR="008C5A38" w:rsidRPr="00116AE1">
              <w:rPr>
                <w:rFonts w:ascii="Times New Roman" w:hAnsi="Times New Roman" w:cs="Times New Roman"/>
                <w:b w:val="0"/>
                <w:sz w:val="22"/>
                <w:szCs w:val="22"/>
              </w:rPr>
              <w:t>:</w:t>
            </w:r>
          </w:p>
          <w:p w14:paraId="75F91B8B" w14:textId="11413588" w:rsidR="00613FF0" w:rsidRDefault="008C5A38" w:rsidP="00AF1986">
            <w:pPr>
              <w:pStyle w:val="Nagwek2"/>
              <w:numPr>
                <w:ilvl w:val="1"/>
                <w:numId w:val="45"/>
              </w:numPr>
              <w:spacing w:before="120" w:after="120"/>
              <w:ind w:left="1197" w:hanging="283"/>
              <w:jc w:val="both"/>
              <w:rPr>
                <w:rFonts w:ascii="Times New Roman" w:hAnsi="Times New Roman" w:cs="Times New Roman"/>
                <w:b w:val="0"/>
                <w:sz w:val="22"/>
                <w:szCs w:val="22"/>
              </w:rPr>
            </w:pPr>
            <w:r w:rsidRPr="00613FF0">
              <w:rPr>
                <w:rFonts w:ascii="Times New Roman" w:hAnsi="Times New Roman" w:cs="Times New Roman"/>
                <w:b w:val="0"/>
                <w:sz w:val="22"/>
                <w:szCs w:val="22"/>
              </w:rPr>
              <w:t xml:space="preserve">aktualnym stanie zapewnienia warunków niezbędnych do korzystania przez osoby ze szczególnymi potrzebami z pomieszczeń oraz budynków użyteczności publicznej wykorzystywanych do świadczenia usług oraz otaczającej je infrastruktury w zakresie, w jakim </w:t>
            </w:r>
            <w:r w:rsidR="00FF726C" w:rsidRPr="00613FF0">
              <w:rPr>
                <w:rFonts w:ascii="Times New Roman" w:hAnsi="Times New Roman" w:cs="Times New Roman"/>
                <w:b w:val="0"/>
                <w:sz w:val="22"/>
                <w:szCs w:val="22"/>
              </w:rPr>
              <w:t xml:space="preserve">te </w:t>
            </w:r>
            <w:r w:rsidRPr="00613FF0">
              <w:rPr>
                <w:rFonts w:ascii="Times New Roman" w:hAnsi="Times New Roman" w:cs="Times New Roman"/>
                <w:b w:val="0"/>
                <w:sz w:val="22"/>
                <w:szCs w:val="22"/>
              </w:rPr>
              <w:t xml:space="preserve">warunki umożliwiają korzystanie z tej usługi, lub </w:t>
            </w:r>
          </w:p>
          <w:p w14:paraId="3A422FB6" w14:textId="0F500750" w:rsidR="008C5A38" w:rsidRPr="00613FF0" w:rsidRDefault="00A7334D" w:rsidP="00AF1986">
            <w:pPr>
              <w:pStyle w:val="Nagwek2"/>
              <w:numPr>
                <w:ilvl w:val="1"/>
                <w:numId w:val="45"/>
              </w:numPr>
              <w:spacing w:before="120" w:after="120"/>
              <w:ind w:left="1197" w:hanging="283"/>
              <w:jc w:val="both"/>
              <w:rPr>
                <w:rFonts w:ascii="Times New Roman" w:hAnsi="Times New Roman" w:cs="Times New Roman"/>
                <w:b w:val="0"/>
                <w:sz w:val="22"/>
                <w:szCs w:val="22"/>
              </w:rPr>
            </w:pPr>
            <w:r w:rsidRPr="00613FF0">
              <w:rPr>
                <w:rFonts w:ascii="Times New Roman" w:hAnsi="Times New Roman" w:cs="Times New Roman"/>
                <w:b w:val="0"/>
                <w:sz w:val="22"/>
                <w:szCs w:val="22"/>
              </w:rPr>
              <w:t xml:space="preserve">posiadanym przez usługodawcę </w:t>
            </w:r>
            <w:r w:rsidR="008C5A38" w:rsidRPr="00613FF0">
              <w:rPr>
                <w:rFonts w:ascii="Times New Roman" w:hAnsi="Times New Roman" w:cs="Times New Roman"/>
                <w:b w:val="0"/>
                <w:sz w:val="22"/>
                <w:szCs w:val="22"/>
              </w:rPr>
              <w:t>certyfikacie dostępności, o którym mowa w art. 19 ust. 1 ustawy z dnia 19</w:t>
            </w:r>
            <w:r w:rsidR="00CE73F3">
              <w:rPr>
                <w:rFonts w:ascii="Times New Roman" w:hAnsi="Times New Roman" w:cs="Times New Roman"/>
                <w:b w:val="0"/>
                <w:sz w:val="22"/>
                <w:szCs w:val="22"/>
              </w:rPr>
              <w:t> </w:t>
            </w:r>
            <w:r w:rsidR="008C5A38" w:rsidRPr="00613FF0">
              <w:rPr>
                <w:rFonts w:ascii="Times New Roman" w:hAnsi="Times New Roman" w:cs="Times New Roman"/>
                <w:b w:val="0"/>
                <w:sz w:val="22"/>
                <w:szCs w:val="22"/>
              </w:rPr>
              <w:t xml:space="preserve">lipca 2019 r. o zapewnianiu dostępności osobom ze szczególnymi potrzebami, </w:t>
            </w:r>
            <w:r w:rsidR="00897D13" w:rsidRPr="00613FF0">
              <w:rPr>
                <w:rFonts w:ascii="Times New Roman" w:hAnsi="Times New Roman" w:cs="Times New Roman"/>
                <w:b w:val="0"/>
                <w:sz w:val="22"/>
                <w:szCs w:val="22"/>
              </w:rPr>
              <w:t xml:space="preserve">jeżeli został </w:t>
            </w:r>
            <w:r w:rsidR="008C5A38" w:rsidRPr="00613FF0">
              <w:rPr>
                <w:rFonts w:ascii="Times New Roman" w:hAnsi="Times New Roman" w:cs="Times New Roman"/>
                <w:b w:val="0"/>
                <w:sz w:val="22"/>
                <w:szCs w:val="22"/>
              </w:rPr>
              <w:t>wydany</w:t>
            </w:r>
            <w:r w:rsidR="00FF726C" w:rsidRPr="00613FF0">
              <w:rPr>
                <w:rFonts w:ascii="Times New Roman" w:hAnsi="Times New Roman" w:cs="Times New Roman"/>
                <w:b w:val="0"/>
                <w:sz w:val="22"/>
                <w:szCs w:val="22"/>
              </w:rPr>
              <w:t>;</w:t>
            </w:r>
          </w:p>
          <w:p w14:paraId="182D1B82" w14:textId="6AD086FF" w:rsidR="000929ED" w:rsidRPr="00613FF0" w:rsidRDefault="00FF726C" w:rsidP="00AF1986">
            <w:pPr>
              <w:pStyle w:val="Nagwek2"/>
              <w:numPr>
                <w:ilvl w:val="0"/>
                <w:numId w:val="45"/>
              </w:numPr>
              <w:spacing w:before="120" w:after="120"/>
              <w:ind w:left="772" w:hanging="425"/>
              <w:jc w:val="both"/>
              <w:rPr>
                <w:rFonts w:ascii="Times New Roman" w:hAnsi="Times New Roman" w:cs="Times New Roman"/>
                <w:b w:val="0"/>
                <w:sz w:val="22"/>
                <w:szCs w:val="22"/>
              </w:rPr>
            </w:pPr>
            <w:r w:rsidRPr="00613FF0">
              <w:rPr>
                <w:rFonts w:ascii="Times New Roman" w:hAnsi="Times New Roman" w:cs="Times New Roman"/>
                <w:b w:val="0"/>
                <w:sz w:val="22"/>
                <w:szCs w:val="22"/>
              </w:rPr>
              <w:t>b</w:t>
            </w:r>
            <w:r w:rsidR="00CE4C93" w:rsidRPr="00613FF0">
              <w:rPr>
                <w:rFonts w:ascii="Times New Roman" w:hAnsi="Times New Roman" w:cs="Times New Roman"/>
                <w:b w:val="0"/>
                <w:sz w:val="22"/>
                <w:szCs w:val="22"/>
              </w:rPr>
              <w:t xml:space="preserve">iorąc pod uwagę koszt i długi cykl życia terminali, że </w:t>
            </w:r>
            <w:r w:rsidR="008810CB" w:rsidRPr="00613FF0">
              <w:rPr>
                <w:rFonts w:ascii="Times New Roman" w:hAnsi="Times New Roman" w:cs="Times New Roman"/>
                <w:b w:val="0"/>
                <w:sz w:val="22"/>
                <w:szCs w:val="22"/>
              </w:rPr>
              <w:t xml:space="preserve">terminale niespełniające wymagań dostępności, wykorzystywane przez usługodawców do świadczenia usług przed dniem wejścia w życie </w:t>
            </w:r>
            <w:r w:rsidR="00613FF0">
              <w:rPr>
                <w:rFonts w:ascii="Times New Roman" w:hAnsi="Times New Roman" w:cs="Times New Roman"/>
                <w:b w:val="0"/>
                <w:sz w:val="22"/>
                <w:szCs w:val="22"/>
              </w:rPr>
              <w:t xml:space="preserve">projektu </w:t>
            </w:r>
            <w:r w:rsidR="008810CB" w:rsidRPr="00613FF0">
              <w:rPr>
                <w:rFonts w:ascii="Times New Roman" w:hAnsi="Times New Roman" w:cs="Times New Roman"/>
                <w:b w:val="0"/>
                <w:sz w:val="22"/>
                <w:szCs w:val="22"/>
              </w:rPr>
              <w:t xml:space="preserve">ustawy, mogą być wykorzystywane do świadczenia usług tego samego rodzaju po dniu wejścia w życie </w:t>
            </w:r>
            <w:r w:rsidR="00224455" w:rsidRPr="00224455">
              <w:rPr>
                <w:rFonts w:ascii="Times New Roman" w:eastAsia="Times New Roman" w:hAnsi="Times New Roman" w:cs="Times New Roman"/>
                <w:b w:val="0"/>
                <w:bCs/>
                <w:color w:val="000000"/>
                <w:sz w:val="22"/>
                <w:szCs w:val="22"/>
              </w:rPr>
              <w:t>projektowanej</w:t>
            </w:r>
            <w:r w:rsidR="00224455">
              <w:rPr>
                <w:rFonts w:ascii="Times New Roman" w:eastAsia="Times New Roman" w:hAnsi="Times New Roman" w:cs="Times New Roman"/>
                <w:color w:val="000000"/>
                <w:sz w:val="22"/>
                <w:szCs w:val="22"/>
              </w:rPr>
              <w:t xml:space="preserve"> </w:t>
            </w:r>
            <w:r w:rsidR="008810CB" w:rsidRPr="00613FF0">
              <w:rPr>
                <w:rFonts w:ascii="Times New Roman" w:hAnsi="Times New Roman" w:cs="Times New Roman"/>
                <w:b w:val="0"/>
                <w:sz w:val="22"/>
                <w:szCs w:val="22"/>
              </w:rPr>
              <w:t xml:space="preserve">ustawy aż do upływu okresu ich ekonomicznej użyteczności, jednak nie dłużej niż przez </w:t>
            </w:r>
            <w:r w:rsidR="00977F2B" w:rsidRPr="00613FF0">
              <w:rPr>
                <w:rFonts w:ascii="Times New Roman" w:hAnsi="Times New Roman" w:cs="Times New Roman"/>
                <w:b w:val="0"/>
                <w:sz w:val="22"/>
                <w:szCs w:val="22"/>
              </w:rPr>
              <w:t xml:space="preserve">okres </w:t>
            </w:r>
            <w:r w:rsidR="008810CB" w:rsidRPr="00613FF0">
              <w:rPr>
                <w:rFonts w:ascii="Times New Roman" w:hAnsi="Times New Roman" w:cs="Times New Roman"/>
                <w:b w:val="0"/>
                <w:sz w:val="22"/>
                <w:szCs w:val="22"/>
              </w:rPr>
              <w:t>20 lat od dnia rozpoczęcia ich wykorzystywania</w:t>
            </w:r>
            <w:r w:rsidR="00BE5296" w:rsidRPr="00613FF0">
              <w:rPr>
                <w:rFonts w:ascii="Times New Roman" w:hAnsi="Times New Roman" w:cs="Times New Roman"/>
                <w:b w:val="0"/>
                <w:sz w:val="22"/>
                <w:szCs w:val="22"/>
              </w:rPr>
              <w:t>.</w:t>
            </w:r>
          </w:p>
          <w:p w14:paraId="1584FB28" w14:textId="77777777" w:rsidR="000669D0" w:rsidRPr="00AF1986" w:rsidRDefault="000669D0" w:rsidP="005275DF">
            <w:pPr>
              <w:pStyle w:val="Akapitzlist"/>
              <w:numPr>
                <w:ilvl w:val="0"/>
                <w:numId w:val="11"/>
              </w:numPr>
              <w:spacing w:before="120" w:after="120" w:line="276" w:lineRule="auto"/>
              <w:jc w:val="both"/>
              <w:rPr>
                <w:rFonts w:ascii="Times New Roman" w:eastAsia="Times New Roman" w:hAnsi="Times New Roman" w:cs="Times New Roman"/>
                <w:bCs/>
                <w:sz w:val="22"/>
                <w:szCs w:val="22"/>
              </w:rPr>
            </w:pPr>
            <w:r w:rsidRPr="00AF1986">
              <w:rPr>
                <w:rFonts w:ascii="Times New Roman" w:eastAsia="Times New Roman" w:hAnsi="Times New Roman" w:cs="Times New Roman"/>
                <w:bCs/>
                <w:sz w:val="22"/>
                <w:szCs w:val="22"/>
              </w:rPr>
              <w:t>Narzędzia interwencji</w:t>
            </w:r>
          </w:p>
          <w:p w14:paraId="29A3F876" w14:textId="77777777" w:rsidR="000669D0" w:rsidRPr="00236A30" w:rsidRDefault="00C74523" w:rsidP="00AF1986">
            <w:pPr>
              <w:pStyle w:val="Akapitzlist"/>
              <w:numPr>
                <w:ilvl w:val="0"/>
                <w:numId w:val="44"/>
              </w:numPr>
              <w:spacing w:before="120" w:after="120"/>
              <w:jc w:val="both"/>
              <w:rPr>
                <w:rFonts w:ascii="Times New Roman" w:eastAsia="Times New Roman" w:hAnsi="Times New Roman" w:cs="Times New Roman"/>
                <w:i/>
                <w:sz w:val="22"/>
                <w:szCs w:val="22"/>
              </w:rPr>
            </w:pPr>
            <w:r w:rsidRPr="00236A30">
              <w:rPr>
                <w:rFonts w:ascii="Times New Roman" w:eastAsia="Times New Roman" w:hAnsi="Times New Roman" w:cs="Times New Roman"/>
                <w:i/>
                <w:sz w:val="22"/>
                <w:szCs w:val="22"/>
              </w:rPr>
              <w:t>Realizacja celów</w:t>
            </w:r>
            <w:r w:rsidR="000669D0" w:rsidRPr="00236A30">
              <w:rPr>
                <w:rFonts w:ascii="Times New Roman" w:eastAsia="Times New Roman" w:hAnsi="Times New Roman" w:cs="Times New Roman"/>
                <w:i/>
                <w:sz w:val="22"/>
                <w:szCs w:val="22"/>
              </w:rPr>
              <w:t xml:space="preserve"> </w:t>
            </w:r>
            <w:r w:rsidRPr="00236A30">
              <w:rPr>
                <w:rFonts w:ascii="Times New Roman" w:eastAsia="Times New Roman" w:hAnsi="Times New Roman" w:cs="Times New Roman"/>
                <w:i/>
                <w:sz w:val="22"/>
                <w:szCs w:val="22"/>
              </w:rPr>
              <w:t>społecznych</w:t>
            </w:r>
          </w:p>
          <w:p w14:paraId="127F92EC" w14:textId="77777777" w:rsidR="000669D0" w:rsidRDefault="000669D0" w:rsidP="000669D0">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Jednym z podstawowych celów projektowanej ustawy jest</w:t>
            </w:r>
            <w:r w:rsidRPr="00A93279">
              <w:rPr>
                <w:rFonts w:ascii="Times New Roman" w:eastAsia="Times New Roman" w:hAnsi="Times New Roman" w:cs="Times New Roman"/>
                <w:sz w:val="22"/>
                <w:szCs w:val="22"/>
              </w:rPr>
              <w:t xml:space="preserve"> ograniczenie wykluczenia społecznego i umożliwienie niezależnego życia osób z niepełnosprawnościami w społeczeństwie. </w:t>
            </w:r>
          </w:p>
          <w:p w14:paraId="43342939" w14:textId="2ACFEBE2" w:rsidR="00A05FAD" w:rsidRPr="0099178E" w:rsidRDefault="00F74762" w:rsidP="00A05FAD">
            <w:pPr>
              <w:spacing w:before="120" w:after="120"/>
              <w:jc w:val="both"/>
              <w:rPr>
                <w:rFonts w:ascii="Times New Roman" w:eastAsia="Times New Roman" w:hAnsi="Times New Roman" w:cs="Times New Roman"/>
                <w:sz w:val="22"/>
                <w:szCs w:val="22"/>
              </w:rPr>
            </w:pPr>
            <w:r w:rsidRPr="00F74762">
              <w:rPr>
                <w:rFonts w:ascii="Times New Roman" w:eastAsia="Times New Roman" w:hAnsi="Times New Roman" w:cs="Times New Roman"/>
                <w:sz w:val="22"/>
                <w:szCs w:val="22"/>
              </w:rPr>
              <w:t>Dostępność jest warunkiem koniecznym, aby osoby</w:t>
            </w:r>
            <w:r>
              <w:rPr>
                <w:rFonts w:ascii="Times New Roman" w:eastAsia="Times New Roman" w:hAnsi="Times New Roman" w:cs="Times New Roman"/>
                <w:sz w:val="22"/>
                <w:szCs w:val="22"/>
              </w:rPr>
              <w:t xml:space="preserve"> z niepełnosprawnościami</w:t>
            </w:r>
            <w:r w:rsidR="00A05FAD">
              <w:rPr>
                <w:rFonts w:ascii="Times New Roman" w:eastAsia="Times New Roman" w:hAnsi="Times New Roman" w:cs="Times New Roman"/>
                <w:sz w:val="22"/>
                <w:szCs w:val="22"/>
              </w:rPr>
              <w:t xml:space="preserve"> mogły żyć samodzielnie</w:t>
            </w:r>
            <w:r>
              <w:rPr>
                <w:rFonts w:ascii="Times New Roman" w:eastAsia="Times New Roman" w:hAnsi="Times New Roman" w:cs="Times New Roman"/>
                <w:sz w:val="22"/>
                <w:szCs w:val="22"/>
              </w:rPr>
              <w:t xml:space="preserve"> oraz w pełni i</w:t>
            </w:r>
            <w:r w:rsidRPr="00F74762">
              <w:rPr>
                <w:rFonts w:ascii="Times New Roman" w:eastAsia="Times New Roman" w:hAnsi="Times New Roman" w:cs="Times New Roman"/>
                <w:sz w:val="22"/>
                <w:szCs w:val="22"/>
              </w:rPr>
              <w:t xml:space="preserve"> na równych prawach uczestniczyć w życiu społecznym. Bez dostępu do środowiska fizycznego, transportu, informacji i</w:t>
            </w:r>
            <w:r w:rsidR="00DD341B">
              <w:rPr>
                <w:rFonts w:ascii="Times New Roman" w:eastAsia="Times New Roman" w:hAnsi="Times New Roman" w:cs="Times New Roman"/>
                <w:sz w:val="22"/>
                <w:szCs w:val="22"/>
              </w:rPr>
              <w:t> </w:t>
            </w:r>
            <w:r w:rsidRPr="00F74762">
              <w:rPr>
                <w:rFonts w:ascii="Times New Roman" w:eastAsia="Times New Roman" w:hAnsi="Times New Roman" w:cs="Times New Roman"/>
                <w:sz w:val="22"/>
                <w:szCs w:val="22"/>
              </w:rPr>
              <w:t>komunikacji, w tym technologii i systemów informacy</w:t>
            </w:r>
            <w:r w:rsidR="001B09DF">
              <w:rPr>
                <w:rFonts w:ascii="Times New Roman" w:eastAsia="Times New Roman" w:hAnsi="Times New Roman" w:cs="Times New Roman"/>
                <w:sz w:val="22"/>
                <w:szCs w:val="22"/>
              </w:rPr>
              <w:t>jno-komunikacyjnych, a także do innych pr</w:t>
            </w:r>
            <w:r w:rsidR="00ED3AB9">
              <w:rPr>
                <w:rFonts w:ascii="Times New Roman" w:eastAsia="Times New Roman" w:hAnsi="Times New Roman" w:cs="Times New Roman"/>
                <w:sz w:val="22"/>
                <w:szCs w:val="22"/>
              </w:rPr>
              <w:t>o</w:t>
            </w:r>
            <w:r w:rsidR="001B09DF">
              <w:rPr>
                <w:rFonts w:ascii="Times New Roman" w:eastAsia="Times New Roman" w:hAnsi="Times New Roman" w:cs="Times New Roman"/>
                <w:sz w:val="22"/>
                <w:szCs w:val="22"/>
              </w:rPr>
              <w:t>d</w:t>
            </w:r>
            <w:r w:rsidR="00ED3AB9">
              <w:rPr>
                <w:rFonts w:ascii="Times New Roman" w:eastAsia="Times New Roman" w:hAnsi="Times New Roman" w:cs="Times New Roman"/>
                <w:sz w:val="22"/>
                <w:szCs w:val="22"/>
              </w:rPr>
              <w:t>u</w:t>
            </w:r>
            <w:r w:rsidR="001B09DF">
              <w:rPr>
                <w:rFonts w:ascii="Times New Roman" w:eastAsia="Times New Roman" w:hAnsi="Times New Roman" w:cs="Times New Roman"/>
                <w:sz w:val="22"/>
                <w:szCs w:val="22"/>
              </w:rPr>
              <w:t>któw</w:t>
            </w:r>
            <w:r>
              <w:rPr>
                <w:rFonts w:ascii="Times New Roman" w:eastAsia="Times New Roman" w:hAnsi="Times New Roman" w:cs="Times New Roman"/>
                <w:sz w:val="22"/>
                <w:szCs w:val="22"/>
              </w:rPr>
              <w:t xml:space="preserve"> i usług świadczonych publicznie</w:t>
            </w:r>
            <w:r w:rsidR="00C5755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osoby z niepełnosprawnościami</w:t>
            </w:r>
            <w:r w:rsidRPr="00F74762">
              <w:rPr>
                <w:rFonts w:ascii="Times New Roman" w:eastAsia="Times New Roman" w:hAnsi="Times New Roman" w:cs="Times New Roman"/>
                <w:sz w:val="22"/>
                <w:szCs w:val="22"/>
              </w:rPr>
              <w:t xml:space="preserve"> nie miałyby równych szans na </w:t>
            </w:r>
            <w:r w:rsidR="00412D82">
              <w:rPr>
                <w:rFonts w:ascii="Times New Roman" w:eastAsia="Times New Roman" w:hAnsi="Times New Roman" w:cs="Times New Roman"/>
                <w:sz w:val="22"/>
                <w:szCs w:val="22"/>
              </w:rPr>
              <w:t>uczestnictwo w życiu społecznym</w:t>
            </w:r>
            <w:r w:rsidR="00BD50A6">
              <w:rPr>
                <w:rFonts w:ascii="Times New Roman" w:eastAsia="Times New Roman" w:hAnsi="Times New Roman" w:cs="Times New Roman"/>
                <w:sz w:val="22"/>
                <w:szCs w:val="22"/>
              </w:rPr>
              <w:t xml:space="preserve">. Dostępność warunkuje </w:t>
            </w:r>
            <w:r w:rsidR="00A05FAD">
              <w:rPr>
                <w:rFonts w:ascii="Times New Roman" w:eastAsia="Times New Roman" w:hAnsi="Times New Roman" w:cs="Times New Roman"/>
                <w:sz w:val="22"/>
                <w:szCs w:val="22"/>
              </w:rPr>
              <w:t>nieograniczone praw</w:t>
            </w:r>
            <w:r w:rsidR="00BD50A6">
              <w:rPr>
                <w:rFonts w:ascii="Times New Roman" w:eastAsia="Times New Roman" w:hAnsi="Times New Roman" w:cs="Times New Roman"/>
                <w:sz w:val="22"/>
                <w:szCs w:val="22"/>
              </w:rPr>
              <w:t>o</w:t>
            </w:r>
            <w:r w:rsidR="00A05FAD" w:rsidRPr="00A05FAD">
              <w:rPr>
                <w:rFonts w:ascii="Times New Roman" w:eastAsia="Times New Roman" w:hAnsi="Times New Roman" w:cs="Times New Roman"/>
                <w:sz w:val="22"/>
                <w:szCs w:val="22"/>
              </w:rPr>
              <w:t xml:space="preserve"> korzystania ze wszystkich praw człowieka i podstawowych wolności na równych zasadach z innymi osobami. Konwencja </w:t>
            </w:r>
            <w:r w:rsidR="00A05FAD">
              <w:rPr>
                <w:rFonts w:ascii="Times New Roman" w:eastAsia="Times New Roman" w:hAnsi="Times New Roman" w:cs="Times New Roman"/>
                <w:sz w:val="22"/>
                <w:szCs w:val="22"/>
              </w:rPr>
              <w:t xml:space="preserve">w art. 9 </w:t>
            </w:r>
            <w:r w:rsidR="00B72F4E">
              <w:rPr>
                <w:rFonts w:ascii="Times New Roman" w:eastAsia="Times New Roman" w:hAnsi="Times New Roman" w:cs="Times New Roman"/>
                <w:sz w:val="22"/>
                <w:szCs w:val="22"/>
              </w:rPr>
              <w:t>jasno wskazuje na takie roz</w:t>
            </w:r>
            <w:r w:rsidR="00BD50A6">
              <w:rPr>
                <w:rFonts w:ascii="Times New Roman" w:eastAsia="Times New Roman" w:hAnsi="Times New Roman" w:cs="Times New Roman"/>
                <w:sz w:val="22"/>
                <w:szCs w:val="22"/>
              </w:rPr>
              <w:t>u</w:t>
            </w:r>
            <w:r w:rsidR="00B72F4E">
              <w:rPr>
                <w:rFonts w:ascii="Times New Roman" w:eastAsia="Times New Roman" w:hAnsi="Times New Roman" w:cs="Times New Roman"/>
                <w:sz w:val="22"/>
                <w:szCs w:val="22"/>
              </w:rPr>
              <w:t xml:space="preserve">mienie dostępności. Konwencja </w:t>
            </w:r>
            <w:r w:rsidR="00A05FAD" w:rsidRPr="00A05FAD">
              <w:rPr>
                <w:rFonts w:ascii="Times New Roman" w:eastAsia="Times New Roman" w:hAnsi="Times New Roman" w:cs="Times New Roman"/>
                <w:sz w:val="22"/>
                <w:szCs w:val="22"/>
              </w:rPr>
              <w:t xml:space="preserve">nie tworzy </w:t>
            </w:r>
            <w:r w:rsidR="00B72F4E">
              <w:rPr>
                <w:rFonts w:ascii="Times New Roman" w:eastAsia="Times New Roman" w:hAnsi="Times New Roman" w:cs="Times New Roman"/>
                <w:sz w:val="22"/>
                <w:szCs w:val="22"/>
              </w:rPr>
              <w:t xml:space="preserve">jednak </w:t>
            </w:r>
            <w:r w:rsidR="00A05FAD" w:rsidRPr="00A05FAD">
              <w:rPr>
                <w:rFonts w:ascii="Times New Roman" w:eastAsia="Times New Roman" w:hAnsi="Times New Roman" w:cs="Times New Roman"/>
                <w:sz w:val="22"/>
                <w:szCs w:val="22"/>
              </w:rPr>
              <w:t>żadnych nowych praw</w:t>
            </w:r>
            <w:r w:rsidR="00613FF0">
              <w:rPr>
                <w:rFonts w:ascii="Times New Roman" w:eastAsia="Times New Roman" w:hAnsi="Times New Roman" w:cs="Times New Roman"/>
                <w:sz w:val="22"/>
                <w:szCs w:val="22"/>
              </w:rPr>
              <w:t>. W</w:t>
            </w:r>
            <w:r w:rsidR="00A05FAD" w:rsidRPr="00A05FAD">
              <w:rPr>
                <w:rFonts w:ascii="Times New Roman" w:eastAsia="Times New Roman" w:hAnsi="Times New Roman" w:cs="Times New Roman"/>
                <w:sz w:val="22"/>
                <w:szCs w:val="22"/>
              </w:rPr>
              <w:t xml:space="preserve"> istocie dostępność nie powinna być postrzegana jako now</w:t>
            </w:r>
            <w:r w:rsidR="00BD50A6">
              <w:rPr>
                <w:rFonts w:ascii="Times New Roman" w:eastAsia="Times New Roman" w:hAnsi="Times New Roman" w:cs="Times New Roman"/>
                <w:sz w:val="22"/>
                <w:szCs w:val="22"/>
              </w:rPr>
              <w:t xml:space="preserve">e prawo. Jak wskazano w </w:t>
            </w:r>
            <w:r w:rsidR="00B72F4E">
              <w:rPr>
                <w:rFonts w:ascii="Times New Roman" w:eastAsia="Times New Roman" w:hAnsi="Times New Roman" w:cs="Times New Roman"/>
                <w:sz w:val="22"/>
                <w:szCs w:val="22"/>
              </w:rPr>
              <w:t>preambule Konwencji</w:t>
            </w:r>
            <w:r w:rsidR="00A05FAD" w:rsidRPr="00A05FAD">
              <w:rPr>
                <w:rFonts w:ascii="Times New Roman" w:eastAsia="Times New Roman" w:hAnsi="Times New Roman" w:cs="Times New Roman"/>
                <w:sz w:val="22"/>
                <w:szCs w:val="22"/>
              </w:rPr>
              <w:t>, niektóre z podstawowych instrumentów praw człowieka uznają prawo do dostępu</w:t>
            </w:r>
            <w:r w:rsidR="00613FF0">
              <w:rPr>
                <w:rFonts w:ascii="Times New Roman" w:eastAsia="Times New Roman" w:hAnsi="Times New Roman" w:cs="Times New Roman"/>
                <w:sz w:val="22"/>
                <w:szCs w:val="22"/>
              </w:rPr>
              <w:t xml:space="preserve"> −</w:t>
            </w:r>
            <w:r w:rsidR="00A05FAD" w:rsidRPr="00A05FAD">
              <w:rPr>
                <w:rFonts w:ascii="Times New Roman" w:eastAsia="Times New Roman" w:hAnsi="Times New Roman" w:cs="Times New Roman"/>
                <w:sz w:val="22"/>
                <w:szCs w:val="22"/>
              </w:rPr>
              <w:t xml:space="preserve"> Międzynarodowy Pakt Praw Obywatelski</w:t>
            </w:r>
            <w:r w:rsidR="00B72F4E">
              <w:rPr>
                <w:rFonts w:ascii="Times New Roman" w:eastAsia="Times New Roman" w:hAnsi="Times New Roman" w:cs="Times New Roman"/>
                <w:sz w:val="22"/>
                <w:szCs w:val="22"/>
              </w:rPr>
              <w:t>ch i Politycznych</w:t>
            </w:r>
            <w:r w:rsidR="00971E80">
              <w:rPr>
                <w:rFonts w:ascii="Times New Roman" w:eastAsia="Times New Roman" w:hAnsi="Times New Roman" w:cs="Times New Roman"/>
                <w:sz w:val="22"/>
                <w:szCs w:val="22"/>
              </w:rPr>
              <w:t xml:space="preserve"> z 1966</w:t>
            </w:r>
            <w:r w:rsidR="00FF7032">
              <w:rPr>
                <w:rFonts w:ascii="Times New Roman" w:eastAsia="Times New Roman" w:hAnsi="Times New Roman" w:cs="Times New Roman"/>
                <w:sz w:val="22"/>
                <w:szCs w:val="22"/>
              </w:rPr>
              <w:t> </w:t>
            </w:r>
            <w:r w:rsidR="00971E80">
              <w:rPr>
                <w:rFonts w:ascii="Times New Roman" w:eastAsia="Times New Roman" w:hAnsi="Times New Roman" w:cs="Times New Roman"/>
                <w:sz w:val="22"/>
                <w:szCs w:val="22"/>
              </w:rPr>
              <w:t>r.</w:t>
            </w:r>
            <w:r w:rsidR="00B72F4E">
              <w:rPr>
                <w:rFonts w:ascii="Times New Roman" w:eastAsia="Times New Roman" w:hAnsi="Times New Roman" w:cs="Times New Roman"/>
                <w:sz w:val="22"/>
                <w:szCs w:val="22"/>
              </w:rPr>
              <w:t xml:space="preserve"> czy </w:t>
            </w:r>
            <w:r w:rsidR="00A05FAD" w:rsidRPr="00A05FAD">
              <w:rPr>
                <w:rFonts w:ascii="Times New Roman" w:eastAsia="Times New Roman" w:hAnsi="Times New Roman" w:cs="Times New Roman"/>
                <w:sz w:val="22"/>
                <w:szCs w:val="22"/>
              </w:rPr>
              <w:t>Międzynarodowa Konwencja w sprawie likwidacji wszelkich form dy</w:t>
            </w:r>
            <w:r w:rsidR="00B72F4E">
              <w:rPr>
                <w:rFonts w:ascii="Times New Roman" w:eastAsia="Times New Roman" w:hAnsi="Times New Roman" w:cs="Times New Roman"/>
                <w:sz w:val="22"/>
                <w:szCs w:val="22"/>
              </w:rPr>
              <w:t>skryminacji rasowej</w:t>
            </w:r>
            <w:r w:rsidR="00971E80">
              <w:rPr>
                <w:rFonts w:ascii="Times New Roman" w:eastAsia="Times New Roman" w:hAnsi="Times New Roman" w:cs="Times New Roman"/>
                <w:sz w:val="22"/>
                <w:szCs w:val="22"/>
              </w:rPr>
              <w:t xml:space="preserve"> z 1966</w:t>
            </w:r>
            <w:r w:rsidR="00FF7032">
              <w:rPr>
                <w:rFonts w:ascii="Times New Roman" w:eastAsia="Times New Roman" w:hAnsi="Times New Roman" w:cs="Times New Roman"/>
                <w:sz w:val="22"/>
                <w:szCs w:val="22"/>
              </w:rPr>
              <w:t> </w:t>
            </w:r>
            <w:r w:rsidR="00971E80">
              <w:rPr>
                <w:rFonts w:ascii="Times New Roman" w:eastAsia="Times New Roman" w:hAnsi="Times New Roman" w:cs="Times New Roman"/>
                <w:sz w:val="22"/>
                <w:szCs w:val="22"/>
              </w:rPr>
              <w:t>r</w:t>
            </w:r>
            <w:r w:rsidR="00A05FAD" w:rsidRPr="00A05FAD">
              <w:rPr>
                <w:rFonts w:ascii="Times New Roman" w:eastAsia="Times New Roman" w:hAnsi="Times New Roman" w:cs="Times New Roman"/>
                <w:sz w:val="22"/>
                <w:szCs w:val="22"/>
              </w:rPr>
              <w:t>. Dostępność powinna być zatem rozpatrywana w kontekście</w:t>
            </w:r>
            <w:r w:rsidR="00B72F4E">
              <w:rPr>
                <w:rFonts w:ascii="Times New Roman" w:eastAsia="Times New Roman" w:hAnsi="Times New Roman" w:cs="Times New Roman"/>
                <w:sz w:val="22"/>
                <w:szCs w:val="22"/>
              </w:rPr>
              <w:t xml:space="preserve"> prawa do dostępu, widzianego ze</w:t>
            </w:r>
            <w:r w:rsidR="00A05FAD" w:rsidRPr="00A05FAD">
              <w:rPr>
                <w:rFonts w:ascii="Times New Roman" w:eastAsia="Times New Roman" w:hAnsi="Times New Roman" w:cs="Times New Roman"/>
                <w:sz w:val="22"/>
                <w:szCs w:val="22"/>
              </w:rPr>
              <w:t xml:space="preserve"> szczególnej perspektywy niepełnosprawności. Jest to podejście szeroko akceptowane w</w:t>
            </w:r>
            <w:r w:rsidR="00DD341B">
              <w:rPr>
                <w:rFonts w:ascii="Times New Roman" w:eastAsia="Times New Roman" w:hAnsi="Times New Roman" w:cs="Times New Roman"/>
                <w:sz w:val="22"/>
                <w:szCs w:val="22"/>
              </w:rPr>
              <w:t> </w:t>
            </w:r>
            <w:r w:rsidR="00A05FAD" w:rsidRPr="00A05FAD">
              <w:rPr>
                <w:rFonts w:ascii="Times New Roman" w:eastAsia="Times New Roman" w:hAnsi="Times New Roman" w:cs="Times New Roman"/>
                <w:sz w:val="22"/>
                <w:szCs w:val="22"/>
              </w:rPr>
              <w:t>prawie porównawczym i stosowane w różnych krajowych ustawach dotyczących równości szans i zapobiegania dyskryminacji ze względu na niepełnosprawność</w:t>
            </w:r>
            <w:r w:rsidR="00B72F4E">
              <w:rPr>
                <w:rFonts w:ascii="Times New Roman" w:eastAsia="Times New Roman" w:hAnsi="Times New Roman" w:cs="Times New Roman"/>
                <w:sz w:val="22"/>
                <w:szCs w:val="22"/>
              </w:rPr>
              <w:t xml:space="preserve"> </w:t>
            </w:r>
            <w:r w:rsidR="00A05FAD" w:rsidRPr="00B5577A">
              <w:rPr>
                <w:rFonts w:ascii="Times New Roman" w:eastAsia="Times New Roman" w:hAnsi="Times New Roman" w:cs="Times New Roman"/>
                <w:sz w:val="22"/>
                <w:szCs w:val="22"/>
              </w:rPr>
              <w:t xml:space="preserve">(za: </w:t>
            </w:r>
            <w:r w:rsidR="00A05FAD" w:rsidRPr="00B5577A">
              <w:rPr>
                <w:rFonts w:ascii="Times New Roman" w:eastAsia="Times New Roman" w:hAnsi="Times New Roman" w:cs="Times New Roman"/>
                <w:i/>
                <w:sz w:val="22"/>
                <w:szCs w:val="22"/>
              </w:rPr>
              <w:t xml:space="preserve">General </w:t>
            </w:r>
            <w:proofErr w:type="spellStart"/>
            <w:r w:rsidR="00A05FAD" w:rsidRPr="00B5577A">
              <w:rPr>
                <w:rFonts w:ascii="Times New Roman" w:eastAsia="Times New Roman" w:hAnsi="Times New Roman" w:cs="Times New Roman"/>
                <w:i/>
                <w:sz w:val="22"/>
                <w:szCs w:val="22"/>
              </w:rPr>
              <w:t>comment</w:t>
            </w:r>
            <w:proofErr w:type="spellEnd"/>
            <w:r w:rsidR="00A05FAD" w:rsidRPr="00B5577A">
              <w:rPr>
                <w:rFonts w:ascii="Times New Roman" w:eastAsia="Times New Roman" w:hAnsi="Times New Roman" w:cs="Times New Roman"/>
                <w:i/>
                <w:sz w:val="22"/>
                <w:szCs w:val="22"/>
              </w:rPr>
              <w:t xml:space="preserve"> on </w:t>
            </w:r>
            <w:proofErr w:type="spellStart"/>
            <w:r w:rsidR="00A05FAD" w:rsidRPr="00B5577A">
              <w:rPr>
                <w:rFonts w:ascii="Times New Roman" w:eastAsia="Times New Roman" w:hAnsi="Times New Roman" w:cs="Times New Roman"/>
                <w:i/>
                <w:sz w:val="22"/>
                <w:szCs w:val="22"/>
              </w:rPr>
              <w:t>Article</w:t>
            </w:r>
            <w:proofErr w:type="spellEnd"/>
            <w:r w:rsidR="00A05FAD" w:rsidRPr="00B5577A">
              <w:rPr>
                <w:rFonts w:ascii="Times New Roman" w:eastAsia="Times New Roman" w:hAnsi="Times New Roman" w:cs="Times New Roman"/>
                <w:i/>
                <w:sz w:val="22"/>
                <w:szCs w:val="22"/>
              </w:rPr>
              <w:t xml:space="preserve"> </w:t>
            </w:r>
            <w:r w:rsidR="00A05FAD" w:rsidRPr="0099178E">
              <w:rPr>
                <w:rFonts w:ascii="Times New Roman" w:eastAsia="Times New Roman" w:hAnsi="Times New Roman" w:cs="Times New Roman"/>
                <w:i/>
                <w:sz w:val="22"/>
                <w:szCs w:val="22"/>
              </w:rPr>
              <w:t>9</w:t>
            </w:r>
            <w:r w:rsidR="00A05FAD" w:rsidRPr="0099178E">
              <w:rPr>
                <w:rFonts w:ascii="Times New Roman" w:eastAsia="Times New Roman" w:hAnsi="Times New Roman" w:cs="Times New Roman"/>
                <w:sz w:val="22"/>
                <w:szCs w:val="22"/>
              </w:rPr>
              <w:t>:</w:t>
            </w:r>
            <w:r w:rsidR="00A05FAD" w:rsidRPr="0099178E">
              <w:rPr>
                <w:rFonts w:ascii="Times New Roman" w:eastAsia="Times New Roman" w:hAnsi="Times New Roman" w:cs="Times New Roman"/>
                <w:i/>
                <w:sz w:val="22"/>
                <w:szCs w:val="22"/>
              </w:rPr>
              <w:t xml:space="preserve"> Accessibility</w:t>
            </w:r>
            <w:r w:rsidR="00A05FAD" w:rsidRPr="0099178E">
              <w:rPr>
                <w:rFonts w:ascii="Times New Roman" w:eastAsia="Times New Roman" w:hAnsi="Times New Roman" w:cs="Times New Roman"/>
                <w:sz w:val="22"/>
                <w:szCs w:val="22"/>
              </w:rPr>
              <w:t xml:space="preserve">, wydany przez: </w:t>
            </w:r>
            <w:proofErr w:type="spellStart"/>
            <w:r w:rsidR="00A05FAD" w:rsidRPr="0099178E">
              <w:rPr>
                <w:rFonts w:ascii="Times New Roman" w:eastAsia="Times New Roman" w:hAnsi="Times New Roman" w:cs="Times New Roman"/>
                <w:i/>
                <w:sz w:val="22"/>
                <w:szCs w:val="22"/>
              </w:rPr>
              <w:t>Committee</w:t>
            </w:r>
            <w:proofErr w:type="spellEnd"/>
            <w:r w:rsidR="00A05FAD" w:rsidRPr="0099178E">
              <w:rPr>
                <w:rFonts w:ascii="Times New Roman" w:eastAsia="Times New Roman" w:hAnsi="Times New Roman" w:cs="Times New Roman"/>
                <w:i/>
                <w:sz w:val="22"/>
                <w:szCs w:val="22"/>
              </w:rPr>
              <w:t xml:space="preserve"> on the </w:t>
            </w:r>
            <w:proofErr w:type="spellStart"/>
            <w:r w:rsidR="00A05FAD" w:rsidRPr="0099178E">
              <w:rPr>
                <w:rFonts w:ascii="Times New Roman" w:eastAsia="Times New Roman" w:hAnsi="Times New Roman" w:cs="Times New Roman"/>
                <w:i/>
                <w:sz w:val="22"/>
                <w:szCs w:val="22"/>
              </w:rPr>
              <w:t>Rights</w:t>
            </w:r>
            <w:proofErr w:type="spellEnd"/>
            <w:r w:rsidR="00A05FAD" w:rsidRPr="0099178E">
              <w:rPr>
                <w:rFonts w:ascii="Times New Roman" w:eastAsia="Times New Roman" w:hAnsi="Times New Roman" w:cs="Times New Roman"/>
                <w:i/>
                <w:sz w:val="22"/>
                <w:szCs w:val="22"/>
              </w:rPr>
              <w:t xml:space="preserve"> of </w:t>
            </w:r>
            <w:proofErr w:type="spellStart"/>
            <w:r w:rsidR="00A05FAD" w:rsidRPr="0099178E">
              <w:rPr>
                <w:rFonts w:ascii="Times New Roman" w:eastAsia="Times New Roman" w:hAnsi="Times New Roman" w:cs="Times New Roman"/>
                <w:i/>
                <w:sz w:val="22"/>
                <w:szCs w:val="22"/>
              </w:rPr>
              <w:t>Persons</w:t>
            </w:r>
            <w:proofErr w:type="spellEnd"/>
            <w:r w:rsidR="00A05FAD" w:rsidRPr="0099178E">
              <w:rPr>
                <w:rFonts w:ascii="Times New Roman" w:eastAsia="Times New Roman" w:hAnsi="Times New Roman" w:cs="Times New Roman"/>
                <w:i/>
                <w:sz w:val="22"/>
                <w:szCs w:val="22"/>
              </w:rPr>
              <w:t xml:space="preserve"> with </w:t>
            </w:r>
            <w:proofErr w:type="spellStart"/>
            <w:r w:rsidR="00A05FAD" w:rsidRPr="0099178E">
              <w:rPr>
                <w:rFonts w:ascii="Times New Roman" w:eastAsia="Times New Roman" w:hAnsi="Times New Roman" w:cs="Times New Roman"/>
                <w:i/>
                <w:sz w:val="22"/>
                <w:szCs w:val="22"/>
              </w:rPr>
              <w:t>Disabilities</w:t>
            </w:r>
            <w:proofErr w:type="spellEnd"/>
            <w:r w:rsidR="00A05FAD" w:rsidRPr="0099178E">
              <w:rPr>
                <w:rFonts w:ascii="Times New Roman" w:eastAsia="Times New Roman" w:hAnsi="Times New Roman" w:cs="Times New Roman"/>
                <w:sz w:val="22"/>
                <w:szCs w:val="22"/>
              </w:rPr>
              <w:t>).</w:t>
            </w:r>
          </w:p>
          <w:p w14:paraId="431E401B" w14:textId="51DF9C45" w:rsidR="00C74523" w:rsidRDefault="001B09DF" w:rsidP="000669D0">
            <w:pPr>
              <w:spacing w:before="120" w:after="120"/>
              <w:jc w:val="both"/>
              <w:rPr>
                <w:rFonts w:ascii="Times New Roman" w:eastAsia="Times New Roman" w:hAnsi="Times New Roman" w:cs="Times New Roman"/>
                <w:sz w:val="22"/>
                <w:szCs w:val="22"/>
              </w:rPr>
            </w:pPr>
            <w:r w:rsidRPr="00A93279">
              <w:rPr>
                <w:rFonts w:ascii="Times New Roman" w:eastAsia="Times New Roman" w:hAnsi="Times New Roman" w:cs="Times New Roman"/>
                <w:sz w:val="22"/>
                <w:szCs w:val="22"/>
              </w:rPr>
              <w:t xml:space="preserve">Poza </w:t>
            </w:r>
            <w:r w:rsidR="00941930" w:rsidRPr="00941930">
              <w:rPr>
                <w:rFonts w:ascii="Times New Roman" w:eastAsia="Times New Roman" w:hAnsi="Times New Roman" w:cs="Times New Roman"/>
                <w:sz w:val="22"/>
                <w:szCs w:val="22"/>
              </w:rPr>
              <w:t>osob</w:t>
            </w:r>
            <w:r w:rsidR="00941930">
              <w:rPr>
                <w:rFonts w:ascii="Times New Roman" w:eastAsia="Times New Roman" w:hAnsi="Times New Roman" w:cs="Times New Roman"/>
                <w:sz w:val="22"/>
                <w:szCs w:val="22"/>
              </w:rPr>
              <w:t>ami</w:t>
            </w:r>
            <w:r w:rsidR="00941930" w:rsidRPr="00941930">
              <w:rPr>
                <w:rFonts w:ascii="Times New Roman" w:eastAsia="Times New Roman" w:hAnsi="Times New Roman" w:cs="Times New Roman"/>
                <w:sz w:val="22"/>
                <w:szCs w:val="22"/>
              </w:rPr>
              <w:t xml:space="preserve"> niepełnosprawn</w:t>
            </w:r>
            <w:r w:rsidR="00941930">
              <w:rPr>
                <w:rFonts w:ascii="Times New Roman" w:eastAsia="Times New Roman" w:hAnsi="Times New Roman" w:cs="Times New Roman"/>
                <w:sz w:val="22"/>
                <w:szCs w:val="22"/>
              </w:rPr>
              <w:t>ymi</w:t>
            </w:r>
            <w:r w:rsidR="00941930" w:rsidRPr="00941930">
              <w:rPr>
                <w:rFonts w:ascii="Times New Roman" w:eastAsia="Times New Roman" w:hAnsi="Times New Roman" w:cs="Times New Roman"/>
                <w:sz w:val="22"/>
                <w:szCs w:val="22"/>
              </w:rPr>
              <w:t xml:space="preserve"> w rozumieniu </w:t>
            </w:r>
            <w:r w:rsidR="00613FF0">
              <w:rPr>
                <w:rFonts w:ascii="Times New Roman" w:eastAsia="Times New Roman" w:hAnsi="Times New Roman" w:cs="Times New Roman"/>
                <w:sz w:val="22"/>
                <w:szCs w:val="22"/>
              </w:rPr>
              <w:t>prze</w:t>
            </w:r>
            <w:r w:rsidR="00224455">
              <w:rPr>
                <w:rFonts w:ascii="Times New Roman" w:eastAsia="Times New Roman" w:hAnsi="Times New Roman" w:cs="Times New Roman"/>
                <w:sz w:val="22"/>
                <w:szCs w:val="22"/>
              </w:rPr>
              <w:t>p</w:t>
            </w:r>
            <w:r w:rsidR="00613FF0">
              <w:rPr>
                <w:rFonts w:ascii="Times New Roman" w:eastAsia="Times New Roman" w:hAnsi="Times New Roman" w:cs="Times New Roman"/>
                <w:sz w:val="22"/>
                <w:szCs w:val="22"/>
              </w:rPr>
              <w:t xml:space="preserve">isów </w:t>
            </w:r>
            <w:r w:rsidR="00941930" w:rsidRPr="00941930">
              <w:rPr>
                <w:rFonts w:ascii="Times New Roman" w:eastAsia="Times New Roman" w:hAnsi="Times New Roman" w:cs="Times New Roman"/>
                <w:sz w:val="22"/>
                <w:szCs w:val="22"/>
              </w:rPr>
              <w:t>ustawy z dnia 27 sierpnia 1997</w:t>
            </w:r>
            <w:r w:rsidR="00FF7032">
              <w:rPr>
                <w:rFonts w:ascii="Times New Roman" w:eastAsia="Times New Roman" w:hAnsi="Times New Roman" w:cs="Times New Roman"/>
                <w:sz w:val="22"/>
                <w:szCs w:val="22"/>
              </w:rPr>
              <w:t> </w:t>
            </w:r>
            <w:r w:rsidR="00941930" w:rsidRPr="00941930">
              <w:rPr>
                <w:rFonts w:ascii="Times New Roman" w:eastAsia="Times New Roman" w:hAnsi="Times New Roman" w:cs="Times New Roman"/>
                <w:sz w:val="22"/>
                <w:szCs w:val="22"/>
              </w:rPr>
              <w:t>r. o rehabilitacji zawodowej i</w:t>
            </w:r>
            <w:r w:rsidR="00DD341B">
              <w:rPr>
                <w:rFonts w:ascii="Times New Roman" w:eastAsia="Times New Roman" w:hAnsi="Times New Roman" w:cs="Times New Roman"/>
                <w:sz w:val="22"/>
                <w:szCs w:val="22"/>
              </w:rPr>
              <w:t> </w:t>
            </w:r>
            <w:r w:rsidR="00941930" w:rsidRPr="00941930">
              <w:rPr>
                <w:rFonts w:ascii="Times New Roman" w:eastAsia="Times New Roman" w:hAnsi="Times New Roman" w:cs="Times New Roman"/>
                <w:sz w:val="22"/>
                <w:szCs w:val="22"/>
              </w:rPr>
              <w:t>społecznej oraz zatrudnianiu osób niepełnosprawnych (Dz.</w:t>
            </w:r>
            <w:r w:rsidR="00503426">
              <w:rPr>
                <w:rFonts w:ascii="Times New Roman" w:eastAsia="Times New Roman" w:hAnsi="Times New Roman" w:cs="Times New Roman"/>
                <w:sz w:val="22"/>
                <w:szCs w:val="22"/>
              </w:rPr>
              <w:t xml:space="preserve"> </w:t>
            </w:r>
            <w:r w:rsidR="00941930" w:rsidRPr="00941930">
              <w:rPr>
                <w:rFonts w:ascii="Times New Roman" w:eastAsia="Times New Roman" w:hAnsi="Times New Roman" w:cs="Times New Roman"/>
                <w:sz w:val="22"/>
                <w:szCs w:val="22"/>
              </w:rPr>
              <w:t>U. z 202</w:t>
            </w:r>
            <w:r w:rsidR="00670BD9">
              <w:rPr>
                <w:rFonts w:ascii="Times New Roman" w:eastAsia="Times New Roman" w:hAnsi="Times New Roman" w:cs="Times New Roman"/>
                <w:sz w:val="22"/>
                <w:szCs w:val="22"/>
              </w:rPr>
              <w:t>3</w:t>
            </w:r>
            <w:r w:rsidR="00941930" w:rsidRPr="00941930">
              <w:rPr>
                <w:rFonts w:ascii="Times New Roman" w:eastAsia="Times New Roman" w:hAnsi="Times New Roman" w:cs="Times New Roman"/>
                <w:sz w:val="22"/>
                <w:szCs w:val="22"/>
              </w:rPr>
              <w:t xml:space="preserve"> r. poz. </w:t>
            </w:r>
            <w:r w:rsidR="00670BD9">
              <w:rPr>
                <w:rFonts w:ascii="Times New Roman" w:eastAsia="Times New Roman" w:hAnsi="Times New Roman" w:cs="Times New Roman"/>
                <w:sz w:val="22"/>
                <w:szCs w:val="22"/>
              </w:rPr>
              <w:t>100</w:t>
            </w:r>
            <w:r w:rsidR="00941930" w:rsidRPr="00941930">
              <w:rPr>
                <w:rFonts w:ascii="Times New Roman" w:eastAsia="Times New Roman" w:hAnsi="Times New Roman" w:cs="Times New Roman"/>
                <w:sz w:val="22"/>
                <w:szCs w:val="22"/>
              </w:rPr>
              <w:t xml:space="preserve">, z </w:t>
            </w:r>
            <w:proofErr w:type="spellStart"/>
            <w:r w:rsidR="00941930" w:rsidRPr="00941930">
              <w:rPr>
                <w:rFonts w:ascii="Times New Roman" w:eastAsia="Times New Roman" w:hAnsi="Times New Roman" w:cs="Times New Roman"/>
                <w:sz w:val="22"/>
                <w:szCs w:val="22"/>
              </w:rPr>
              <w:t>późn</w:t>
            </w:r>
            <w:proofErr w:type="spellEnd"/>
            <w:r w:rsidR="00941930" w:rsidRPr="00941930">
              <w:rPr>
                <w:rFonts w:ascii="Times New Roman" w:eastAsia="Times New Roman" w:hAnsi="Times New Roman" w:cs="Times New Roman"/>
                <w:sz w:val="22"/>
                <w:szCs w:val="22"/>
              </w:rPr>
              <w:t>. zm.</w:t>
            </w:r>
            <w:r w:rsidR="00503426">
              <w:rPr>
                <w:rFonts w:ascii="Times New Roman" w:eastAsia="Times New Roman" w:hAnsi="Times New Roman" w:cs="Times New Roman"/>
                <w:sz w:val="22"/>
                <w:szCs w:val="22"/>
              </w:rPr>
              <w:t>)</w:t>
            </w:r>
            <w:r w:rsidRPr="00A93279">
              <w:rPr>
                <w:rFonts w:ascii="Times New Roman" w:eastAsia="Times New Roman" w:hAnsi="Times New Roman" w:cs="Times New Roman"/>
                <w:sz w:val="22"/>
                <w:szCs w:val="22"/>
              </w:rPr>
              <w:t>, z przepisów dyrektywy 2019/882 skorzystają także inne grupy konsumentów, m.in. osoby starsze i te, które czasowo doświadczają ograniczeń funkcjonalnych.</w:t>
            </w:r>
            <w:r w:rsidR="0029045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Sama </w:t>
            </w:r>
            <w:r w:rsidR="00290450">
              <w:rPr>
                <w:rFonts w:ascii="Times New Roman" w:eastAsia="Times New Roman" w:hAnsi="Times New Roman" w:cs="Times New Roman"/>
                <w:sz w:val="22"/>
                <w:szCs w:val="22"/>
              </w:rPr>
              <w:t xml:space="preserve">dyrektywa 2019/882 </w:t>
            </w:r>
            <w:r>
              <w:rPr>
                <w:rFonts w:ascii="Times New Roman" w:eastAsia="Times New Roman" w:hAnsi="Times New Roman" w:cs="Times New Roman"/>
                <w:sz w:val="22"/>
                <w:szCs w:val="22"/>
              </w:rPr>
              <w:t xml:space="preserve">wspomina, </w:t>
            </w:r>
            <w:r w:rsidR="00290450">
              <w:rPr>
                <w:rFonts w:ascii="Times New Roman" w:eastAsia="Times New Roman" w:hAnsi="Times New Roman" w:cs="Times New Roman"/>
                <w:sz w:val="22"/>
                <w:szCs w:val="22"/>
              </w:rPr>
              <w:t>że „</w:t>
            </w:r>
            <w:r w:rsidR="00290450" w:rsidRPr="00290450">
              <w:rPr>
                <w:rFonts w:ascii="Times New Roman" w:eastAsia="Times New Roman" w:hAnsi="Times New Roman" w:cs="Times New Roman"/>
                <w:sz w:val="22"/>
                <w:szCs w:val="22"/>
              </w:rPr>
              <w:t>przyniesie korzyść również innym osobom, które doświadczają ograniczeń funkcjonalnych, takim jak osoby starsze, kobiety w ciąży c</w:t>
            </w:r>
            <w:r w:rsidR="00290450">
              <w:rPr>
                <w:rFonts w:ascii="Times New Roman" w:eastAsia="Times New Roman" w:hAnsi="Times New Roman" w:cs="Times New Roman"/>
                <w:sz w:val="22"/>
                <w:szCs w:val="22"/>
              </w:rPr>
              <w:t>zy osoby podróżujące z bagażem”.</w:t>
            </w:r>
          </w:p>
          <w:p w14:paraId="7A8E21D3" w14:textId="37149475" w:rsidR="004C3E49" w:rsidRDefault="004C3E49" w:rsidP="004C3E49">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sidRPr="00A93279">
              <w:rPr>
                <w:rFonts w:ascii="Times New Roman" w:eastAsia="Times New Roman" w:hAnsi="Times New Roman" w:cs="Times New Roman"/>
                <w:sz w:val="22"/>
                <w:szCs w:val="22"/>
              </w:rPr>
              <w:t>zięki możliwości zapewnienia pełniejszej i skuteczniejszej dostępności konsumenci skorzystają na szerszym dostępie do produktów i usług, co z kolei bezpośrednio przyczyni się do ułatwienia korzystania z wiel</w:t>
            </w:r>
            <w:r>
              <w:rPr>
                <w:rFonts w:ascii="Times New Roman" w:eastAsia="Times New Roman" w:hAnsi="Times New Roman" w:cs="Times New Roman"/>
                <w:sz w:val="22"/>
                <w:szCs w:val="22"/>
              </w:rPr>
              <w:t>u obszarów życia, m.in. edukacji, pracy, mobilności, ochrony zdrowia, kultury</w:t>
            </w:r>
            <w:r w:rsidR="00613FF0">
              <w:rPr>
                <w:rFonts w:ascii="Times New Roman" w:eastAsia="Times New Roman" w:hAnsi="Times New Roman" w:cs="Times New Roman"/>
                <w:sz w:val="22"/>
                <w:szCs w:val="22"/>
              </w:rPr>
              <w:t xml:space="preserve">, </w:t>
            </w:r>
            <w:r w:rsidRPr="00A93279">
              <w:rPr>
                <w:rFonts w:ascii="Times New Roman" w:eastAsia="Times New Roman" w:hAnsi="Times New Roman" w:cs="Times New Roman"/>
                <w:sz w:val="22"/>
                <w:szCs w:val="22"/>
              </w:rPr>
              <w:t xml:space="preserve">a w wielu przypadkach w ogóle pozwoli na dostęp do nich </w:t>
            </w:r>
            <w:r w:rsidR="005C4844">
              <w:rPr>
                <w:rFonts w:ascii="Times New Roman" w:eastAsia="Times New Roman" w:hAnsi="Times New Roman" w:cs="Times New Roman"/>
                <w:sz w:val="22"/>
                <w:szCs w:val="22"/>
              </w:rPr>
              <w:br/>
            </w:r>
            <w:r w:rsidRPr="00A93279">
              <w:rPr>
                <w:rFonts w:ascii="Times New Roman" w:eastAsia="Times New Roman" w:hAnsi="Times New Roman" w:cs="Times New Roman"/>
                <w:sz w:val="22"/>
                <w:szCs w:val="22"/>
              </w:rPr>
              <w:t>z poszanowaniem godności i równości.</w:t>
            </w:r>
          </w:p>
          <w:p w14:paraId="39B48993" w14:textId="2B901303" w:rsidR="00290450" w:rsidRDefault="00290450" w:rsidP="000669D0">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Wpływ d</w:t>
            </w:r>
            <w:r w:rsidR="00BF35EA">
              <w:rPr>
                <w:rFonts w:ascii="Times New Roman" w:eastAsia="Times New Roman" w:hAnsi="Times New Roman" w:cs="Times New Roman"/>
                <w:sz w:val="22"/>
                <w:szCs w:val="22"/>
              </w:rPr>
              <w:t>o</w:t>
            </w:r>
            <w:r>
              <w:rPr>
                <w:rFonts w:ascii="Times New Roman" w:eastAsia="Times New Roman" w:hAnsi="Times New Roman" w:cs="Times New Roman"/>
                <w:sz w:val="22"/>
                <w:szCs w:val="22"/>
              </w:rPr>
              <w:t xml:space="preserve">stępności na życie i funkcjonowanie wszystkich ludzi, niezależnie od sprawności, jest bardzo wyraźny </w:t>
            </w:r>
            <w:r w:rsidR="005C4844">
              <w:rPr>
                <w:rFonts w:ascii="Times New Roman" w:eastAsia="Times New Roman" w:hAnsi="Times New Roman" w:cs="Times New Roman"/>
                <w:sz w:val="22"/>
                <w:szCs w:val="22"/>
              </w:rPr>
              <w:br/>
            </w:r>
            <w:r>
              <w:rPr>
                <w:rFonts w:ascii="Times New Roman" w:eastAsia="Times New Roman" w:hAnsi="Times New Roman" w:cs="Times New Roman"/>
                <w:sz w:val="22"/>
                <w:szCs w:val="22"/>
              </w:rPr>
              <w:t>i potwierdzony m.in. w licznych rozwiązaniach technologicznych</w:t>
            </w:r>
            <w:r w:rsidR="00BD50A6">
              <w:rPr>
                <w:rFonts w:ascii="Times New Roman" w:eastAsia="Times New Roman" w:hAnsi="Times New Roman" w:cs="Times New Roman"/>
                <w:sz w:val="22"/>
                <w:szCs w:val="22"/>
              </w:rPr>
              <w:t>, które od dawna istnieją</w:t>
            </w:r>
            <w:r w:rsidR="000272AB">
              <w:rPr>
                <w:rFonts w:ascii="Times New Roman" w:eastAsia="Times New Roman" w:hAnsi="Times New Roman" w:cs="Times New Roman"/>
                <w:sz w:val="22"/>
                <w:szCs w:val="22"/>
              </w:rPr>
              <w:t xml:space="preserve"> na rynku i cieszą się popularnością.</w:t>
            </w:r>
          </w:p>
          <w:p w14:paraId="5E0E91DC" w14:textId="48814A0D" w:rsidR="0099178E" w:rsidRDefault="000272AB" w:rsidP="005275DF">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Bardzo często</w:t>
            </w:r>
            <w:r w:rsidRPr="005275DF">
              <w:rPr>
                <w:rFonts w:ascii="Times New Roman" w:eastAsia="Times New Roman" w:hAnsi="Times New Roman" w:cs="Times New Roman"/>
                <w:sz w:val="22"/>
                <w:szCs w:val="22"/>
              </w:rPr>
              <w:t xml:space="preserve"> produkty, </w:t>
            </w:r>
            <w:r w:rsidR="0099178E" w:rsidRPr="005275DF">
              <w:rPr>
                <w:rFonts w:ascii="Times New Roman" w:eastAsia="Times New Roman" w:hAnsi="Times New Roman" w:cs="Times New Roman"/>
                <w:sz w:val="22"/>
                <w:szCs w:val="22"/>
              </w:rPr>
              <w:t>usług</w:t>
            </w:r>
            <w:r w:rsidRPr="005275DF">
              <w:rPr>
                <w:rFonts w:ascii="Times New Roman" w:eastAsia="Times New Roman" w:hAnsi="Times New Roman" w:cs="Times New Roman"/>
                <w:sz w:val="22"/>
                <w:szCs w:val="22"/>
              </w:rPr>
              <w:t>i czy nowoczesne technologie</w:t>
            </w:r>
            <w:r w:rsidR="0099178E" w:rsidRPr="005275DF">
              <w:rPr>
                <w:rFonts w:ascii="Times New Roman" w:eastAsia="Times New Roman" w:hAnsi="Times New Roman" w:cs="Times New Roman"/>
                <w:sz w:val="22"/>
                <w:szCs w:val="22"/>
              </w:rPr>
              <w:t xml:space="preserve">, które pierwotnie </w:t>
            </w:r>
            <w:r w:rsidR="00153F8C" w:rsidRPr="005275DF">
              <w:rPr>
                <w:rFonts w:ascii="Times New Roman" w:eastAsia="Times New Roman" w:hAnsi="Times New Roman" w:cs="Times New Roman"/>
                <w:sz w:val="22"/>
                <w:szCs w:val="22"/>
              </w:rPr>
              <w:t xml:space="preserve">były </w:t>
            </w:r>
            <w:r w:rsidR="0099178E" w:rsidRPr="005275DF">
              <w:rPr>
                <w:rFonts w:ascii="Times New Roman" w:eastAsia="Times New Roman" w:hAnsi="Times New Roman" w:cs="Times New Roman"/>
                <w:sz w:val="22"/>
                <w:szCs w:val="22"/>
              </w:rPr>
              <w:t xml:space="preserve">zaprojektowane z myślą o osobach </w:t>
            </w:r>
            <w:r w:rsidR="005C4844">
              <w:rPr>
                <w:rFonts w:ascii="Times New Roman" w:eastAsia="Times New Roman" w:hAnsi="Times New Roman" w:cs="Times New Roman"/>
                <w:sz w:val="22"/>
                <w:szCs w:val="22"/>
              </w:rPr>
              <w:br/>
            </w:r>
            <w:r w:rsidR="0099178E" w:rsidRPr="005275DF">
              <w:rPr>
                <w:rFonts w:ascii="Times New Roman" w:eastAsia="Times New Roman" w:hAnsi="Times New Roman" w:cs="Times New Roman"/>
                <w:sz w:val="22"/>
                <w:szCs w:val="22"/>
              </w:rPr>
              <w:t xml:space="preserve">z niepełnosprawnościami, stały się </w:t>
            </w:r>
            <w:r w:rsidR="00153F8C">
              <w:rPr>
                <w:rFonts w:ascii="Times New Roman" w:eastAsia="Times New Roman" w:hAnsi="Times New Roman" w:cs="Times New Roman"/>
                <w:sz w:val="22"/>
                <w:szCs w:val="22"/>
              </w:rPr>
              <w:t>powszechnie</w:t>
            </w:r>
            <w:r w:rsidR="00153F8C" w:rsidRPr="005275DF">
              <w:rPr>
                <w:rFonts w:ascii="Times New Roman" w:eastAsia="Times New Roman" w:hAnsi="Times New Roman" w:cs="Times New Roman"/>
                <w:sz w:val="22"/>
                <w:szCs w:val="22"/>
              </w:rPr>
              <w:t xml:space="preserve"> </w:t>
            </w:r>
            <w:r w:rsidR="0099178E" w:rsidRPr="005275DF">
              <w:rPr>
                <w:rFonts w:ascii="Times New Roman" w:eastAsia="Times New Roman" w:hAnsi="Times New Roman" w:cs="Times New Roman"/>
                <w:sz w:val="22"/>
                <w:szCs w:val="22"/>
              </w:rPr>
              <w:t>popularne</w:t>
            </w:r>
            <w:r>
              <w:rPr>
                <w:rFonts w:ascii="Times New Roman" w:eastAsia="Times New Roman" w:hAnsi="Times New Roman" w:cs="Times New Roman"/>
                <w:sz w:val="22"/>
                <w:szCs w:val="22"/>
              </w:rPr>
              <w:t>. Przykładowo c</w:t>
            </w:r>
            <w:r w:rsidR="0099178E" w:rsidRPr="005275DF">
              <w:rPr>
                <w:rFonts w:ascii="Times New Roman" w:eastAsia="Times New Roman" w:hAnsi="Times New Roman" w:cs="Times New Roman"/>
                <w:sz w:val="22"/>
                <w:szCs w:val="22"/>
              </w:rPr>
              <w:t>zytniki ekranu</w:t>
            </w:r>
            <w:r>
              <w:rPr>
                <w:rFonts w:ascii="Times New Roman" w:eastAsia="Times New Roman" w:hAnsi="Times New Roman" w:cs="Times New Roman"/>
                <w:sz w:val="22"/>
                <w:szCs w:val="22"/>
              </w:rPr>
              <w:t xml:space="preserve"> </w:t>
            </w:r>
            <w:r w:rsidRPr="000272AB">
              <w:rPr>
                <w:rFonts w:ascii="Times New Roman" w:eastAsia="Times New Roman" w:hAnsi="Times New Roman" w:cs="Times New Roman"/>
                <w:sz w:val="22"/>
                <w:szCs w:val="22"/>
              </w:rPr>
              <w:t>odczytuj</w:t>
            </w:r>
            <w:r>
              <w:rPr>
                <w:rFonts w:ascii="Times New Roman" w:eastAsia="Times New Roman" w:hAnsi="Times New Roman" w:cs="Times New Roman"/>
                <w:sz w:val="22"/>
                <w:szCs w:val="22"/>
              </w:rPr>
              <w:t>ące</w:t>
            </w:r>
            <w:r w:rsidR="0099178E" w:rsidRPr="005275DF">
              <w:rPr>
                <w:rFonts w:ascii="Times New Roman" w:eastAsia="Times New Roman" w:hAnsi="Times New Roman" w:cs="Times New Roman"/>
                <w:sz w:val="22"/>
                <w:szCs w:val="22"/>
              </w:rPr>
              <w:t xml:space="preserve"> in</w:t>
            </w:r>
            <w:r w:rsidRPr="000272AB">
              <w:rPr>
                <w:rFonts w:ascii="Times New Roman" w:eastAsia="Times New Roman" w:hAnsi="Times New Roman" w:cs="Times New Roman"/>
                <w:sz w:val="22"/>
                <w:szCs w:val="22"/>
              </w:rPr>
              <w:t xml:space="preserve">formacje </w:t>
            </w:r>
            <w:r w:rsidR="005C4844">
              <w:rPr>
                <w:rFonts w:ascii="Times New Roman" w:eastAsia="Times New Roman" w:hAnsi="Times New Roman" w:cs="Times New Roman"/>
                <w:sz w:val="22"/>
                <w:szCs w:val="22"/>
              </w:rPr>
              <w:br/>
            </w:r>
            <w:r w:rsidRPr="000272AB">
              <w:rPr>
                <w:rFonts w:ascii="Times New Roman" w:eastAsia="Times New Roman" w:hAnsi="Times New Roman" w:cs="Times New Roman"/>
                <w:sz w:val="22"/>
                <w:szCs w:val="22"/>
              </w:rPr>
              <w:t>na ekranie na głos</w:t>
            </w:r>
            <w:r>
              <w:rPr>
                <w:rFonts w:ascii="Times New Roman" w:eastAsia="Times New Roman" w:hAnsi="Times New Roman" w:cs="Times New Roman"/>
                <w:sz w:val="22"/>
                <w:szCs w:val="22"/>
              </w:rPr>
              <w:t xml:space="preserve"> </w:t>
            </w:r>
            <w:r w:rsidR="0099178E" w:rsidRPr="005275DF">
              <w:rPr>
                <w:rFonts w:ascii="Times New Roman" w:eastAsia="Times New Roman" w:hAnsi="Times New Roman" w:cs="Times New Roman"/>
                <w:sz w:val="22"/>
                <w:szCs w:val="22"/>
              </w:rPr>
              <w:t>podobnie do książki audio</w:t>
            </w:r>
            <w:r>
              <w:rPr>
                <w:rFonts w:ascii="Times New Roman" w:eastAsia="Times New Roman" w:hAnsi="Times New Roman" w:cs="Times New Roman"/>
                <w:sz w:val="22"/>
                <w:szCs w:val="22"/>
              </w:rPr>
              <w:t xml:space="preserve"> są przydatnym i praktycznym narzędziem dla wszystkich. Napisy dla osób niesłyszących (z jęz. ang. </w:t>
            </w:r>
            <w:proofErr w:type="spellStart"/>
            <w:r w:rsidRPr="00BF35EA">
              <w:rPr>
                <w:rFonts w:ascii="Times New Roman" w:eastAsia="Times New Roman" w:hAnsi="Times New Roman" w:cs="Times New Roman"/>
                <w:i/>
                <w:sz w:val="22"/>
                <w:szCs w:val="22"/>
              </w:rPr>
              <w:t>closed</w:t>
            </w:r>
            <w:proofErr w:type="spellEnd"/>
            <w:r w:rsidRPr="00BF35EA">
              <w:rPr>
                <w:rFonts w:ascii="Times New Roman" w:eastAsia="Times New Roman" w:hAnsi="Times New Roman" w:cs="Times New Roman"/>
                <w:i/>
                <w:sz w:val="22"/>
                <w:szCs w:val="22"/>
              </w:rPr>
              <w:t xml:space="preserve"> </w:t>
            </w:r>
            <w:proofErr w:type="spellStart"/>
            <w:r w:rsidRPr="00BF35EA">
              <w:rPr>
                <w:rFonts w:ascii="Times New Roman" w:eastAsia="Times New Roman" w:hAnsi="Times New Roman" w:cs="Times New Roman"/>
                <w:i/>
                <w:sz w:val="22"/>
                <w:szCs w:val="22"/>
              </w:rPr>
              <w:t>captioning</w:t>
            </w:r>
            <w:proofErr w:type="spellEnd"/>
            <w:r>
              <w:rPr>
                <w:rFonts w:ascii="Times New Roman" w:eastAsia="Times New Roman" w:hAnsi="Times New Roman" w:cs="Times New Roman"/>
                <w:sz w:val="22"/>
                <w:szCs w:val="22"/>
              </w:rPr>
              <w:t>) to kolejna funkcjonalność</w:t>
            </w:r>
            <w:r w:rsidRPr="0099178E">
              <w:rPr>
                <w:rFonts w:ascii="Times New Roman" w:eastAsia="Times New Roman" w:hAnsi="Times New Roman" w:cs="Times New Roman"/>
                <w:sz w:val="22"/>
                <w:szCs w:val="22"/>
              </w:rPr>
              <w:t>, która wykracza poza pierwotnie zakładaną gru</w:t>
            </w:r>
            <w:r>
              <w:rPr>
                <w:rFonts w:ascii="Times New Roman" w:eastAsia="Times New Roman" w:hAnsi="Times New Roman" w:cs="Times New Roman"/>
                <w:sz w:val="22"/>
                <w:szCs w:val="22"/>
              </w:rPr>
              <w:t xml:space="preserve">pę </w:t>
            </w:r>
            <w:r>
              <w:rPr>
                <w:rFonts w:ascii="Times New Roman" w:eastAsia="Times New Roman" w:hAnsi="Times New Roman" w:cs="Times New Roman"/>
                <w:sz w:val="22"/>
                <w:szCs w:val="22"/>
              </w:rPr>
              <w:lastRenderedPageBreak/>
              <w:t>odbiorców</w:t>
            </w:r>
            <w:r w:rsidR="00971E80">
              <w:rPr>
                <w:rFonts w:ascii="Times New Roman" w:eastAsia="Times New Roman" w:hAnsi="Times New Roman" w:cs="Times New Roman"/>
                <w:sz w:val="22"/>
                <w:szCs w:val="22"/>
              </w:rPr>
              <w:t>.</w:t>
            </w:r>
            <w:r w:rsidR="00CD6110">
              <w:rPr>
                <w:rFonts w:ascii="Times New Roman" w:eastAsia="Times New Roman" w:hAnsi="Times New Roman" w:cs="Times New Roman"/>
                <w:sz w:val="22"/>
                <w:szCs w:val="22"/>
              </w:rPr>
              <w:t xml:space="preserve"> </w:t>
            </w:r>
            <w:r w:rsidR="00971E80">
              <w:rPr>
                <w:rFonts w:ascii="Times New Roman" w:eastAsia="Times New Roman" w:hAnsi="Times New Roman" w:cs="Times New Roman"/>
                <w:sz w:val="22"/>
                <w:szCs w:val="22"/>
              </w:rPr>
              <w:t>N</w:t>
            </w:r>
            <w:r>
              <w:rPr>
                <w:rFonts w:ascii="Times New Roman" w:eastAsia="Times New Roman" w:hAnsi="Times New Roman" w:cs="Times New Roman"/>
                <w:sz w:val="22"/>
                <w:szCs w:val="22"/>
              </w:rPr>
              <w:t>apisy, które sprawiają, że film jest bardziej dostępny dla osób głuchych lub ni</w:t>
            </w:r>
            <w:r w:rsidR="005116F2">
              <w:rPr>
                <w:rFonts w:ascii="Times New Roman" w:eastAsia="Times New Roman" w:hAnsi="Times New Roman" w:cs="Times New Roman"/>
                <w:sz w:val="22"/>
                <w:szCs w:val="22"/>
              </w:rPr>
              <w:t>e</w:t>
            </w:r>
            <w:r>
              <w:rPr>
                <w:rFonts w:ascii="Times New Roman" w:eastAsia="Times New Roman" w:hAnsi="Times New Roman" w:cs="Times New Roman"/>
                <w:sz w:val="22"/>
                <w:szCs w:val="22"/>
              </w:rPr>
              <w:t>dosłysz</w:t>
            </w:r>
            <w:r w:rsidR="005C4844">
              <w:rPr>
                <w:rFonts w:ascii="Times New Roman" w:eastAsia="Times New Roman" w:hAnsi="Times New Roman" w:cs="Times New Roman"/>
                <w:sz w:val="22"/>
                <w:szCs w:val="22"/>
              </w:rPr>
              <w:t>ą</w:t>
            </w:r>
            <w:r>
              <w:rPr>
                <w:rFonts w:ascii="Times New Roman" w:eastAsia="Times New Roman" w:hAnsi="Times New Roman" w:cs="Times New Roman"/>
                <w:sz w:val="22"/>
                <w:szCs w:val="22"/>
              </w:rPr>
              <w:t>cych</w:t>
            </w:r>
            <w:r w:rsidR="00C5755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50742C">
              <w:rPr>
                <w:rFonts w:ascii="Times New Roman" w:eastAsia="Times New Roman" w:hAnsi="Times New Roman" w:cs="Times New Roman"/>
                <w:sz w:val="22"/>
                <w:szCs w:val="22"/>
              </w:rPr>
              <w:t xml:space="preserve">mogą także </w:t>
            </w:r>
            <w:r>
              <w:rPr>
                <w:rFonts w:ascii="Times New Roman" w:eastAsia="Times New Roman" w:hAnsi="Times New Roman" w:cs="Times New Roman"/>
                <w:sz w:val="22"/>
                <w:szCs w:val="22"/>
              </w:rPr>
              <w:t>pomóc</w:t>
            </w:r>
            <w:r w:rsidRPr="0099178E">
              <w:rPr>
                <w:rFonts w:ascii="Times New Roman" w:eastAsia="Times New Roman" w:hAnsi="Times New Roman" w:cs="Times New Roman"/>
                <w:sz w:val="22"/>
                <w:szCs w:val="22"/>
              </w:rPr>
              <w:t xml:space="preserve"> innym </w:t>
            </w:r>
            <w:r>
              <w:rPr>
                <w:rFonts w:ascii="Times New Roman" w:eastAsia="Times New Roman" w:hAnsi="Times New Roman" w:cs="Times New Roman"/>
                <w:sz w:val="22"/>
                <w:szCs w:val="22"/>
              </w:rPr>
              <w:t>–</w:t>
            </w:r>
            <w:r w:rsidRPr="0099178E">
              <w:rPr>
                <w:rFonts w:ascii="Times New Roman" w:eastAsia="Times New Roman" w:hAnsi="Times New Roman" w:cs="Times New Roman"/>
                <w:sz w:val="22"/>
                <w:szCs w:val="22"/>
              </w:rPr>
              <w:t xml:space="preserve"> m</w:t>
            </w:r>
            <w:r>
              <w:rPr>
                <w:rFonts w:ascii="Times New Roman" w:eastAsia="Times New Roman" w:hAnsi="Times New Roman" w:cs="Times New Roman"/>
                <w:sz w:val="22"/>
                <w:szCs w:val="22"/>
              </w:rPr>
              <w:t>ogą</w:t>
            </w:r>
            <w:r w:rsidRPr="0099178E">
              <w:rPr>
                <w:rFonts w:ascii="Times New Roman" w:eastAsia="Times New Roman" w:hAnsi="Times New Roman" w:cs="Times New Roman"/>
                <w:sz w:val="22"/>
                <w:szCs w:val="22"/>
              </w:rPr>
              <w:t xml:space="preserve"> ułatwić zrozumien</w:t>
            </w:r>
            <w:r>
              <w:rPr>
                <w:rFonts w:ascii="Times New Roman" w:eastAsia="Times New Roman" w:hAnsi="Times New Roman" w:cs="Times New Roman"/>
                <w:sz w:val="22"/>
                <w:szCs w:val="22"/>
              </w:rPr>
              <w:t xml:space="preserve">ie osobom, dla których oryginalny </w:t>
            </w:r>
            <w:r w:rsidR="005F3A29">
              <w:rPr>
                <w:rFonts w:ascii="Times New Roman" w:eastAsia="Times New Roman" w:hAnsi="Times New Roman" w:cs="Times New Roman"/>
                <w:sz w:val="22"/>
                <w:szCs w:val="22"/>
              </w:rPr>
              <w:t>język</w:t>
            </w:r>
            <w:r w:rsidRPr="0099178E">
              <w:rPr>
                <w:rFonts w:ascii="Times New Roman" w:eastAsia="Times New Roman" w:hAnsi="Times New Roman" w:cs="Times New Roman"/>
                <w:sz w:val="22"/>
                <w:szCs w:val="22"/>
              </w:rPr>
              <w:t xml:space="preserve"> nie jest językiem o</w:t>
            </w:r>
            <w:r>
              <w:rPr>
                <w:rFonts w:ascii="Times New Roman" w:eastAsia="Times New Roman" w:hAnsi="Times New Roman" w:cs="Times New Roman"/>
                <w:sz w:val="22"/>
                <w:szCs w:val="22"/>
              </w:rPr>
              <w:t xml:space="preserve">jczystym, ułatwić </w:t>
            </w:r>
            <w:r w:rsidR="0050742C">
              <w:rPr>
                <w:rFonts w:ascii="Times New Roman" w:eastAsia="Times New Roman" w:hAnsi="Times New Roman" w:cs="Times New Roman"/>
                <w:sz w:val="22"/>
                <w:szCs w:val="22"/>
              </w:rPr>
              <w:t>zrozumienie w głoś</w:t>
            </w:r>
            <w:r>
              <w:rPr>
                <w:rFonts w:ascii="Times New Roman" w:eastAsia="Times New Roman" w:hAnsi="Times New Roman" w:cs="Times New Roman"/>
                <w:sz w:val="22"/>
                <w:szCs w:val="22"/>
              </w:rPr>
              <w:t>nej przestrzeni</w:t>
            </w:r>
            <w:r w:rsidR="0045349A">
              <w:rPr>
                <w:rFonts w:ascii="Times New Roman" w:eastAsia="Times New Roman" w:hAnsi="Times New Roman" w:cs="Times New Roman"/>
                <w:sz w:val="22"/>
                <w:szCs w:val="22"/>
              </w:rPr>
              <w:t xml:space="preserve"> czy</w:t>
            </w:r>
            <w:r>
              <w:rPr>
                <w:rFonts w:ascii="Times New Roman" w:eastAsia="Times New Roman" w:hAnsi="Times New Roman" w:cs="Times New Roman"/>
                <w:sz w:val="22"/>
                <w:szCs w:val="22"/>
              </w:rPr>
              <w:t xml:space="preserve"> </w:t>
            </w:r>
            <w:r w:rsidRPr="0099178E">
              <w:rPr>
                <w:rFonts w:ascii="Times New Roman" w:eastAsia="Times New Roman" w:hAnsi="Times New Roman" w:cs="Times New Roman"/>
                <w:sz w:val="22"/>
                <w:szCs w:val="22"/>
              </w:rPr>
              <w:t>pomóc osobom z trudnościami w nauce.</w:t>
            </w:r>
            <w:r>
              <w:rPr>
                <w:rFonts w:ascii="Times New Roman" w:eastAsia="Times New Roman" w:hAnsi="Times New Roman" w:cs="Times New Roman"/>
                <w:sz w:val="22"/>
                <w:szCs w:val="22"/>
              </w:rPr>
              <w:t xml:space="preserve"> Innym często stosowanym rozwiązaniem technologicznym jest opcja a</w:t>
            </w:r>
            <w:r w:rsidRPr="000272AB">
              <w:rPr>
                <w:rFonts w:ascii="Times New Roman" w:eastAsia="Times New Roman" w:hAnsi="Times New Roman" w:cs="Times New Roman"/>
                <w:sz w:val="22"/>
                <w:szCs w:val="22"/>
              </w:rPr>
              <w:t>systen</w:t>
            </w:r>
            <w:r>
              <w:rPr>
                <w:rFonts w:ascii="Times New Roman" w:eastAsia="Times New Roman" w:hAnsi="Times New Roman" w:cs="Times New Roman"/>
                <w:sz w:val="22"/>
                <w:szCs w:val="22"/>
              </w:rPr>
              <w:t>ta</w:t>
            </w:r>
            <w:r w:rsidR="0099178E" w:rsidRPr="005275DF">
              <w:rPr>
                <w:rFonts w:ascii="Times New Roman" w:eastAsia="Times New Roman" w:hAnsi="Times New Roman" w:cs="Times New Roman"/>
                <w:sz w:val="22"/>
                <w:szCs w:val="22"/>
              </w:rPr>
              <w:t xml:space="preserve"> głosow</w:t>
            </w:r>
            <w:r>
              <w:rPr>
                <w:rFonts w:ascii="Times New Roman" w:eastAsia="Times New Roman" w:hAnsi="Times New Roman" w:cs="Times New Roman"/>
                <w:sz w:val="22"/>
                <w:szCs w:val="22"/>
              </w:rPr>
              <w:t xml:space="preserve">ego </w:t>
            </w:r>
            <w:r w:rsidRPr="000272AB">
              <w:rPr>
                <w:rFonts w:ascii="Times New Roman" w:eastAsia="Times New Roman" w:hAnsi="Times New Roman" w:cs="Times New Roman"/>
                <w:sz w:val="22"/>
                <w:szCs w:val="22"/>
              </w:rPr>
              <w:t>wykorzystywan</w:t>
            </w:r>
            <w:r>
              <w:rPr>
                <w:rFonts w:ascii="Times New Roman" w:eastAsia="Times New Roman" w:hAnsi="Times New Roman" w:cs="Times New Roman"/>
                <w:sz w:val="22"/>
                <w:szCs w:val="22"/>
              </w:rPr>
              <w:t>a</w:t>
            </w:r>
            <w:r w:rsidR="0099178E" w:rsidRPr="005275DF">
              <w:rPr>
                <w:rFonts w:ascii="Times New Roman" w:eastAsia="Times New Roman" w:hAnsi="Times New Roman" w:cs="Times New Roman"/>
                <w:sz w:val="22"/>
                <w:szCs w:val="22"/>
              </w:rPr>
              <w:t xml:space="preserve"> w różnych urządzeni</w:t>
            </w:r>
            <w:r w:rsidRPr="000272AB">
              <w:rPr>
                <w:rFonts w:ascii="Times New Roman" w:eastAsia="Times New Roman" w:hAnsi="Times New Roman" w:cs="Times New Roman"/>
                <w:sz w:val="22"/>
                <w:szCs w:val="22"/>
              </w:rPr>
              <w:t>ach, smartfonach</w:t>
            </w:r>
            <w:r w:rsidR="0045349A">
              <w:rPr>
                <w:rFonts w:ascii="Times New Roman" w:eastAsia="Times New Roman" w:hAnsi="Times New Roman" w:cs="Times New Roman"/>
                <w:sz w:val="22"/>
                <w:szCs w:val="22"/>
              </w:rPr>
              <w:t xml:space="preserve"> czy</w:t>
            </w:r>
            <w:r w:rsidRPr="000272AB">
              <w:rPr>
                <w:rFonts w:ascii="Times New Roman" w:eastAsia="Times New Roman" w:hAnsi="Times New Roman" w:cs="Times New Roman"/>
                <w:sz w:val="22"/>
                <w:szCs w:val="22"/>
              </w:rPr>
              <w:t xml:space="preserve"> </w:t>
            </w:r>
            <w:r w:rsidR="0045349A">
              <w:rPr>
                <w:rFonts w:ascii="Times New Roman" w:eastAsia="Times New Roman" w:hAnsi="Times New Roman" w:cs="Times New Roman"/>
                <w:sz w:val="22"/>
                <w:szCs w:val="22"/>
              </w:rPr>
              <w:t xml:space="preserve">sprzęcie </w:t>
            </w:r>
            <w:r w:rsidRPr="000272AB">
              <w:rPr>
                <w:rFonts w:ascii="Times New Roman" w:eastAsia="Times New Roman" w:hAnsi="Times New Roman" w:cs="Times New Roman"/>
                <w:sz w:val="22"/>
                <w:szCs w:val="22"/>
              </w:rPr>
              <w:t>AGD</w:t>
            </w:r>
            <w:r w:rsidR="0045349A">
              <w:rPr>
                <w:rFonts w:ascii="Times New Roman" w:eastAsia="Times New Roman" w:hAnsi="Times New Roman" w:cs="Times New Roman"/>
                <w:sz w:val="22"/>
                <w:szCs w:val="22"/>
              </w:rPr>
              <w:t xml:space="preserve"> i</w:t>
            </w:r>
            <w:r w:rsidRPr="000272AB">
              <w:rPr>
                <w:rFonts w:ascii="Times New Roman" w:eastAsia="Times New Roman" w:hAnsi="Times New Roman" w:cs="Times New Roman"/>
                <w:sz w:val="22"/>
                <w:szCs w:val="22"/>
              </w:rPr>
              <w:t xml:space="preserve"> RTV</w:t>
            </w:r>
            <w:r w:rsidR="009F4714">
              <w:rPr>
                <w:rFonts w:ascii="Times New Roman" w:eastAsia="Times New Roman" w:hAnsi="Times New Roman" w:cs="Times New Roman"/>
                <w:sz w:val="22"/>
                <w:szCs w:val="22"/>
              </w:rPr>
              <w:t xml:space="preserve"> oraz w róż</w:t>
            </w:r>
            <w:r>
              <w:rPr>
                <w:rFonts w:ascii="Times New Roman" w:eastAsia="Times New Roman" w:hAnsi="Times New Roman" w:cs="Times New Roman"/>
                <w:sz w:val="22"/>
                <w:szCs w:val="22"/>
              </w:rPr>
              <w:t>nych okolicznościach</w:t>
            </w:r>
            <w:r w:rsidR="009F4714">
              <w:rPr>
                <w:rFonts w:ascii="Times New Roman" w:eastAsia="Times New Roman" w:hAnsi="Times New Roman" w:cs="Times New Roman"/>
                <w:sz w:val="22"/>
                <w:szCs w:val="22"/>
              </w:rPr>
              <w:t xml:space="preserve"> przez wszystkich.</w:t>
            </w:r>
          </w:p>
          <w:p w14:paraId="6FFE8D5F" w14:textId="3B5D48ED" w:rsidR="00AF4C90" w:rsidRDefault="0050742C" w:rsidP="005275DF">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Już te</w:t>
            </w:r>
            <w:r w:rsidR="00AF4C90">
              <w:rPr>
                <w:rFonts w:ascii="Times New Roman" w:eastAsia="Times New Roman" w:hAnsi="Times New Roman" w:cs="Times New Roman"/>
                <w:sz w:val="22"/>
                <w:szCs w:val="22"/>
              </w:rPr>
              <w:t xml:space="preserve"> przykłady pokazują, że trudno </w:t>
            </w:r>
            <w:r w:rsidR="0045349A">
              <w:rPr>
                <w:rFonts w:ascii="Times New Roman" w:eastAsia="Times New Roman" w:hAnsi="Times New Roman" w:cs="Times New Roman"/>
                <w:sz w:val="22"/>
                <w:szCs w:val="22"/>
              </w:rPr>
              <w:t xml:space="preserve">jest </w:t>
            </w:r>
            <w:r w:rsidR="00AF4C90">
              <w:rPr>
                <w:rFonts w:ascii="Times New Roman" w:eastAsia="Times New Roman" w:hAnsi="Times New Roman" w:cs="Times New Roman"/>
                <w:sz w:val="22"/>
                <w:szCs w:val="22"/>
              </w:rPr>
              <w:t>wyodrębnić wpływ dostę</w:t>
            </w:r>
            <w:r w:rsidR="00C74523">
              <w:rPr>
                <w:rFonts w:ascii="Times New Roman" w:eastAsia="Times New Roman" w:hAnsi="Times New Roman" w:cs="Times New Roman"/>
                <w:sz w:val="22"/>
                <w:szCs w:val="22"/>
              </w:rPr>
              <w:t>p</w:t>
            </w:r>
            <w:r w:rsidR="00AF4C90">
              <w:rPr>
                <w:rFonts w:ascii="Times New Roman" w:eastAsia="Times New Roman" w:hAnsi="Times New Roman" w:cs="Times New Roman"/>
                <w:sz w:val="22"/>
                <w:szCs w:val="22"/>
              </w:rPr>
              <w:t xml:space="preserve">ności, a zatem również projektowanej ustawy, </w:t>
            </w:r>
            <w:r w:rsidR="00470E35">
              <w:rPr>
                <w:rFonts w:ascii="Times New Roman" w:eastAsia="Times New Roman" w:hAnsi="Times New Roman" w:cs="Times New Roman"/>
                <w:sz w:val="22"/>
                <w:szCs w:val="22"/>
              </w:rPr>
              <w:br/>
            </w:r>
            <w:r w:rsidR="00AF4C90">
              <w:rPr>
                <w:rFonts w:ascii="Times New Roman" w:eastAsia="Times New Roman" w:hAnsi="Times New Roman" w:cs="Times New Roman"/>
                <w:sz w:val="22"/>
                <w:szCs w:val="22"/>
              </w:rPr>
              <w:t>na poszczególne grupy społeczne. Wpływ jest jednoznacz</w:t>
            </w:r>
            <w:r w:rsidR="00971E80">
              <w:rPr>
                <w:rFonts w:ascii="Times New Roman" w:eastAsia="Times New Roman" w:hAnsi="Times New Roman" w:cs="Times New Roman"/>
                <w:sz w:val="22"/>
                <w:szCs w:val="22"/>
              </w:rPr>
              <w:t>n</w:t>
            </w:r>
            <w:r w:rsidR="00AF4C90">
              <w:rPr>
                <w:rFonts w:ascii="Times New Roman" w:eastAsia="Times New Roman" w:hAnsi="Times New Roman" w:cs="Times New Roman"/>
                <w:sz w:val="22"/>
                <w:szCs w:val="22"/>
              </w:rPr>
              <w:t>ie pozytywny i moż</w:t>
            </w:r>
            <w:r>
              <w:rPr>
                <w:rFonts w:ascii="Times New Roman" w:eastAsia="Times New Roman" w:hAnsi="Times New Roman" w:cs="Times New Roman"/>
                <w:sz w:val="22"/>
                <w:szCs w:val="22"/>
              </w:rPr>
              <w:t xml:space="preserve">e </w:t>
            </w:r>
            <w:r w:rsidR="00AF4C90">
              <w:rPr>
                <w:rFonts w:ascii="Times New Roman" w:eastAsia="Times New Roman" w:hAnsi="Times New Roman" w:cs="Times New Roman"/>
                <w:sz w:val="22"/>
                <w:szCs w:val="22"/>
              </w:rPr>
              <w:t>obe</w:t>
            </w:r>
            <w:r w:rsidR="00C74523">
              <w:rPr>
                <w:rFonts w:ascii="Times New Roman" w:eastAsia="Times New Roman" w:hAnsi="Times New Roman" w:cs="Times New Roman"/>
                <w:sz w:val="22"/>
                <w:szCs w:val="22"/>
              </w:rPr>
              <w:t>j</w:t>
            </w:r>
            <w:r w:rsidR="00AF4C90">
              <w:rPr>
                <w:rFonts w:ascii="Times New Roman" w:eastAsia="Times New Roman" w:hAnsi="Times New Roman" w:cs="Times New Roman"/>
                <w:sz w:val="22"/>
                <w:szCs w:val="22"/>
              </w:rPr>
              <w:t>mować</w:t>
            </w:r>
            <w:r w:rsidR="00C74523">
              <w:rPr>
                <w:rFonts w:ascii="Times New Roman" w:eastAsia="Times New Roman" w:hAnsi="Times New Roman" w:cs="Times New Roman"/>
                <w:sz w:val="22"/>
                <w:szCs w:val="22"/>
              </w:rPr>
              <w:t xml:space="preserve"> </w:t>
            </w:r>
            <w:r w:rsidR="0045349A">
              <w:rPr>
                <w:rFonts w:ascii="Times New Roman" w:eastAsia="Times New Roman" w:hAnsi="Times New Roman" w:cs="Times New Roman"/>
                <w:sz w:val="22"/>
                <w:szCs w:val="22"/>
              </w:rPr>
              <w:t>oraz</w:t>
            </w:r>
            <w:r w:rsidR="00C74523">
              <w:rPr>
                <w:rFonts w:ascii="Times New Roman" w:eastAsia="Times New Roman" w:hAnsi="Times New Roman" w:cs="Times New Roman"/>
                <w:sz w:val="22"/>
                <w:szCs w:val="22"/>
              </w:rPr>
              <w:t xml:space="preserve"> obejmuje</w:t>
            </w:r>
            <w:r w:rsidR="00AF4C90">
              <w:rPr>
                <w:rFonts w:ascii="Times New Roman" w:eastAsia="Times New Roman" w:hAnsi="Times New Roman" w:cs="Times New Roman"/>
                <w:sz w:val="22"/>
                <w:szCs w:val="22"/>
              </w:rPr>
              <w:t xml:space="preserve"> r</w:t>
            </w:r>
            <w:r w:rsidR="00C57558">
              <w:rPr>
                <w:rFonts w:ascii="Times New Roman" w:eastAsia="Times New Roman" w:hAnsi="Times New Roman" w:cs="Times New Roman"/>
                <w:sz w:val="22"/>
                <w:szCs w:val="22"/>
              </w:rPr>
              <w:t>ó</w:t>
            </w:r>
            <w:r w:rsidR="00AF4C90">
              <w:rPr>
                <w:rFonts w:ascii="Times New Roman" w:eastAsia="Times New Roman" w:hAnsi="Times New Roman" w:cs="Times New Roman"/>
                <w:sz w:val="22"/>
                <w:szCs w:val="22"/>
              </w:rPr>
              <w:t>żne grupy osób</w:t>
            </w:r>
            <w:r w:rsidR="00C74523">
              <w:rPr>
                <w:rFonts w:ascii="Times New Roman" w:eastAsia="Times New Roman" w:hAnsi="Times New Roman" w:cs="Times New Roman"/>
                <w:sz w:val="22"/>
                <w:szCs w:val="22"/>
              </w:rPr>
              <w:t>.</w:t>
            </w:r>
          </w:p>
          <w:p w14:paraId="1382574C" w14:textId="497F2962" w:rsidR="0050742C" w:rsidRPr="0050742C" w:rsidRDefault="0050742C" w:rsidP="0050742C">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Poza tym trudno byłoby badać wpływ dostępności nawet w ramach jednej grupy „osób z niepełnosprawnościami”</w:t>
            </w:r>
            <w:r w:rsidR="0045349A">
              <w:rPr>
                <w:rFonts w:ascii="Times New Roman" w:eastAsia="Times New Roman" w:hAnsi="Times New Roman" w:cs="Times New Roman"/>
                <w:sz w:val="22"/>
                <w:szCs w:val="22"/>
              </w:rPr>
              <w:t>,</w:t>
            </w:r>
            <w:r w:rsidR="00C74523">
              <w:rPr>
                <w:rFonts w:ascii="Times New Roman" w:eastAsia="Times New Roman" w:hAnsi="Times New Roman" w:cs="Times New Roman"/>
                <w:sz w:val="22"/>
                <w:szCs w:val="22"/>
              </w:rPr>
              <w:t xml:space="preserve"> </w:t>
            </w:r>
            <w:r w:rsidR="00470E35">
              <w:rPr>
                <w:rFonts w:ascii="Times New Roman" w:eastAsia="Times New Roman" w:hAnsi="Times New Roman" w:cs="Times New Roman"/>
                <w:sz w:val="22"/>
                <w:szCs w:val="22"/>
              </w:rPr>
              <w:br/>
            </w:r>
            <w:r w:rsidR="00C74523">
              <w:rPr>
                <w:rFonts w:ascii="Times New Roman" w:eastAsia="Times New Roman" w:hAnsi="Times New Roman" w:cs="Times New Roman"/>
                <w:sz w:val="22"/>
                <w:szCs w:val="22"/>
              </w:rPr>
              <w:t>ze wzgl</w:t>
            </w:r>
            <w:r w:rsidR="00971E80">
              <w:rPr>
                <w:rFonts w:ascii="Times New Roman" w:eastAsia="Times New Roman" w:hAnsi="Times New Roman" w:cs="Times New Roman"/>
                <w:sz w:val="22"/>
                <w:szCs w:val="22"/>
              </w:rPr>
              <w:t>ędó</w:t>
            </w:r>
            <w:r w:rsidR="00C74523">
              <w:rPr>
                <w:rFonts w:ascii="Times New Roman" w:eastAsia="Times New Roman" w:hAnsi="Times New Roman" w:cs="Times New Roman"/>
                <w:sz w:val="22"/>
                <w:szCs w:val="22"/>
              </w:rPr>
              <w:t>w statystycznych</w:t>
            </w:r>
            <w:r>
              <w:rPr>
                <w:rFonts w:ascii="Times New Roman" w:eastAsia="Times New Roman" w:hAnsi="Times New Roman" w:cs="Times New Roman"/>
                <w:sz w:val="22"/>
                <w:szCs w:val="22"/>
              </w:rPr>
              <w:t xml:space="preserve">. </w:t>
            </w:r>
            <w:r w:rsidRPr="0050742C">
              <w:rPr>
                <w:rFonts w:ascii="Times New Roman" w:eastAsia="Times New Roman" w:hAnsi="Times New Roman" w:cs="Times New Roman"/>
                <w:sz w:val="22"/>
                <w:szCs w:val="22"/>
              </w:rPr>
              <w:t xml:space="preserve">Istnieje </w:t>
            </w:r>
            <w:r>
              <w:rPr>
                <w:rFonts w:ascii="Times New Roman" w:eastAsia="Times New Roman" w:hAnsi="Times New Roman" w:cs="Times New Roman"/>
                <w:sz w:val="22"/>
                <w:szCs w:val="22"/>
              </w:rPr>
              <w:t xml:space="preserve">podstawowy </w:t>
            </w:r>
            <w:r w:rsidRPr="0050742C">
              <w:rPr>
                <w:rFonts w:ascii="Times New Roman" w:eastAsia="Times New Roman" w:hAnsi="Times New Roman" w:cs="Times New Roman"/>
                <w:sz w:val="22"/>
                <w:szCs w:val="22"/>
              </w:rPr>
              <w:t xml:space="preserve">problem z pozyskaniem jednorodnych pod względem metodologicznym danych dotyczących osób niepełnosprawnych </w:t>
            </w:r>
            <w:r w:rsidR="00C74523">
              <w:rPr>
                <w:rFonts w:ascii="Times New Roman" w:eastAsia="Times New Roman" w:hAnsi="Times New Roman" w:cs="Times New Roman"/>
                <w:sz w:val="22"/>
                <w:szCs w:val="22"/>
              </w:rPr>
              <w:t>w Polsce i</w:t>
            </w:r>
            <w:r w:rsidR="00470E35">
              <w:rPr>
                <w:rFonts w:ascii="Times New Roman" w:eastAsia="Times New Roman" w:hAnsi="Times New Roman" w:cs="Times New Roman"/>
                <w:sz w:val="22"/>
                <w:szCs w:val="22"/>
              </w:rPr>
              <w:t xml:space="preserve"> </w:t>
            </w:r>
            <w:r w:rsidR="00971E80">
              <w:rPr>
                <w:rFonts w:ascii="Times New Roman" w:eastAsia="Times New Roman" w:hAnsi="Times New Roman" w:cs="Times New Roman"/>
                <w:sz w:val="22"/>
                <w:szCs w:val="22"/>
              </w:rPr>
              <w:t>UE</w:t>
            </w:r>
            <w:r w:rsidR="00C74523">
              <w:rPr>
                <w:rFonts w:ascii="Times New Roman" w:eastAsia="Times New Roman" w:hAnsi="Times New Roman" w:cs="Times New Roman"/>
                <w:sz w:val="22"/>
                <w:szCs w:val="22"/>
              </w:rPr>
              <w:t>, co warunkuje prawidłowe badanie zachodzących zjawisk.</w:t>
            </w:r>
            <w:r>
              <w:rPr>
                <w:rFonts w:ascii="Times New Roman" w:eastAsia="Times New Roman" w:hAnsi="Times New Roman" w:cs="Times New Roman"/>
                <w:sz w:val="22"/>
                <w:szCs w:val="22"/>
              </w:rPr>
              <w:t xml:space="preserve"> </w:t>
            </w:r>
            <w:r w:rsidRPr="0050742C">
              <w:rPr>
                <w:rFonts w:ascii="Times New Roman" w:eastAsia="Times New Roman" w:hAnsi="Times New Roman" w:cs="Times New Roman"/>
                <w:sz w:val="22"/>
                <w:szCs w:val="22"/>
              </w:rPr>
              <w:t>Niejednorodność wynika z różnego definiowania niepełnosprawności w poszczególnych krajach. Zróżnicowanie to odnosi się zarówno do definicji niepełnosprawności biologicznej, jak też określania niepełnosprawności prawnej.</w:t>
            </w:r>
          </w:p>
          <w:p w14:paraId="0A5BB3BD" w14:textId="710D3E48" w:rsidR="0050742C" w:rsidRPr="0050742C" w:rsidRDefault="0050742C" w:rsidP="0050742C">
            <w:pPr>
              <w:spacing w:before="120" w:after="120"/>
              <w:jc w:val="both"/>
              <w:rPr>
                <w:rFonts w:ascii="Times New Roman" w:eastAsia="Times New Roman" w:hAnsi="Times New Roman" w:cs="Times New Roman"/>
                <w:sz w:val="22"/>
                <w:szCs w:val="22"/>
              </w:rPr>
            </w:pPr>
            <w:r w:rsidRPr="0050742C">
              <w:rPr>
                <w:rFonts w:ascii="Times New Roman" w:eastAsia="Times New Roman" w:hAnsi="Times New Roman" w:cs="Times New Roman"/>
                <w:sz w:val="22"/>
                <w:szCs w:val="22"/>
              </w:rPr>
              <w:t xml:space="preserve">W krajach </w:t>
            </w:r>
            <w:r w:rsidR="00971E80">
              <w:rPr>
                <w:rFonts w:ascii="Times New Roman" w:eastAsia="Times New Roman" w:hAnsi="Times New Roman" w:cs="Times New Roman"/>
                <w:sz w:val="22"/>
                <w:szCs w:val="22"/>
              </w:rPr>
              <w:t>UE</w:t>
            </w:r>
            <w:r w:rsidR="00470E35">
              <w:rPr>
                <w:rFonts w:ascii="Times New Roman" w:eastAsia="Times New Roman" w:hAnsi="Times New Roman" w:cs="Times New Roman"/>
                <w:sz w:val="22"/>
                <w:szCs w:val="22"/>
              </w:rPr>
              <w:t xml:space="preserve"> </w:t>
            </w:r>
            <w:r w:rsidRPr="0050742C">
              <w:rPr>
                <w:rFonts w:ascii="Times New Roman" w:eastAsia="Times New Roman" w:hAnsi="Times New Roman" w:cs="Times New Roman"/>
                <w:sz w:val="22"/>
                <w:szCs w:val="22"/>
              </w:rPr>
              <w:t xml:space="preserve">w oparciu o jednolitą definicję niepełnosprawności biologicznej </w:t>
            </w:r>
            <w:r w:rsidR="0045349A" w:rsidRPr="0050742C">
              <w:rPr>
                <w:rFonts w:ascii="Times New Roman" w:eastAsia="Times New Roman" w:hAnsi="Times New Roman" w:cs="Times New Roman"/>
                <w:sz w:val="22"/>
                <w:szCs w:val="22"/>
              </w:rPr>
              <w:t xml:space="preserve">są </w:t>
            </w:r>
            <w:r w:rsidRPr="0050742C">
              <w:rPr>
                <w:rFonts w:ascii="Times New Roman" w:eastAsia="Times New Roman" w:hAnsi="Times New Roman" w:cs="Times New Roman"/>
                <w:sz w:val="22"/>
                <w:szCs w:val="22"/>
              </w:rPr>
              <w:t xml:space="preserve">zbierane dane dotyczące osób niepełnosprawnych biologicznie w ramach EHIS. </w:t>
            </w:r>
            <w:r w:rsidR="00C74523" w:rsidRPr="0050742C">
              <w:rPr>
                <w:rFonts w:ascii="Times New Roman" w:eastAsia="Times New Roman" w:hAnsi="Times New Roman" w:cs="Times New Roman"/>
                <w:sz w:val="22"/>
                <w:szCs w:val="22"/>
              </w:rPr>
              <w:t xml:space="preserve">W Polsce dane dotyczące osób niepełnosprawnych prawnie </w:t>
            </w:r>
            <w:r w:rsidR="0045349A" w:rsidRPr="0050742C">
              <w:rPr>
                <w:rFonts w:ascii="Times New Roman" w:eastAsia="Times New Roman" w:hAnsi="Times New Roman" w:cs="Times New Roman"/>
                <w:sz w:val="22"/>
                <w:szCs w:val="22"/>
              </w:rPr>
              <w:t xml:space="preserve">są </w:t>
            </w:r>
            <w:r w:rsidR="00C74523" w:rsidRPr="0050742C">
              <w:rPr>
                <w:rFonts w:ascii="Times New Roman" w:eastAsia="Times New Roman" w:hAnsi="Times New Roman" w:cs="Times New Roman"/>
                <w:sz w:val="22"/>
                <w:szCs w:val="22"/>
              </w:rPr>
              <w:t xml:space="preserve">dostępne na bieżąco, z kwartalną częstotliwością, na podstawie wyników Badania Aktywności Ekonomicznej Ludności (BAEL). </w:t>
            </w:r>
            <w:r w:rsidRPr="0050742C">
              <w:rPr>
                <w:rFonts w:ascii="Times New Roman" w:eastAsia="Times New Roman" w:hAnsi="Times New Roman" w:cs="Times New Roman"/>
                <w:sz w:val="22"/>
                <w:szCs w:val="22"/>
              </w:rPr>
              <w:t xml:space="preserve">Dane dotyczące osób niepełnosprawnych prawnie i biologicznie </w:t>
            </w:r>
            <w:r w:rsidR="0045349A" w:rsidRPr="0050742C">
              <w:rPr>
                <w:rFonts w:ascii="Times New Roman" w:eastAsia="Times New Roman" w:hAnsi="Times New Roman" w:cs="Times New Roman"/>
                <w:sz w:val="22"/>
                <w:szCs w:val="22"/>
              </w:rPr>
              <w:t xml:space="preserve">są </w:t>
            </w:r>
            <w:r w:rsidRPr="0050742C">
              <w:rPr>
                <w:rFonts w:ascii="Times New Roman" w:eastAsia="Times New Roman" w:hAnsi="Times New Roman" w:cs="Times New Roman"/>
                <w:sz w:val="22"/>
                <w:szCs w:val="22"/>
              </w:rPr>
              <w:t>zbierane w ramach przeprowadzanych z określoną częstotliwością narodowych spisów powszechnych (w Polsce co 10 lat) oraz badań reprezentacyjnych (ankietowych): badania stanu zdrowia ludności (w Polsce co 5 lat, od 2004</w:t>
            </w:r>
            <w:r w:rsidR="00FF7032">
              <w:rPr>
                <w:rFonts w:ascii="Times New Roman" w:eastAsia="Times New Roman" w:hAnsi="Times New Roman" w:cs="Times New Roman"/>
                <w:sz w:val="22"/>
                <w:szCs w:val="22"/>
              </w:rPr>
              <w:t> </w:t>
            </w:r>
            <w:r w:rsidRPr="0050742C">
              <w:rPr>
                <w:rFonts w:ascii="Times New Roman" w:eastAsia="Times New Roman" w:hAnsi="Times New Roman" w:cs="Times New Roman"/>
                <w:sz w:val="22"/>
                <w:szCs w:val="22"/>
              </w:rPr>
              <w:t>r</w:t>
            </w:r>
            <w:r w:rsidR="00971E80">
              <w:rPr>
                <w:rFonts w:ascii="Times New Roman" w:eastAsia="Times New Roman" w:hAnsi="Times New Roman" w:cs="Times New Roman"/>
                <w:sz w:val="22"/>
                <w:szCs w:val="22"/>
              </w:rPr>
              <w:t>.</w:t>
            </w:r>
            <w:r w:rsidRPr="0050742C">
              <w:rPr>
                <w:rFonts w:ascii="Times New Roman" w:eastAsia="Times New Roman" w:hAnsi="Times New Roman" w:cs="Times New Roman"/>
                <w:sz w:val="22"/>
                <w:szCs w:val="22"/>
              </w:rPr>
              <w:t>) oraz Europejskiego Badania Warunków Życia (EU SILC – co roku, od 2005</w:t>
            </w:r>
            <w:r w:rsidR="00FF7032">
              <w:rPr>
                <w:rFonts w:ascii="Times New Roman" w:eastAsia="Times New Roman" w:hAnsi="Times New Roman" w:cs="Times New Roman"/>
                <w:sz w:val="22"/>
                <w:szCs w:val="22"/>
              </w:rPr>
              <w:t> </w:t>
            </w:r>
            <w:r w:rsidRPr="0050742C">
              <w:rPr>
                <w:rFonts w:ascii="Times New Roman" w:eastAsia="Times New Roman" w:hAnsi="Times New Roman" w:cs="Times New Roman"/>
                <w:sz w:val="22"/>
                <w:szCs w:val="22"/>
              </w:rPr>
              <w:t>r</w:t>
            </w:r>
            <w:r w:rsidR="00971E80">
              <w:rPr>
                <w:rFonts w:ascii="Times New Roman" w:eastAsia="Times New Roman" w:hAnsi="Times New Roman" w:cs="Times New Roman"/>
                <w:sz w:val="22"/>
                <w:szCs w:val="22"/>
              </w:rPr>
              <w:t>.</w:t>
            </w:r>
            <w:r w:rsidRPr="0050742C">
              <w:rPr>
                <w:rFonts w:ascii="Times New Roman" w:eastAsia="Times New Roman" w:hAnsi="Times New Roman" w:cs="Times New Roman"/>
                <w:sz w:val="22"/>
                <w:szCs w:val="22"/>
              </w:rPr>
              <w:t>).</w:t>
            </w:r>
          </w:p>
          <w:p w14:paraId="7B0B04D1" w14:textId="25806282" w:rsidR="00C74523" w:rsidRDefault="0050742C" w:rsidP="0050742C">
            <w:pPr>
              <w:spacing w:before="120" w:after="120"/>
              <w:jc w:val="both"/>
              <w:rPr>
                <w:rFonts w:ascii="Times New Roman" w:eastAsia="Times New Roman" w:hAnsi="Times New Roman" w:cs="Times New Roman"/>
                <w:sz w:val="22"/>
                <w:szCs w:val="22"/>
              </w:rPr>
            </w:pPr>
            <w:r w:rsidRPr="00BD50A6">
              <w:rPr>
                <w:rFonts w:ascii="Times New Roman" w:eastAsia="Times New Roman" w:hAnsi="Times New Roman" w:cs="Times New Roman"/>
                <w:sz w:val="22"/>
                <w:szCs w:val="22"/>
              </w:rPr>
              <w:t>Zgodnie z definicją przyjętą w spisach powszechnych za osobę niepełnosprawną uważa się osobę, która posiadała odpowiednie orzeczenie wydane przez organ do tego uprawniony</w:t>
            </w:r>
            <w:r w:rsidR="00C57558">
              <w:rPr>
                <w:rFonts w:ascii="Times New Roman" w:eastAsia="Times New Roman" w:hAnsi="Times New Roman" w:cs="Times New Roman"/>
                <w:sz w:val="22"/>
                <w:szCs w:val="22"/>
              </w:rPr>
              <w:t>,</w:t>
            </w:r>
            <w:r w:rsidRPr="00BD50A6">
              <w:rPr>
                <w:rFonts w:ascii="Times New Roman" w:eastAsia="Times New Roman" w:hAnsi="Times New Roman" w:cs="Times New Roman"/>
                <w:sz w:val="22"/>
                <w:szCs w:val="22"/>
              </w:rPr>
              <w:t xml:space="preserve"> lub osobę, która takiego orzeczenia nie posiadała, lecz odczuwała ograniczenie sprawności w wykonywaniu czynności podstawowych dla swojego wieku (praca, nauka, zabawa, samoobsługa).</w:t>
            </w:r>
          </w:p>
          <w:p w14:paraId="70C4B7BD" w14:textId="241B323D" w:rsidR="004C3E49" w:rsidRDefault="004C3E49" w:rsidP="00BD50A6">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Ponadto b</w:t>
            </w:r>
            <w:r w:rsidRPr="004C3E49">
              <w:rPr>
                <w:rFonts w:ascii="Times New Roman" w:eastAsia="Times New Roman" w:hAnsi="Times New Roman" w:cs="Times New Roman"/>
                <w:sz w:val="22"/>
                <w:szCs w:val="22"/>
              </w:rPr>
              <w:t>ardzo ważn</w:t>
            </w:r>
            <w:r>
              <w:rPr>
                <w:rFonts w:ascii="Times New Roman" w:eastAsia="Times New Roman" w:hAnsi="Times New Roman" w:cs="Times New Roman"/>
                <w:sz w:val="22"/>
                <w:szCs w:val="22"/>
              </w:rPr>
              <w:t>ą</w:t>
            </w:r>
            <w:r w:rsidRPr="004C3E49">
              <w:rPr>
                <w:rFonts w:ascii="Times New Roman" w:eastAsia="Times New Roman" w:hAnsi="Times New Roman" w:cs="Times New Roman"/>
                <w:sz w:val="22"/>
                <w:szCs w:val="22"/>
              </w:rPr>
              <w:t xml:space="preserve"> informacj</w:t>
            </w:r>
            <w:r>
              <w:rPr>
                <w:rFonts w:ascii="Times New Roman" w:eastAsia="Times New Roman" w:hAnsi="Times New Roman" w:cs="Times New Roman"/>
                <w:sz w:val="22"/>
                <w:szCs w:val="22"/>
              </w:rPr>
              <w:t>ą</w:t>
            </w:r>
            <w:r w:rsidRPr="004C3E49">
              <w:rPr>
                <w:rFonts w:ascii="Times New Roman" w:eastAsia="Times New Roman" w:hAnsi="Times New Roman" w:cs="Times New Roman"/>
                <w:sz w:val="22"/>
                <w:szCs w:val="22"/>
              </w:rPr>
              <w:t xml:space="preserve"> poszerzając</w:t>
            </w:r>
            <w:r>
              <w:rPr>
                <w:rFonts w:ascii="Times New Roman" w:eastAsia="Times New Roman" w:hAnsi="Times New Roman" w:cs="Times New Roman"/>
                <w:sz w:val="22"/>
                <w:szCs w:val="22"/>
              </w:rPr>
              <w:t>ą</w:t>
            </w:r>
            <w:r w:rsidR="0050742C" w:rsidRPr="00BD50A6">
              <w:rPr>
                <w:rFonts w:ascii="Times New Roman" w:eastAsia="Times New Roman" w:hAnsi="Times New Roman" w:cs="Times New Roman"/>
                <w:sz w:val="22"/>
                <w:szCs w:val="22"/>
              </w:rPr>
              <w:t xml:space="preserve"> wiedzę o osobac</w:t>
            </w:r>
            <w:r w:rsidR="00C74523" w:rsidRPr="00C74523">
              <w:rPr>
                <w:rFonts w:ascii="Times New Roman" w:eastAsia="Times New Roman" w:hAnsi="Times New Roman" w:cs="Times New Roman"/>
                <w:sz w:val="22"/>
                <w:szCs w:val="22"/>
              </w:rPr>
              <w:t xml:space="preserve">h niepełnosprawnych prawnie </w:t>
            </w:r>
            <w:r w:rsidR="00C74523">
              <w:rPr>
                <w:rFonts w:ascii="Times New Roman" w:eastAsia="Times New Roman" w:hAnsi="Times New Roman" w:cs="Times New Roman"/>
                <w:sz w:val="22"/>
                <w:szCs w:val="22"/>
              </w:rPr>
              <w:t>jest</w:t>
            </w:r>
            <w:r w:rsidR="0050742C" w:rsidRPr="00BD50A6">
              <w:rPr>
                <w:rFonts w:ascii="Times New Roman" w:eastAsia="Times New Roman" w:hAnsi="Times New Roman" w:cs="Times New Roman"/>
                <w:sz w:val="22"/>
                <w:szCs w:val="22"/>
              </w:rPr>
              <w:t xml:space="preserve"> ich subiektywna ocena zdolności do wykonywania podstawowych czynności życiowych. Jest to o tyle istotne, że nie zawsze posiadane orzeczenie prawne (nawet najwyższego stopnia) jest odzwierciedleniem występujących ograniczeń w zwykłym, codziennym funkcjonowaniu</w:t>
            </w:r>
            <w:r w:rsidR="002856F4">
              <w:rPr>
                <w:rFonts w:ascii="Times New Roman" w:eastAsia="Times New Roman" w:hAnsi="Times New Roman" w:cs="Times New Roman"/>
                <w:sz w:val="22"/>
                <w:szCs w:val="22"/>
              </w:rPr>
              <w:t>).</w:t>
            </w:r>
            <w:r w:rsidR="002856F4">
              <w:rPr>
                <w:rStyle w:val="Odwoanieprzypisudolnego"/>
                <w:rFonts w:ascii="Times New Roman" w:eastAsia="Times New Roman" w:hAnsi="Times New Roman" w:cs="Times New Roman"/>
                <w:sz w:val="22"/>
                <w:szCs w:val="22"/>
              </w:rPr>
              <w:footnoteReference w:id="2"/>
            </w:r>
          </w:p>
          <w:p w14:paraId="45C9CA91" w14:textId="18629B6C" w:rsidR="0050742C" w:rsidRDefault="004C3E49" w:rsidP="00AF1986">
            <w:pPr>
              <w:pStyle w:val="Akapitzlist"/>
              <w:numPr>
                <w:ilvl w:val="0"/>
                <w:numId w:val="44"/>
              </w:numPr>
              <w:spacing w:before="120" w:after="120"/>
              <w:jc w:val="both"/>
              <w:rPr>
                <w:rFonts w:ascii="Times New Roman" w:eastAsia="Times New Roman" w:hAnsi="Times New Roman" w:cs="Times New Roman"/>
                <w:sz w:val="22"/>
                <w:szCs w:val="22"/>
              </w:rPr>
            </w:pPr>
            <w:r w:rsidRPr="00BD50A6">
              <w:rPr>
                <w:rFonts w:ascii="Times New Roman" w:eastAsia="Times New Roman" w:hAnsi="Times New Roman" w:cs="Times New Roman"/>
                <w:i/>
                <w:sz w:val="22"/>
                <w:szCs w:val="22"/>
              </w:rPr>
              <w:t xml:space="preserve">Rola podmiotów gospodarczych w realizacji celów </w:t>
            </w:r>
            <w:r w:rsidR="00224455">
              <w:rPr>
                <w:rFonts w:ascii="Times New Roman" w:eastAsia="Times New Roman" w:hAnsi="Times New Roman" w:cs="Times New Roman"/>
                <w:i/>
                <w:sz w:val="22"/>
                <w:szCs w:val="22"/>
              </w:rPr>
              <w:t xml:space="preserve">projektowanej </w:t>
            </w:r>
            <w:r w:rsidRPr="00BD50A6">
              <w:rPr>
                <w:rFonts w:ascii="Times New Roman" w:eastAsia="Times New Roman" w:hAnsi="Times New Roman" w:cs="Times New Roman"/>
                <w:i/>
                <w:sz w:val="22"/>
                <w:szCs w:val="22"/>
              </w:rPr>
              <w:t>ustawy</w:t>
            </w:r>
          </w:p>
          <w:p w14:paraId="696CEEB8" w14:textId="0C300BC1"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Podmioty gospodarcze objęte zakresem projektu ustawy mają obowiązek dostarczać produkty i świadczyć usługi, które spełniają wym</w:t>
            </w:r>
            <w:r w:rsidR="007B5784">
              <w:rPr>
                <w:rFonts w:ascii="Times New Roman" w:eastAsia="Times New Roman" w:hAnsi="Times New Roman" w:cs="Times New Roman"/>
                <w:sz w:val="22"/>
                <w:szCs w:val="22"/>
              </w:rPr>
              <w:t>agania</w:t>
            </w:r>
            <w:r w:rsidRPr="00300D62">
              <w:rPr>
                <w:rFonts w:ascii="Times New Roman" w:eastAsia="Times New Roman" w:hAnsi="Times New Roman" w:cs="Times New Roman"/>
                <w:sz w:val="22"/>
                <w:szCs w:val="22"/>
              </w:rPr>
              <w:t xml:space="preserve"> dostępności w niej określone. Zobowiązanymi </w:t>
            </w:r>
            <w:r w:rsidR="0045349A">
              <w:rPr>
                <w:rFonts w:ascii="Times New Roman" w:eastAsia="Times New Roman" w:hAnsi="Times New Roman" w:cs="Times New Roman"/>
                <w:sz w:val="22"/>
                <w:szCs w:val="22"/>
              </w:rPr>
              <w:t>zgodnie z</w:t>
            </w:r>
            <w:r w:rsidRPr="00300D62">
              <w:rPr>
                <w:rFonts w:ascii="Times New Roman" w:eastAsia="Times New Roman" w:hAnsi="Times New Roman" w:cs="Times New Roman"/>
                <w:sz w:val="22"/>
                <w:szCs w:val="22"/>
              </w:rPr>
              <w:t xml:space="preserve"> projekt</w:t>
            </w:r>
            <w:r w:rsidR="0045349A">
              <w:rPr>
                <w:rFonts w:ascii="Times New Roman" w:eastAsia="Times New Roman" w:hAnsi="Times New Roman" w:cs="Times New Roman"/>
                <w:sz w:val="22"/>
                <w:szCs w:val="22"/>
              </w:rPr>
              <w:t>em</w:t>
            </w:r>
            <w:r w:rsidRPr="00300D62">
              <w:rPr>
                <w:rFonts w:ascii="Times New Roman" w:eastAsia="Times New Roman" w:hAnsi="Times New Roman" w:cs="Times New Roman"/>
                <w:sz w:val="22"/>
                <w:szCs w:val="22"/>
              </w:rPr>
              <w:t xml:space="preserve"> ustawy są podmioty gospodarcze uczestniczące w łańcuchu dostaw i dystrybucji.</w:t>
            </w:r>
          </w:p>
          <w:p w14:paraId="130F0514" w14:textId="77777777"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 xml:space="preserve">Zapewnienie dostępności produktów jest obowiązkiem: </w:t>
            </w:r>
          </w:p>
          <w:p w14:paraId="424289E3" w14:textId="63AB8FEF" w:rsidR="00300D62" w:rsidRPr="00DD15A9" w:rsidRDefault="0045349A" w:rsidP="00AE2DC1">
            <w:pPr>
              <w:pStyle w:val="Akapitzlist"/>
              <w:numPr>
                <w:ilvl w:val="0"/>
                <w:numId w:val="49"/>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300D62" w:rsidRPr="00DD15A9">
              <w:rPr>
                <w:rFonts w:ascii="Times New Roman" w:eastAsia="Times New Roman" w:hAnsi="Times New Roman" w:cs="Times New Roman"/>
                <w:sz w:val="22"/>
                <w:szCs w:val="22"/>
              </w:rPr>
              <w:t>roducentów</w:t>
            </w:r>
            <w:r>
              <w:rPr>
                <w:rFonts w:ascii="Times New Roman" w:eastAsia="Times New Roman" w:hAnsi="Times New Roman" w:cs="Times New Roman"/>
                <w:sz w:val="22"/>
                <w:szCs w:val="22"/>
              </w:rPr>
              <w:t>;</w:t>
            </w:r>
          </w:p>
          <w:p w14:paraId="0DB09718" w14:textId="47BDAE39" w:rsidR="00300D62" w:rsidRPr="00DD15A9" w:rsidRDefault="00300D62" w:rsidP="00AE2DC1">
            <w:pPr>
              <w:pStyle w:val="Akapitzlist"/>
              <w:numPr>
                <w:ilvl w:val="0"/>
                <w:numId w:val="49"/>
              </w:numPr>
              <w:spacing w:after="12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upoważnionych przedstawicieli</w:t>
            </w:r>
            <w:r w:rsidR="0045349A">
              <w:rPr>
                <w:rFonts w:ascii="Times New Roman" w:eastAsia="Times New Roman" w:hAnsi="Times New Roman" w:cs="Times New Roman"/>
                <w:sz w:val="22"/>
                <w:szCs w:val="22"/>
              </w:rPr>
              <w:t>;</w:t>
            </w:r>
          </w:p>
          <w:p w14:paraId="4AA12E16" w14:textId="52D197D9" w:rsidR="00300D62" w:rsidRPr="00DD15A9" w:rsidRDefault="00300D62" w:rsidP="00AE2DC1">
            <w:pPr>
              <w:pStyle w:val="Akapitzlist"/>
              <w:numPr>
                <w:ilvl w:val="0"/>
                <w:numId w:val="49"/>
              </w:numPr>
              <w:spacing w:after="12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importerów</w:t>
            </w:r>
            <w:r w:rsidR="0045349A">
              <w:rPr>
                <w:rFonts w:ascii="Times New Roman" w:eastAsia="Times New Roman" w:hAnsi="Times New Roman" w:cs="Times New Roman"/>
                <w:sz w:val="22"/>
                <w:szCs w:val="22"/>
              </w:rPr>
              <w:t>;</w:t>
            </w:r>
          </w:p>
          <w:p w14:paraId="2471EEF1" w14:textId="77777777" w:rsidR="00300D62" w:rsidRPr="00DD15A9" w:rsidRDefault="00300D62" w:rsidP="00AE2DC1">
            <w:pPr>
              <w:pStyle w:val="Akapitzlist"/>
              <w:numPr>
                <w:ilvl w:val="0"/>
                <w:numId w:val="49"/>
              </w:numPr>
              <w:spacing w:after="12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dystrybutorów.</w:t>
            </w:r>
          </w:p>
          <w:p w14:paraId="41E84B13" w14:textId="77777777"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Zapewnienie dostępności usług jest obowiązkiem usługodawców.</w:t>
            </w:r>
          </w:p>
          <w:p w14:paraId="0794E23C" w14:textId="77777777"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Projekt ustawy formułuje wym</w:t>
            </w:r>
            <w:r w:rsidR="006A0DED">
              <w:rPr>
                <w:rFonts w:ascii="Times New Roman" w:eastAsia="Times New Roman" w:hAnsi="Times New Roman" w:cs="Times New Roman"/>
                <w:sz w:val="22"/>
                <w:szCs w:val="22"/>
              </w:rPr>
              <w:t>agania</w:t>
            </w:r>
            <w:r w:rsidRPr="00300D62">
              <w:rPr>
                <w:rFonts w:ascii="Times New Roman" w:eastAsia="Times New Roman" w:hAnsi="Times New Roman" w:cs="Times New Roman"/>
                <w:sz w:val="22"/>
                <w:szCs w:val="22"/>
              </w:rPr>
              <w:t xml:space="preserve"> dostępności w stosunku do następujących rodzajów produktów:</w:t>
            </w:r>
          </w:p>
          <w:p w14:paraId="75B7D276" w14:textId="77777777" w:rsidR="00300D62" w:rsidRPr="00DD15A9" w:rsidRDefault="00CD6110" w:rsidP="00AE2DC1">
            <w:pPr>
              <w:pStyle w:val="Akapitzlist"/>
              <w:numPr>
                <w:ilvl w:val="0"/>
                <w:numId w:val="50"/>
              </w:num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konsumenckich </w:t>
            </w:r>
            <w:r w:rsidR="00300D62" w:rsidRPr="00DD15A9">
              <w:rPr>
                <w:rFonts w:ascii="Times New Roman" w:eastAsia="Times New Roman" w:hAnsi="Times New Roman" w:cs="Times New Roman"/>
                <w:sz w:val="22"/>
                <w:szCs w:val="22"/>
              </w:rPr>
              <w:t>systemów sprzętu komputerowego ogólnego przeznaczenia i ich systemów operacyjnych;</w:t>
            </w:r>
          </w:p>
          <w:p w14:paraId="281201B0" w14:textId="77777777" w:rsidR="00300D62" w:rsidRPr="00DD15A9" w:rsidRDefault="00300D62" w:rsidP="00AE2DC1">
            <w:pPr>
              <w:pStyle w:val="Akapitzlist"/>
              <w:numPr>
                <w:ilvl w:val="0"/>
                <w:numId w:val="50"/>
              </w:numPr>
              <w:spacing w:after="12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terminali:</w:t>
            </w:r>
          </w:p>
          <w:p w14:paraId="55D78A7D" w14:textId="4DBB4330" w:rsidR="00300D62" w:rsidRPr="00BD50A6" w:rsidRDefault="00BD50A6" w:rsidP="00AE2DC1">
            <w:pPr>
              <w:pStyle w:val="Akapitzlist"/>
              <w:numPr>
                <w:ilvl w:val="0"/>
                <w:numId w:val="21"/>
              </w:numPr>
              <w:ind w:left="772"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300D62" w:rsidRPr="00BD50A6">
              <w:rPr>
                <w:rFonts w:ascii="Times New Roman" w:eastAsia="Times New Roman" w:hAnsi="Times New Roman" w:cs="Times New Roman"/>
                <w:sz w:val="22"/>
                <w:szCs w:val="22"/>
              </w:rPr>
              <w:t>łatniczych,</w:t>
            </w:r>
            <w:r w:rsidR="008C71E2">
              <w:rPr>
                <w:rFonts w:ascii="Times New Roman" w:eastAsia="Times New Roman" w:hAnsi="Times New Roman" w:cs="Times New Roman"/>
                <w:sz w:val="22"/>
                <w:szCs w:val="22"/>
              </w:rPr>
              <w:t xml:space="preserve"> </w:t>
            </w:r>
            <w:r w:rsidR="008C71E2" w:rsidRPr="008C71E2">
              <w:rPr>
                <w:rFonts w:ascii="Times New Roman" w:eastAsia="Times New Roman" w:hAnsi="Times New Roman" w:cs="Times New Roman"/>
                <w:sz w:val="22"/>
                <w:szCs w:val="22"/>
              </w:rPr>
              <w:t>będących urządzeniami, których głównym przeznaczeniem jest umożliwianie dokonywania płatności z użyciem instrumentów płatniczych w rozumieniu art. 2 pkt 10 ustawy z dnia 19 sierpnia 2011 r. o usługach płatniczych (Dz. U. z 2022 r. poz. 2360</w:t>
            </w:r>
            <w:r w:rsidR="0045349A">
              <w:rPr>
                <w:rFonts w:ascii="Times New Roman" w:eastAsia="Times New Roman" w:hAnsi="Times New Roman" w:cs="Times New Roman"/>
                <w:sz w:val="22"/>
                <w:szCs w:val="22"/>
              </w:rPr>
              <w:t xml:space="preserve">, z </w:t>
            </w:r>
            <w:proofErr w:type="spellStart"/>
            <w:r w:rsidR="0045349A">
              <w:rPr>
                <w:rFonts w:ascii="Times New Roman" w:eastAsia="Times New Roman" w:hAnsi="Times New Roman" w:cs="Times New Roman"/>
                <w:sz w:val="22"/>
                <w:szCs w:val="22"/>
              </w:rPr>
              <w:t>późn</w:t>
            </w:r>
            <w:proofErr w:type="spellEnd"/>
            <w:r w:rsidR="0045349A">
              <w:rPr>
                <w:rFonts w:ascii="Times New Roman" w:eastAsia="Times New Roman" w:hAnsi="Times New Roman" w:cs="Times New Roman"/>
                <w:sz w:val="22"/>
                <w:szCs w:val="22"/>
              </w:rPr>
              <w:t>. zm.</w:t>
            </w:r>
            <w:r w:rsidR="008C71E2" w:rsidRPr="008C71E2">
              <w:rPr>
                <w:rFonts w:ascii="Times New Roman" w:eastAsia="Times New Roman" w:hAnsi="Times New Roman" w:cs="Times New Roman"/>
                <w:sz w:val="22"/>
                <w:szCs w:val="22"/>
              </w:rPr>
              <w:t>) w fizycznym punkcie sprzedaży</w:t>
            </w:r>
            <w:r w:rsidR="008C71E2">
              <w:rPr>
                <w:rFonts w:ascii="Times New Roman" w:eastAsia="Times New Roman" w:hAnsi="Times New Roman" w:cs="Times New Roman"/>
                <w:sz w:val="22"/>
                <w:szCs w:val="22"/>
              </w:rPr>
              <w:t>,</w:t>
            </w:r>
          </w:p>
          <w:p w14:paraId="48E8B72D" w14:textId="1500924C" w:rsidR="00300D62" w:rsidRPr="00BD50A6" w:rsidRDefault="00C27E7A" w:rsidP="00AE2DC1">
            <w:pPr>
              <w:pStyle w:val="Akapitzlist"/>
              <w:numPr>
                <w:ilvl w:val="0"/>
                <w:numId w:val="21"/>
              </w:numPr>
              <w:ind w:left="772" w:hanging="28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samoobsługowych </w:t>
            </w:r>
            <w:r w:rsidR="00300D62" w:rsidRPr="00BD50A6">
              <w:rPr>
                <w:rFonts w:ascii="Times New Roman" w:eastAsia="Times New Roman" w:hAnsi="Times New Roman" w:cs="Times New Roman"/>
                <w:sz w:val="22"/>
                <w:szCs w:val="22"/>
              </w:rPr>
              <w:t xml:space="preserve">przeznaczonych do świadczenia usług objętych </w:t>
            </w:r>
            <w:r w:rsidR="00224455">
              <w:rPr>
                <w:rFonts w:ascii="Times New Roman" w:eastAsia="Times New Roman" w:hAnsi="Times New Roman" w:cs="Times New Roman"/>
                <w:sz w:val="22"/>
                <w:szCs w:val="22"/>
              </w:rPr>
              <w:t xml:space="preserve">projektowaną </w:t>
            </w:r>
            <w:r w:rsidR="00300D62" w:rsidRPr="00BD50A6">
              <w:rPr>
                <w:rFonts w:ascii="Times New Roman" w:eastAsia="Times New Roman" w:hAnsi="Times New Roman" w:cs="Times New Roman"/>
                <w:sz w:val="22"/>
                <w:szCs w:val="22"/>
              </w:rPr>
              <w:t>ustawą:</w:t>
            </w:r>
          </w:p>
          <w:p w14:paraId="22C8040E" w14:textId="77777777" w:rsidR="00BD50A6" w:rsidRDefault="00300D62" w:rsidP="005275DF">
            <w:pPr>
              <w:pStyle w:val="Akapitzlist"/>
              <w:numPr>
                <w:ilvl w:val="0"/>
                <w:numId w:val="20"/>
              </w:numPr>
              <w:spacing w:after="120"/>
              <w:ind w:left="1169"/>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bankomatów,</w:t>
            </w:r>
          </w:p>
          <w:p w14:paraId="6E50443B" w14:textId="77777777" w:rsidR="00300D62" w:rsidRPr="00BD50A6" w:rsidRDefault="00300D62" w:rsidP="005275DF">
            <w:pPr>
              <w:pStyle w:val="Akapitzlist"/>
              <w:numPr>
                <w:ilvl w:val="0"/>
                <w:numId w:val="20"/>
              </w:numPr>
              <w:spacing w:after="120"/>
              <w:ind w:left="1169"/>
              <w:jc w:val="both"/>
              <w:rPr>
                <w:rFonts w:ascii="Times New Roman" w:eastAsia="Times New Roman" w:hAnsi="Times New Roman" w:cs="Times New Roman"/>
                <w:sz w:val="22"/>
                <w:szCs w:val="22"/>
              </w:rPr>
            </w:pPr>
            <w:r w:rsidRPr="00BD50A6">
              <w:rPr>
                <w:rFonts w:ascii="Times New Roman" w:eastAsia="Times New Roman" w:hAnsi="Times New Roman" w:cs="Times New Roman"/>
                <w:sz w:val="22"/>
                <w:szCs w:val="22"/>
              </w:rPr>
              <w:t>automatów biletowych,</w:t>
            </w:r>
          </w:p>
          <w:p w14:paraId="18567FA6" w14:textId="77777777" w:rsidR="00300D62" w:rsidRPr="00DD15A9" w:rsidRDefault="00300D62" w:rsidP="005275DF">
            <w:pPr>
              <w:pStyle w:val="Akapitzlist"/>
              <w:numPr>
                <w:ilvl w:val="0"/>
                <w:numId w:val="20"/>
              </w:numPr>
              <w:spacing w:after="120"/>
              <w:ind w:left="1169"/>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urządzeń do odprawy,</w:t>
            </w:r>
          </w:p>
          <w:p w14:paraId="496BD2A7" w14:textId="77777777" w:rsidR="00300D62" w:rsidRPr="00DD15A9" w:rsidRDefault="00300D62" w:rsidP="005275DF">
            <w:pPr>
              <w:pStyle w:val="Akapitzlist"/>
              <w:numPr>
                <w:ilvl w:val="0"/>
                <w:numId w:val="20"/>
              </w:numPr>
              <w:spacing w:after="120"/>
              <w:ind w:left="1169"/>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interaktywnych terminali samoobsługowych przeznaczonych do udzielania informacji, z wyjątkiem terminali instalowanych jako zintegrowane części pojazdów samochodowych, statków powietrznych, statków wodnych i taboru kolejowego;</w:t>
            </w:r>
          </w:p>
          <w:p w14:paraId="487D3838" w14:textId="77777777" w:rsidR="00300D62" w:rsidRPr="00DD15A9" w:rsidRDefault="00300D62" w:rsidP="00AE2DC1">
            <w:pPr>
              <w:pStyle w:val="Akapitzlist"/>
              <w:numPr>
                <w:ilvl w:val="0"/>
                <w:numId w:val="50"/>
              </w:numPr>
              <w:spacing w:after="12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 xml:space="preserve">konsumenckich urządzeń końcowych z interaktywnymi zdolnościami obliczeniowymi wykorzystywanych </w:t>
            </w:r>
            <w:r w:rsidR="003A336B">
              <w:rPr>
                <w:rFonts w:ascii="Times New Roman" w:eastAsia="Times New Roman" w:hAnsi="Times New Roman" w:cs="Times New Roman"/>
                <w:sz w:val="22"/>
                <w:szCs w:val="22"/>
              </w:rPr>
              <w:br/>
            </w:r>
            <w:r w:rsidR="00CD6110">
              <w:rPr>
                <w:rFonts w:ascii="Times New Roman" w:eastAsia="Times New Roman" w:hAnsi="Times New Roman" w:cs="Times New Roman"/>
                <w:sz w:val="22"/>
                <w:szCs w:val="22"/>
              </w:rPr>
              <w:t>do</w:t>
            </w:r>
            <w:r w:rsidRPr="00DD15A9">
              <w:rPr>
                <w:rFonts w:ascii="Times New Roman" w:eastAsia="Times New Roman" w:hAnsi="Times New Roman" w:cs="Times New Roman"/>
                <w:sz w:val="22"/>
                <w:szCs w:val="22"/>
              </w:rPr>
              <w:t xml:space="preserve"> świadczenia usług </w:t>
            </w:r>
            <w:r w:rsidR="00F25CDB">
              <w:rPr>
                <w:rFonts w:ascii="Times New Roman" w:eastAsia="Times New Roman" w:hAnsi="Times New Roman" w:cs="Times New Roman"/>
                <w:sz w:val="22"/>
                <w:szCs w:val="22"/>
              </w:rPr>
              <w:t>telekomunikacyjnych</w:t>
            </w:r>
            <w:r w:rsidRPr="00DD15A9">
              <w:rPr>
                <w:rFonts w:ascii="Times New Roman" w:eastAsia="Times New Roman" w:hAnsi="Times New Roman" w:cs="Times New Roman"/>
                <w:sz w:val="22"/>
                <w:szCs w:val="22"/>
              </w:rPr>
              <w:t xml:space="preserve"> i usług dostępu do audiowizualnych usług medialnych;</w:t>
            </w:r>
          </w:p>
          <w:p w14:paraId="06E2973C" w14:textId="77777777" w:rsidR="00300D62" w:rsidRPr="00DD15A9" w:rsidRDefault="00300D62" w:rsidP="00AE2DC1">
            <w:pPr>
              <w:pStyle w:val="Akapitzlist"/>
              <w:numPr>
                <w:ilvl w:val="0"/>
                <w:numId w:val="50"/>
              </w:numPr>
              <w:spacing w:after="12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lastRenderedPageBreak/>
              <w:t>czytników książek elektronicznych.</w:t>
            </w:r>
          </w:p>
          <w:p w14:paraId="3DD098F0" w14:textId="77777777"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Projekt ustawy określa wym</w:t>
            </w:r>
            <w:r w:rsidR="006A0DED">
              <w:rPr>
                <w:rFonts w:ascii="Times New Roman" w:eastAsia="Times New Roman" w:hAnsi="Times New Roman" w:cs="Times New Roman"/>
                <w:sz w:val="22"/>
                <w:szCs w:val="22"/>
              </w:rPr>
              <w:t>agania</w:t>
            </w:r>
            <w:r w:rsidRPr="00300D62">
              <w:rPr>
                <w:rFonts w:ascii="Times New Roman" w:eastAsia="Times New Roman" w:hAnsi="Times New Roman" w:cs="Times New Roman"/>
                <w:sz w:val="22"/>
                <w:szCs w:val="22"/>
              </w:rPr>
              <w:t xml:space="preserve"> dostępności w odniesieniu do następujących rodzajów usług (z wyłączeniem usług świadczonych przez </w:t>
            </w:r>
            <w:proofErr w:type="spellStart"/>
            <w:r w:rsidRPr="00300D62">
              <w:rPr>
                <w:rFonts w:ascii="Times New Roman" w:eastAsia="Times New Roman" w:hAnsi="Times New Roman" w:cs="Times New Roman"/>
                <w:sz w:val="22"/>
                <w:szCs w:val="22"/>
              </w:rPr>
              <w:t>mikroprzedsiębiorców</w:t>
            </w:r>
            <w:proofErr w:type="spellEnd"/>
            <w:r w:rsidRPr="00300D62">
              <w:rPr>
                <w:rFonts w:ascii="Times New Roman" w:eastAsia="Times New Roman" w:hAnsi="Times New Roman" w:cs="Times New Roman"/>
                <w:sz w:val="22"/>
                <w:szCs w:val="22"/>
              </w:rPr>
              <w:t>):</w:t>
            </w:r>
          </w:p>
          <w:p w14:paraId="0687F540" w14:textId="522BA4EE" w:rsidR="00300D62" w:rsidRPr="00DD15A9" w:rsidRDefault="00F25CDB" w:rsidP="00AE2DC1">
            <w:pPr>
              <w:pStyle w:val="Akapitzlist"/>
              <w:numPr>
                <w:ilvl w:val="0"/>
                <w:numId w:val="51"/>
              </w:numPr>
              <w:spacing w:after="120"/>
              <w:ind w:left="772" w:hanging="425"/>
              <w:jc w:val="both"/>
              <w:rPr>
                <w:rFonts w:ascii="Times New Roman" w:eastAsia="Times New Roman" w:hAnsi="Times New Roman" w:cs="Times New Roman"/>
                <w:sz w:val="22"/>
                <w:szCs w:val="22"/>
              </w:rPr>
            </w:pPr>
            <w:r w:rsidRPr="00F25CDB">
              <w:rPr>
                <w:rFonts w:ascii="Times New Roman" w:eastAsia="Times New Roman" w:hAnsi="Times New Roman" w:cs="Times New Roman"/>
                <w:sz w:val="22"/>
                <w:szCs w:val="22"/>
              </w:rPr>
              <w:t>telekomunikacyjnych</w:t>
            </w:r>
            <w:r w:rsidR="00300D62" w:rsidRPr="00DD15A9">
              <w:rPr>
                <w:rFonts w:ascii="Times New Roman" w:eastAsia="Times New Roman" w:hAnsi="Times New Roman" w:cs="Times New Roman"/>
                <w:sz w:val="22"/>
                <w:szCs w:val="22"/>
              </w:rPr>
              <w:t>, z wyjątkiem usług transmisji wykorzystywanych do świadczenia usług komunikacji maszyna-maszyna;</w:t>
            </w:r>
          </w:p>
          <w:p w14:paraId="28D8455C" w14:textId="77777777" w:rsidR="00300D62" w:rsidRPr="00DD15A9" w:rsidRDefault="00300D62" w:rsidP="00AE2DC1">
            <w:pPr>
              <w:pStyle w:val="Akapitzlist"/>
              <w:numPr>
                <w:ilvl w:val="0"/>
                <w:numId w:val="51"/>
              </w:numPr>
              <w:spacing w:after="120"/>
              <w:ind w:left="772" w:hanging="425"/>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dostępu do audiowizualnych usług medialnych;</w:t>
            </w:r>
          </w:p>
          <w:p w14:paraId="0BE99B3D" w14:textId="77777777" w:rsidR="00300D62" w:rsidRPr="00DD15A9" w:rsidRDefault="00FB1E95" w:rsidP="00AE2DC1">
            <w:pPr>
              <w:pStyle w:val="Akapitzlist"/>
              <w:numPr>
                <w:ilvl w:val="0"/>
                <w:numId w:val="51"/>
              </w:numPr>
              <w:spacing w:after="120"/>
              <w:ind w:left="772" w:hanging="425"/>
              <w:jc w:val="both"/>
              <w:rPr>
                <w:rFonts w:ascii="Times New Roman" w:eastAsia="Times New Roman" w:hAnsi="Times New Roman" w:cs="Times New Roman"/>
                <w:sz w:val="22"/>
                <w:szCs w:val="22"/>
              </w:rPr>
            </w:pPr>
            <w:r w:rsidRPr="00AE2DC1">
              <w:rPr>
                <w:rFonts w:ascii="Times New Roman" w:eastAsia="Times New Roman" w:hAnsi="Times New Roman" w:cs="Times New Roman"/>
                <w:sz w:val="22"/>
                <w:szCs w:val="22"/>
              </w:rPr>
              <w:t>towarzyszących usługom</w:t>
            </w:r>
            <w:r w:rsidRPr="00DD15A9">
              <w:rPr>
                <w:rFonts w:ascii="Times New Roman" w:eastAsia="Times New Roman" w:hAnsi="Times New Roman" w:cs="Times New Roman"/>
                <w:sz w:val="22"/>
                <w:szCs w:val="22"/>
              </w:rPr>
              <w:t xml:space="preserve"> </w:t>
            </w:r>
            <w:r w:rsidR="00503426">
              <w:rPr>
                <w:rFonts w:ascii="Times New Roman" w:eastAsia="Times New Roman" w:hAnsi="Times New Roman" w:cs="Times New Roman"/>
                <w:sz w:val="22"/>
                <w:szCs w:val="22"/>
              </w:rPr>
              <w:t>autobusowego i autokarowego</w:t>
            </w:r>
            <w:r w:rsidR="00300D62" w:rsidRPr="00DD15A9">
              <w:rPr>
                <w:rFonts w:ascii="Times New Roman" w:eastAsia="Times New Roman" w:hAnsi="Times New Roman" w:cs="Times New Roman"/>
                <w:sz w:val="22"/>
                <w:szCs w:val="22"/>
              </w:rPr>
              <w:t xml:space="preserve">, lotniczego, wodnego oraz kolejowego </w:t>
            </w:r>
            <w:r w:rsidR="0039779F">
              <w:rPr>
                <w:rFonts w:ascii="Times New Roman" w:eastAsia="Times New Roman" w:hAnsi="Times New Roman" w:cs="Times New Roman"/>
                <w:sz w:val="22"/>
                <w:szCs w:val="22"/>
              </w:rPr>
              <w:t xml:space="preserve">transportu </w:t>
            </w:r>
            <w:r w:rsidR="0039779F" w:rsidRPr="00DD15A9">
              <w:rPr>
                <w:rFonts w:ascii="Times New Roman" w:eastAsia="Times New Roman" w:hAnsi="Times New Roman" w:cs="Times New Roman"/>
                <w:sz w:val="22"/>
                <w:szCs w:val="22"/>
              </w:rPr>
              <w:t xml:space="preserve">pasażerskiego </w:t>
            </w:r>
            <w:r w:rsidR="00300D62" w:rsidRPr="00DD15A9">
              <w:rPr>
                <w:rFonts w:ascii="Times New Roman" w:eastAsia="Times New Roman" w:hAnsi="Times New Roman" w:cs="Times New Roman"/>
                <w:sz w:val="22"/>
                <w:szCs w:val="22"/>
              </w:rPr>
              <w:t>w zakresie:</w:t>
            </w:r>
          </w:p>
          <w:p w14:paraId="1BF52B36" w14:textId="77777777" w:rsidR="00300D62" w:rsidRPr="00300D62" w:rsidRDefault="00300D62" w:rsidP="00097D97">
            <w:pPr>
              <w:pStyle w:val="Akapitzlist"/>
              <w:numPr>
                <w:ilvl w:val="0"/>
                <w:numId w:val="22"/>
              </w:numPr>
              <w:ind w:left="1054" w:hanging="284"/>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stron internetowych,</w:t>
            </w:r>
          </w:p>
          <w:p w14:paraId="27876500" w14:textId="77777777" w:rsidR="00300D62" w:rsidRPr="00300D62" w:rsidRDefault="00300D62" w:rsidP="00097D97">
            <w:pPr>
              <w:pStyle w:val="Akapitzlist"/>
              <w:numPr>
                <w:ilvl w:val="0"/>
                <w:numId w:val="22"/>
              </w:numPr>
              <w:ind w:left="1054" w:hanging="284"/>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 xml:space="preserve">usług </w:t>
            </w:r>
            <w:r w:rsidR="00503426">
              <w:rPr>
                <w:rFonts w:ascii="Times New Roman" w:eastAsia="Times New Roman" w:hAnsi="Times New Roman" w:cs="Times New Roman"/>
                <w:sz w:val="22"/>
                <w:szCs w:val="22"/>
              </w:rPr>
              <w:t>świadczonych za pomocą</w:t>
            </w:r>
            <w:r w:rsidRPr="00300D62">
              <w:rPr>
                <w:rFonts w:ascii="Times New Roman" w:eastAsia="Times New Roman" w:hAnsi="Times New Roman" w:cs="Times New Roman"/>
                <w:sz w:val="22"/>
                <w:szCs w:val="22"/>
              </w:rPr>
              <w:t xml:space="preserve"> urządze</w:t>
            </w:r>
            <w:r w:rsidR="00503426">
              <w:rPr>
                <w:rFonts w:ascii="Times New Roman" w:eastAsia="Times New Roman" w:hAnsi="Times New Roman" w:cs="Times New Roman"/>
                <w:sz w:val="22"/>
                <w:szCs w:val="22"/>
              </w:rPr>
              <w:t>ń</w:t>
            </w:r>
            <w:r w:rsidRPr="00300D62">
              <w:rPr>
                <w:rFonts w:ascii="Times New Roman" w:eastAsia="Times New Roman" w:hAnsi="Times New Roman" w:cs="Times New Roman"/>
                <w:sz w:val="22"/>
                <w:szCs w:val="22"/>
              </w:rPr>
              <w:t xml:space="preserve"> mobilnych, w tym aplikacji mobilnych,</w:t>
            </w:r>
          </w:p>
          <w:p w14:paraId="103A7530" w14:textId="77777777" w:rsidR="00300D62" w:rsidRPr="00300D62" w:rsidRDefault="00300D62" w:rsidP="00097D97">
            <w:pPr>
              <w:pStyle w:val="Akapitzlist"/>
              <w:numPr>
                <w:ilvl w:val="0"/>
                <w:numId w:val="22"/>
              </w:numPr>
              <w:ind w:left="1054" w:hanging="284"/>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biletów elektronicznych i usług elektronicznych systemów sprzedaży biletów,</w:t>
            </w:r>
          </w:p>
          <w:p w14:paraId="2DAE7127" w14:textId="77777777" w:rsidR="00300D62" w:rsidRPr="00300D62" w:rsidRDefault="00300D62" w:rsidP="00097D97">
            <w:pPr>
              <w:pStyle w:val="Akapitzlist"/>
              <w:numPr>
                <w:ilvl w:val="0"/>
                <w:numId w:val="22"/>
              </w:numPr>
              <w:ind w:left="1055" w:hanging="284"/>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 xml:space="preserve">dostarczania informacji związanych z </w:t>
            </w:r>
            <w:r w:rsidR="003263CD">
              <w:rPr>
                <w:rFonts w:ascii="Times New Roman" w:eastAsia="Times New Roman" w:hAnsi="Times New Roman" w:cs="Times New Roman"/>
                <w:sz w:val="22"/>
                <w:szCs w:val="22"/>
              </w:rPr>
              <w:t>t</w:t>
            </w:r>
            <w:r w:rsidR="00351A01">
              <w:rPr>
                <w:rFonts w:ascii="Times New Roman" w:eastAsia="Times New Roman" w:hAnsi="Times New Roman" w:cs="Times New Roman"/>
                <w:sz w:val="22"/>
                <w:szCs w:val="22"/>
              </w:rPr>
              <w:t>ymi</w:t>
            </w:r>
            <w:r w:rsidR="003263CD">
              <w:rPr>
                <w:rFonts w:ascii="Times New Roman" w:eastAsia="Times New Roman" w:hAnsi="Times New Roman" w:cs="Times New Roman"/>
                <w:sz w:val="22"/>
                <w:szCs w:val="22"/>
              </w:rPr>
              <w:t xml:space="preserve"> </w:t>
            </w:r>
            <w:r w:rsidRPr="00300D62">
              <w:rPr>
                <w:rFonts w:ascii="Times New Roman" w:eastAsia="Times New Roman" w:hAnsi="Times New Roman" w:cs="Times New Roman"/>
                <w:sz w:val="22"/>
                <w:szCs w:val="22"/>
              </w:rPr>
              <w:t>usług</w:t>
            </w:r>
            <w:r w:rsidR="00351A01">
              <w:rPr>
                <w:rFonts w:ascii="Times New Roman" w:eastAsia="Times New Roman" w:hAnsi="Times New Roman" w:cs="Times New Roman"/>
                <w:sz w:val="22"/>
                <w:szCs w:val="22"/>
              </w:rPr>
              <w:t>ami</w:t>
            </w:r>
            <w:r w:rsidRPr="00300D62">
              <w:rPr>
                <w:rFonts w:ascii="Times New Roman" w:eastAsia="Times New Roman" w:hAnsi="Times New Roman" w:cs="Times New Roman"/>
                <w:sz w:val="22"/>
                <w:szCs w:val="22"/>
              </w:rPr>
              <w:t>, w tym informacji o podróży w czasie rzeczywistym</w:t>
            </w:r>
            <w:r w:rsidR="003B6D1B">
              <w:rPr>
                <w:rFonts w:ascii="Times New Roman" w:eastAsia="Times New Roman" w:hAnsi="Times New Roman" w:cs="Times New Roman"/>
                <w:sz w:val="22"/>
                <w:szCs w:val="22"/>
              </w:rPr>
              <w:t>,</w:t>
            </w:r>
            <w:r w:rsidRPr="00300D62">
              <w:rPr>
                <w:rFonts w:ascii="Times New Roman" w:eastAsia="Times New Roman" w:hAnsi="Times New Roman" w:cs="Times New Roman"/>
                <w:sz w:val="22"/>
                <w:szCs w:val="22"/>
              </w:rPr>
              <w:t xml:space="preserve"> przy czym w odniesieniu do</w:t>
            </w:r>
            <w:r w:rsidR="003B6D1B">
              <w:rPr>
                <w:rFonts w:ascii="Times New Roman" w:eastAsia="Times New Roman" w:hAnsi="Times New Roman" w:cs="Times New Roman"/>
                <w:sz w:val="22"/>
                <w:szCs w:val="22"/>
              </w:rPr>
              <w:t xml:space="preserve"> dostarczania tych informacji za pośrednictwem</w:t>
            </w:r>
            <w:r w:rsidRPr="00300D62">
              <w:rPr>
                <w:rFonts w:ascii="Times New Roman" w:eastAsia="Times New Roman" w:hAnsi="Times New Roman" w:cs="Times New Roman"/>
                <w:sz w:val="22"/>
                <w:szCs w:val="22"/>
              </w:rPr>
              <w:t xml:space="preserve"> ekranów informacyjnych</w:t>
            </w:r>
            <w:r w:rsidR="003B6D1B">
              <w:rPr>
                <w:rFonts w:ascii="Times New Roman" w:eastAsia="Times New Roman" w:hAnsi="Times New Roman" w:cs="Times New Roman"/>
                <w:sz w:val="22"/>
                <w:szCs w:val="22"/>
              </w:rPr>
              <w:t xml:space="preserve"> obowiązek ten dotyczy</w:t>
            </w:r>
            <w:r w:rsidRPr="00300D62">
              <w:rPr>
                <w:rFonts w:ascii="Times New Roman" w:eastAsia="Times New Roman" w:hAnsi="Times New Roman" w:cs="Times New Roman"/>
                <w:sz w:val="22"/>
                <w:szCs w:val="22"/>
              </w:rPr>
              <w:t xml:space="preserve"> wyłącznie interaktywnych ekranów znajdujących się na terytorium UE,</w:t>
            </w:r>
          </w:p>
          <w:p w14:paraId="1837C049" w14:textId="77777777" w:rsidR="00300D62" w:rsidRPr="00300D62" w:rsidRDefault="00351A01" w:rsidP="00097D97">
            <w:pPr>
              <w:pStyle w:val="Akapitzlist"/>
              <w:numPr>
                <w:ilvl w:val="0"/>
                <w:numId w:val="22"/>
              </w:numPr>
              <w:ind w:left="105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dostarczania informacji </w:t>
            </w:r>
            <w:r w:rsidR="005A2D59">
              <w:rPr>
                <w:rFonts w:ascii="Times New Roman" w:eastAsia="Times New Roman" w:hAnsi="Times New Roman" w:cs="Times New Roman"/>
                <w:sz w:val="22"/>
                <w:szCs w:val="22"/>
              </w:rPr>
              <w:t>za pomocą</w:t>
            </w:r>
            <w:r>
              <w:rPr>
                <w:rFonts w:ascii="Times New Roman" w:eastAsia="Times New Roman" w:hAnsi="Times New Roman" w:cs="Times New Roman"/>
                <w:sz w:val="22"/>
                <w:szCs w:val="22"/>
              </w:rPr>
              <w:t xml:space="preserve"> przeznaczonych do tego </w:t>
            </w:r>
            <w:r w:rsidR="00300D62" w:rsidRPr="00300D62">
              <w:rPr>
                <w:rFonts w:ascii="Times New Roman" w:eastAsia="Times New Roman" w:hAnsi="Times New Roman" w:cs="Times New Roman"/>
                <w:sz w:val="22"/>
                <w:szCs w:val="22"/>
              </w:rPr>
              <w:t>interaktywnych terminal</w:t>
            </w:r>
            <w:r w:rsidR="00547C7F">
              <w:rPr>
                <w:rFonts w:ascii="Times New Roman" w:eastAsia="Times New Roman" w:hAnsi="Times New Roman" w:cs="Times New Roman"/>
                <w:sz w:val="22"/>
                <w:szCs w:val="22"/>
              </w:rPr>
              <w:t>i</w:t>
            </w:r>
            <w:r w:rsidR="00300D62" w:rsidRPr="00300D62">
              <w:rPr>
                <w:rFonts w:ascii="Times New Roman" w:eastAsia="Times New Roman" w:hAnsi="Times New Roman" w:cs="Times New Roman"/>
                <w:sz w:val="22"/>
                <w:szCs w:val="22"/>
              </w:rPr>
              <w:t xml:space="preserve"> samoobsługowych znajdujących się na terytorium UE, z wyjątkiem terminali instalowanych jako zintegrowane części pojazdów samochodowych, statków powietrznych, statków wodnych i taboru kolejowego;</w:t>
            </w:r>
          </w:p>
          <w:p w14:paraId="2DD85F34" w14:textId="77777777" w:rsidR="00300D62" w:rsidRPr="00DD15A9" w:rsidRDefault="00300D62" w:rsidP="00AE2DC1">
            <w:pPr>
              <w:pStyle w:val="Akapitzlist"/>
              <w:numPr>
                <w:ilvl w:val="0"/>
                <w:numId w:val="51"/>
              </w:numPr>
              <w:spacing w:before="120" w:after="120"/>
              <w:ind w:left="630" w:hanging="283"/>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bankowości detalicznej;</w:t>
            </w:r>
          </w:p>
          <w:p w14:paraId="60C90795" w14:textId="77777777" w:rsidR="00300D62" w:rsidRPr="00DD15A9" w:rsidRDefault="00300D62" w:rsidP="00AE2DC1">
            <w:pPr>
              <w:pStyle w:val="Akapitzlist"/>
              <w:numPr>
                <w:ilvl w:val="0"/>
                <w:numId w:val="51"/>
              </w:numPr>
              <w:spacing w:after="120"/>
              <w:ind w:left="347" w:firstLine="0"/>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rozpowszechniania książek elektronicznych;</w:t>
            </w:r>
          </w:p>
          <w:p w14:paraId="1B34DA17" w14:textId="77777777" w:rsidR="00300D62" w:rsidRPr="00DD15A9" w:rsidRDefault="00300D62" w:rsidP="00AE2DC1">
            <w:pPr>
              <w:pStyle w:val="Akapitzlist"/>
              <w:numPr>
                <w:ilvl w:val="0"/>
                <w:numId w:val="51"/>
              </w:numPr>
              <w:spacing w:after="120"/>
              <w:ind w:left="630" w:hanging="283"/>
              <w:jc w:val="both"/>
              <w:rPr>
                <w:rFonts w:ascii="Times New Roman" w:eastAsia="Times New Roman" w:hAnsi="Times New Roman" w:cs="Times New Roman"/>
                <w:sz w:val="22"/>
                <w:szCs w:val="22"/>
              </w:rPr>
            </w:pPr>
            <w:r w:rsidRPr="00DD15A9">
              <w:rPr>
                <w:rFonts w:ascii="Times New Roman" w:eastAsia="Times New Roman" w:hAnsi="Times New Roman" w:cs="Times New Roman"/>
                <w:sz w:val="22"/>
                <w:szCs w:val="22"/>
              </w:rPr>
              <w:t>handlu elektronicznego.</w:t>
            </w:r>
          </w:p>
          <w:p w14:paraId="559F5A9A" w14:textId="45D11B28"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Ponadto, w przypadku gdy w powiązaniu z danym produktem albo usługą są udostępniane usługi wsparcia technicznego, usługi przekazu lub usługi szkoleniowe, informacje na temat dostępności produktu albo usługi i</w:t>
            </w:r>
            <w:r w:rsidR="00416E5A">
              <w:rPr>
                <w:rFonts w:ascii="Times New Roman" w:eastAsia="Times New Roman" w:hAnsi="Times New Roman" w:cs="Times New Roman"/>
                <w:sz w:val="22"/>
                <w:szCs w:val="22"/>
              </w:rPr>
              <w:t xml:space="preserve"> ich</w:t>
            </w:r>
            <w:r w:rsidRPr="00300D62">
              <w:rPr>
                <w:rFonts w:ascii="Times New Roman" w:eastAsia="Times New Roman" w:hAnsi="Times New Roman" w:cs="Times New Roman"/>
                <w:sz w:val="22"/>
                <w:szCs w:val="22"/>
              </w:rPr>
              <w:t xml:space="preserve"> kompatybilności z</w:t>
            </w:r>
            <w:r w:rsidR="00DD341B">
              <w:rPr>
                <w:rFonts w:ascii="Times New Roman" w:eastAsia="Times New Roman" w:hAnsi="Times New Roman" w:cs="Times New Roman"/>
                <w:sz w:val="22"/>
                <w:szCs w:val="22"/>
              </w:rPr>
              <w:t> </w:t>
            </w:r>
            <w:r w:rsidRPr="00300D62">
              <w:rPr>
                <w:rFonts w:ascii="Times New Roman" w:eastAsia="Times New Roman" w:hAnsi="Times New Roman" w:cs="Times New Roman"/>
                <w:sz w:val="22"/>
                <w:szCs w:val="22"/>
              </w:rPr>
              <w:t>narzędziami wspomagającymi mają być udzielane z wykorzystaniem sposobów komunikacji określon</w:t>
            </w:r>
            <w:r w:rsidR="00B17414">
              <w:rPr>
                <w:rFonts w:ascii="Times New Roman" w:eastAsia="Times New Roman" w:hAnsi="Times New Roman" w:cs="Times New Roman"/>
                <w:sz w:val="22"/>
                <w:szCs w:val="22"/>
              </w:rPr>
              <w:t>ych</w:t>
            </w:r>
            <w:r w:rsidRPr="00300D62">
              <w:rPr>
                <w:rFonts w:ascii="Times New Roman" w:eastAsia="Times New Roman" w:hAnsi="Times New Roman" w:cs="Times New Roman"/>
                <w:sz w:val="22"/>
                <w:szCs w:val="22"/>
              </w:rPr>
              <w:t xml:space="preserve"> w projekcie ustawy.</w:t>
            </w:r>
          </w:p>
          <w:p w14:paraId="5D63B344" w14:textId="09B53C78" w:rsidR="00300D62" w:rsidRPr="00300D62" w:rsidRDefault="007F1E55" w:rsidP="00300D62">
            <w:pPr>
              <w:spacing w:after="120"/>
              <w:jc w:val="both"/>
              <w:rPr>
                <w:rFonts w:ascii="Times New Roman" w:eastAsia="Times New Roman" w:hAnsi="Times New Roman" w:cs="Times New Roman"/>
                <w:sz w:val="22"/>
                <w:szCs w:val="22"/>
              </w:rPr>
            </w:pPr>
            <w:r w:rsidRPr="008B7264">
              <w:rPr>
                <w:rFonts w:ascii="Times New Roman" w:eastAsia="Times New Roman" w:hAnsi="Times New Roman" w:cs="Times New Roman"/>
                <w:sz w:val="22"/>
                <w:szCs w:val="22"/>
              </w:rPr>
              <w:t>Ze względu na zasadę proporcjonalności</w:t>
            </w:r>
            <w:r w:rsidR="00300D62" w:rsidRPr="00300D62">
              <w:rPr>
                <w:rFonts w:ascii="Times New Roman" w:eastAsia="Times New Roman" w:hAnsi="Times New Roman" w:cs="Times New Roman"/>
                <w:sz w:val="22"/>
                <w:szCs w:val="22"/>
              </w:rPr>
              <w:t xml:space="preserve"> wym</w:t>
            </w:r>
            <w:r w:rsidR="00E76D34">
              <w:rPr>
                <w:rFonts w:ascii="Times New Roman" w:eastAsia="Times New Roman" w:hAnsi="Times New Roman" w:cs="Times New Roman"/>
                <w:sz w:val="22"/>
                <w:szCs w:val="22"/>
              </w:rPr>
              <w:t>agania</w:t>
            </w:r>
            <w:r w:rsidR="00300D62" w:rsidRPr="00300D62">
              <w:rPr>
                <w:rFonts w:ascii="Times New Roman" w:eastAsia="Times New Roman" w:hAnsi="Times New Roman" w:cs="Times New Roman"/>
                <w:sz w:val="22"/>
                <w:szCs w:val="22"/>
              </w:rPr>
              <w:t xml:space="preserve"> dostępności </w:t>
            </w:r>
            <w:r w:rsidR="006C1053">
              <w:rPr>
                <w:rFonts w:ascii="Times New Roman" w:eastAsia="Times New Roman" w:hAnsi="Times New Roman" w:cs="Times New Roman"/>
                <w:sz w:val="22"/>
                <w:szCs w:val="22"/>
              </w:rPr>
              <w:t xml:space="preserve">w projekcie ustawy </w:t>
            </w:r>
            <w:r w:rsidR="00300D62" w:rsidRPr="00300D62">
              <w:rPr>
                <w:rFonts w:ascii="Times New Roman" w:eastAsia="Times New Roman" w:hAnsi="Times New Roman" w:cs="Times New Roman"/>
                <w:sz w:val="22"/>
                <w:szCs w:val="22"/>
              </w:rPr>
              <w:t xml:space="preserve">mają zastosowanie </w:t>
            </w:r>
            <w:r w:rsidRPr="008B7264">
              <w:rPr>
                <w:rFonts w:ascii="Times New Roman" w:eastAsia="Times New Roman" w:hAnsi="Times New Roman" w:cs="Times New Roman"/>
                <w:sz w:val="22"/>
                <w:szCs w:val="22"/>
              </w:rPr>
              <w:t>jedynie</w:t>
            </w:r>
            <w:r w:rsidR="00300D62" w:rsidRPr="00300D62">
              <w:rPr>
                <w:rFonts w:ascii="Times New Roman" w:eastAsia="Times New Roman" w:hAnsi="Times New Roman" w:cs="Times New Roman"/>
                <w:sz w:val="22"/>
                <w:szCs w:val="22"/>
              </w:rPr>
              <w:t xml:space="preserve"> w</w:t>
            </w:r>
            <w:r w:rsidR="00DD341B">
              <w:rPr>
                <w:rFonts w:ascii="Times New Roman" w:eastAsia="Times New Roman" w:hAnsi="Times New Roman" w:cs="Times New Roman"/>
                <w:sz w:val="22"/>
                <w:szCs w:val="22"/>
              </w:rPr>
              <w:t> </w:t>
            </w:r>
            <w:r w:rsidR="00300D62" w:rsidRPr="00300D62">
              <w:rPr>
                <w:rFonts w:ascii="Times New Roman" w:eastAsia="Times New Roman" w:hAnsi="Times New Roman" w:cs="Times New Roman"/>
                <w:sz w:val="22"/>
                <w:szCs w:val="22"/>
              </w:rPr>
              <w:t xml:space="preserve">zakresie, w jakim nie </w:t>
            </w:r>
            <w:r w:rsidRPr="008B7264">
              <w:rPr>
                <w:rFonts w:ascii="Times New Roman" w:eastAsia="Times New Roman" w:hAnsi="Times New Roman" w:cs="Times New Roman"/>
                <w:sz w:val="22"/>
                <w:szCs w:val="22"/>
              </w:rPr>
              <w:t>stanowią</w:t>
            </w:r>
            <w:r w:rsidR="00300D62" w:rsidRPr="00300D62">
              <w:rPr>
                <w:rFonts w:ascii="Times New Roman" w:eastAsia="Times New Roman" w:hAnsi="Times New Roman" w:cs="Times New Roman"/>
                <w:sz w:val="22"/>
                <w:szCs w:val="22"/>
              </w:rPr>
              <w:t xml:space="preserve"> nieproporcjonalnego obciążenia</w:t>
            </w:r>
            <w:r w:rsidRPr="008B7264">
              <w:rPr>
                <w:rFonts w:ascii="Times New Roman" w:eastAsia="Times New Roman" w:hAnsi="Times New Roman" w:cs="Times New Roman"/>
                <w:sz w:val="22"/>
                <w:szCs w:val="22"/>
              </w:rPr>
              <w:t xml:space="preserve"> dla danego podmiotu gospodarczego</w:t>
            </w:r>
            <w:r w:rsidR="00B14B9B">
              <w:rPr>
                <w:rFonts w:ascii="Times New Roman" w:eastAsia="Times New Roman" w:hAnsi="Times New Roman" w:cs="Times New Roman"/>
                <w:sz w:val="22"/>
                <w:szCs w:val="22"/>
              </w:rPr>
              <w:t>,</w:t>
            </w:r>
            <w:r w:rsidRPr="008B7264">
              <w:rPr>
                <w:rFonts w:ascii="Times New Roman" w:eastAsia="Times New Roman" w:hAnsi="Times New Roman" w:cs="Times New Roman"/>
                <w:sz w:val="22"/>
                <w:szCs w:val="22"/>
              </w:rPr>
              <w:t xml:space="preserve"> lub w</w:t>
            </w:r>
            <w:r w:rsidR="00300D62" w:rsidRPr="00300D62">
              <w:rPr>
                <w:rFonts w:ascii="Times New Roman" w:eastAsia="Times New Roman" w:hAnsi="Times New Roman" w:cs="Times New Roman"/>
                <w:sz w:val="22"/>
                <w:szCs w:val="22"/>
              </w:rPr>
              <w:t xml:space="preserve"> zakresie, </w:t>
            </w:r>
            <w:r w:rsidRPr="008B7264">
              <w:rPr>
                <w:rFonts w:ascii="Times New Roman" w:eastAsia="Times New Roman" w:hAnsi="Times New Roman" w:cs="Times New Roman"/>
                <w:sz w:val="22"/>
                <w:szCs w:val="22"/>
              </w:rPr>
              <w:t>w</w:t>
            </w:r>
            <w:r w:rsidR="00DD341B">
              <w:rPr>
                <w:rFonts w:ascii="Times New Roman" w:eastAsia="Times New Roman" w:hAnsi="Times New Roman" w:cs="Times New Roman"/>
                <w:sz w:val="22"/>
                <w:szCs w:val="22"/>
              </w:rPr>
              <w:t> </w:t>
            </w:r>
            <w:r w:rsidRPr="008B7264">
              <w:rPr>
                <w:rFonts w:ascii="Times New Roman" w:eastAsia="Times New Roman" w:hAnsi="Times New Roman" w:cs="Times New Roman"/>
                <w:sz w:val="22"/>
                <w:szCs w:val="22"/>
              </w:rPr>
              <w:t xml:space="preserve">którym nie wymagają znaczących zmian w produktach i usługach. </w:t>
            </w:r>
            <w:r w:rsidR="006C1053">
              <w:rPr>
                <w:rFonts w:ascii="Times New Roman" w:eastAsia="Times New Roman" w:hAnsi="Times New Roman" w:cs="Times New Roman"/>
                <w:sz w:val="22"/>
                <w:szCs w:val="22"/>
              </w:rPr>
              <w:t>S</w:t>
            </w:r>
            <w:r w:rsidR="002B384F">
              <w:rPr>
                <w:rFonts w:ascii="Times New Roman" w:eastAsia="Times New Roman" w:hAnsi="Times New Roman" w:cs="Times New Roman"/>
                <w:sz w:val="22"/>
                <w:szCs w:val="22"/>
              </w:rPr>
              <w:t>ą</w:t>
            </w:r>
            <w:r w:rsidR="006C1053">
              <w:rPr>
                <w:rFonts w:ascii="Times New Roman" w:eastAsia="Times New Roman" w:hAnsi="Times New Roman" w:cs="Times New Roman"/>
                <w:sz w:val="22"/>
                <w:szCs w:val="22"/>
              </w:rPr>
              <w:t xml:space="preserve"> jednocześnie przewidziane</w:t>
            </w:r>
            <w:r w:rsidRPr="008B7264">
              <w:rPr>
                <w:rFonts w:ascii="Times New Roman" w:eastAsia="Times New Roman" w:hAnsi="Times New Roman" w:cs="Times New Roman"/>
                <w:sz w:val="22"/>
                <w:szCs w:val="22"/>
              </w:rPr>
              <w:t xml:space="preserve"> mechanizmy kontroli w celu weryfikowania, czy dany podmiot jest uprawniony do odstępstwa od stosowania wym</w:t>
            </w:r>
            <w:r w:rsidR="00E76D34">
              <w:rPr>
                <w:rFonts w:ascii="Times New Roman" w:eastAsia="Times New Roman" w:hAnsi="Times New Roman" w:cs="Times New Roman"/>
                <w:sz w:val="22"/>
                <w:szCs w:val="22"/>
              </w:rPr>
              <w:t>agań</w:t>
            </w:r>
            <w:r w:rsidRPr="008B7264">
              <w:rPr>
                <w:rFonts w:ascii="Times New Roman" w:eastAsia="Times New Roman" w:hAnsi="Times New Roman" w:cs="Times New Roman"/>
                <w:sz w:val="22"/>
                <w:szCs w:val="22"/>
              </w:rPr>
              <w:t xml:space="preserve"> dostępności.</w:t>
            </w:r>
          </w:p>
          <w:p w14:paraId="54E11211" w14:textId="77777777" w:rsidR="007F1E55" w:rsidRDefault="006C1053" w:rsidP="007F1E55">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Projekt ustawy realizuje zasadę</w:t>
            </w:r>
            <w:r w:rsidR="007F1E55" w:rsidRPr="008B7264">
              <w:rPr>
                <w:rFonts w:ascii="Times New Roman" w:eastAsia="Times New Roman" w:hAnsi="Times New Roman" w:cs="Times New Roman"/>
                <w:sz w:val="22"/>
                <w:szCs w:val="22"/>
              </w:rPr>
              <w:t xml:space="preserve"> „najpierw myśl na małą</w:t>
            </w:r>
            <w:r>
              <w:rPr>
                <w:rFonts w:ascii="Times New Roman" w:eastAsia="Times New Roman" w:hAnsi="Times New Roman" w:cs="Times New Roman"/>
                <w:sz w:val="22"/>
                <w:szCs w:val="22"/>
              </w:rPr>
              <w:t xml:space="preserve"> skalę” i uwzględnia</w:t>
            </w:r>
            <w:r w:rsidR="007F1E55" w:rsidRPr="008B7264">
              <w:rPr>
                <w:rFonts w:ascii="Times New Roman" w:eastAsia="Times New Roman" w:hAnsi="Times New Roman" w:cs="Times New Roman"/>
                <w:sz w:val="22"/>
                <w:szCs w:val="22"/>
              </w:rPr>
              <w:t xml:space="preserve"> obciążenia administracyjne, z którymi borykają się </w:t>
            </w:r>
            <w:r w:rsidR="002B384F">
              <w:rPr>
                <w:rFonts w:ascii="Times New Roman" w:eastAsia="Times New Roman" w:hAnsi="Times New Roman" w:cs="Times New Roman"/>
                <w:sz w:val="22"/>
                <w:szCs w:val="22"/>
              </w:rPr>
              <w:t>małe i średnie przedsiębiorstwa (</w:t>
            </w:r>
            <w:r w:rsidR="007F1E55" w:rsidRPr="008B7264">
              <w:rPr>
                <w:rFonts w:ascii="Times New Roman" w:eastAsia="Times New Roman" w:hAnsi="Times New Roman" w:cs="Times New Roman"/>
                <w:sz w:val="22"/>
                <w:szCs w:val="22"/>
              </w:rPr>
              <w:t>MŚP</w:t>
            </w:r>
            <w:r w:rsidR="002B384F">
              <w:rPr>
                <w:rFonts w:ascii="Times New Roman" w:eastAsia="Times New Roman" w:hAnsi="Times New Roman" w:cs="Times New Roman"/>
                <w:sz w:val="22"/>
                <w:szCs w:val="22"/>
              </w:rPr>
              <w:t>)</w:t>
            </w:r>
            <w:r w:rsidR="007F1E55" w:rsidRPr="008B726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w:t>
            </w:r>
            <w:r w:rsidR="007F1E55" w:rsidRPr="008B7264">
              <w:rPr>
                <w:rFonts w:ascii="Times New Roman" w:eastAsia="Times New Roman" w:hAnsi="Times New Roman" w:cs="Times New Roman"/>
                <w:sz w:val="22"/>
                <w:szCs w:val="22"/>
              </w:rPr>
              <w:t>bowiązki przeprowadzania oceny zgodności z wym</w:t>
            </w:r>
            <w:r w:rsidR="00D144FF">
              <w:rPr>
                <w:rFonts w:ascii="Times New Roman" w:eastAsia="Times New Roman" w:hAnsi="Times New Roman" w:cs="Times New Roman"/>
                <w:sz w:val="22"/>
                <w:szCs w:val="22"/>
              </w:rPr>
              <w:t>ag</w:t>
            </w:r>
            <w:r w:rsidR="00FF7032">
              <w:rPr>
                <w:rFonts w:ascii="Times New Roman" w:eastAsia="Times New Roman" w:hAnsi="Times New Roman" w:cs="Times New Roman"/>
                <w:sz w:val="22"/>
                <w:szCs w:val="22"/>
              </w:rPr>
              <w:t>a</w:t>
            </w:r>
            <w:r w:rsidR="00D144FF">
              <w:rPr>
                <w:rFonts w:ascii="Times New Roman" w:eastAsia="Times New Roman" w:hAnsi="Times New Roman" w:cs="Times New Roman"/>
                <w:sz w:val="22"/>
                <w:szCs w:val="22"/>
              </w:rPr>
              <w:t>niami</w:t>
            </w:r>
            <w:r>
              <w:rPr>
                <w:rFonts w:ascii="Times New Roman" w:eastAsia="Times New Roman" w:hAnsi="Times New Roman" w:cs="Times New Roman"/>
                <w:sz w:val="22"/>
                <w:szCs w:val="22"/>
              </w:rPr>
              <w:t xml:space="preserve"> dostępności s</w:t>
            </w:r>
            <w:r w:rsidR="002B384F">
              <w:rPr>
                <w:rFonts w:ascii="Times New Roman" w:eastAsia="Times New Roman" w:hAnsi="Times New Roman" w:cs="Times New Roman"/>
                <w:sz w:val="22"/>
                <w:szCs w:val="22"/>
              </w:rPr>
              <w:t>ą</w:t>
            </w:r>
            <w:r>
              <w:rPr>
                <w:rFonts w:ascii="Times New Roman" w:eastAsia="Times New Roman" w:hAnsi="Times New Roman" w:cs="Times New Roman"/>
                <w:sz w:val="22"/>
                <w:szCs w:val="22"/>
              </w:rPr>
              <w:t xml:space="preserve"> tak </w:t>
            </w:r>
            <w:r w:rsidR="0061649F">
              <w:rPr>
                <w:rFonts w:ascii="Times New Roman" w:eastAsia="Times New Roman" w:hAnsi="Times New Roman" w:cs="Times New Roman"/>
                <w:sz w:val="22"/>
                <w:szCs w:val="22"/>
              </w:rPr>
              <w:t>o</w:t>
            </w:r>
            <w:r w:rsidR="002B384F">
              <w:rPr>
                <w:rFonts w:ascii="Times New Roman" w:eastAsia="Times New Roman" w:hAnsi="Times New Roman" w:cs="Times New Roman"/>
                <w:sz w:val="22"/>
                <w:szCs w:val="22"/>
              </w:rPr>
              <w:t>kreślone</w:t>
            </w:r>
            <w:r>
              <w:rPr>
                <w:rFonts w:ascii="Times New Roman" w:eastAsia="Times New Roman" w:hAnsi="Times New Roman" w:cs="Times New Roman"/>
                <w:sz w:val="22"/>
                <w:szCs w:val="22"/>
              </w:rPr>
              <w:t xml:space="preserve">, aby </w:t>
            </w:r>
            <w:r w:rsidR="007F1E55" w:rsidRPr="008B7264">
              <w:rPr>
                <w:rFonts w:ascii="Times New Roman" w:eastAsia="Times New Roman" w:hAnsi="Times New Roman" w:cs="Times New Roman"/>
                <w:sz w:val="22"/>
                <w:szCs w:val="22"/>
              </w:rPr>
              <w:t>nie stanowiły nieproporcjonalnego obciążenia dla MŚP.</w:t>
            </w:r>
          </w:p>
          <w:p w14:paraId="597EF243" w14:textId="240D5CBC" w:rsidR="00427CCD" w:rsidRDefault="006C1053" w:rsidP="008F3DA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Projek</w:t>
            </w:r>
            <w:r w:rsidR="0061649F">
              <w:rPr>
                <w:rFonts w:ascii="Times New Roman" w:eastAsia="Times New Roman" w:hAnsi="Times New Roman" w:cs="Times New Roman"/>
                <w:sz w:val="22"/>
                <w:szCs w:val="22"/>
              </w:rPr>
              <w:t>t</w:t>
            </w:r>
            <w:r>
              <w:rPr>
                <w:rFonts w:ascii="Times New Roman" w:eastAsia="Times New Roman" w:hAnsi="Times New Roman" w:cs="Times New Roman"/>
                <w:sz w:val="22"/>
                <w:szCs w:val="22"/>
              </w:rPr>
              <w:t xml:space="preserve"> ustawy bierz</w:t>
            </w:r>
            <w:r w:rsidR="00CF23DE">
              <w:rPr>
                <w:rFonts w:ascii="Times New Roman" w:eastAsia="Times New Roman" w:hAnsi="Times New Roman" w:cs="Times New Roman"/>
                <w:sz w:val="22"/>
                <w:szCs w:val="22"/>
              </w:rPr>
              <w:t>e pod uwagę specyfikę</w:t>
            </w:r>
            <w:r>
              <w:rPr>
                <w:rFonts w:ascii="Times New Roman" w:eastAsia="Times New Roman" w:hAnsi="Times New Roman" w:cs="Times New Roman"/>
                <w:sz w:val="22"/>
                <w:szCs w:val="22"/>
              </w:rPr>
              <w:t xml:space="preserve"> mikroprzedsiębiorstw.</w:t>
            </w:r>
            <w:r w:rsidR="007F1E55" w:rsidRPr="00805843">
              <w:rPr>
                <w:rFonts w:ascii="Times New Roman" w:eastAsia="Times New Roman" w:hAnsi="Times New Roman" w:cs="Times New Roman"/>
                <w:sz w:val="22"/>
                <w:szCs w:val="22"/>
              </w:rPr>
              <w:t xml:space="preserve"> Wszystkie podmioty gospodarcze objęte zakresem stosowania </w:t>
            </w:r>
            <w:r w:rsidR="00224455">
              <w:rPr>
                <w:rFonts w:ascii="Times New Roman" w:eastAsia="Times New Roman" w:hAnsi="Times New Roman" w:cs="Times New Roman"/>
                <w:color w:val="000000"/>
                <w:sz w:val="22"/>
                <w:szCs w:val="22"/>
              </w:rPr>
              <w:t xml:space="preserve">projektowanej </w:t>
            </w:r>
            <w:r w:rsidR="00CF23DE">
              <w:rPr>
                <w:rFonts w:ascii="Times New Roman" w:eastAsia="Times New Roman" w:hAnsi="Times New Roman" w:cs="Times New Roman"/>
                <w:sz w:val="22"/>
                <w:szCs w:val="22"/>
              </w:rPr>
              <w:t>ustawy</w:t>
            </w:r>
            <w:r w:rsidR="007F1E55" w:rsidRPr="00805843">
              <w:rPr>
                <w:rFonts w:ascii="Times New Roman" w:eastAsia="Times New Roman" w:hAnsi="Times New Roman" w:cs="Times New Roman"/>
                <w:sz w:val="22"/>
                <w:szCs w:val="22"/>
              </w:rPr>
              <w:t xml:space="preserve"> </w:t>
            </w:r>
            <w:r w:rsidR="00CF23DE">
              <w:rPr>
                <w:rFonts w:ascii="Times New Roman" w:eastAsia="Times New Roman" w:hAnsi="Times New Roman" w:cs="Times New Roman"/>
                <w:sz w:val="22"/>
                <w:szCs w:val="22"/>
              </w:rPr>
              <w:t>oceniają</w:t>
            </w:r>
            <w:r w:rsidR="007F1E55" w:rsidRPr="00805843">
              <w:rPr>
                <w:rFonts w:ascii="Times New Roman" w:eastAsia="Times New Roman" w:hAnsi="Times New Roman" w:cs="Times New Roman"/>
                <w:sz w:val="22"/>
                <w:szCs w:val="22"/>
              </w:rPr>
              <w:t xml:space="preserve"> proporcjonalność obciążenia, jakim jest dla nich spełnienie wym</w:t>
            </w:r>
            <w:r w:rsidR="00295667">
              <w:rPr>
                <w:rFonts w:ascii="Times New Roman" w:eastAsia="Times New Roman" w:hAnsi="Times New Roman" w:cs="Times New Roman"/>
                <w:sz w:val="22"/>
                <w:szCs w:val="22"/>
              </w:rPr>
              <w:t>agań</w:t>
            </w:r>
            <w:r w:rsidR="007F1E55" w:rsidRPr="00805843">
              <w:rPr>
                <w:rFonts w:ascii="Times New Roman" w:eastAsia="Times New Roman" w:hAnsi="Times New Roman" w:cs="Times New Roman"/>
                <w:sz w:val="22"/>
                <w:szCs w:val="22"/>
              </w:rPr>
              <w:t xml:space="preserve"> dostępności</w:t>
            </w:r>
            <w:r w:rsidR="00D702E3">
              <w:rPr>
                <w:rFonts w:ascii="Times New Roman" w:eastAsia="Times New Roman" w:hAnsi="Times New Roman" w:cs="Times New Roman"/>
                <w:sz w:val="22"/>
                <w:szCs w:val="22"/>
              </w:rPr>
              <w:t>,</w:t>
            </w:r>
            <w:r w:rsidR="007F1E55" w:rsidRPr="00805843">
              <w:rPr>
                <w:rFonts w:ascii="Times New Roman" w:eastAsia="Times New Roman" w:hAnsi="Times New Roman" w:cs="Times New Roman"/>
                <w:sz w:val="22"/>
                <w:szCs w:val="22"/>
              </w:rPr>
              <w:t xml:space="preserve"> </w:t>
            </w:r>
            <w:r w:rsidR="00CF23DE">
              <w:rPr>
                <w:rFonts w:ascii="Times New Roman" w:eastAsia="Times New Roman" w:hAnsi="Times New Roman" w:cs="Times New Roman"/>
                <w:sz w:val="22"/>
                <w:szCs w:val="22"/>
              </w:rPr>
              <w:t>i są zobowiązane sp</w:t>
            </w:r>
            <w:r w:rsidR="002B384F">
              <w:rPr>
                <w:rFonts w:ascii="Times New Roman" w:eastAsia="Times New Roman" w:hAnsi="Times New Roman" w:cs="Times New Roman"/>
                <w:sz w:val="22"/>
                <w:szCs w:val="22"/>
              </w:rPr>
              <w:t>e</w:t>
            </w:r>
            <w:r w:rsidR="00CF23DE">
              <w:rPr>
                <w:rFonts w:ascii="Times New Roman" w:eastAsia="Times New Roman" w:hAnsi="Times New Roman" w:cs="Times New Roman"/>
                <w:sz w:val="22"/>
                <w:szCs w:val="22"/>
              </w:rPr>
              <w:t>łniać</w:t>
            </w:r>
            <w:r w:rsidR="007F1E55" w:rsidRPr="00805843">
              <w:rPr>
                <w:rFonts w:ascii="Times New Roman" w:eastAsia="Times New Roman" w:hAnsi="Times New Roman" w:cs="Times New Roman"/>
                <w:sz w:val="22"/>
                <w:szCs w:val="22"/>
              </w:rPr>
              <w:t xml:space="preserve"> te wym</w:t>
            </w:r>
            <w:r w:rsidR="00295667">
              <w:rPr>
                <w:rFonts w:ascii="Times New Roman" w:eastAsia="Times New Roman" w:hAnsi="Times New Roman" w:cs="Times New Roman"/>
                <w:sz w:val="22"/>
                <w:szCs w:val="22"/>
              </w:rPr>
              <w:t>agania</w:t>
            </w:r>
            <w:r w:rsidR="007F1E55" w:rsidRPr="00805843">
              <w:rPr>
                <w:rFonts w:ascii="Times New Roman" w:eastAsia="Times New Roman" w:hAnsi="Times New Roman" w:cs="Times New Roman"/>
                <w:sz w:val="22"/>
                <w:szCs w:val="22"/>
              </w:rPr>
              <w:t xml:space="preserve"> wyłącznie w zakresie, w jakim obciążenie to nie </w:t>
            </w:r>
            <w:r w:rsidR="0061649F">
              <w:rPr>
                <w:rFonts w:ascii="Times New Roman" w:eastAsia="Times New Roman" w:hAnsi="Times New Roman" w:cs="Times New Roman"/>
                <w:sz w:val="22"/>
                <w:szCs w:val="22"/>
              </w:rPr>
              <w:t>jest nieproporcjonalne. J</w:t>
            </w:r>
            <w:r w:rsidR="00CF23DE">
              <w:rPr>
                <w:rFonts w:ascii="Times New Roman" w:eastAsia="Times New Roman" w:hAnsi="Times New Roman" w:cs="Times New Roman"/>
                <w:sz w:val="22"/>
                <w:szCs w:val="22"/>
              </w:rPr>
              <w:t>ednakże w</w:t>
            </w:r>
            <w:r w:rsidR="007F1E55" w:rsidRPr="00805843">
              <w:rPr>
                <w:rFonts w:ascii="Times New Roman" w:eastAsia="Times New Roman" w:hAnsi="Times New Roman" w:cs="Times New Roman"/>
                <w:sz w:val="22"/>
                <w:szCs w:val="22"/>
              </w:rPr>
              <w:t>ymaganie takiej oceny od mikroprzedsiębiorstw świadczących usługi samo w sobie stanowi</w:t>
            </w:r>
            <w:r w:rsidR="00CF23DE">
              <w:rPr>
                <w:rFonts w:ascii="Times New Roman" w:eastAsia="Times New Roman" w:hAnsi="Times New Roman" w:cs="Times New Roman"/>
                <w:sz w:val="22"/>
                <w:szCs w:val="22"/>
              </w:rPr>
              <w:t xml:space="preserve"> nieproporcjonalne obciążenie, wobec czego w</w:t>
            </w:r>
            <w:r w:rsidR="007F1E55" w:rsidRPr="00805843">
              <w:rPr>
                <w:rFonts w:ascii="Times New Roman" w:eastAsia="Times New Roman" w:hAnsi="Times New Roman" w:cs="Times New Roman"/>
                <w:sz w:val="22"/>
                <w:szCs w:val="22"/>
              </w:rPr>
              <w:t>ym</w:t>
            </w:r>
            <w:r w:rsidR="00295667">
              <w:rPr>
                <w:rFonts w:ascii="Times New Roman" w:eastAsia="Times New Roman" w:hAnsi="Times New Roman" w:cs="Times New Roman"/>
                <w:sz w:val="22"/>
                <w:szCs w:val="22"/>
              </w:rPr>
              <w:t>agania</w:t>
            </w:r>
            <w:r w:rsidR="007F1E55" w:rsidRPr="00805843">
              <w:rPr>
                <w:rFonts w:ascii="Times New Roman" w:eastAsia="Times New Roman" w:hAnsi="Times New Roman" w:cs="Times New Roman"/>
                <w:sz w:val="22"/>
                <w:szCs w:val="22"/>
              </w:rPr>
              <w:t xml:space="preserve"> i obowiązki określone </w:t>
            </w:r>
            <w:r w:rsidR="00CF23DE">
              <w:rPr>
                <w:rFonts w:ascii="Times New Roman" w:eastAsia="Times New Roman" w:hAnsi="Times New Roman" w:cs="Times New Roman"/>
                <w:sz w:val="22"/>
                <w:szCs w:val="22"/>
              </w:rPr>
              <w:t xml:space="preserve">w projekcie ustawy nie mają </w:t>
            </w:r>
            <w:r w:rsidR="007F1E55" w:rsidRPr="00805843">
              <w:rPr>
                <w:rFonts w:ascii="Times New Roman" w:eastAsia="Times New Roman" w:hAnsi="Times New Roman" w:cs="Times New Roman"/>
                <w:sz w:val="22"/>
                <w:szCs w:val="22"/>
              </w:rPr>
              <w:t xml:space="preserve">zastosowania </w:t>
            </w:r>
            <w:r w:rsidR="00D5153C">
              <w:rPr>
                <w:rFonts w:ascii="Times New Roman" w:eastAsia="Times New Roman" w:hAnsi="Times New Roman" w:cs="Times New Roman"/>
                <w:sz w:val="22"/>
                <w:szCs w:val="22"/>
              </w:rPr>
              <w:br/>
            </w:r>
            <w:r w:rsidR="007F1E55" w:rsidRPr="00805843">
              <w:rPr>
                <w:rFonts w:ascii="Times New Roman" w:eastAsia="Times New Roman" w:hAnsi="Times New Roman" w:cs="Times New Roman"/>
                <w:sz w:val="22"/>
                <w:szCs w:val="22"/>
              </w:rPr>
              <w:t>do mikroprzedsiębi</w:t>
            </w:r>
            <w:r w:rsidR="00CF23DE">
              <w:rPr>
                <w:rFonts w:ascii="Times New Roman" w:eastAsia="Times New Roman" w:hAnsi="Times New Roman" w:cs="Times New Roman"/>
                <w:sz w:val="22"/>
                <w:szCs w:val="22"/>
              </w:rPr>
              <w:t>orstw świadczących usługi objęte</w:t>
            </w:r>
            <w:r w:rsidR="007F1E55" w:rsidRPr="00805843">
              <w:rPr>
                <w:rFonts w:ascii="Times New Roman" w:eastAsia="Times New Roman" w:hAnsi="Times New Roman" w:cs="Times New Roman"/>
                <w:sz w:val="22"/>
                <w:szCs w:val="22"/>
              </w:rPr>
              <w:t xml:space="preserve"> zakresem stosowania </w:t>
            </w:r>
            <w:r w:rsidR="00CF23DE">
              <w:rPr>
                <w:rFonts w:ascii="Times New Roman" w:eastAsia="Times New Roman" w:hAnsi="Times New Roman" w:cs="Times New Roman"/>
                <w:sz w:val="22"/>
                <w:szCs w:val="22"/>
              </w:rPr>
              <w:t>projektu ustawy.</w:t>
            </w:r>
          </w:p>
          <w:p w14:paraId="7620D73E" w14:textId="687C4EBF" w:rsidR="007F1E55" w:rsidRDefault="0015450C" w:rsidP="007F1E55">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Natomiast w</w:t>
            </w:r>
            <w:r w:rsidR="007F1E55" w:rsidRPr="0027105E">
              <w:rPr>
                <w:rFonts w:ascii="Times New Roman" w:eastAsia="Times New Roman" w:hAnsi="Times New Roman" w:cs="Times New Roman"/>
                <w:sz w:val="22"/>
                <w:szCs w:val="22"/>
              </w:rPr>
              <w:t xml:space="preserve"> odniesieniu do mikroprzedsiębiorstw mających do czynienia z produktami objętymi zakresem stosowania </w:t>
            </w:r>
            <w:r>
              <w:rPr>
                <w:rFonts w:ascii="Times New Roman" w:eastAsia="Times New Roman" w:hAnsi="Times New Roman" w:cs="Times New Roman"/>
                <w:sz w:val="22"/>
                <w:szCs w:val="22"/>
              </w:rPr>
              <w:t>projektu ustawy</w:t>
            </w:r>
            <w:r w:rsidR="007F1E55" w:rsidRPr="0027105E">
              <w:rPr>
                <w:rFonts w:ascii="Times New Roman" w:eastAsia="Times New Roman" w:hAnsi="Times New Roman" w:cs="Times New Roman"/>
                <w:sz w:val="22"/>
                <w:szCs w:val="22"/>
              </w:rPr>
              <w:t xml:space="preserve"> wym</w:t>
            </w:r>
            <w:r w:rsidR="00536956">
              <w:rPr>
                <w:rFonts w:ascii="Times New Roman" w:eastAsia="Times New Roman" w:hAnsi="Times New Roman" w:cs="Times New Roman"/>
                <w:sz w:val="22"/>
                <w:szCs w:val="22"/>
              </w:rPr>
              <w:t>agania</w:t>
            </w:r>
            <w:r w:rsidR="007F1E55" w:rsidRPr="0027105E">
              <w:rPr>
                <w:rFonts w:ascii="Times New Roman" w:eastAsia="Times New Roman" w:hAnsi="Times New Roman" w:cs="Times New Roman"/>
                <w:sz w:val="22"/>
                <w:szCs w:val="22"/>
              </w:rPr>
              <w:t xml:space="preserve"> i obowiązki </w:t>
            </w:r>
            <w:r>
              <w:rPr>
                <w:rFonts w:ascii="Times New Roman" w:eastAsia="Times New Roman" w:hAnsi="Times New Roman" w:cs="Times New Roman"/>
                <w:sz w:val="22"/>
                <w:szCs w:val="22"/>
              </w:rPr>
              <w:t xml:space="preserve">są </w:t>
            </w:r>
            <w:r w:rsidR="007F1E55" w:rsidRPr="0027105E">
              <w:rPr>
                <w:rFonts w:ascii="Times New Roman" w:eastAsia="Times New Roman" w:hAnsi="Times New Roman" w:cs="Times New Roman"/>
                <w:sz w:val="22"/>
                <w:szCs w:val="22"/>
              </w:rPr>
              <w:t>złagodzo</w:t>
            </w:r>
            <w:r>
              <w:rPr>
                <w:rFonts w:ascii="Times New Roman" w:eastAsia="Times New Roman" w:hAnsi="Times New Roman" w:cs="Times New Roman"/>
                <w:sz w:val="22"/>
                <w:szCs w:val="22"/>
              </w:rPr>
              <w:t xml:space="preserve">ne, tak </w:t>
            </w:r>
            <w:r w:rsidR="00B14B9B">
              <w:rPr>
                <w:rFonts w:ascii="Times New Roman" w:eastAsia="Times New Roman" w:hAnsi="Times New Roman" w:cs="Times New Roman"/>
                <w:sz w:val="22"/>
                <w:szCs w:val="22"/>
              </w:rPr>
              <w:t>a</w:t>
            </w:r>
            <w:r>
              <w:rPr>
                <w:rFonts w:ascii="Times New Roman" w:eastAsia="Times New Roman" w:hAnsi="Times New Roman" w:cs="Times New Roman"/>
                <w:sz w:val="22"/>
                <w:szCs w:val="22"/>
              </w:rPr>
              <w:t>by ograniczyć obciążenia</w:t>
            </w:r>
            <w:r w:rsidR="007F1E55" w:rsidRPr="0027105E">
              <w:rPr>
                <w:rFonts w:ascii="Times New Roman" w:eastAsia="Times New Roman" w:hAnsi="Times New Roman" w:cs="Times New Roman"/>
                <w:sz w:val="22"/>
                <w:szCs w:val="22"/>
              </w:rPr>
              <w:t xml:space="preserve"> administracyjne.</w:t>
            </w:r>
          </w:p>
          <w:p w14:paraId="64EE5CBC" w14:textId="701A8D52" w:rsidR="00427CCD" w:rsidRPr="00427CCD" w:rsidRDefault="00427CCD" w:rsidP="007F1E55">
            <w:pPr>
              <w:spacing w:after="120"/>
              <w:jc w:val="both"/>
              <w:rPr>
                <w:rFonts w:ascii="Times New Roman" w:eastAsia="Times New Roman" w:hAnsi="Times New Roman" w:cs="Times New Roman"/>
                <w:sz w:val="22"/>
                <w:szCs w:val="22"/>
              </w:rPr>
            </w:pPr>
            <w:r w:rsidRPr="001F0D83">
              <w:rPr>
                <w:rStyle w:val="markedcontent"/>
                <w:rFonts w:ascii="Times New Roman" w:hAnsi="Times New Roman" w:cs="Times New Roman"/>
                <w:sz w:val="22"/>
                <w:szCs w:val="22"/>
              </w:rPr>
              <w:t xml:space="preserve">Mimo że mikroprzedsiębiorstwa </w:t>
            </w:r>
            <w:r>
              <w:rPr>
                <w:rStyle w:val="markedcontent"/>
                <w:rFonts w:ascii="Times New Roman" w:hAnsi="Times New Roman" w:cs="Times New Roman"/>
                <w:sz w:val="22"/>
                <w:szCs w:val="22"/>
              </w:rPr>
              <w:t xml:space="preserve">świadczące usługi </w:t>
            </w:r>
            <w:r w:rsidRPr="001F0D83">
              <w:rPr>
                <w:rStyle w:val="markedcontent"/>
                <w:rFonts w:ascii="Times New Roman" w:hAnsi="Times New Roman" w:cs="Times New Roman"/>
                <w:sz w:val="22"/>
                <w:szCs w:val="22"/>
              </w:rPr>
              <w:t xml:space="preserve">są zwolnione z obowiązków przewidzianych w </w:t>
            </w:r>
            <w:r w:rsidR="00224455">
              <w:rPr>
                <w:rFonts w:ascii="Times New Roman" w:eastAsia="Times New Roman" w:hAnsi="Times New Roman" w:cs="Times New Roman"/>
                <w:color w:val="000000"/>
                <w:sz w:val="22"/>
                <w:szCs w:val="22"/>
              </w:rPr>
              <w:t xml:space="preserve">projektowanej </w:t>
            </w:r>
            <w:r>
              <w:rPr>
                <w:rStyle w:val="markedcontent"/>
                <w:rFonts w:ascii="Times New Roman" w:hAnsi="Times New Roman" w:cs="Times New Roman"/>
                <w:sz w:val="22"/>
                <w:szCs w:val="22"/>
              </w:rPr>
              <w:t>ustawie</w:t>
            </w:r>
            <w:r w:rsidRPr="001F0D83">
              <w:rPr>
                <w:rStyle w:val="markedcontent"/>
                <w:rFonts w:ascii="Times New Roman" w:hAnsi="Times New Roman" w:cs="Times New Roman"/>
                <w:sz w:val="22"/>
                <w:szCs w:val="22"/>
              </w:rPr>
              <w:t>,</w:t>
            </w:r>
            <w:r w:rsidRPr="001F0D83">
              <w:rPr>
                <w:rFonts w:ascii="Times New Roman" w:hAnsi="Times New Roman" w:cs="Times New Roman"/>
                <w:sz w:val="22"/>
                <w:szCs w:val="22"/>
              </w:rPr>
              <w:br/>
            </w:r>
            <w:r>
              <w:rPr>
                <w:rStyle w:val="markedcontent"/>
                <w:rFonts w:ascii="Times New Roman" w:hAnsi="Times New Roman" w:cs="Times New Roman"/>
                <w:sz w:val="22"/>
                <w:szCs w:val="22"/>
              </w:rPr>
              <w:t xml:space="preserve">to </w:t>
            </w:r>
            <w:r w:rsidRPr="001F0D83">
              <w:rPr>
                <w:rStyle w:val="markedcontent"/>
                <w:rFonts w:ascii="Times New Roman" w:hAnsi="Times New Roman" w:cs="Times New Roman"/>
                <w:sz w:val="22"/>
                <w:szCs w:val="22"/>
              </w:rPr>
              <w:t>wszystkie mikroprzedsiębiorstwa powinny być zachęcane do produkowania, przywozu lub dystrybucji produktów</w:t>
            </w:r>
            <w:r w:rsidRPr="001F0D83">
              <w:rPr>
                <w:rFonts w:ascii="Times New Roman" w:hAnsi="Times New Roman" w:cs="Times New Roman"/>
                <w:sz w:val="22"/>
                <w:szCs w:val="22"/>
              </w:rPr>
              <w:br/>
            </w:r>
            <w:r w:rsidRPr="001F0D83">
              <w:rPr>
                <w:rStyle w:val="markedcontent"/>
                <w:rFonts w:ascii="Times New Roman" w:hAnsi="Times New Roman" w:cs="Times New Roman"/>
                <w:sz w:val="22"/>
                <w:szCs w:val="22"/>
              </w:rPr>
              <w:t>oraz świadczenia usług, które spełniają wym</w:t>
            </w:r>
            <w:r w:rsidR="00536956">
              <w:rPr>
                <w:rStyle w:val="markedcontent"/>
                <w:rFonts w:ascii="Times New Roman" w:hAnsi="Times New Roman" w:cs="Times New Roman"/>
                <w:sz w:val="22"/>
                <w:szCs w:val="22"/>
              </w:rPr>
              <w:t>agania</w:t>
            </w:r>
            <w:r w:rsidRPr="001F0D83">
              <w:rPr>
                <w:rStyle w:val="markedcontent"/>
                <w:rFonts w:ascii="Times New Roman" w:hAnsi="Times New Roman" w:cs="Times New Roman"/>
                <w:sz w:val="22"/>
                <w:szCs w:val="22"/>
              </w:rPr>
              <w:t xml:space="preserve"> dostępności określone w </w:t>
            </w:r>
            <w:r w:rsidR="00224455">
              <w:rPr>
                <w:rFonts w:ascii="Times New Roman" w:eastAsia="Times New Roman" w:hAnsi="Times New Roman" w:cs="Times New Roman"/>
                <w:color w:val="000000"/>
                <w:sz w:val="22"/>
                <w:szCs w:val="22"/>
              </w:rPr>
              <w:t xml:space="preserve">projektowanej </w:t>
            </w:r>
            <w:r>
              <w:rPr>
                <w:rStyle w:val="markedcontent"/>
                <w:rFonts w:ascii="Times New Roman" w:hAnsi="Times New Roman" w:cs="Times New Roman"/>
                <w:sz w:val="22"/>
                <w:szCs w:val="22"/>
              </w:rPr>
              <w:t>ustawie</w:t>
            </w:r>
            <w:r w:rsidRPr="001F0D83">
              <w:rPr>
                <w:rStyle w:val="markedcontent"/>
                <w:rFonts w:ascii="Times New Roman" w:hAnsi="Times New Roman" w:cs="Times New Roman"/>
                <w:sz w:val="22"/>
                <w:szCs w:val="22"/>
              </w:rPr>
              <w:t xml:space="preserve">, tak </w:t>
            </w:r>
            <w:r w:rsidR="00B14B9B">
              <w:rPr>
                <w:rStyle w:val="markedcontent"/>
                <w:rFonts w:ascii="Times New Roman" w:hAnsi="Times New Roman" w:cs="Times New Roman"/>
                <w:sz w:val="22"/>
                <w:szCs w:val="22"/>
              </w:rPr>
              <w:t>a</w:t>
            </w:r>
            <w:r w:rsidRPr="001F0D83">
              <w:rPr>
                <w:rStyle w:val="markedcontent"/>
                <w:rFonts w:ascii="Times New Roman" w:hAnsi="Times New Roman" w:cs="Times New Roman"/>
                <w:sz w:val="22"/>
                <w:szCs w:val="22"/>
              </w:rPr>
              <w:t>by zwiększyć</w:t>
            </w:r>
            <w:r w:rsidRPr="001F0D83">
              <w:rPr>
                <w:rFonts w:ascii="Times New Roman" w:hAnsi="Times New Roman" w:cs="Times New Roman"/>
                <w:sz w:val="22"/>
                <w:szCs w:val="22"/>
              </w:rPr>
              <w:br/>
            </w:r>
            <w:r w:rsidRPr="001F0D83">
              <w:rPr>
                <w:rStyle w:val="markedcontent"/>
                <w:rFonts w:ascii="Times New Roman" w:hAnsi="Times New Roman" w:cs="Times New Roman"/>
                <w:sz w:val="22"/>
                <w:szCs w:val="22"/>
              </w:rPr>
              <w:t xml:space="preserve">ich konkurencyjność oraz ich potencjał wzrostu na rynku wewnętrznym. Dlatego też </w:t>
            </w:r>
            <w:r w:rsidR="008F2003" w:rsidRPr="00B14B9B">
              <w:rPr>
                <w:rStyle w:val="markedcontent"/>
                <w:rFonts w:ascii="Times New Roman" w:hAnsi="Times New Roman" w:cs="Times New Roman"/>
                <w:sz w:val="22"/>
                <w:szCs w:val="22"/>
              </w:rPr>
              <w:t>m</w:t>
            </w:r>
            <w:r w:rsidRPr="0078321D">
              <w:rPr>
                <w:rStyle w:val="markedcontent"/>
                <w:rFonts w:ascii="Times New Roman" w:hAnsi="Times New Roman" w:cs="Times New Roman"/>
                <w:sz w:val="22"/>
                <w:szCs w:val="22"/>
              </w:rPr>
              <w:t>inister właściwy do spraw rozwoju</w:t>
            </w:r>
            <w:r w:rsidRPr="001F0D83">
              <w:rPr>
                <w:rFonts w:ascii="Times New Roman" w:hAnsi="Times New Roman" w:cs="Times New Roman"/>
                <w:sz w:val="22"/>
                <w:szCs w:val="22"/>
              </w:rPr>
              <w:t xml:space="preserve"> regionalnego opracowuje wytyczne i zapewnia narzędzia, w porozumieniu z odpowiednimi podmiotami, aby ułatwić </w:t>
            </w:r>
            <w:proofErr w:type="spellStart"/>
            <w:r w:rsidRPr="001F0D83">
              <w:rPr>
                <w:rFonts w:ascii="Times New Roman" w:hAnsi="Times New Roman" w:cs="Times New Roman"/>
                <w:sz w:val="22"/>
                <w:szCs w:val="22"/>
              </w:rPr>
              <w:t>mikroprzedsiębiorcom</w:t>
            </w:r>
            <w:proofErr w:type="spellEnd"/>
            <w:r w:rsidRPr="001F0D83">
              <w:rPr>
                <w:rFonts w:ascii="Times New Roman" w:hAnsi="Times New Roman" w:cs="Times New Roman"/>
                <w:sz w:val="22"/>
                <w:szCs w:val="22"/>
              </w:rPr>
              <w:t xml:space="preserve"> zapewnianie dostępności produktów i usług</w:t>
            </w:r>
            <w:r>
              <w:rPr>
                <w:rFonts w:ascii="Times New Roman" w:hAnsi="Times New Roman" w:cs="Times New Roman"/>
                <w:sz w:val="22"/>
                <w:szCs w:val="22"/>
              </w:rPr>
              <w:t>.</w:t>
            </w:r>
          </w:p>
          <w:p w14:paraId="276871D7" w14:textId="105ACF7D" w:rsidR="007F1E55" w:rsidRDefault="003A328C" w:rsidP="007F1E55">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Ponadto, w</w:t>
            </w:r>
            <w:r w:rsidR="007F1E55" w:rsidRPr="0027105E">
              <w:rPr>
                <w:rFonts w:ascii="Times New Roman" w:eastAsia="Times New Roman" w:hAnsi="Times New Roman" w:cs="Times New Roman"/>
                <w:sz w:val="22"/>
                <w:szCs w:val="22"/>
              </w:rPr>
              <w:t xml:space="preserve"> celu zapewnienia usługodawcom wystarczającego czasu na dostosowanie się do wym</w:t>
            </w:r>
            <w:r w:rsidR="00536956">
              <w:rPr>
                <w:rFonts w:ascii="Times New Roman" w:eastAsia="Times New Roman" w:hAnsi="Times New Roman" w:cs="Times New Roman"/>
                <w:sz w:val="22"/>
                <w:szCs w:val="22"/>
              </w:rPr>
              <w:t>agań</w:t>
            </w:r>
            <w:r w:rsidR="007F1E55" w:rsidRPr="0027105E">
              <w:rPr>
                <w:rFonts w:ascii="Times New Roman" w:eastAsia="Times New Roman" w:hAnsi="Times New Roman" w:cs="Times New Roman"/>
                <w:sz w:val="22"/>
                <w:szCs w:val="22"/>
              </w:rPr>
              <w:t xml:space="preserve"> okre</w:t>
            </w:r>
            <w:r>
              <w:rPr>
                <w:rFonts w:ascii="Times New Roman" w:eastAsia="Times New Roman" w:hAnsi="Times New Roman" w:cs="Times New Roman"/>
                <w:sz w:val="22"/>
                <w:szCs w:val="22"/>
              </w:rPr>
              <w:t xml:space="preserve">ślonych </w:t>
            </w:r>
            <w:r w:rsidR="000B5B3B">
              <w:rPr>
                <w:rFonts w:ascii="Times New Roman" w:eastAsia="Times New Roman" w:hAnsi="Times New Roman" w:cs="Times New Roman"/>
                <w:sz w:val="22"/>
                <w:szCs w:val="22"/>
              </w:rPr>
              <w:br/>
            </w:r>
            <w:r>
              <w:rPr>
                <w:rFonts w:ascii="Times New Roman" w:eastAsia="Times New Roman" w:hAnsi="Times New Roman" w:cs="Times New Roman"/>
                <w:sz w:val="22"/>
                <w:szCs w:val="22"/>
              </w:rPr>
              <w:t>w projekcie ustawy</w:t>
            </w:r>
            <w:r w:rsidR="00D702E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zosta</w:t>
            </w:r>
            <w:r w:rsidR="000B5B3B">
              <w:rPr>
                <w:rFonts w:ascii="Times New Roman" w:eastAsia="Times New Roman" w:hAnsi="Times New Roman" w:cs="Times New Roman"/>
                <w:sz w:val="22"/>
                <w:szCs w:val="22"/>
              </w:rPr>
              <w:t>ł</w:t>
            </w:r>
            <w:r>
              <w:rPr>
                <w:rFonts w:ascii="Times New Roman" w:eastAsia="Times New Roman" w:hAnsi="Times New Roman" w:cs="Times New Roman"/>
                <w:sz w:val="22"/>
                <w:szCs w:val="22"/>
              </w:rPr>
              <w:t xml:space="preserve"> wprowadzony</w:t>
            </w:r>
            <w:r w:rsidR="007F1E55" w:rsidRPr="0027105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okres przejściowy wynoszący </w:t>
            </w:r>
            <w:r w:rsidR="00D702E3">
              <w:rPr>
                <w:rFonts w:ascii="Times New Roman" w:eastAsia="Times New Roman" w:hAnsi="Times New Roman" w:cs="Times New Roman"/>
                <w:sz w:val="22"/>
                <w:szCs w:val="22"/>
              </w:rPr>
              <w:t xml:space="preserve">5 </w:t>
            </w:r>
            <w:r>
              <w:rPr>
                <w:rFonts w:ascii="Times New Roman" w:eastAsia="Times New Roman" w:hAnsi="Times New Roman" w:cs="Times New Roman"/>
                <w:sz w:val="22"/>
                <w:szCs w:val="22"/>
              </w:rPr>
              <w:t xml:space="preserve">lat od </w:t>
            </w:r>
            <w:r w:rsidR="00D702E3">
              <w:rPr>
                <w:rFonts w:ascii="Times New Roman" w:eastAsia="Times New Roman" w:hAnsi="Times New Roman" w:cs="Times New Roman"/>
                <w:sz w:val="22"/>
                <w:szCs w:val="22"/>
              </w:rPr>
              <w:t xml:space="preserve">dnia </w:t>
            </w:r>
            <w:r>
              <w:rPr>
                <w:rFonts w:ascii="Times New Roman" w:eastAsia="Times New Roman" w:hAnsi="Times New Roman" w:cs="Times New Roman"/>
                <w:sz w:val="22"/>
                <w:szCs w:val="22"/>
              </w:rPr>
              <w:t xml:space="preserve">wejścia w życie </w:t>
            </w:r>
            <w:r w:rsidR="00D702E3">
              <w:rPr>
                <w:rFonts w:ascii="Times New Roman" w:eastAsia="Times New Roman" w:hAnsi="Times New Roman" w:cs="Times New Roman"/>
                <w:sz w:val="22"/>
                <w:szCs w:val="22"/>
              </w:rPr>
              <w:t xml:space="preserve">projektowanej </w:t>
            </w:r>
            <w:r>
              <w:rPr>
                <w:rFonts w:ascii="Times New Roman" w:eastAsia="Times New Roman" w:hAnsi="Times New Roman" w:cs="Times New Roman"/>
                <w:sz w:val="22"/>
                <w:szCs w:val="22"/>
              </w:rPr>
              <w:t xml:space="preserve">ustawy, </w:t>
            </w:r>
            <w:r w:rsidR="007F1E55" w:rsidRPr="0027105E">
              <w:rPr>
                <w:rFonts w:ascii="Times New Roman" w:eastAsia="Times New Roman" w:hAnsi="Times New Roman" w:cs="Times New Roman"/>
                <w:sz w:val="22"/>
                <w:szCs w:val="22"/>
              </w:rPr>
              <w:t>w którym to okresie produkty wykorzystywane</w:t>
            </w:r>
            <w:r w:rsidR="008B5449">
              <w:rPr>
                <w:rFonts w:ascii="Times New Roman" w:eastAsia="Times New Roman" w:hAnsi="Times New Roman" w:cs="Times New Roman"/>
                <w:sz w:val="22"/>
                <w:szCs w:val="22"/>
              </w:rPr>
              <w:t xml:space="preserve"> przez usługodawcę</w:t>
            </w:r>
            <w:r w:rsidR="007F1E55" w:rsidRPr="0027105E">
              <w:rPr>
                <w:rFonts w:ascii="Times New Roman" w:eastAsia="Times New Roman" w:hAnsi="Times New Roman" w:cs="Times New Roman"/>
                <w:sz w:val="22"/>
                <w:szCs w:val="22"/>
              </w:rPr>
              <w:t xml:space="preserve"> do świadczenia usług</w:t>
            </w:r>
            <w:r w:rsidR="008B5449">
              <w:rPr>
                <w:rFonts w:ascii="Times New Roman" w:eastAsia="Times New Roman" w:hAnsi="Times New Roman" w:cs="Times New Roman"/>
                <w:sz w:val="22"/>
                <w:szCs w:val="22"/>
              </w:rPr>
              <w:t xml:space="preserve"> </w:t>
            </w:r>
            <w:r w:rsidR="00B17414" w:rsidRPr="008B5449">
              <w:rPr>
                <w:rFonts w:ascii="Times New Roman" w:hAnsi="Times New Roman" w:cs="Times New Roman"/>
                <w:sz w:val="22"/>
                <w:szCs w:val="22"/>
              </w:rPr>
              <w:t xml:space="preserve">tego samego rodzaju przed dniem wejścia w życie </w:t>
            </w:r>
            <w:r w:rsidR="00224455">
              <w:rPr>
                <w:rFonts w:ascii="Times New Roman" w:hAnsi="Times New Roman" w:cs="Times New Roman"/>
                <w:sz w:val="22"/>
                <w:szCs w:val="22"/>
              </w:rPr>
              <w:t xml:space="preserve">projektu </w:t>
            </w:r>
            <w:r w:rsidR="00B17414" w:rsidRPr="008B5449">
              <w:rPr>
                <w:rFonts w:ascii="Times New Roman" w:hAnsi="Times New Roman" w:cs="Times New Roman"/>
                <w:sz w:val="22"/>
                <w:szCs w:val="22"/>
              </w:rPr>
              <w:t>ustawy</w:t>
            </w:r>
            <w:r w:rsidR="007F1E55" w:rsidRPr="008B5449">
              <w:rPr>
                <w:rFonts w:ascii="Times New Roman" w:eastAsia="Times New Roman" w:hAnsi="Times New Roman" w:cs="Times New Roman"/>
                <w:sz w:val="22"/>
                <w:szCs w:val="22"/>
              </w:rPr>
              <w:t xml:space="preserve"> </w:t>
            </w:r>
            <w:r w:rsidR="007F1E55" w:rsidRPr="0027105E">
              <w:rPr>
                <w:rFonts w:ascii="Times New Roman" w:eastAsia="Times New Roman" w:hAnsi="Times New Roman" w:cs="Times New Roman"/>
                <w:sz w:val="22"/>
                <w:szCs w:val="22"/>
              </w:rPr>
              <w:t>nie będą musiały spełniać wym</w:t>
            </w:r>
            <w:r w:rsidR="00385035">
              <w:rPr>
                <w:rFonts w:ascii="Times New Roman" w:eastAsia="Times New Roman" w:hAnsi="Times New Roman" w:cs="Times New Roman"/>
                <w:sz w:val="22"/>
                <w:szCs w:val="22"/>
              </w:rPr>
              <w:t>agań</w:t>
            </w:r>
            <w:r w:rsidR="007F1E55" w:rsidRPr="0027105E">
              <w:rPr>
                <w:rFonts w:ascii="Times New Roman" w:eastAsia="Times New Roman" w:hAnsi="Times New Roman" w:cs="Times New Roman"/>
                <w:sz w:val="22"/>
                <w:szCs w:val="22"/>
              </w:rPr>
              <w:t xml:space="preserve"> dostępności określonych w</w:t>
            </w:r>
            <w:r w:rsidR="00DD341B">
              <w:rPr>
                <w:rFonts w:ascii="Times New Roman" w:eastAsia="Times New Roman" w:hAnsi="Times New Roman" w:cs="Times New Roman"/>
                <w:sz w:val="22"/>
                <w:szCs w:val="22"/>
              </w:rPr>
              <w:t> </w:t>
            </w:r>
            <w:r w:rsidR="00224455">
              <w:rPr>
                <w:rFonts w:ascii="Times New Roman" w:eastAsia="Times New Roman" w:hAnsi="Times New Roman" w:cs="Times New Roman"/>
                <w:color w:val="000000"/>
                <w:sz w:val="22"/>
                <w:szCs w:val="22"/>
              </w:rPr>
              <w:t xml:space="preserve">projektowanej </w:t>
            </w:r>
            <w:r>
              <w:rPr>
                <w:rFonts w:ascii="Times New Roman" w:eastAsia="Times New Roman" w:hAnsi="Times New Roman" w:cs="Times New Roman"/>
                <w:sz w:val="22"/>
                <w:szCs w:val="22"/>
              </w:rPr>
              <w:t>ustawie</w:t>
            </w:r>
            <w:r w:rsidR="007F1E55" w:rsidRPr="0027105E">
              <w:rPr>
                <w:rFonts w:ascii="Times New Roman" w:eastAsia="Times New Roman" w:hAnsi="Times New Roman" w:cs="Times New Roman"/>
                <w:sz w:val="22"/>
                <w:szCs w:val="22"/>
              </w:rPr>
              <w:t xml:space="preserve"> </w:t>
            </w:r>
            <w:r w:rsidR="002B384F">
              <w:rPr>
                <w:rFonts w:ascii="Times New Roman" w:eastAsia="Times New Roman" w:hAnsi="Times New Roman" w:cs="Times New Roman"/>
                <w:sz w:val="22"/>
                <w:szCs w:val="22"/>
              </w:rPr>
              <w:t xml:space="preserve">– </w:t>
            </w:r>
            <w:r w:rsidR="007F1E55" w:rsidRPr="0027105E">
              <w:rPr>
                <w:rFonts w:ascii="Times New Roman" w:eastAsia="Times New Roman" w:hAnsi="Times New Roman" w:cs="Times New Roman"/>
                <w:sz w:val="22"/>
                <w:szCs w:val="22"/>
              </w:rPr>
              <w:t xml:space="preserve">chyba że zostaną one zastąpione w okresie przejściowym. Biorąc pod uwagę koszt i długi cykl życia terminali, </w:t>
            </w:r>
            <w:r>
              <w:rPr>
                <w:rFonts w:ascii="Times New Roman" w:eastAsia="Times New Roman" w:hAnsi="Times New Roman" w:cs="Times New Roman"/>
                <w:sz w:val="22"/>
                <w:szCs w:val="22"/>
              </w:rPr>
              <w:t xml:space="preserve">projekt </w:t>
            </w:r>
            <w:r w:rsidR="000829DB">
              <w:rPr>
                <w:rFonts w:ascii="Times New Roman" w:eastAsia="Times New Roman" w:hAnsi="Times New Roman" w:cs="Times New Roman"/>
                <w:sz w:val="22"/>
                <w:szCs w:val="22"/>
              </w:rPr>
              <w:t xml:space="preserve">ustawy </w:t>
            </w:r>
            <w:r w:rsidR="002B384F">
              <w:rPr>
                <w:rFonts w:ascii="Times New Roman" w:eastAsia="Times New Roman" w:hAnsi="Times New Roman" w:cs="Times New Roman"/>
                <w:sz w:val="22"/>
                <w:szCs w:val="22"/>
              </w:rPr>
              <w:t xml:space="preserve">zgodnie z dyrektywą 2019/882 </w:t>
            </w:r>
            <w:r w:rsidR="000829DB">
              <w:rPr>
                <w:rFonts w:ascii="Times New Roman" w:eastAsia="Times New Roman" w:hAnsi="Times New Roman" w:cs="Times New Roman"/>
                <w:sz w:val="22"/>
                <w:szCs w:val="22"/>
              </w:rPr>
              <w:t xml:space="preserve">przewidział </w:t>
            </w:r>
            <w:r>
              <w:rPr>
                <w:rFonts w:ascii="Times New Roman" w:eastAsia="Times New Roman" w:hAnsi="Times New Roman" w:cs="Times New Roman"/>
                <w:sz w:val="22"/>
                <w:szCs w:val="22"/>
              </w:rPr>
              <w:t>również,</w:t>
            </w:r>
            <w:r w:rsidR="007F1E55" w:rsidRPr="0027105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w:t>
            </w:r>
            <w:r w:rsidR="007F1E55" w:rsidRPr="0027105E">
              <w:rPr>
                <w:rFonts w:ascii="Times New Roman" w:eastAsia="Times New Roman" w:hAnsi="Times New Roman" w:cs="Times New Roman"/>
                <w:sz w:val="22"/>
                <w:szCs w:val="22"/>
              </w:rPr>
              <w:t xml:space="preserve">by </w:t>
            </w:r>
            <w:r w:rsidR="00D702E3">
              <w:rPr>
                <w:rFonts w:ascii="Times New Roman" w:eastAsia="Times New Roman" w:hAnsi="Times New Roman" w:cs="Times New Roman"/>
                <w:sz w:val="22"/>
                <w:szCs w:val="22"/>
              </w:rPr>
              <w:t xml:space="preserve">w przypadku gdy </w:t>
            </w:r>
            <w:r w:rsidR="007F1E55" w:rsidRPr="0027105E">
              <w:rPr>
                <w:rFonts w:ascii="Times New Roman" w:eastAsia="Times New Roman" w:hAnsi="Times New Roman" w:cs="Times New Roman"/>
                <w:sz w:val="22"/>
                <w:szCs w:val="22"/>
              </w:rPr>
              <w:t>są one wykorzystywane do świadczenia usług</w:t>
            </w:r>
            <w:r w:rsidR="00B14B9B">
              <w:rPr>
                <w:rFonts w:ascii="Times New Roman" w:eastAsia="Times New Roman" w:hAnsi="Times New Roman" w:cs="Times New Roman"/>
                <w:sz w:val="22"/>
                <w:szCs w:val="22"/>
              </w:rPr>
              <w:t>,</w:t>
            </w:r>
            <w:r w:rsidR="007F1E55" w:rsidRPr="0027105E">
              <w:rPr>
                <w:rFonts w:ascii="Times New Roman" w:eastAsia="Times New Roman" w:hAnsi="Times New Roman" w:cs="Times New Roman"/>
                <w:sz w:val="22"/>
                <w:szCs w:val="22"/>
              </w:rPr>
              <w:t xml:space="preserve"> można je było wykorzystywać do końca okresu ich </w:t>
            </w:r>
            <w:r w:rsidR="000A4336">
              <w:rPr>
                <w:rFonts w:ascii="Times New Roman" w:eastAsia="Times New Roman" w:hAnsi="Times New Roman" w:cs="Times New Roman"/>
                <w:sz w:val="22"/>
                <w:szCs w:val="22"/>
              </w:rPr>
              <w:t xml:space="preserve">ekonomicznej </w:t>
            </w:r>
            <w:r w:rsidR="007F1E55" w:rsidRPr="0027105E">
              <w:rPr>
                <w:rFonts w:ascii="Times New Roman" w:eastAsia="Times New Roman" w:hAnsi="Times New Roman" w:cs="Times New Roman"/>
                <w:sz w:val="22"/>
                <w:szCs w:val="22"/>
              </w:rPr>
              <w:t>użyteczności, o</w:t>
            </w:r>
            <w:r w:rsidR="00DD341B">
              <w:rPr>
                <w:rFonts w:ascii="Times New Roman" w:eastAsia="Times New Roman" w:hAnsi="Times New Roman" w:cs="Times New Roman"/>
                <w:sz w:val="22"/>
                <w:szCs w:val="22"/>
              </w:rPr>
              <w:t> </w:t>
            </w:r>
            <w:r w:rsidR="007F1E55" w:rsidRPr="0027105E">
              <w:rPr>
                <w:rFonts w:ascii="Times New Roman" w:eastAsia="Times New Roman" w:hAnsi="Times New Roman" w:cs="Times New Roman"/>
                <w:sz w:val="22"/>
                <w:szCs w:val="22"/>
              </w:rPr>
              <w:t xml:space="preserve">ile nie zostaną one w tym okresie zastąpione, ale nie dłużej niż przez </w:t>
            </w:r>
            <w:r w:rsidR="000A4336">
              <w:rPr>
                <w:rFonts w:ascii="Times New Roman" w:eastAsia="Times New Roman" w:hAnsi="Times New Roman" w:cs="Times New Roman"/>
                <w:sz w:val="22"/>
                <w:szCs w:val="22"/>
              </w:rPr>
              <w:t xml:space="preserve">okres </w:t>
            </w:r>
            <w:r w:rsidR="007F1E55" w:rsidRPr="0027105E">
              <w:rPr>
                <w:rFonts w:ascii="Times New Roman" w:eastAsia="Times New Roman" w:hAnsi="Times New Roman" w:cs="Times New Roman"/>
                <w:sz w:val="22"/>
                <w:szCs w:val="22"/>
              </w:rPr>
              <w:t>20 lat</w:t>
            </w:r>
            <w:r w:rsidR="00A456A8">
              <w:rPr>
                <w:rFonts w:ascii="Times New Roman" w:eastAsia="Times New Roman" w:hAnsi="Times New Roman" w:cs="Times New Roman"/>
                <w:sz w:val="22"/>
                <w:szCs w:val="22"/>
              </w:rPr>
              <w:t xml:space="preserve"> od dnia rozpoczęcia ich wykorzystywania</w:t>
            </w:r>
            <w:r w:rsidR="007F1E55" w:rsidRPr="0027105E">
              <w:rPr>
                <w:rFonts w:ascii="Times New Roman" w:eastAsia="Times New Roman" w:hAnsi="Times New Roman" w:cs="Times New Roman"/>
                <w:sz w:val="22"/>
                <w:szCs w:val="22"/>
              </w:rPr>
              <w:t>.</w:t>
            </w:r>
          </w:p>
          <w:p w14:paraId="6CE3FAE7" w14:textId="266DBB89" w:rsidR="00300D62" w:rsidRPr="00300D6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 xml:space="preserve">Przewiduje się, że </w:t>
            </w:r>
            <w:r w:rsidR="00224455">
              <w:rPr>
                <w:rFonts w:ascii="Times New Roman" w:eastAsia="Times New Roman" w:hAnsi="Times New Roman" w:cs="Times New Roman"/>
                <w:sz w:val="22"/>
                <w:szCs w:val="22"/>
              </w:rPr>
              <w:t xml:space="preserve">projektowana </w:t>
            </w:r>
            <w:r w:rsidRPr="00300D62">
              <w:rPr>
                <w:rFonts w:ascii="Times New Roman" w:eastAsia="Times New Roman" w:hAnsi="Times New Roman" w:cs="Times New Roman"/>
                <w:sz w:val="22"/>
                <w:szCs w:val="22"/>
              </w:rPr>
              <w:t xml:space="preserve">ustawa wpłynie na funkcjonowanie dużych, średnich i małych przedsiębiorców. Mniejszy wpływ jest spodziewany w przypadku </w:t>
            </w:r>
            <w:proofErr w:type="spellStart"/>
            <w:r w:rsidRPr="00300D62">
              <w:rPr>
                <w:rFonts w:ascii="Times New Roman" w:eastAsia="Times New Roman" w:hAnsi="Times New Roman" w:cs="Times New Roman"/>
                <w:sz w:val="22"/>
                <w:szCs w:val="22"/>
              </w:rPr>
              <w:t>mikroprzedsiębiorców</w:t>
            </w:r>
            <w:proofErr w:type="spellEnd"/>
            <w:r w:rsidRPr="00300D62">
              <w:rPr>
                <w:rFonts w:ascii="Times New Roman" w:eastAsia="Times New Roman" w:hAnsi="Times New Roman" w:cs="Times New Roman"/>
                <w:sz w:val="22"/>
                <w:szCs w:val="22"/>
              </w:rPr>
              <w:t xml:space="preserve"> z uwagi na brak obowiązku stosowania wym</w:t>
            </w:r>
            <w:r w:rsidR="001335B5">
              <w:rPr>
                <w:rFonts w:ascii="Times New Roman" w:eastAsia="Times New Roman" w:hAnsi="Times New Roman" w:cs="Times New Roman"/>
                <w:sz w:val="22"/>
                <w:szCs w:val="22"/>
              </w:rPr>
              <w:t>agań</w:t>
            </w:r>
            <w:r w:rsidRPr="00300D62">
              <w:rPr>
                <w:rFonts w:ascii="Times New Roman" w:eastAsia="Times New Roman" w:hAnsi="Times New Roman" w:cs="Times New Roman"/>
                <w:sz w:val="22"/>
                <w:szCs w:val="22"/>
              </w:rPr>
              <w:t xml:space="preserve"> dostępności dla usług świadczonych przez takich przedsiębiorców. Spodziewany jest wzrost liczby klientów w wyniku poprawy </w:t>
            </w:r>
            <w:r w:rsidRPr="00300D62">
              <w:rPr>
                <w:rFonts w:ascii="Times New Roman" w:eastAsia="Times New Roman" w:hAnsi="Times New Roman" w:cs="Times New Roman"/>
                <w:sz w:val="22"/>
                <w:szCs w:val="22"/>
              </w:rPr>
              <w:lastRenderedPageBreak/>
              <w:t>dostępności produktów i usług oraz wzrost korzyści finansowych (np. wzrost obrotów, marży zysku, zwiększeni</w:t>
            </w:r>
            <w:r w:rsidR="00BA1DCD">
              <w:rPr>
                <w:rFonts w:ascii="Times New Roman" w:eastAsia="Times New Roman" w:hAnsi="Times New Roman" w:cs="Times New Roman"/>
                <w:sz w:val="22"/>
                <w:szCs w:val="22"/>
              </w:rPr>
              <w:t>e</w:t>
            </w:r>
            <w:r w:rsidRPr="00300D62">
              <w:rPr>
                <w:rFonts w:ascii="Times New Roman" w:eastAsia="Times New Roman" w:hAnsi="Times New Roman" w:cs="Times New Roman"/>
                <w:sz w:val="22"/>
                <w:szCs w:val="22"/>
              </w:rPr>
              <w:t xml:space="preserve"> udziału w rynku itp.). Szkolenie personelu w zakresie obowiązujących wym</w:t>
            </w:r>
            <w:r w:rsidR="001335B5">
              <w:rPr>
                <w:rFonts w:ascii="Times New Roman" w:eastAsia="Times New Roman" w:hAnsi="Times New Roman" w:cs="Times New Roman"/>
                <w:sz w:val="22"/>
                <w:szCs w:val="22"/>
              </w:rPr>
              <w:t>agań</w:t>
            </w:r>
            <w:r w:rsidRPr="00300D62">
              <w:rPr>
                <w:rFonts w:ascii="Times New Roman" w:eastAsia="Times New Roman" w:hAnsi="Times New Roman" w:cs="Times New Roman"/>
                <w:sz w:val="22"/>
                <w:szCs w:val="22"/>
              </w:rPr>
              <w:t xml:space="preserve"> dotyczących dostępności i umiejętności ich stosowania będzie znaczącym czynnikiem działalności </w:t>
            </w:r>
            <w:r w:rsidR="00BA1DCD">
              <w:rPr>
                <w:rFonts w:ascii="Times New Roman" w:eastAsia="Times New Roman" w:hAnsi="Times New Roman" w:cs="Times New Roman"/>
                <w:sz w:val="22"/>
                <w:szCs w:val="22"/>
              </w:rPr>
              <w:t>przedsiębiorstw</w:t>
            </w:r>
            <w:r w:rsidRPr="00300D62">
              <w:rPr>
                <w:rFonts w:ascii="Times New Roman" w:eastAsia="Times New Roman" w:hAnsi="Times New Roman" w:cs="Times New Roman"/>
                <w:sz w:val="22"/>
                <w:szCs w:val="22"/>
              </w:rPr>
              <w:t>.</w:t>
            </w:r>
            <w:r w:rsidR="002B384F">
              <w:rPr>
                <w:rFonts w:ascii="Times New Roman" w:eastAsia="Times New Roman" w:hAnsi="Times New Roman" w:cs="Times New Roman"/>
                <w:sz w:val="22"/>
                <w:szCs w:val="22"/>
              </w:rPr>
              <w:t xml:space="preserve"> </w:t>
            </w:r>
            <w:r w:rsidR="00BA1DCD">
              <w:rPr>
                <w:rFonts w:ascii="Times New Roman" w:eastAsia="Times New Roman" w:hAnsi="Times New Roman" w:cs="Times New Roman"/>
                <w:sz w:val="22"/>
                <w:szCs w:val="22"/>
              </w:rPr>
              <w:t>Moż</w:t>
            </w:r>
            <w:r w:rsidR="000D3F1C">
              <w:rPr>
                <w:rFonts w:ascii="Times New Roman" w:eastAsia="Times New Roman" w:hAnsi="Times New Roman" w:cs="Times New Roman"/>
                <w:sz w:val="22"/>
                <w:szCs w:val="22"/>
              </w:rPr>
              <w:t>l</w:t>
            </w:r>
            <w:r w:rsidR="00BA1DCD">
              <w:rPr>
                <w:rFonts w:ascii="Times New Roman" w:eastAsia="Times New Roman" w:hAnsi="Times New Roman" w:cs="Times New Roman"/>
                <w:sz w:val="22"/>
                <w:szCs w:val="22"/>
              </w:rPr>
              <w:t xml:space="preserve">iwy jest wzrost poziomu zatrudnienia </w:t>
            </w:r>
            <w:r w:rsidR="00A456A8">
              <w:rPr>
                <w:rFonts w:ascii="Times New Roman" w:eastAsia="Times New Roman" w:hAnsi="Times New Roman" w:cs="Times New Roman"/>
                <w:sz w:val="22"/>
                <w:szCs w:val="22"/>
              </w:rPr>
              <w:br/>
            </w:r>
            <w:r w:rsidR="00BA1DCD">
              <w:rPr>
                <w:rFonts w:ascii="Times New Roman" w:eastAsia="Times New Roman" w:hAnsi="Times New Roman" w:cs="Times New Roman"/>
                <w:sz w:val="22"/>
                <w:szCs w:val="22"/>
              </w:rPr>
              <w:t>w przedsiębiorstwach</w:t>
            </w:r>
            <w:r w:rsidRPr="00300D62">
              <w:rPr>
                <w:rFonts w:ascii="Times New Roman" w:eastAsia="Times New Roman" w:hAnsi="Times New Roman" w:cs="Times New Roman"/>
                <w:sz w:val="22"/>
                <w:szCs w:val="22"/>
              </w:rPr>
              <w:t xml:space="preserve"> </w:t>
            </w:r>
            <w:r w:rsidR="00265BCF">
              <w:rPr>
                <w:rFonts w:ascii="Times New Roman" w:eastAsia="Times New Roman" w:hAnsi="Times New Roman" w:cs="Times New Roman"/>
                <w:sz w:val="22"/>
                <w:szCs w:val="22"/>
              </w:rPr>
              <w:t xml:space="preserve">w związku z koniecznością </w:t>
            </w:r>
            <w:r w:rsidR="00E237C1">
              <w:rPr>
                <w:rFonts w:ascii="Times New Roman" w:eastAsia="Times New Roman" w:hAnsi="Times New Roman" w:cs="Times New Roman"/>
                <w:sz w:val="22"/>
                <w:szCs w:val="22"/>
              </w:rPr>
              <w:t xml:space="preserve">ich </w:t>
            </w:r>
            <w:r w:rsidRPr="00300D62">
              <w:rPr>
                <w:rFonts w:ascii="Times New Roman" w:eastAsia="Times New Roman" w:hAnsi="Times New Roman" w:cs="Times New Roman"/>
                <w:sz w:val="22"/>
                <w:szCs w:val="22"/>
              </w:rPr>
              <w:t>przygotowa</w:t>
            </w:r>
            <w:r w:rsidR="009F3DCD">
              <w:rPr>
                <w:rFonts w:ascii="Times New Roman" w:eastAsia="Times New Roman" w:hAnsi="Times New Roman" w:cs="Times New Roman"/>
                <w:sz w:val="22"/>
                <w:szCs w:val="22"/>
              </w:rPr>
              <w:t>nia się</w:t>
            </w:r>
            <w:r w:rsidRPr="00300D62">
              <w:rPr>
                <w:rFonts w:ascii="Times New Roman" w:eastAsia="Times New Roman" w:hAnsi="Times New Roman" w:cs="Times New Roman"/>
                <w:sz w:val="22"/>
                <w:szCs w:val="22"/>
              </w:rPr>
              <w:t xml:space="preserve"> do nowych obowiązków wynikających z</w:t>
            </w:r>
            <w:r w:rsidR="00DD341B">
              <w:rPr>
                <w:rFonts w:ascii="Times New Roman" w:eastAsia="Times New Roman" w:hAnsi="Times New Roman" w:cs="Times New Roman"/>
                <w:sz w:val="22"/>
                <w:szCs w:val="22"/>
              </w:rPr>
              <w:t> </w:t>
            </w:r>
            <w:r w:rsidR="00224455">
              <w:rPr>
                <w:rFonts w:ascii="Times New Roman" w:eastAsia="Times New Roman" w:hAnsi="Times New Roman" w:cs="Times New Roman"/>
                <w:color w:val="000000"/>
                <w:sz w:val="22"/>
                <w:szCs w:val="22"/>
              </w:rPr>
              <w:t xml:space="preserve">projektowanej </w:t>
            </w:r>
            <w:r w:rsidRPr="00300D62">
              <w:rPr>
                <w:rFonts w:ascii="Times New Roman" w:eastAsia="Times New Roman" w:hAnsi="Times New Roman" w:cs="Times New Roman"/>
                <w:sz w:val="22"/>
                <w:szCs w:val="22"/>
              </w:rPr>
              <w:t>ustawy. Przewiduje się przy tym, że ceny produktów i usług objętych wym</w:t>
            </w:r>
            <w:r w:rsidR="00FD04BB">
              <w:rPr>
                <w:rFonts w:ascii="Times New Roman" w:eastAsia="Times New Roman" w:hAnsi="Times New Roman" w:cs="Times New Roman"/>
                <w:sz w:val="22"/>
                <w:szCs w:val="22"/>
              </w:rPr>
              <w:t>aganiami</w:t>
            </w:r>
            <w:r w:rsidRPr="00300D62">
              <w:rPr>
                <w:rFonts w:ascii="Times New Roman" w:eastAsia="Times New Roman" w:hAnsi="Times New Roman" w:cs="Times New Roman"/>
                <w:sz w:val="22"/>
                <w:szCs w:val="22"/>
              </w:rPr>
              <w:t xml:space="preserve"> dostępności nie wzrosną albo wzrosną tylko nieznacznie.</w:t>
            </w:r>
          </w:p>
          <w:p w14:paraId="011D59CC" w14:textId="77777777" w:rsidR="00300D62" w:rsidRPr="00F16712" w:rsidRDefault="00300D62" w:rsidP="00300D62">
            <w:pPr>
              <w:spacing w:after="120"/>
              <w:jc w:val="both"/>
              <w:rPr>
                <w:rFonts w:ascii="Times New Roman" w:eastAsia="Times New Roman" w:hAnsi="Times New Roman" w:cs="Times New Roman"/>
                <w:sz w:val="22"/>
                <w:szCs w:val="22"/>
              </w:rPr>
            </w:pPr>
            <w:r w:rsidRPr="00300D62">
              <w:rPr>
                <w:rFonts w:ascii="Times New Roman" w:eastAsia="Times New Roman" w:hAnsi="Times New Roman" w:cs="Times New Roman"/>
                <w:sz w:val="22"/>
                <w:szCs w:val="22"/>
              </w:rPr>
              <w:t>Obowiązki nałożone w ramach nowej regulacji będą stosowane od dnia 28 czerwca 2025</w:t>
            </w:r>
            <w:r w:rsidR="00FF7032">
              <w:rPr>
                <w:rFonts w:ascii="Times New Roman" w:eastAsia="Times New Roman" w:hAnsi="Times New Roman" w:cs="Times New Roman"/>
                <w:sz w:val="22"/>
                <w:szCs w:val="22"/>
              </w:rPr>
              <w:t> </w:t>
            </w:r>
            <w:r w:rsidRPr="00300D62">
              <w:rPr>
                <w:rFonts w:ascii="Times New Roman" w:eastAsia="Times New Roman" w:hAnsi="Times New Roman" w:cs="Times New Roman"/>
                <w:sz w:val="22"/>
                <w:szCs w:val="22"/>
              </w:rPr>
              <w:t xml:space="preserve">r. Projekt ustawy, zgodnie </w:t>
            </w:r>
            <w:r w:rsidR="00A456A8">
              <w:rPr>
                <w:rFonts w:ascii="Times New Roman" w:eastAsia="Times New Roman" w:hAnsi="Times New Roman" w:cs="Times New Roman"/>
                <w:sz w:val="22"/>
                <w:szCs w:val="22"/>
              </w:rPr>
              <w:br/>
            </w:r>
            <w:r w:rsidRPr="00300D62">
              <w:rPr>
                <w:rFonts w:ascii="Times New Roman" w:eastAsia="Times New Roman" w:hAnsi="Times New Roman" w:cs="Times New Roman"/>
                <w:sz w:val="22"/>
                <w:szCs w:val="22"/>
              </w:rPr>
              <w:t>z dyrektywą 2019/882, przewiduje dla niektórych rodzajów produktów i usług dłuższe okresy przejściowe.</w:t>
            </w:r>
          </w:p>
        </w:tc>
      </w:tr>
      <w:tr w:rsidR="00EC4C5C" w14:paraId="5056BD23" w14:textId="77777777" w:rsidTr="00231F84">
        <w:trPr>
          <w:trHeight w:val="307"/>
        </w:trPr>
        <w:tc>
          <w:tcPr>
            <w:tcW w:w="10947" w:type="dxa"/>
            <w:gridSpan w:val="29"/>
            <w:shd w:val="clear" w:color="auto" w:fill="99CCFF"/>
            <w:vAlign w:val="center"/>
          </w:tcPr>
          <w:p w14:paraId="55E514AB" w14:textId="77777777" w:rsidR="00EC4C5C" w:rsidRPr="003E7A0B" w:rsidRDefault="00112BFC" w:rsidP="00F16712">
            <w:pPr>
              <w:pBdr>
                <w:top w:val="nil"/>
                <w:left w:val="nil"/>
                <w:bottom w:val="nil"/>
                <w:right w:val="nil"/>
                <w:between w:val="nil"/>
              </w:pBdr>
              <w:jc w:val="both"/>
              <w:rPr>
                <w:rFonts w:ascii="Times New Roman" w:eastAsia="Times New Roman" w:hAnsi="Times New Roman" w:cs="Times New Roman"/>
                <w:b/>
                <w:sz w:val="22"/>
                <w:szCs w:val="22"/>
              </w:rPr>
            </w:pPr>
            <w:r w:rsidRPr="003E7A0B">
              <w:rPr>
                <w:rFonts w:ascii="Times New Roman" w:eastAsia="Times New Roman" w:hAnsi="Times New Roman" w:cs="Times New Roman"/>
                <w:b/>
                <w:sz w:val="22"/>
                <w:szCs w:val="22"/>
              </w:rPr>
              <w:lastRenderedPageBreak/>
              <w:t xml:space="preserve">3. </w:t>
            </w:r>
            <w:r w:rsidR="00515863" w:rsidRPr="003E7A0B">
              <w:rPr>
                <w:rFonts w:ascii="Times New Roman" w:eastAsia="Times New Roman" w:hAnsi="Times New Roman" w:cs="Times New Roman"/>
                <w:b/>
                <w:sz w:val="22"/>
                <w:szCs w:val="22"/>
              </w:rPr>
              <w:t xml:space="preserve">Jak problem został rozwiązany w innych krajach, w szczególności krajach członkowskich OECD/UE? </w:t>
            </w:r>
          </w:p>
        </w:tc>
      </w:tr>
      <w:tr w:rsidR="00EC4C5C" w14:paraId="6C36EC69" w14:textId="77777777" w:rsidTr="00231F84">
        <w:trPr>
          <w:trHeight w:val="142"/>
        </w:trPr>
        <w:tc>
          <w:tcPr>
            <w:tcW w:w="10947" w:type="dxa"/>
            <w:gridSpan w:val="29"/>
          </w:tcPr>
          <w:p w14:paraId="2AA2B977" w14:textId="77777777" w:rsidR="00EC4C5C" w:rsidRPr="00AE2DC1" w:rsidRDefault="00515863" w:rsidP="000535ED">
            <w:pPr>
              <w:spacing w:before="120" w:after="120"/>
              <w:jc w:val="both"/>
              <w:rPr>
                <w:rFonts w:ascii="Times New Roman" w:eastAsia="Times New Roman" w:hAnsi="Times New Roman" w:cs="Times New Roman"/>
                <w:bCs/>
                <w:sz w:val="22"/>
                <w:szCs w:val="22"/>
              </w:rPr>
            </w:pPr>
            <w:r w:rsidRPr="00AE2DC1">
              <w:rPr>
                <w:rFonts w:ascii="Times New Roman" w:eastAsia="Times New Roman" w:hAnsi="Times New Roman" w:cs="Times New Roman"/>
                <w:bCs/>
                <w:sz w:val="22"/>
                <w:szCs w:val="22"/>
              </w:rPr>
              <w:t xml:space="preserve">Stany Zjednoczone </w:t>
            </w:r>
          </w:p>
          <w:p w14:paraId="3FB1C43A" w14:textId="37BEB1BA" w:rsidR="00EC4C5C" w:rsidRPr="000535ED" w:rsidRDefault="00515863"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Stany Zjednoczone są przykładem kraju, który kwestie dostępności próbuje uregulować całościowo, horyzontalnie, nie poprzestając na jednym akcie prawnym, ale tworząc do niego regulacje szczegółowe, standaryzujące dostępność </w:t>
            </w:r>
            <w:r w:rsidR="00A456A8">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w różnych dziedzinach i sektorach. Ustawa o Amerykanach z niepełnosprawnościami (ADA) z 1990</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 reguluje kwestie dostępności w wielu sektorach (rynek pracy, administracja rządowa i lokalna, transport publiczny, usługi i</w:t>
            </w:r>
            <w:r w:rsidR="00F16712" w:rsidRPr="000535ED">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 xml:space="preserve">telekomunikacja). W zakresie rynku pracy nakłada obowiązki na pracodawców zatrudniających 15 i więcej pracowników, agencje pracy, związki zawodowe. Zgodnie z tą ustawą wymagane jest zapewnienie racjonalnych usprawnień dla pracowników z niepełnosprawnościami, specjalnego sprzętu do wykonywania pracy, dostosowania czasu pracy do potrzeb pracownika. Administracja rządowa i lokalna ma obowiązek zapewnienia równego dostępu do usług publicznych dla obywateli z niepełnosprawnościami </w:t>
            </w:r>
            <w:r w:rsidR="0084556E">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dotyczy to szkół publicznych, pracy w administracji rządowej </w:t>
            </w:r>
            <w:r w:rsidR="000A28BA">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i</w:t>
            </w:r>
            <w:r w:rsidR="000A28BA">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lokalnej, służby zdrowia, korzystania z programów socjalnych, sądownictwa, udziału w wyborach. Dostępność jest tu rozumiana w kontekście dostępności architektonicznej budynków oraz alternatywnych sposobów komunikacji. </w:t>
            </w:r>
            <w:r w:rsidR="000A28BA">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W</w:t>
            </w:r>
            <w:r w:rsidR="000A28BA">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sektorze transportu publicznego występuje obowiązek zapewnienia dostępnych środków transportu publicznego, </w:t>
            </w:r>
            <w:r w:rsidR="000A28BA">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a</w:t>
            </w:r>
            <w:r w:rsidR="000A28BA">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w</w:t>
            </w:r>
            <w:r w:rsidR="000A28BA">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sytuacji gdy osoba z niepełnosprawnością nie może skorzystać z transportu zbiorowego, obowiązek zapewnienia </w:t>
            </w:r>
            <w:proofErr w:type="spellStart"/>
            <w:r w:rsidRPr="000535ED">
              <w:rPr>
                <w:rFonts w:ascii="Times New Roman" w:eastAsia="Times New Roman" w:hAnsi="Times New Roman" w:cs="Times New Roman"/>
                <w:sz w:val="22"/>
                <w:szCs w:val="22"/>
              </w:rPr>
              <w:t>paratransportu</w:t>
            </w:r>
            <w:proofErr w:type="spellEnd"/>
            <w:r w:rsidRPr="000535ED">
              <w:rPr>
                <w:rFonts w:ascii="Times New Roman" w:eastAsia="Times New Roman" w:hAnsi="Times New Roman" w:cs="Times New Roman"/>
                <w:sz w:val="22"/>
                <w:szCs w:val="22"/>
              </w:rPr>
              <w:t xml:space="preserve"> (transportu zastępczego). W sektorze usług ustawa obejmuje wszystkie obiekty usługowe</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takie jak</w:t>
            </w:r>
            <w:r w:rsidR="00A94F0E">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restauracje, sklepy, hotele, teatry, kina, szpitale, muzea, prywatne firmy przewozowe, prywatne biura i fabryki, ośrodki prowadzące szkolenia. Nie obejmuje jedynie organizacji religijnych oraz prywatnych klubów. W sektorze telekomunikacji ustawa obejmuje wszystkie przedsiębiorstwa telekomunikacyjne. Wymagane jest zapewnienie specjalnych narzędzi dla osób z problemami ze słuchem czy mową. </w:t>
            </w:r>
          </w:p>
          <w:p w14:paraId="21C1AF2D" w14:textId="04C37BE6" w:rsidR="00EC4C5C" w:rsidRPr="000535ED" w:rsidRDefault="00515863" w:rsidP="000535ED">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Amerykańskie Prawo telekomunikacyjne z 1996</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 xml:space="preserve">r., kompleksowa ustawa zmieniająca regulacje dotyczące branży telekomunikacyjnej, uznaje znaczenie dostępu do telekomunikacji dla osób z niepełnosprawnościami w erze informacyjnej. </w:t>
            </w:r>
            <w:r w:rsidR="00E7779F">
              <w:rPr>
                <w:rFonts w:ascii="Times New Roman" w:eastAsia="Times New Roman" w:hAnsi="Times New Roman" w:cs="Times New Roman"/>
                <w:sz w:val="22"/>
                <w:szCs w:val="22"/>
              </w:rPr>
              <w:t>A</w:t>
            </w:r>
            <w:r w:rsidR="00923724">
              <w:rPr>
                <w:rFonts w:ascii="Times New Roman" w:eastAsia="Times New Roman" w:hAnsi="Times New Roman" w:cs="Times New Roman"/>
                <w:sz w:val="22"/>
                <w:szCs w:val="22"/>
              </w:rPr>
              <w:t>rt.</w:t>
            </w:r>
            <w:r w:rsidRPr="000535ED">
              <w:rPr>
                <w:rFonts w:ascii="Times New Roman" w:eastAsia="Times New Roman" w:hAnsi="Times New Roman" w:cs="Times New Roman"/>
                <w:sz w:val="22"/>
                <w:szCs w:val="22"/>
              </w:rPr>
              <w:t xml:space="preserve"> 255 </w:t>
            </w:r>
            <w:r w:rsidR="00923724">
              <w:rPr>
                <w:rFonts w:ascii="Times New Roman" w:eastAsia="Times New Roman" w:hAnsi="Times New Roman" w:cs="Times New Roman"/>
                <w:sz w:val="22"/>
                <w:szCs w:val="22"/>
              </w:rPr>
              <w:t>tej u</w:t>
            </w:r>
            <w:r w:rsidRPr="000535ED">
              <w:rPr>
                <w:rFonts w:ascii="Times New Roman" w:eastAsia="Times New Roman" w:hAnsi="Times New Roman" w:cs="Times New Roman"/>
                <w:sz w:val="22"/>
                <w:szCs w:val="22"/>
              </w:rPr>
              <w:t xml:space="preserve">stawy wymaga, aby produkty i usługi telekomunikacyjne były dostępne dla osób niepełnosprawnych. Jest to wymagane w zakresie, w jakim dostęp jest „łatwo osiągalny”, czyli bez większych trudności </w:t>
            </w:r>
            <w:r w:rsidR="004802AB">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i</w:t>
            </w:r>
            <w:r w:rsidR="004802AB">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kosztów. Je</w:t>
            </w:r>
            <w:r w:rsidR="005E6B68">
              <w:rPr>
                <w:rFonts w:ascii="Times New Roman" w:eastAsia="Times New Roman" w:hAnsi="Times New Roman" w:cs="Times New Roman"/>
                <w:sz w:val="22"/>
                <w:szCs w:val="22"/>
              </w:rPr>
              <w:t>że</w:t>
            </w:r>
            <w:r w:rsidRPr="000535ED">
              <w:rPr>
                <w:rFonts w:ascii="Times New Roman" w:eastAsia="Times New Roman" w:hAnsi="Times New Roman" w:cs="Times New Roman"/>
                <w:sz w:val="22"/>
                <w:szCs w:val="22"/>
              </w:rPr>
              <w:t>li producenci nie mogą udostępnić swoich produktów, muszą zaprojektować produkty tak, aby były kompatybilne ze sprzętem adaptacyjnym używanym przez osoby z niepełnosprawnościami, o ile jest to łatwo osiągalne. To, co jest „łatwo osiągalne”, różni się w odniesieniu do każdego producenta w zależności od kosztów zapewnienia dostępności lub kompatybilności produktów oraz ich zasobów.</w:t>
            </w:r>
          </w:p>
          <w:p w14:paraId="1E6A1D7A" w14:textId="77777777" w:rsidR="007D5D54" w:rsidRPr="00AE2DC1" w:rsidRDefault="007D5D54" w:rsidP="00D60EC4">
            <w:pPr>
              <w:pBdr>
                <w:top w:val="nil"/>
                <w:left w:val="nil"/>
                <w:bottom w:val="nil"/>
                <w:right w:val="nil"/>
                <w:between w:val="nil"/>
              </w:pBdr>
              <w:spacing w:before="240" w:after="120"/>
              <w:jc w:val="both"/>
              <w:rPr>
                <w:rFonts w:ascii="Times New Roman" w:eastAsia="Times New Roman" w:hAnsi="Times New Roman" w:cs="Times New Roman"/>
                <w:bCs/>
                <w:sz w:val="22"/>
                <w:szCs w:val="22"/>
              </w:rPr>
            </w:pPr>
            <w:r w:rsidRPr="00AE2DC1">
              <w:rPr>
                <w:rFonts w:ascii="Times New Roman" w:eastAsia="Times New Roman" w:hAnsi="Times New Roman" w:cs="Times New Roman"/>
                <w:bCs/>
                <w:sz w:val="22"/>
                <w:szCs w:val="22"/>
              </w:rPr>
              <w:t>Brazylia</w:t>
            </w:r>
          </w:p>
          <w:p w14:paraId="67F999C6" w14:textId="77777777" w:rsidR="007D5D54" w:rsidRPr="000535ED" w:rsidRDefault="007D5D54" w:rsidP="000535ED">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W 2015</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 xml:space="preserve">r. Brazylia uchwaliła ustawę o integracji osób niepełnosprawnych (ustawa o osobie niepełnosprawnej) ustanawiającą zestaw </w:t>
            </w:r>
            <w:r w:rsidR="00865DA3" w:rsidRPr="000535ED">
              <w:rPr>
                <w:rFonts w:ascii="Times New Roman" w:eastAsia="Times New Roman" w:hAnsi="Times New Roman" w:cs="Times New Roman"/>
                <w:sz w:val="22"/>
                <w:szCs w:val="22"/>
              </w:rPr>
              <w:t>obowiązków</w:t>
            </w:r>
            <w:r w:rsidRPr="000535ED">
              <w:rPr>
                <w:rFonts w:ascii="Times New Roman" w:eastAsia="Times New Roman" w:hAnsi="Times New Roman" w:cs="Times New Roman"/>
                <w:sz w:val="22"/>
                <w:szCs w:val="22"/>
              </w:rPr>
              <w:t xml:space="preserve"> dotyczących aspektów integracji związanych ze wszystkimi prawami podstawowymi. Przepisy te mają szczególne znaczenie w odniesieniu do dostępności produktów i usług, usuwają bariery w uczestnictwie w aktywnym życiu osób niepełnosprawnych i skupiają się na technologiach ułatwiających dostępność.</w:t>
            </w:r>
          </w:p>
          <w:p w14:paraId="6D8D3391"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Projektowanie i realizacja przedsięwzięć związanych ze środowiskiem fizycznym, transportem, informacją</w:t>
            </w:r>
            <w:r w:rsidR="00FF7032">
              <w:rPr>
                <w:rFonts w:ascii="Times New Roman" w:eastAsia="Times New Roman" w:hAnsi="Times New Roman" w:cs="Times New Roman"/>
                <w:sz w:val="22"/>
                <w:szCs w:val="22"/>
              </w:rPr>
              <w:t xml:space="preserve"> </w:t>
            </w:r>
            <w:r w:rsidR="005F3A29" w:rsidRPr="000535ED">
              <w:rPr>
                <w:rFonts w:ascii="Times New Roman" w:eastAsia="Times New Roman" w:hAnsi="Times New Roman" w:cs="Times New Roman"/>
                <w:sz w:val="22"/>
                <w:szCs w:val="22"/>
              </w:rPr>
              <w:t>i komunikacją</w:t>
            </w:r>
            <w:r w:rsidRPr="000535ED">
              <w:rPr>
                <w:rFonts w:ascii="Times New Roman" w:eastAsia="Times New Roman" w:hAnsi="Times New Roman" w:cs="Times New Roman"/>
                <w:sz w:val="22"/>
                <w:szCs w:val="22"/>
              </w:rPr>
              <w:t xml:space="preserve">, w tym systemami i technologiami informacyjno-komunikacyjnymi, a także innymi usługami, wyposażeniem i obiektami ogólnodostępnymi do użytku publicznego lub prywatnymi przeznaczonymi do powszechnego użytku, zarówno na obszarach miejskich, jak i wiejskich, muszą spełniać zasady projektowania uniwersalnego, mając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za punkt odniesienia standardy dostępności. W przypadkach, w których nie można wykonać projektu </w:t>
            </w:r>
            <w:r w:rsidR="00751FD8" w:rsidRPr="000535ED">
              <w:rPr>
                <w:rFonts w:ascii="Times New Roman" w:eastAsia="Times New Roman" w:hAnsi="Times New Roman" w:cs="Times New Roman"/>
                <w:sz w:val="22"/>
                <w:szCs w:val="22"/>
              </w:rPr>
              <w:t xml:space="preserve">zgodnie z zasadami </w:t>
            </w:r>
            <w:r w:rsidRPr="000535ED">
              <w:rPr>
                <w:rFonts w:ascii="Times New Roman" w:eastAsia="Times New Roman" w:hAnsi="Times New Roman" w:cs="Times New Roman"/>
                <w:sz w:val="22"/>
                <w:szCs w:val="22"/>
              </w:rPr>
              <w:t>uniwersalnego</w:t>
            </w:r>
            <w:r w:rsidR="00751FD8" w:rsidRPr="000535ED">
              <w:rPr>
                <w:rFonts w:ascii="Times New Roman" w:eastAsia="Times New Roman" w:hAnsi="Times New Roman" w:cs="Times New Roman"/>
                <w:sz w:val="22"/>
                <w:szCs w:val="22"/>
              </w:rPr>
              <w:t xml:space="preserve"> projektowania</w:t>
            </w:r>
            <w:r w:rsidRPr="000535ED">
              <w:rPr>
                <w:rFonts w:ascii="Times New Roman" w:eastAsia="Times New Roman" w:hAnsi="Times New Roman" w:cs="Times New Roman"/>
                <w:sz w:val="22"/>
                <w:szCs w:val="22"/>
              </w:rPr>
              <w:t>, należy stosować racjonalne usprawnienia.</w:t>
            </w:r>
          </w:p>
          <w:p w14:paraId="5D003E6E" w14:textId="19805E1F"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Dostępność serwisów internetowych prowadzonych przez firmy mające siedzibę lub przedstawicielstwo handlowe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na terenie kraju lub przez agencje rządowe jest obowiązkowa i gwarantuje dostęp osób z niepełnosprawnościami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do informacji zgodnie z najlepszymi międzynarodowymi praktykami i wytycznymi w zakresie dostępności. Witryny muszą zawierać wyróżniony symbol dostępności. Lokalne telecentra, które otrzymują federalne fundusze publiczne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na finansowanie swojej działalności lub instalację, oraz kafejki internetowe muszą posiadać dostępny sprzęt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i urządzenia. Przedsiębiorcy świadczący usługi telekomunikacyjne muszą zagwarantować pełny dostęp osobom </w:t>
            </w:r>
            <w:r w:rsidR="009F0D7D">
              <w:rPr>
                <w:rFonts w:ascii="Times New Roman" w:eastAsia="Times New Roman" w:hAnsi="Times New Roman" w:cs="Times New Roman"/>
                <w:sz w:val="22"/>
                <w:szCs w:val="22"/>
              </w:rPr>
              <w:br/>
            </w:r>
            <w:r w:rsidR="005F3A29" w:rsidRPr="000535ED">
              <w:rPr>
                <w:rFonts w:ascii="Times New Roman" w:eastAsia="Times New Roman" w:hAnsi="Times New Roman" w:cs="Times New Roman"/>
                <w:sz w:val="22"/>
                <w:szCs w:val="22"/>
              </w:rPr>
              <w:t>z</w:t>
            </w:r>
            <w:r w:rsidR="005F3A29">
              <w:rPr>
                <w:rFonts w:ascii="Times New Roman" w:eastAsia="Times New Roman" w:hAnsi="Times New Roman" w:cs="Times New Roman"/>
                <w:sz w:val="22"/>
                <w:szCs w:val="22"/>
              </w:rPr>
              <w:t xml:space="preserve"> niepełnosprawnościami</w:t>
            </w:r>
            <w:r w:rsidRPr="000535ED">
              <w:rPr>
                <w:rFonts w:ascii="Times New Roman" w:eastAsia="Times New Roman" w:hAnsi="Times New Roman" w:cs="Times New Roman"/>
                <w:sz w:val="22"/>
                <w:szCs w:val="22"/>
              </w:rPr>
              <w:t>. Usługi audiowizualne muszą umożliwiać korzystanie m</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in</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z napisów zamkniętych</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okna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z tłumaczem na język migowy</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w:t>
            </w:r>
            <w:proofErr w:type="spellStart"/>
            <w:r w:rsidRPr="000535ED">
              <w:rPr>
                <w:rFonts w:ascii="Times New Roman" w:eastAsia="Times New Roman" w:hAnsi="Times New Roman" w:cs="Times New Roman"/>
                <w:sz w:val="22"/>
                <w:szCs w:val="22"/>
              </w:rPr>
              <w:t>audiodeskrypcji</w:t>
            </w:r>
            <w:proofErr w:type="spellEnd"/>
            <w:r w:rsidRPr="000535ED">
              <w:rPr>
                <w:rFonts w:ascii="Times New Roman" w:eastAsia="Times New Roman" w:hAnsi="Times New Roman" w:cs="Times New Roman"/>
                <w:sz w:val="22"/>
                <w:szCs w:val="22"/>
              </w:rPr>
              <w:t xml:space="preserve">. Władze publiczne przyjmują mechanizmy zachęcające do produkcji, redagowania, rozpowszechniania i komercjalizacji książek w dostępnych formatach, w tym w wydawnictwach </w:t>
            </w:r>
            <w:r w:rsidRPr="000535ED">
              <w:rPr>
                <w:rFonts w:ascii="Times New Roman" w:eastAsia="Times New Roman" w:hAnsi="Times New Roman" w:cs="Times New Roman"/>
                <w:sz w:val="22"/>
                <w:szCs w:val="22"/>
              </w:rPr>
              <w:lastRenderedPageBreak/>
              <w:t xml:space="preserve">administracji publicznej lub finansowanych ze środków publicznych, w celu zagwarantowania osobom </w:t>
            </w:r>
            <w:r w:rsidR="009F0D7D">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z</w:t>
            </w:r>
            <w:r w:rsidR="009F0D7D">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niepełnosprawnościami prawa dostępu do czytania, informacji i</w:t>
            </w:r>
            <w:r w:rsidR="009F0D7D">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komunikacji.</w:t>
            </w:r>
          </w:p>
          <w:p w14:paraId="6D67EC6E"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Wirtualne kanały marketingowe i reklamy publikowane w prasie, </w:t>
            </w:r>
            <w:r w:rsidR="00923724">
              <w:rPr>
                <w:rFonts w:ascii="Times New Roman" w:eastAsia="Times New Roman" w:hAnsi="Times New Roman" w:cs="Times New Roman"/>
                <w:sz w:val="22"/>
                <w:szCs w:val="22"/>
              </w:rPr>
              <w:t>I</w:t>
            </w:r>
            <w:r w:rsidRPr="000535ED">
              <w:rPr>
                <w:rFonts w:ascii="Times New Roman" w:eastAsia="Times New Roman" w:hAnsi="Times New Roman" w:cs="Times New Roman"/>
                <w:sz w:val="22"/>
                <w:szCs w:val="22"/>
              </w:rPr>
              <w:t>nternecie, radiu, telewizji i innych mediach otwartych lub prenumerowanych muszą udostępniać zasoby spełniające wymogi dostępności na koszt dostawcy produktu lub usługi. Dostawcy muszą udostępniać, na żądanie, kopie ulotek, prospektów, tekstów lub innego rodzaju materiałów promocyjnych w przystępnym formacie.</w:t>
            </w:r>
          </w:p>
          <w:p w14:paraId="46E63C6F"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Instytucje promujące kongresy, seminaria, warsztaty i inne wydarzenia o charakterze naukowo-kulturalnym muszą oferować osobom z niepełnosprawnościami co najmniej środki technologii wspomagających. Programy, kierunki badań </w:t>
            </w:r>
            <w:r w:rsidR="00BD10D3">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i projekty, które mają być opracowane przy wsparciu agencji finansujących oraz organów i podmiotów wchodzących </w:t>
            </w:r>
            <w:r w:rsidR="00BD10D3">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w</w:t>
            </w:r>
            <w:r w:rsidR="00BD10D3">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skład administracji publicznej działających na rzecz badań naukowych, muszą uwzględniać tematy związane </w:t>
            </w:r>
            <w:r w:rsidR="00BD10D3">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z</w:t>
            </w:r>
            <w:r w:rsidR="00BD10D3">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technologiami wspomagającymi. Do obowiązków władz publicznych, bezpośrednio lub we współpracy </w:t>
            </w:r>
            <w:r w:rsidR="00BD10D3">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z organizacjami społeczeństwa obywatelskiego, należy promowanie szkolenia tłumaczy ustnych i pisemnych języka migowego, przewodników i profesjonalistów posiadających kwalifikacje w zakresie alfabetu Braille’a, </w:t>
            </w:r>
            <w:proofErr w:type="spellStart"/>
            <w:r w:rsidRPr="000535ED">
              <w:rPr>
                <w:rFonts w:ascii="Times New Roman" w:eastAsia="Times New Roman" w:hAnsi="Times New Roman" w:cs="Times New Roman"/>
                <w:sz w:val="22"/>
                <w:szCs w:val="22"/>
              </w:rPr>
              <w:t>audiodeskrypcji</w:t>
            </w:r>
            <w:proofErr w:type="spellEnd"/>
            <w:r w:rsidRPr="000535ED">
              <w:rPr>
                <w:rFonts w:ascii="Times New Roman" w:eastAsia="Times New Roman" w:hAnsi="Times New Roman" w:cs="Times New Roman"/>
                <w:sz w:val="22"/>
                <w:szCs w:val="22"/>
              </w:rPr>
              <w:t>, stenografii i</w:t>
            </w:r>
            <w:r w:rsidR="00BD10D3">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napisów.</w:t>
            </w:r>
          </w:p>
          <w:p w14:paraId="09A94D90"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Osobom z niepełnosprawnościami gwarantuje się dostęp do produktów, zasobów, strategii, praktyk, procesów, metod i</w:t>
            </w:r>
            <w:r w:rsidR="00695736">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usług technologii wspomagających, które maksymalizują ich autonomię, mobilność osobistą i jakość życia.</w:t>
            </w:r>
          </w:p>
          <w:p w14:paraId="3F113B9E" w14:textId="77777777" w:rsidR="007D5D54" w:rsidRPr="00AE2DC1" w:rsidRDefault="007D5D54" w:rsidP="00D60EC4">
            <w:pPr>
              <w:pBdr>
                <w:top w:val="nil"/>
                <w:left w:val="nil"/>
                <w:bottom w:val="nil"/>
                <w:right w:val="nil"/>
                <w:between w:val="nil"/>
              </w:pBdr>
              <w:spacing w:before="240" w:after="120"/>
              <w:jc w:val="both"/>
              <w:rPr>
                <w:rFonts w:ascii="Times New Roman" w:eastAsia="Times New Roman" w:hAnsi="Times New Roman" w:cs="Times New Roman"/>
                <w:bCs/>
                <w:sz w:val="22"/>
                <w:szCs w:val="22"/>
              </w:rPr>
            </w:pPr>
            <w:r w:rsidRPr="00AE2DC1">
              <w:rPr>
                <w:rFonts w:ascii="Times New Roman" w:eastAsia="Times New Roman" w:hAnsi="Times New Roman" w:cs="Times New Roman"/>
                <w:bCs/>
                <w:sz w:val="22"/>
                <w:szCs w:val="22"/>
              </w:rPr>
              <w:t xml:space="preserve">Zjednoczone Królestwo Wielkiej Brytanii i Irlandii Północnej </w:t>
            </w:r>
          </w:p>
          <w:p w14:paraId="1328FFFB" w14:textId="77777777" w:rsidR="007D5D54" w:rsidRPr="000535ED" w:rsidRDefault="007D5D54" w:rsidP="000535ED">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Dostępność produktów i usług jest objęta przepisami ustawy o równości z 2010</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 (</w:t>
            </w:r>
            <w:proofErr w:type="spellStart"/>
            <w:r w:rsidRPr="000535ED">
              <w:rPr>
                <w:rFonts w:ascii="Times New Roman" w:eastAsia="Times New Roman" w:hAnsi="Times New Roman" w:cs="Times New Roman"/>
                <w:sz w:val="22"/>
                <w:szCs w:val="22"/>
              </w:rPr>
              <w:t>Equality</w:t>
            </w:r>
            <w:proofErr w:type="spellEnd"/>
            <w:r w:rsidRPr="000535ED">
              <w:rPr>
                <w:rFonts w:ascii="Times New Roman" w:eastAsia="Times New Roman" w:hAnsi="Times New Roman" w:cs="Times New Roman"/>
                <w:sz w:val="22"/>
                <w:szCs w:val="22"/>
              </w:rPr>
              <w:t xml:space="preserve"> </w:t>
            </w:r>
            <w:proofErr w:type="spellStart"/>
            <w:r w:rsidRPr="000535ED">
              <w:rPr>
                <w:rFonts w:ascii="Times New Roman" w:eastAsia="Times New Roman" w:hAnsi="Times New Roman" w:cs="Times New Roman"/>
                <w:sz w:val="22"/>
                <w:szCs w:val="22"/>
              </w:rPr>
              <w:t>Act</w:t>
            </w:r>
            <w:proofErr w:type="spellEnd"/>
            <w:r w:rsidRPr="000535ED">
              <w:rPr>
                <w:rFonts w:ascii="Times New Roman" w:eastAsia="Times New Roman" w:hAnsi="Times New Roman" w:cs="Times New Roman"/>
                <w:sz w:val="22"/>
                <w:szCs w:val="22"/>
              </w:rPr>
              <w:t>)</w:t>
            </w:r>
            <w:r w:rsidR="00695736">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Jednym z ważnych postanowień tej ustawy jest prawo</w:t>
            </w:r>
            <w:r w:rsidR="00923724" w:rsidRPr="000535ED">
              <w:rPr>
                <w:rFonts w:ascii="Times New Roman" w:eastAsia="Times New Roman" w:hAnsi="Times New Roman" w:cs="Times New Roman"/>
                <w:sz w:val="22"/>
                <w:szCs w:val="22"/>
              </w:rPr>
              <w:t xml:space="preserve"> dostępu</w:t>
            </w:r>
            <w:r w:rsidR="00923724">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m.in. osób z niepełnosprawnościami i osób starszych</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do towarów i usług codziennego użytku. Definicja niepełnosprawności jest bardzo szeroka i obejmuje osoby z zaburzeniami </w:t>
            </w:r>
            <w:r w:rsidR="00816BB1">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i</w:t>
            </w:r>
            <w:r w:rsidR="00816BB1">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upośledzeniami fizycznymi i psychicznymi. Szacuje się, że 11 m</w:t>
            </w:r>
            <w:r w:rsidR="00923724">
              <w:rPr>
                <w:rFonts w:ascii="Times New Roman" w:eastAsia="Times New Roman" w:hAnsi="Times New Roman" w:cs="Times New Roman"/>
                <w:sz w:val="22"/>
                <w:szCs w:val="22"/>
              </w:rPr>
              <w:t>ln</w:t>
            </w:r>
            <w:r w:rsidRPr="000535ED">
              <w:rPr>
                <w:rFonts w:ascii="Times New Roman" w:eastAsia="Times New Roman" w:hAnsi="Times New Roman" w:cs="Times New Roman"/>
                <w:sz w:val="22"/>
                <w:szCs w:val="22"/>
              </w:rPr>
              <w:t xml:space="preserve"> ludzi w Wielkiej Brytanii jest objętych ochroną </w:t>
            </w:r>
            <w:r w:rsidR="00816BB1">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na mocy </w:t>
            </w:r>
            <w:r w:rsidR="00923724">
              <w:rPr>
                <w:rFonts w:ascii="Times New Roman" w:eastAsia="Times New Roman" w:hAnsi="Times New Roman" w:cs="Times New Roman"/>
                <w:sz w:val="22"/>
                <w:szCs w:val="22"/>
              </w:rPr>
              <w:t xml:space="preserve">tej </w:t>
            </w:r>
            <w:r w:rsidRPr="000535ED">
              <w:rPr>
                <w:rFonts w:ascii="Times New Roman" w:eastAsia="Times New Roman" w:hAnsi="Times New Roman" w:cs="Times New Roman"/>
                <w:sz w:val="22"/>
                <w:szCs w:val="22"/>
              </w:rPr>
              <w:t>ustawy.</w:t>
            </w:r>
          </w:p>
          <w:p w14:paraId="26F10306" w14:textId="77777777" w:rsidR="007D5D54" w:rsidRPr="000535ED" w:rsidRDefault="007D5D54" w:rsidP="000535ED">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Usługodawcy mają obowiązek dokonania racjonalnych usprawnień w lokalu lub w sposobie świadczenia usługi. Zgodnie z ustawą jest niezgodne z prawem, aby usługodawcy traktowali osoby z niepełnosprawnościami mniej korzystnie </w:t>
            </w:r>
            <w:r w:rsidR="00816BB1">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ze względu na ich niepełnosprawności. Obecnie 74% witryn sektora publicznego w Wielkiej Brytanii i 32% witryn sektora prywatnego jest zgodnych z WCAG 2.0 AA. Za: </w:t>
            </w:r>
            <w:hyperlink r:id="rId11">
              <w:r w:rsidRPr="000535ED">
                <w:rPr>
                  <w:rFonts w:ascii="Times New Roman" w:eastAsia="Times New Roman" w:hAnsi="Times New Roman" w:cs="Times New Roman"/>
                  <w:sz w:val="22"/>
                  <w:szCs w:val="22"/>
                </w:rPr>
                <w:t>https://www.gov.uk/guidance/accessibility-requirements-for-public-sector-websites-and-apps</w:t>
              </w:r>
            </w:hyperlink>
            <w:r w:rsidR="00695736">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w:t>
            </w:r>
          </w:p>
          <w:p w14:paraId="070DB18F" w14:textId="77777777" w:rsidR="007D5D54" w:rsidRPr="000535ED" w:rsidRDefault="007D5D54" w:rsidP="000535ED">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Przepisy </w:t>
            </w:r>
            <w:proofErr w:type="spellStart"/>
            <w:r w:rsidRPr="000535ED">
              <w:rPr>
                <w:rFonts w:ascii="Times New Roman" w:eastAsia="Times New Roman" w:hAnsi="Times New Roman" w:cs="Times New Roman"/>
                <w:sz w:val="22"/>
                <w:szCs w:val="22"/>
              </w:rPr>
              <w:t>Equality</w:t>
            </w:r>
            <w:proofErr w:type="spellEnd"/>
            <w:r w:rsidRPr="000535ED">
              <w:rPr>
                <w:rFonts w:ascii="Times New Roman" w:eastAsia="Times New Roman" w:hAnsi="Times New Roman" w:cs="Times New Roman"/>
                <w:sz w:val="22"/>
                <w:szCs w:val="22"/>
              </w:rPr>
              <w:t xml:space="preserve"> </w:t>
            </w:r>
            <w:proofErr w:type="spellStart"/>
            <w:r w:rsidRPr="000535ED">
              <w:rPr>
                <w:rFonts w:ascii="Times New Roman" w:eastAsia="Times New Roman" w:hAnsi="Times New Roman" w:cs="Times New Roman"/>
                <w:sz w:val="22"/>
                <w:szCs w:val="22"/>
              </w:rPr>
              <w:t>Act</w:t>
            </w:r>
            <w:proofErr w:type="spellEnd"/>
            <w:r w:rsidRPr="000535ED">
              <w:rPr>
                <w:rFonts w:ascii="Times New Roman" w:eastAsia="Times New Roman" w:hAnsi="Times New Roman" w:cs="Times New Roman"/>
                <w:sz w:val="22"/>
                <w:szCs w:val="22"/>
              </w:rPr>
              <w:t xml:space="preserve"> przewidują możliwość skargi przeciw działaniom dyskryminującym podmiotów gospodarczych, nie przewidują jednak szczegółowych wytycznych co do wymogów dostępności produktów i usług i ochrony konsumenckiej</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np. pozwalającej wycofać niedostępny produkt z obrotu. </w:t>
            </w:r>
          </w:p>
          <w:p w14:paraId="33616D27" w14:textId="77777777" w:rsidR="007D5D54" w:rsidRPr="00AE2DC1" w:rsidRDefault="007D5D54" w:rsidP="00D60EC4">
            <w:pPr>
              <w:pBdr>
                <w:top w:val="nil"/>
                <w:left w:val="nil"/>
                <w:bottom w:val="nil"/>
                <w:right w:val="nil"/>
                <w:between w:val="nil"/>
              </w:pBdr>
              <w:spacing w:before="240" w:after="120"/>
              <w:jc w:val="both"/>
              <w:rPr>
                <w:rFonts w:ascii="Times New Roman" w:eastAsia="Times New Roman" w:hAnsi="Times New Roman" w:cs="Times New Roman"/>
                <w:bCs/>
                <w:sz w:val="22"/>
                <w:szCs w:val="22"/>
              </w:rPr>
            </w:pPr>
            <w:r w:rsidRPr="00AE2DC1">
              <w:rPr>
                <w:rFonts w:ascii="Times New Roman" w:eastAsia="Times New Roman" w:hAnsi="Times New Roman" w:cs="Times New Roman"/>
                <w:bCs/>
                <w:sz w:val="22"/>
                <w:szCs w:val="22"/>
              </w:rPr>
              <w:t>Republika Włoska</w:t>
            </w:r>
          </w:p>
          <w:p w14:paraId="3BA53F78"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Rozporządzeniem Prezesa Rady Ministrów z dnia 21 października 2019</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powołano z dniem 1 stycznia 2020</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Urząd </w:t>
            </w:r>
            <w:r w:rsidR="00816BB1">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do spraw Polityki na rzecz Osób Niepełnosprawnych. Urząd reprezentuje strukturę wsparcia wykorzystywaną przez Prezesa Rady Ministrów do promocji i koordynacji działań rządu w dziedzinie niepełnosprawności.</w:t>
            </w:r>
          </w:p>
          <w:p w14:paraId="4D80B150" w14:textId="003E9ADA"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Dekretem z mocą ustawy nr 86/2018 z dnia 12 lipca 2018</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Przewodniczącemu Rady Ministrów powierzono funkcje ukierunkowywania i koordynacji polityk na rzecz osób niepełnosprawnych, które obejmują różne obszary sektorowe, takie jak</w:t>
            </w:r>
            <w:r w:rsidR="00D60EC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zatrudnienie, zdrowie, włączenie społeczne w szkołach, dostępność i mobilność</w:t>
            </w:r>
            <w:r w:rsidR="00695736">
              <w:rPr>
                <w:rFonts w:ascii="Times New Roman" w:eastAsia="Times New Roman" w:hAnsi="Times New Roman" w:cs="Times New Roman"/>
                <w:sz w:val="22"/>
                <w:szCs w:val="22"/>
              </w:rPr>
              <w:t>.</w:t>
            </w:r>
          </w:p>
          <w:p w14:paraId="5D1F3848" w14:textId="77777777" w:rsidR="00923724"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 xml:space="preserve">Kwestia dostępności środowiska fizycznego i transportu jest rozpatrywana w ramach </w:t>
            </w:r>
            <w:r w:rsidR="00A510A5">
              <w:rPr>
                <w:rFonts w:ascii="Times New Roman" w:eastAsia="Times New Roman" w:hAnsi="Times New Roman" w:cs="Times New Roman"/>
                <w:sz w:val="22"/>
                <w:szCs w:val="22"/>
              </w:rPr>
              <w:t>regulacji</w:t>
            </w:r>
            <w:r w:rsidRPr="000535ED">
              <w:rPr>
                <w:rFonts w:ascii="Times New Roman" w:eastAsia="Times New Roman" w:hAnsi="Times New Roman" w:cs="Times New Roman"/>
                <w:sz w:val="22"/>
                <w:szCs w:val="22"/>
              </w:rPr>
              <w:t xml:space="preserve"> dotyczących usuwania barier fizycznych</w:t>
            </w:r>
            <w:r w:rsidR="00A510A5">
              <w:rPr>
                <w:rFonts w:ascii="Times New Roman" w:eastAsia="Times New Roman" w:hAnsi="Times New Roman" w:cs="Times New Roman"/>
                <w:sz w:val="22"/>
                <w:szCs w:val="22"/>
              </w:rPr>
              <w:t>,</w:t>
            </w:r>
            <w:r w:rsidR="00923724">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które wprowadziły głównie wymagania techniczne zawierające minimalne wymagania i limity wielkości. </w:t>
            </w:r>
          </w:p>
          <w:p w14:paraId="11BF036B" w14:textId="79936C04" w:rsidR="002D6F4C"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W odniesieniu do prawa dostępu do informacji ustawa nr 4 z dnia 9 stycznia 2004</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w:t>
            </w:r>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uznaje i chroni prawo wszystkich obywateli do dostępu do wszystkich źródeł informacji i usług z nimi związanych, w szczególności prawo dostępu </w:t>
            </w:r>
            <w:r w:rsidR="00456E46">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do usług informatycznych i </w:t>
            </w:r>
            <w:proofErr w:type="spellStart"/>
            <w:r w:rsidRPr="000535ED">
              <w:rPr>
                <w:rFonts w:ascii="Times New Roman" w:eastAsia="Times New Roman" w:hAnsi="Times New Roman" w:cs="Times New Roman"/>
                <w:sz w:val="22"/>
                <w:szCs w:val="22"/>
              </w:rPr>
              <w:t>telematycznych</w:t>
            </w:r>
            <w:proofErr w:type="spellEnd"/>
            <w:r w:rsidRPr="000535ED">
              <w:rPr>
                <w:rFonts w:ascii="Times New Roman" w:eastAsia="Times New Roman" w:hAnsi="Times New Roman" w:cs="Times New Roman"/>
                <w:sz w:val="22"/>
                <w:szCs w:val="22"/>
              </w:rPr>
              <w:t xml:space="preserve"> administracji publicznej i zakładów użyteczności publicznej przez osoby </w:t>
            </w:r>
            <w:r w:rsidR="00456E46">
              <w:rPr>
                <w:rFonts w:ascii="Times New Roman" w:eastAsia="Times New Roman" w:hAnsi="Times New Roman" w:cs="Times New Roman"/>
                <w:sz w:val="22"/>
                <w:szCs w:val="22"/>
              </w:rPr>
              <w:br/>
            </w:r>
            <w:r w:rsidR="008911E7">
              <w:rPr>
                <w:rFonts w:ascii="Times New Roman" w:eastAsia="Times New Roman" w:hAnsi="Times New Roman" w:cs="Times New Roman"/>
                <w:sz w:val="22"/>
                <w:szCs w:val="22"/>
              </w:rPr>
              <w:t xml:space="preserve">z </w:t>
            </w:r>
            <w:r w:rsidRPr="000535ED">
              <w:rPr>
                <w:rFonts w:ascii="Times New Roman" w:eastAsia="Times New Roman" w:hAnsi="Times New Roman" w:cs="Times New Roman"/>
                <w:sz w:val="22"/>
                <w:szCs w:val="22"/>
              </w:rPr>
              <w:t>niepełnospraw</w:t>
            </w:r>
            <w:r w:rsidR="008911E7">
              <w:rPr>
                <w:rFonts w:ascii="Times New Roman" w:eastAsia="Times New Roman" w:hAnsi="Times New Roman" w:cs="Times New Roman"/>
                <w:sz w:val="22"/>
                <w:szCs w:val="22"/>
              </w:rPr>
              <w:t>nościami</w:t>
            </w:r>
            <w:r w:rsidRPr="000535ED">
              <w:rPr>
                <w:rFonts w:ascii="Times New Roman" w:eastAsia="Times New Roman" w:hAnsi="Times New Roman" w:cs="Times New Roman"/>
                <w:sz w:val="22"/>
                <w:szCs w:val="22"/>
              </w:rPr>
              <w:t xml:space="preserve">. Przepisy zawarte w tej ustawie mają zastosowanie nie tylko do administracji publicznej, </w:t>
            </w:r>
            <w:r w:rsidR="00456E46">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 xml:space="preserve">ale także do innych publicznych organizacji gospodarczych, prywatnych przedsiębiorstw świadczących usługi publiczne, publicznych zakładów opieki zdrowotnej i organizacji rehabilitacyjnych, państwowych przedsiębiorstw transportowych </w:t>
            </w:r>
            <w:r w:rsidR="00456E46">
              <w:rPr>
                <w:rFonts w:ascii="Times New Roman" w:eastAsia="Times New Roman" w:hAnsi="Times New Roman" w:cs="Times New Roman"/>
                <w:sz w:val="22"/>
                <w:szCs w:val="22"/>
              </w:rPr>
              <w:br/>
            </w:r>
            <w:r w:rsidRPr="000535ED">
              <w:rPr>
                <w:rFonts w:ascii="Times New Roman" w:eastAsia="Times New Roman" w:hAnsi="Times New Roman" w:cs="Times New Roman"/>
                <w:sz w:val="22"/>
                <w:szCs w:val="22"/>
              </w:rPr>
              <w:t>i komunikacyjnych oraz dostawców usług informacyjnych.</w:t>
            </w:r>
          </w:p>
          <w:p w14:paraId="67F2CA81"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Cyfrowy Kodeks Administracji (CAD) definiuje dostępność jako warunek wstępny dla stron internetowych administracji publicznej i stanowi, że strony internetowe instytucji muszą być tworzone z zachowaniem najwyższych standardów użyteczności i dostępności, także dla osób niepełnosprawnych, wraz z kompletnością informacji, jasnością języka, wiarygodnością, jakością, jednorodnością i interoperacyjnością. Normy te mają zastosowanie również do materiałów dydaktycznych i szkoleniowych.</w:t>
            </w:r>
          </w:p>
          <w:p w14:paraId="684F9E43" w14:textId="77777777" w:rsidR="007D5D54" w:rsidRPr="000535ED" w:rsidRDefault="007D5D54" w:rsidP="000535ED">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lastRenderedPageBreak/>
              <w:t>W odniesieniu do dziedziny edukacji rozporządzenie ministerialne z dnia 30 kwietnia 2008</w:t>
            </w:r>
            <w:r w:rsidR="00456E46">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 xml:space="preserve">r. zawiera </w:t>
            </w:r>
            <w:r w:rsidR="008911E7">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techniczną regulację prawną dotyczącą dostępności narzędzi edukacyjnych i szkoleniowych dla uczniów niepełnosprawnych</w:t>
            </w:r>
            <w:r w:rsidR="008911E7">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oraz wprowadza wytyczne redakcyjne dotyczące podręczników do nauki oraz dostępności i użyteczności oprogramowania edukacyjnego dla uczniów </w:t>
            </w:r>
            <w:r w:rsidR="008911E7">
              <w:rPr>
                <w:rFonts w:ascii="Times New Roman" w:eastAsia="Times New Roman" w:hAnsi="Times New Roman" w:cs="Times New Roman"/>
                <w:sz w:val="22"/>
                <w:szCs w:val="22"/>
              </w:rPr>
              <w:t xml:space="preserve">z </w:t>
            </w:r>
            <w:r w:rsidRPr="000535ED">
              <w:rPr>
                <w:rFonts w:ascii="Times New Roman" w:eastAsia="Times New Roman" w:hAnsi="Times New Roman" w:cs="Times New Roman"/>
                <w:sz w:val="22"/>
                <w:szCs w:val="22"/>
              </w:rPr>
              <w:t>niepełnosprawn</w:t>
            </w:r>
            <w:r w:rsidR="008911E7">
              <w:rPr>
                <w:rFonts w:ascii="Times New Roman" w:eastAsia="Times New Roman" w:hAnsi="Times New Roman" w:cs="Times New Roman"/>
                <w:sz w:val="22"/>
                <w:szCs w:val="22"/>
              </w:rPr>
              <w:t>ościami</w:t>
            </w:r>
            <w:r w:rsidRPr="000535ED">
              <w:rPr>
                <w:rFonts w:ascii="Times New Roman" w:eastAsia="Times New Roman" w:hAnsi="Times New Roman" w:cs="Times New Roman"/>
                <w:sz w:val="22"/>
                <w:szCs w:val="22"/>
              </w:rPr>
              <w:t>.</w:t>
            </w:r>
          </w:p>
          <w:p w14:paraId="517763A7" w14:textId="2A3A6B0E" w:rsidR="00EC4C5C" w:rsidRDefault="007D5D54" w:rsidP="00DD341B">
            <w:pPr>
              <w:spacing w:before="120" w:after="120"/>
              <w:jc w:val="both"/>
              <w:rPr>
                <w:rFonts w:ascii="Times New Roman" w:eastAsia="Times New Roman" w:hAnsi="Times New Roman" w:cs="Times New Roman"/>
                <w:sz w:val="22"/>
                <w:szCs w:val="22"/>
              </w:rPr>
            </w:pPr>
            <w:r w:rsidRPr="000535ED">
              <w:rPr>
                <w:rFonts w:ascii="Times New Roman" w:eastAsia="Times New Roman" w:hAnsi="Times New Roman" w:cs="Times New Roman"/>
                <w:sz w:val="22"/>
                <w:szCs w:val="22"/>
              </w:rPr>
              <w:t>Dekretem nr 76 z dnia 16 lipca 2020</w:t>
            </w:r>
            <w:r w:rsidR="00FF7032">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r. (</w:t>
            </w:r>
            <w:r w:rsidR="00F53BBD" w:rsidRPr="000535ED">
              <w:rPr>
                <w:rFonts w:ascii="Times New Roman" w:eastAsia="Times New Roman" w:hAnsi="Times New Roman" w:cs="Times New Roman"/>
                <w:sz w:val="22"/>
                <w:szCs w:val="22"/>
              </w:rPr>
              <w:t>„</w:t>
            </w:r>
            <w:proofErr w:type="spellStart"/>
            <w:r w:rsidRPr="000535ED">
              <w:rPr>
                <w:rFonts w:ascii="Times New Roman" w:eastAsia="Times New Roman" w:hAnsi="Times New Roman" w:cs="Times New Roman"/>
                <w:sz w:val="22"/>
                <w:szCs w:val="22"/>
              </w:rPr>
              <w:t>S</w:t>
            </w:r>
            <w:r w:rsidR="002F6542">
              <w:rPr>
                <w:rFonts w:ascii="Times New Roman" w:eastAsia="Times New Roman" w:hAnsi="Times New Roman" w:cs="Times New Roman"/>
                <w:sz w:val="22"/>
                <w:szCs w:val="22"/>
              </w:rPr>
              <w:t>i</w:t>
            </w:r>
            <w:r w:rsidRPr="000535ED">
              <w:rPr>
                <w:rFonts w:ascii="Times New Roman" w:eastAsia="Times New Roman" w:hAnsi="Times New Roman" w:cs="Times New Roman"/>
                <w:sz w:val="22"/>
                <w:szCs w:val="22"/>
              </w:rPr>
              <w:t>mplificazioni</w:t>
            </w:r>
            <w:proofErr w:type="spellEnd"/>
            <w:r w:rsidR="00923724">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w celu ułatwienia osobom </w:t>
            </w:r>
            <w:r w:rsidR="008911E7">
              <w:rPr>
                <w:rFonts w:ascii="Times New Roman" w:eastAsia="Times New Roman" w:hAnsi="Times New Roman" w:cs="Times New Roman"/>
                <w:sz w:val="22"/>
                <w:szCs w:val="22"/>
              </w:rPr>
              <w:t xml:space="preserve">z </w:t>
            </w:r>
            <w:r w:rsidRPr="000535ED">
              <w:rPr>
                <w:rFonts w:ascii="Times New Roman" w:eastAsia="Times New Roman" w:hAnsi="Times New Roman" w:cs="Times New Roman"/>
                <w:sz w:val="22"/>
                <w:szCs w:val="22"/>
              </w:rPr>
              <w:t>niepełnosprawn</w:t>
            </w:r>
            <w:r w:rsidR="008911E7">
              <w:rPr>
                <w:rFonts w:ascii="Times New Roman" w:eastAsia="Times New Roman" w:hAnsi="Times New Roman" w:cs="Times New Roman"/>
                <w:sz w:val="22"/>
                <w:szCs w:val="22"/>
              </w:rPr>
              <w:t>ościami</w:t>
            </w:r>
            <w:r w:rsidR="00923724">
              <w:rPr>
                <w:rFonts w:ascii="Times New Roman" w:eastAsia="Times New Roman" w:hAnsi="Times New Roman" w:cs="Times New Roman"/>
                <w:sz w:val="22"/>
                <w:szCs w:val="22"/>
              </w:rPr>
              <w:t xml:space="preserve"> </w:t>
            </w:r>
            <w:r w:rsidRPr="000535ED">
              <w:rPr>
                <w:rFonts w:ascii="Times New Roman" w:eastAsia="Times New Roman" w:hAnsi="Times New Roman" w:cs="Times New Roman"/>
                <w:sz w:val="22"/>
                <w:szCs w:val="22"/>
              </w:rPr>
              <w:t>dostępu do narzędzi informatycznych, wprowadzono obowiązek dostępnych stron internetowych i aplikacji na smartfony i tablety wobec podmiotów publicznych i prywatnych świadczących usługi o znaczeniu publicznym, które w ciągu ostatnich 3 lat odnotowały średni obrót na poziomie ponad 500 mln euro. Ważne jest</w:t>
            </w:r>
            <w:r w:rsidR="00F45320">
              <w:rPr>
                <w:rFonts w:ascii="Times New Roman" w:eastAsia="Times New Roman" w:hAnsi="Times New Roman" w:cs="Times New Roman"/>
                <w:sz w:val="22"/>
                <w:szCs w:val="22"/>
              </w:rPr>
              <w:t xml:space="preserve"> tu</w:t>
            </w:r>
            <w:r w:rsidRPr="000535ED">
              <w:rPr>
                <w:rFonts w:ascii="Times New Roman" w:eastAsia="Times New Roman" w:hAnsi="Times New Roman" w:cs="Times New Roman"/>
                <w:sz w:val="22"/>
                <w:szCs w:val="22"/>
              </w:rPr>
              <w:t xml:space="preserve"> uwzględnienie rozszerzenia obowiązków wynikających </w:t>
            </w:r>
            <w:r w:rsidR="008911E7">
              <w:rPr>
                <w:rFonts w:ascii="Times New Roman" w:eastAsia="Times New Roman" w:hAnsi="Times New Roman" w:cs="Times New Roman"/>
                <w:sz w:val="22"/>
                <w:szCs w:val="22"/>
              </w:rPr>
              <w:t xml:space="preserve">z </w:t>
            </w:r>
            <w:r w:rsidRPr="000535ED">
              <w:rPr>
                <w:rFonts w:ascii="Times New Roman" w:eastAsia="Times New Roman" w:hAnsi="Times New Roman" w:cs="Times New Roman"/>
                <w:sz w:val="22"/>
                <w:szCs w:val="22"/>
              </w:rPr>
              <w:t xml:space="preserve">tej ustawy na sektor prywatny. Również zakupy produktów </w:t>
            </w:r>
            <w:proofErr w:type="spellStart"/>
            <w:r w:rsidRPr="000535ED">
              <w:rPr>
                <w:rFonts w:ascii="Times New Roman" w:eastAsia="Times New Roman" w:hAnsi="Times New Roman" w:cs="Times New Roman"/>
                <w:sz w:val="22"/>
                <w:szCs w:val="22"/>
              </w:rPr>
              <w:t>teleinformtycznych</w:t>
            </w:r>
            <w:proofErr w:type="spellEnd"/>
            <w:r w:rsidRPr="000535ED">
              <w:rPr>
                <w:rFonts w:ascii="Times New Roman" w:eastAsia="Times New Roman" w:hAnsi="Times New Roman" w:cs="Times New Roman"/>
                <w:sz w:val="22"/>
                <w:szCs w:val="22"/>
              </w:rPr>
              <w:t xml:space="preserve"> muszą być dokonywane z</w:t>
            </w:r>
            <w:r w:rsidR="00DD341B">
              <w:rPr>
                <w:rFonts w:ascii="Times New Roman" w:eastAsia="Times New Roman" w:hAnsi="Times New Roman" w:cs="Times New Roman"/>
                <w:sz w:val="22"/>
                <w:szCs w:val="22"/>
              </w:rPr>
              <w:t> </w:t>
            </w:r>
            <w:r w:rsidRPr="000535ED">
              <w:rPr>
                <w:rFonts w:ascii="Times New Roman" w:eastAsia="Times New Roman" w:hAnsi="Times New Roman" w:cs="Times New Roman"/>
                <w:sz w:val="22"/>
                <w:szCs w:val="22"/>
              </w:rPr>
              <w:t>uwzględnieniem faktu, że wymogi dotyczące dostępności produktów są</w:t>
            </w:r>
            <w:r w:rsidR="00923724">
              <w:rPr>
                <w:rFonts w:ascii="Times New Roman" w:eastAsia="Times New Roman" w:hAnsi="Times New Roman" w:cs="Times New Roman"/>
                <w:sz w:val="22"/>
                <w:szCs w:val="22"/>
              </w:rPr>
              <w:t xml:space="preserve"> </w:t>
            </w:r>
            <w:r w:rsidR="008911E7">
              <w:rPr>
                <w:rFonts w:ascii="Times New Roman" w:eastAsia="Times New Roman" w:hAnsi="Times New Roman" w:cs="Times New Roman"/>
                <w:sz w:val="22"/>
                <w:szCs w:val="22"/>
              </w:rPr>
              <w:t>obowiązkowe</w:t>
            </w:r>
            <w:r w:rsidRPr="000535ED">
              <w:rPr>
                <w:rFonts w:ascii="Times New Roman" w:eastAsia="Times New Roman" w:hAnsi="Times New Roman" w:cs="Times New Roman"/>
                <w:sz w:val="22"/>
                <w:szCs w:val="22"/>
              </w:rPr>
              <w:t>, a nie opcjonalne. Tym dekretem ustanowiono sankcje</w:t>
            </w:r>
            <w:r w:rsidR="008911E7">
              <w:rPr>
                <w:rFonts w:ascii="Times New Roman" w:eastAsia="Times New Roman" w:hAnsi="Times New Roman" w:cs="Times New Roman"/>
                <w:sz w:val="22"/>
                <w:szCs w:val="22"/>
              </w:rPr>
              <w:t>,</w:t>
            </w:r>
            <w:r w:rsidRPr="000535ED">
              <w:rPr>
                <w:rFonts w:ascii="Times New Roman" w:eastAsia="Times New Roman" w:hAnsi="Times New Roman" w:cs="Times New Roman"/>
                <w:sz w:val="22"/>
                <w:szCs w:val="22"/>
              </w:rPr>
              <w:t xml:space="preserve"> wskazując, że naruszenie</w:t>
            </w:r>
            <w:r w:rsidR="008911E7">
              <w:rPr>
                <w:rFonts w:ascii="Times New Roman" w:eastAsia="Times New Roman" w:hAnsi="Times New Roman" w:cs="Times New Roman"/>
                <w:sz w:val="22"/>
                <w:szCs w:val="22"/>
              </w:rPr>
              <w:t xml:space="preserve"> obowiązku</w:t>
            </w:r>
            <w:r w:rsidRPr="000535ED">
              <w:rPr>
                <w:rFonts w:ascii="Times New Roman" w:eastAsia="Times New Roman" w:hAnsi="Times New Roman" w:cs="Times New Roman"/>
                <w:sz w:val="22"/>
                <w:szCs w:val="22"/>
              </w:rPr>
              <w:t xml:space="preserve"> jest stwierdzane przez </w:t>
            </w:r>
            <w:proofErr w:type="spellStart"/>
            <w:r w:rsidR="000535ED">
              <w:rPr>
                <w:rFonts w:ascii="Times New Roman" w:eastAsia="Times New Roman" w:hAnsi="Times New Roman" w:cs="Times New Roman"/>
                <w:sz w:val="22"/>
                <w:szCs w:val="22"/>
              </w:rPr>
              <w:t>Agenzia</w:t>
            </w:r>
            <w:proofErr w:type="spellEnd"/>
            <w:r w:rsidR="000535ED">
              <w:rPr>
                <w:rFonts w:ascii="Times New Roman" w:eastAsia="Times New Roman" w:hAnsi="Times New Roman" w:cs="Times New Roman"/>
                <w:sz w:val="22"/>
                <w:szCs w:val="22"/>
              </w:rPr>
              <w:t xml:space="preserve"> per </w:t>
            </w:r>
            <w:proofErr w:type="spellStart"/>
            <w:r w:rsidR="000535ED">
              <w:rPr>
                <w:rFonts w:ascii="Times New Roman" w:eastAsia="Times New Roman" w:hAnsi="Times New Roman" w:cs="Times New Roman"/>
                <w:sz w:val="22"/>
                <w:szCs w:val="22"/>
              </w:rPr>
              <w:t>l</w:t>
            </w:r>
            <w:r w:rsidR="00923724">
              <w:rPr>
                <w:rFonts w:ascii="Times New Roman" w:eastAsia="Times New Roman" w:hAnsi="Times New Roman" w:cs="Times New Roman"/>
                <w:sz w:val="22"/>
                <w:szCs w:val="22"/>
              </w:rPr>
              <w:t>’</w:t>
            </w:r>
            <w:r w:rsidR="000535ED">
              <w:rPr>
                <w:rFonts w:ascii="Times New Roman" w:eastAsia="Times New Roman" w:hAnsi="Times New Roman" w:cs="Times New Roman"/>
                <w:sz w:val="22"/>
                <w:szCs w:val="22"/>
              </w:rPr>
              <w:t>Italia</w:t>
            </w:r>
            <w:proofErr w:type="spellEnd"/>
            <w:r w:rsidR="000535ED">
              <w:rPr>
                <w:rFonts w:ascii="Times New Roman" w:eastAsia="Times New Roman" w:hAnsi="Times New Roman" w:cs="Times New Roman"/>
                <w:sz w:val="22"/>
                <w:szCs w:val="22"/>
              </w:rPr>
              <w:t xml:space="preserve"> </w:t>
            </w:r>
            <w:proofErr w:type="spellStart"/>
            <w:r w:rsidR="000535ED">
              <w:rPr>
                <w:rFonts w:ascii="Times New Roman" w:eastAsia="Times New Roman" w:hAnsi="Times New Roman" w:cs="Times New Roman"/>
                <w:sz w:val="22"/>
                <w:szCs w:val="22"/>
              </w:rPr>
              <w:t>Digitale</w:t>
            </w:r>
            <w:proofErr w:type="spellEnd"/>
            <w:r w:rsidR="000535ED">
              <w:rPr>
                <w:rFonts w:ascii="Times New Roman" w:eastAsia="Times New Roman" w:hAnsi="Times New Roman" w:cs="Times New Roman"/>
                <w:sz w:val="22"/>
                <w:szCs w:val="22"/>
              </w:rPr>
              <w:t xml:space="preserve">. </w:t>
            </w:r>
          </w:p>
        </w:tc>
      </w:tr>
      <w:tr w:rsidR="00EC4C5C" w14:paraId="4CBA2383" w14:textId="77777777" w:rsidTr="00231F84">
        <w:trPr>
          <w:trHeight w:val="359"/>
        </w:trPr>
        <w:tc>
          <w:tcPr>
            <w:tcW w:w="10947" w:type="dxa"/>
            <w:gridSpan w:val="29"/>
            <w:shd w:val="clear" w:color="auto" w:fill="99CCFF"/>
            <w:vAlign w:val="center"/>
          </w:tcPr>
          <w:p w14:paraId="121863D2" w14:textId="77777777" w:rsidR="00EC4C5C" w:rsidRDefault="00112BFC"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4. </w:t>
            </w:r>
            <w:r w:rsidR="00515863">
              <w:rPr>
                <w:rFonts w:ascii="Times New Roman" w:eastAsia="Times New Roman" w:hAnsi="Times New Roman" w:cs="Times New Roman"/>
                <w:b/>
                <w:color w:val="000000"/>
                <w:sz w:val="22"/>
                <w:szCs w:val="22"/>
              </w:rPr>
              <w:t>Podmioty, na które oddziałuje projekt</w:t>
            </w:r>
          </w:p>
        </w:tc>
      </w:tr>
      <w:tr w:rsidR="00EC4C5C" w14:paraId="506CB186" w14:textId="77777777" w:rsidTr="00231F84">
        <w:trPr>
          <w:trHeight w:val="142"/>
        </w:trPr>
        <w:tc>
          <w:tcPr>
            <w:tcW w:w="2668" w:type="dxa"/>
            <w:gridSpan w:val="3"/>
          </w:tcPr>
          <w:p w14:paraId="1BF14996" w14:textId="77777777" w:rsidR="00EC4C5C" w:rsidRDefault="00515863">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Grupa</w:t>
            </w:r>
          </w:p>
        </w:tc>
        <w:tc>
          <w:tcPr>
            <w:tcW w:w="2292" w:type="dxa"/>
            <w:gridSpan w:val="8"/>
          </w:tcPr>
          <w:p w14:paraId="12A0AFAD" w14:textId="77777777" w:rsidR="00EC4C5C" w:rsidRDefault="00515863">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Wielkość</w:t>
            </w:r>
          </w:p>
        </w:tc>
        <w:tc>
          <w:tcPr>
            <w:tcW w:w="2996" w:type="dxa"/>
            <w:gridSpan w:val="12"/>
          </w:tcPr>
          <w:p w14:paraId="39802B75" w14:textId="77777777" w:rsidR="00EC4C5C" w:rsidRDefault="00515863">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Źródło danych </w:t>
            </w:r>
          </w:p>
        </w:tc>
        <w:tc>
          <w:tcPr>
            <w:tcW w:w="2991" w:type="dxa"/>
            <w:gridSpan w:val="6"/>
          </w:tcPr>
          <w:p w14:paraId="050FF668" w14:textId="77777777" w:rsidR="00EC4C5C" w:rsidRDefault="00515863">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Oddziaływanie</w:t>
            </w:r>
          </w:p>
        </w:tc>
      </w:tr>
      <w:tr w:rsidR="00EC4C5C" w14:paraId="48D13803" w14:textId="77777777" w:rsidTr="00231F84">
        <w:trPr>
          <w:trHeight w:val="142"/>
        </w:trPr>
        <w:tc>
          <w:tcPr>
            <w:tcW w:w="2668" w:type="dxa"/>
            <w:gridSpan w:val="3"/>
          </w:tcPr>
          <w:p w14:paraId="74E32EEE" w14:textId="29B4F002" w:rsidR="00EC4C5C" w:rsidRDefault="00E92F58">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515863">
              <w:rPr>
                <w:rFonts w:ascii="Times New Roman" w:eastAsia="Times New Roman" w:hAnsi="Times New Roman" w:cs="Times New Roman"/>
                <w:sz w:val="22"/>
                <w:szCs w:val="22"/>
              </w:rPr>
              <w:t>rywatne podmioty gospodarcze</w:t>
            </w:r>
          </w:p>
          <w:p w14:paraId="4A8C44B7" w14:textId="77777777" w:rsidR="00415339" w:rsidRPr="00D60EC4" w:rsidRDefault="00415339">
            <w:pPr>
              <w:pBdr>
                <w:top w:val="nil"/>
                <w:left w:val="nil"/>
                <w:bottom w:val="nil"/>
                <w:right w:val="nil"/>
                <w:between w:val="nil"/>
              </w:pBdr>
              <w:rPr>
                <w:rFonts w:ascii="Times New Roman" w:eastAsia="Times New Roman" w:hAnsi="Times New Roman" w:cs="Times New Roman"/>
                <w:sz w:val="16"/>
                <w:szCs w:val="16"/>
              </w:rPr>
            </w:pPr>
          </w:p>
          <w:p w14:paraId="0234FBD2"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Dyrektywa dotyczy powszechnie używanych produktów i usług, które obejmują 12 </w:t>
            </w:r>
            <w:r w:rsidR="00E04E9E">
              <w:rPr>
                <w:rFonts w:ascii="Times New Roman" w:eastAsia="Times New Roman" w:hAnsi="Times New Roman" w:cs="Times New Roman"/>
                <w:color w:val="000000"/>
                <w:sz w:val="22"/>
                <w:szCs w:val="22"/>
              </w:rPr>
              <w:t>obszarów działalności gospodarczej</w:t>
            </w:r>
            <w:r w:rsidRPr="00415339">
              <w:rPr>
                <w:rFonts w:ascii="Times New Roman" w:eastAsia="Times New Roman" w:hAnsi="Times New Roman" w:cs="Times New Roman"/>
                <w:color w:val="000000"/>
                <w:sz w:val="22"/>
                <w:szCs w:val="22"/>
              </w:rPr>
              <w:t>:</w:t>
            </w:r>
          </w:p>
          <w:p w14:paraId="45AD6AE0" w14:textId="0C0E9798"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1) </w:t>
            </w:r>
            <w:r w:rsidR="00006C28">
              <w:rPr>
                <w:rFonts w:ascii="Times New Roman" w:eastAsia="Times New Roman" w:hAnsi="Times New Roman" w:cs="Times New Roman"/>
                <w:color w:val="000000"/>
                <w:sz w:val="22"/>
                <w:szCs w:val="22"/>
              </w:rPr>
              <w:t xml:space="preserve">konsumenckich </w:t>
            </w:r>
            <w:r w:rsidR="00F45320">
              <w:rPr>
                <w:rFonts w:ascii="Times New Roman" w:eastAsia="Times New Roman" w:hAnsi="Times New Roman" w:cs="Times New Roman"/>
                <w:color w:val="000000"/>
                <w:sz w:val="22"/>
                <w:szCs w:val="22"/>
              </w:rPr>
              <w:t>s</w:t>
            </w:r>
            <w:r w:rsidRPr="00415339">
              <w:rPr>
                <w:rFonts w:ascii="Times New Roman" w:eastAsia="Times New Roman" w:hAnsi="Times New Roman" w:cs="Times New Roman"/>
                <w:color w:val="000000"/>
                <w:sz w:val="22"/>
                <w:szCs w:val="22"/>
              </w:rPr>
              <w:t>ystem</w:t>
            </w:r>
            <w:r w:rsidR="00006C28">
              <w:rPr>
                <w:rFonts w:ascii="Times New Roman" w:eastAsia="Times New Roman" w:hAnsi="Times New Roman" w:cs="Times New Roman"/>
                <w:color w:val="000000"/>
                <w:sz w:val="22"/>
                <w:szCs w:val="22"/>
              </w:rPr>
              <w:t>ów</w:t>
            </w:r>
            <w:r w:rsidRPr="00415339">
              <w:rPr>
                <w:rFonts w:ascii="Times New Roman" w:eastAsia="Times New Roman" w:hAnsi="Times New Roman" w:cs="Times New Roman"/>
                <w:color w:val="000000"/>
                <w:sz w:val="22"/>
                <w:szCs w:val="22"/>
              </w:rPr>
              <w:t xml:space="preserve"> sprzętu komputerowego wraz z</w:t>
            </w:r>
            <w:r w:rsidR="00DD341B">
              <w:rPr>
                <w:rFonts w:ascii="Times New Roman" w:eastAsia="Times New Roman" w:hAnsi="Times New Roman" w:cs="Times New Roman"/>
                <w:color w:val="000000"/>
                <w:sz w:val="22"/>
                <w:szCs w:val="22"/>
              </w:rPr>
              <w:t> </w:t>
            </w:r>
            <w:r w:rsidRPr="00415339">
              <w:rPr>
                <w:rFonts w:ascii="Times New Roman" w:eastAsia="Times New Roman" w:hAnsi="Times New Roman" w:cs="Times New Roman"/>
                <w:color w:val="000000"/>
                <w:sz w:val="22"/>
                <w:szCs w:val="22"/>
              </w:rPr>
              <w:t>systemami operacyjnymi do nich</w:t>
            </w:r>
            <w:r w:rsidR="00F45320">
              <w:rPr>
                <w:rFonts w:ascii="Times New Roman" w:eastAsia="Times New Roman" w:hAnsi="Times New Roman" w:cs="Times New Roman"/>
                <w:color w:val="000000"/>
                <w:sz w:val="22"/>
                <w:szCs w:val="22"/>
              </w:rPr>
              <w:t>;</w:t>
            </w:r>
          </w:p>
          <w:p w14:paraId="28E9E713" w14:textId="5D1D8713"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2) </w:t>
            </w:r>
            <w:r w:rsidR="00F45320">
              <w:rPr>
                <w:rFonts w:ascii="Times New Roman" w:eastAsia="Times New Roman" w:hAnsi="Times New Roman" w:cs="Times New Roman"/>
                <w:color w:val="000000"/>
                <w:sz w:val="22"/>
                <w:szCs w:val="22"/>
              </w:rPr>
              <w:t>t</w:t>
            </w:r>
            <w:r w:rsidRPr="00415339">
              <w:rPr>
                <w:rFonts w:ascii="Times New Roman" w:eastAsia="Times New Roman" w:hAnsi="Times New Roman" w:cs="Times New Roman"/>
                <w:color w:val="000000"/>
                <w:sz w:val="22"/>
                <w:szCs w:val="22"/>
              </w:rPr>
              <w:t>erminale płatnicze (zarówno urządzenia, jak i</w:t>
            </w:r>
            <w:r w:rsidR="00DD341B">
              <w:rPr>
                <w:rFonts w:ascii="Times New Roman" w:eastAsia="Times New Roman" w:hAnsi="Times New Roman" w:cs="Times New Roman"/>
                <w:color w:val="000000"/>
                <w:sz w:val="22"/>
                <w:szCs w:val="22"/>
              </w:rPr>
              <w:t> </w:t>
            </w:r>
            <w:r w:rsidRPr="00415339">
              <w:rPr>
                <w:rFonts w:ascii="Times New Roman" w:eastAsia="Times New Roman" w:hAnsi="Times New Roman" w:cs="Times New Roman"/>
                <w:color w:val="000000"/>
                <w:sz w:val="22"/>
                <w:szCs w:val="22"/>
              </w:rPr>
              <w:t>oprogramowanie)</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30528A43"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3) </w:t>
            </w:r>
            <w:r w:rsidR="00F45320">
              <w:rPr>
                <w:rFonts w:ascii="Times New Roman" w:eastAsia="Times New Roman" w:hAnsi="Times New Roman" w:cs="Times New Roman"/>
                <w:color w:val="000000"/>
                <w:sz w:val="22"/>
                <w:szCs w:val="22"/>
              </w:rPr>
              <w:t>i</w:t>
            </w:r>
            <w:r w:rsidRPr="00415339">
              <w:rPr>
                <w:rFonts w:ascii="Times New Roman" w:eastAsia="Times New Roman" w:hAnsi="Times New Roman" w:cs="Times New Roman"/>
                <w:color w:val="000000"/>
                <w:sz w:val="22"/>
                <w:szCs w:val="22"/>
              </w:rPr>
              <w:t>nteraktywne terminale samoobsługowe</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698EF551"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4) </w:t>
            </w:r>
            <w:r w:rsidR="00F45320">
              <w:rPr>
                <w:rFonts w:ascii="Times New Roman" w:eastAsia="Times New Roman" w:hAnsi="Times New Roman" w:cs="Times New Roman"/>
                <w:color w:val="000000"/>
                <w:sz w:val="22"/>
                <w:szCs w:val="22"/>
              </w:rPr>
              <w:t>k</w:t>
            </w:r>
            <w:r w:rsidRPr="00415339">
              <w:rPr>
                <w:rFonts w:ascii="Times New Roman" w:eastAsia="Times New Roman" w:hAnsi="Times New Roman" w:cs="Times New Roman"/>
                <w:color w:val="000000"/>
                <w:sz w:val="22"/>
                <w:szCs w:val="22"/>
              </w:rPr>
              <w:t xml:space="preserve">onsumenckie urządzenia wykorzystywane </w:t>
            </w:r>
            <w:r w:rsidR="007D08ED">
              <w:rPr>
                <w:rFonts w:ascii="Times New Roman" w:eastAsia="Times New Roman" w:hAnsi="Times New Roman" w:cs="Times New Roman"/>
                <w:color w:val="000000"/>
                <w:sz w:val="22"/>
                <w:szCs w:val="22"/>
              </w:rPr>
              <w:br/>
            </w:r>
            <w:r w:rsidRPr="00415339">
              <w:rPr>
                <w:rFonts w:ascii="Times New Roman" w:eastAsia="Times New Roman" w:hAnsi="Times New Roman" w:cs="Times New Roman"/>
                <w:color w:val="000000"/>
                <w:sz w:val="22"/>
                <w:szCs w:val="22"/>
              </w:rPr>
              <w:t>w dostępie do usług łączności elektronicznej</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2C66217C" w14:textId="77777777" w:rsidR="00F45320"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5) </w:t>
            </w:r>
            <w:r w:rsidR="00F45320">
              <w:rPr>
                <w:rFonts w:ascii="Times New Roman" w:eastAsia="Times New Roman" w:hAnsi="Times New Roman" w:cs="Times New Roman"/>
                <w:color w:val="000000"/>
                <w:sz w:val="22"/>
                <w:szCs w:val="22"/>
              </w:rPr>
              <w:t>k</w:t>
            </w:r>
            <w:r w:rsidRPr="00415339">
              <w:rPr>
                <w:rFonts w:ascii="Times New Roman" w:eastAsia="Times New Roman" w:hAnsi="Times New Roman" w:cs="Times New Roman"/>
                <w:color w:val="000000"/>
                <w:sz w:val="22"/>
                <w:szCs w:val="22"/>
              </w:rPr>
              <w:t xml:space="preserve">onsumenckie urządzenia do korzystania </w:t>
            </w:r>
            <w:r w:rsidR="007D08ED">
              <w:rPr>
                <w:rFonts w:ascii="Times New Roman" w:eastAsia="Times New Roman" w:hAnsi="Times New Roman" w:cs="Times New Roman"/>
                <w:color w:val="000000"/>
                <w:sz w:val="22"/>
                <w:szCs w:val="22"/>
              </w:rPr>
              <w:br/>
            </w:r>
            <w:r w:rsidRPr="00415339">
              <w:rPr>
                <w:rFonts w:ascii="Times New Roman" w:eastAsia="Times New Roman" w:hAnsi="Times New Roman" w:cs="Times New Roman"/>
                <w:color w:val="000000"/>
                <w:sz w:val="22"/>
                <w:szCs w:val="22"/>
              </w:rPr>
              <w:t>z audiowizualnych usług medialnych</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651F4B97"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6) </w:t>
            </w:r>
            <w:r w:rsidR="00F45320">
              <w:rPr>
                <w:rFonts w:ascii="Times New Roman" w:eastAsia="Times New Roman" w:hAnsi="Times New Roman" w:cs="Times New Roman"/>
                <w:color w:val="000000"/>
                <w:sz w:val="22"/>
                <w:szCs w:val="22"/>
              </w:rPr>
              <w:t>c</w:t>
            </w:r>
            <w:r w:rsidRPr="00415339">
              <w:rPr>
                <w:rFonts w:ascii="Times New Roman" w:eastAsia="Times New Roman" w:hAnsi="Times New Roman" w:cs="Times New Roman"/>
                <w:color w:val="000000"/>
                <w:sz w:val="22"/>
                <w:szCs w:val="22"/>
              </w:rPr>
              <w:t>zytniki książek elektronicznych</w:t>
            </w:r>
            <w:r w:rsidR="00F45320">
              <w:rPr>
                <w:rFonts w:ascii="Times New Roman" w:eastAsia="Times New Roman" w:hAnsi="Times New Roman" w:cs="Times New Roman"/>
                <w:color w:val="000000"/>
                <w:sz w:val="22"/>
                <w:szCs w:val="22"/>
              </w:rPr>
              <w:t>;</w:t>
            </w:r>
          </w:p>
          <w:p w14:paraId="7CA3CCDF" w14:textId="77777777" w:rsidR="003C10C6"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7) </w:t>
            </w:r>
            <w:r w:rsidR="00F45320">
              <w:rPr>
                <w:rFonts w:ascii="Times New Roman" w:eastAsia="Times New Roman" w:hAnsi="Times New Roman" w:cs="Times New Roman"/>
                <w:color w:val="000000"/>
                <w:sz w:val="22"/>
                <w:szCs w:val="22"/>
              </w:rPr>
              <w:t>u</w:t>
            </w:r>
            <w:r w:rsidRPr="00415339">
              <w:rPr>
                <w:rFonts w:ascii="Times New Roman" w:eastAsia="Times New Roman" w:hAnsi="Times New Roman" w:cs="Times New Roman"/>
                <w:color w:val="000000"/>
                <w:sz w:val="22"/>
                <w:szCs w:val="22"/>
              </w:rPr>
              <w:t>sługi łączności elektronicznej, w tym zgłoszenia alarmowe</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32F7923B"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8) </w:t>
            </w:r>
            <w:r w:rsidR="00F45320">
              <w:rPr>
                <w:rFonts w:ascii="Times New Roman" w:eastAsia="Times New Roman" w:hAnsi="Times New Roman" w:cs="Times New Roman"/>
                <w:color w:val="000000"/>
                <w:sz w:val="22"/>
                <w:szCs w:val="22"/>
              </w:rPr>
              <w:t>u</w:t>
            </w:r>
            <w:r w:rsidRPr="00415339">
              <w:rPr>
                <w:rFonts w:ascii="Times New Roman" w:eastAsia="Times New Roman" w:hAnsi="Times New Roman" w:cs="Times New Roman"/>
                <w:color w:val="000000"/>
                <w:sz w:val="22"/>
                <w:szCs w:val="22"/>
              </w:rPr>
              <w:t xml:space="preserve">sługi dostępu </w:t>
            </w:r>
            <w:r w:rsidR="007D08ED">
              <w:rPr>
                <w:rFonts w:ascii="Times New Roman" w:eastAsia="Times New Roman" w:hAnsi="Times New Roman" w:cs="Times New Roman"/>
                <w:color w:val="000000"/>
                <w:sz w:val="22"/>
                <w:szCs w:val="22"/>
              </w:rPr>
              <w:br/>
            </w:r>
            <w:r w:rsidRPr="00415339">
              <w:rPr>
                <w:rFonts w:ascii="Times New Roman" w:eastAsia="Times New Roman" w:hAnsi="Times New Roman" w:cs="Times New Roman"/>
                <w:color w:val="000000"/>
                <w:sz w:val="22"/>
                <w:szCs w:val="22"/>
              </w:rPr>
              <w:t>do audiowizualnych usług medialnych</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5EB1A7CA" w14:textId="40F5B28B"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9) </w:t>
            </w:r>
            <w:r w:rsidR="00F45320">
              <w:rPr>
                <w:rFonts w:ascii="Times New Roman" w:eastAsia="Times New Roman" w:hAnsi="Times New Roman" w:cs="Times New Roman"/>
                <w:color w:val="000000"/>
                <w:sz w:val="22"/>
                <w:szCs w:val="22"/>
              </w:rPr>
              <w:t>u</w:t>
            </w:r>
            <w:r w:rsidRPr="00415339">
              <w:rPr>
                <w:rFonts w:ascii="Times New Roman" w:eastAsia="Times New Roman" w:hAnsi="Times New Roman" w:cs="Times New Roman"/>
                <w:color w:val="000000"/>
                <w:sz w:val="22"/>
                <w:szCs w:val="22"/>
              </w:rPr>
              <w:t xml:space="preserve">sługi cyfrowe </w:t>
            </w:r>
            <w:r w:rsidR="00AF2186" w:rsidRPr="00AF2186">
              <w:rPr>
                <w:rFonts w:ascii="Times New Roman" w:eastAsia="Times New Roman" w:hAnsi="Times New Roman" w:cs="Times New Roman"/>
                <w:color w:val="000000"/>
                <w:sz w:val="22"/>
                <w:szCs w:val="22"/>
              </w:rPr>
              <w:t>towarzysząc</w:t>
            </w:r>
            <w:r w:rsidR="00AF2186">
              <w:rPr>
                <w:rFonts w:ascii="Times New Roman" w:eastAsia="Times New Roman" w:hAnsi="Times New Roman" w:cs="Times New Roman"/>
                <w:color w:val="000000"/>
                <w:sz w:val="22"/>
                <w:szCs w:val="22"/>
              </w:rPr>
              <w:t>e</w:t>
            </w:r>
            <w:r w:rsidR="00AF2186" w:rsidRPr="00AF2186">
              <w:rPr>
                <w:rFonts w:ascii="Times New Roman" w:eastAsia="Times New Roman" w:hAnsi="Times New Roman" w:cs="Times New Roman"/>
                <w:color w:val="000000"/>
                <w:sz w:val="22"/>
                <w:szCs w:val="22"/>
              </w:rPr>
              <w:t xml:space="preserve"> usługom</w:t>
            </w:r>
            <w:r w:rsidR="00EE3108">
              <w:rPr>
                <w:rFonts w:ascii="Times New Roman" w:eastAsia="Times New Roman" w:hAnsi="Times New Roman" w:cs="Times New Roman"/>
                <w:color w:val="000000"/>
                <w:sz w:val="22"/>
                <w:szCs w:val="22"/>
              </w:rPr>
              <w:t xml:space="preserve"> </w:t>
            </w:r>
            <w:bookmarkStart w:id="4" w:name="_Hlk98220436"/>
            <w:r w:rsidR="00AF2186" w:rsidRPr="00AF2186">
              <w:rPr>
                <w:rFonts w:ascii="Times New Roman" w:eastAsia="Times New Roman" w:hAnsi="Times New Roman" w:cs="Times New Roman"/>
                <w:color w:val="000000"/>
                <w:sz w:val="22"/>
                <w:szCs w:val="22"/>
              </w:rPr>
              <w:t>autobusowego i autokarowego, lotniczego, wodnego oraz kolejowego</w:t>
            </w:r>
            <w:bookmarkEnd w:id="4"/>
            <w:r w:rsidR="00FF0453">
              <w:rPr>
                <w:rFonts w:ascii="Times New Roman" w:eastAsia="Times New Roman" w:hAnsi="Times New Roman" w:cs="Times New Roman"/>
                <w:color w:val="000000"/>
                <w:sz w:val="22"/>
                <w:szCs w:val="22"/>
              </w:rPr>
              <w:t xml:space="preserve"> transportu pasażerskiego</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607EDFB9"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10) </w:t>
            </w:r>
            <w:r w:rsidR="00F45320">
              <w:rPr>
                <w:rFonts w:ascii="Times New Roman" w:eastAsia="Times New Roman" w:hAnsi="Times New Roman" w:cs="Times New Roman"/>
                <w:color w:val="000000"/>
                <w:sz w:val="22"/>
                <w:szCs w:val="22"/>
              </w:rPr>
              <w:t>u</w:t>
            </w:r>
            <w:r w:rsidRPr="00415339">
              <w:rPr>
                <w:rFonts w:ascii="Times New Roman" w:eastAsia="Times New Roman" w:hAnsi="Times New Roman" w:cs="Times New Roman"/>
                <w:color w:val="000000"/>
                <w:sz w:val="22"/>
                <w:szCs w:val="22"/>
              </w:rPr>
              <w:t>sługi bankowości detalicznej</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7E59B942" w14:textId="77777777" w:rsidR="00415339" w:rsidRP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11) </w:t>
            </w:r>
            <w:r w:rsidR="00F45320">
              <w:rPr>
                <w:rFonts w:ascii="Times New Roman" w:eastAsia="Times New Roman" w:hAnsi="Times New Roman" w:cs="Times New Roman"/>
                <w:color w:val="000000"/>
                <w:sz w:val="22"/>
                <w:szCs w:val="22"/>
              </w:rPr>
              <w:t>e</w:t>
            </w:r>
            <w:r w:rsidRPr="00415339">
              <w:rPr>
                <w:rFonts w:ascii="Times New Roman" w:eastAsia="Times New Roman" w:hAnsi="Times New Roman" w:cs="Times New Roman"/>
                <w:color w:val="000000"/>
                <w:sz w:val="22"/>
                <w:szCs w:val="22"/>
              </w:rPr>
              <w:t>-książki i ich oprogramowanie</w:t>
            </w:r>
            <w:r w:rsidR="00F45320">
              <w:rPr>
                <w:rFonts w:ascii="Times New Roman" w:eastAsia="Times New Roman" w:hAnsi="Times New Roman" w:cs="Times New Roman"/>
                <w:color w:val="000000"/>
                <w:sz w:val="22"/>
                <w:szCs w:val="22"/>
              </w:rPr>
              <w:t>;</w:t>
            </w:r>
            <w:r w:rsidRPr="00415339">
              <w:rPr>
                <w:rFonts w:ascii="Times New Roman" w:eastAsia="Times New Roman" w:hAnsi="Times New Roman" w:cs="Times New Roman"/>
                <w:color w:val="000000"/>
                <w:sz w:val="22"/>
                <w:szCs w:val="22"/>
              </w:rPr>
              <w:t xml:space="preserve"> </w:t>
            </w:r>
          </w:p>
          <w:p w14:paraId="53251F3F" w14:textId="3BF4C1E1" w:rsidR="00415339" w:rsidRDefault="00415339" w:rsidP="00415339">
            <w:pPr>
              <w:pBdr>
                <w:top w:val="nil"/>
                <w:left w:val="nil"/>
                <w:bottom w:val="nil"/>
                <w:right w:val="nil"/>
                <w:between w:val="nil"/>
              </w:pBdr>
              <w:rPr>
                <w:rFonts w:ascii="Times New Roman" w:eastAsia="Times New Roman" w:hAnsi="Times New Roman" w:cs="Times New Roman"/>
                <w:color w:val="000000"/>
                <w:sz w:val="22"/>
                <w:szCs w:val="22"/>
              </w:rPr>
            </w:pPr>
            <w:r w:rsidRPr="00415339">
              <w:rPr>
                <w:rFonts w:ascii="Times New Roman" w:eastAsia="Times New Roman" w:hAnsi="Times New Roman" w:cs="Times New Roman"/>
                <w:color w:val="000000"/>
                <w:sz w:val="22"/>
                <w:szCs w:val="22"/>
              </w:rPr>
              <w:t xml:space="preserve">12) </w:t>
            </w:r>
            <w:r w:rsidR="00F45320">
              <w:rPr>
                <w:rFonts w:ascii="Times New Roman" w:eastAsia="Times New Roman" w:hAnsi="Times New Roman" w:cs="Times New Roman"/>
                <w:color w:val="000000"/>
                <w:sz w:val="22"/>
                <w:szCs w:val="22"/>
              </w:rPr>
              <w:t>h</w:t>
            </w:r>
            <w:r w:rsidRPr="00415339">
              <w:rPr>
                <w:rFonts w:ascii="Times New Roman" w:eastAsia="Times New Roman" w:hAnsi="Times New Roman" w:cs="Times New Roman"/>
                <w:color w:val="000000"/>
                <w:sz w:val="22"/>
                <w:szCs w:val="22"/>
              </w:rPr>
              <w:t>andel elektroniczny</w:t>
            </w:r>
          </w:p>
          <w:p w14:paraId="522CA0E8" w14:textId="77777777" w:rsidR="00F45320" w:rsidRDefault="00F45320" w:rsidP="00415339">
            <w:pPr>
              <w:pBdr>
                <w:top w:val="nil"/>
                <w:left w:val="nil"/>
                <w:bottom w:val="nil"/>
                <w:right w:val="nil"/>
                <w:between w:val="nil"/>
              </w:pBdr>
              <w:rPr>
                <w:rFonts w:ascii="Times New Roman" w:eastAsia="Times New Roman" w:hAnsi="Times New Roman" w:cs="Times New Roman"/>
                <w:color w:val="000000"/>
                <w:sz w:val="22"/>
                <w:szCs w:val="22"/>
              </w:rPr>
            </w:pPr>
          </w:p>
        </w:tc>
        <w:tc>
          <w:tcPr>
            <w:tcW w:w="2292" w:type="dxa"/>
            <w:gridSpan w:val="8"/>
          </w:tcPr>
          <w:p w14:paraId="1525C923" w14:textId="77777777" w:rsidR="00EC4C5C" w:rsidRDefault="00970783">
            <w:pPr>
              <w:pBdr>
                <w:top w:val="nil"/>
                <w:left w:val="nil"/>
                <w:bottom w:val="nil"/>
                <w:right w:val="nil"/>
                <w:between w:val="nil"/>
              </w:pBdr>
              <w:rPr>
                <w:rFonts w:ascii="Times New Roman" w:eastAsia="Times New Roman" w:hAnsi="Times New Roman" w:cs="Times New Roman"/>
                <w:color w:val="000000"/>
                <w:sz w:val="22"/>
                <w:szCs w:val="22"/>
              </w:rPr>
            </w:pPr>
            <w:r w:rsidRPr="00970783">
              <w:rPr>
                <w:rFonts w:ascii="Times New Roman" w:eastAsia="Times New Roman" w:hAnsi="Times New Roman" w:cs="Times New Roman"/>
                <w:color w:val="000000"/>
                <w:sz w:val="22"/>
                <w:szCs w:val="22"/>
              </w:rPr>
              <w:t>321 153</w:t>
            </w:r>
          </w:p>
        </w:tc>
        <w:tc>
          <w:tcPr>
            <w:tcW w:w="2996" w:type="dxa"/>
            <w:gridSpan w:val="12"/>
          </w:tcPr>
          <w:p w14:paraId="65A209EC" w14:textId="77777777" w:rsidR="00EC4C5C" w:rsidRDefault="006A25D3" w:rsidP="005E18C8">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wła</w:t>
            </w:r>
            <w:r w:rsidR="005E18C8">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ne </w:t>
            </w:r>
            <w:r w:rsidR="007D08ED">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na pod</w:t>
            </w:r>
            <w:r w:rsidR="005E18C8">
              <w:rPr>
                <w:rFonts w:ascii="Times New Roman" w:eastAsia="Times New Roman" w:hAnsi="Times New Roman" w:cs="Times New Roman"/>
                <w:color w:val="000000"/>
                <w:sz w:val="22"/>
                <w:szCs w:val="22"/>
              </w:rPr>
              <w:t>sta</w:t>
            </w:r>
            <w:r>
              <w:rPr>
                <w:rFonts w:ascii="Times New Roman" w:eastAsia="Times New Roman" w:hAnsi="Times New Roman" w:cs="Times New Roman"/>
                <w:color w:val="000000"/>
                <w:sz w:val="22"/>
                <w:szCs w:val="22"/>
              </w:rPr>
              <w:t>wie przygotowane</w:t>
            </w:r>
            <w:r w:rsidR="007A6F8B">
              <w:rPr>
                <w:rFonts w:ascii="Times New Roman" w:eastAsia="Times New Roman" w:hAnsi="Times New Roman" w:cs="Times New Roman"/>
                <w:color w:val="000000"/>
                <w:sz w:val="22"/>
                <w:szCs w:val="22"/>
              </w:rPr>
              <w:t>j</w:t>
            </w:r>
            <w:r>
              <w:rPr>
                <w:rFonts w:ascii="Times New Roman" w:eastAsia="Times New Roman" w:hAnsi="Times New Roman" w:cs="Times New Roman"/>
                <w:color w:val="000000"/>
                <w:sz w:val="22"/>
                <w:szCs w:val="22"/>
              </w:rPr>
              <w:t xml:space="preserve"> </w:t>
            </w:r>
            <w:r w:rsidR="007D08ED">
              <w:rPr>
                <w:rFonts w:ascii="Times New Roman" w:eastAsia="Times New Roman" w:hAnsi="Times New Roman" w:cs="Times New Roman"/>
                <w:color w:val="000000"/>
                <w:sz w:val="22"/>
                <w:szCs w:val="22"/>
              </w:rPr>
              <w:br/>
            </w:r>
            <w:r w:rsidR="00374233">
              <w:rPr>
                <w:rFonts w:ascii="Times New Roman" w:eastAsia="Times New Roman" w:hAnsi="Times New Roman" w:cs="Times New Roman"/>
                <w:color w:val="000000"/>
                <w:sz w:val="22"/>
                <w:szCs w:val="22"/>
              </w:rPr>
              <w:t xml:space="preserve">na zlecenie </w:t>
            </w:r>
            <w:proofErr w:type="spellStart"/>
            <w:r w:rsidR="00374233">
              <w:rPr>
                <w:rFonts w:ascii="Times New Roman" w:eastAsia="Times New Roman" w:hAnsi="Times New Roman" w:cs="Times New Roman"/>
                <w:color w:val="000000"/>
                <w:sz w:val="22"/>
                <w:szCs w:val="22"/>
              </w:rPr>
              <w:t>MFiPR</w:t>
            </w:r>
            <w:proofErr w:type="spellEnd"/>
            <w:r w:rsidR="00374233">
              <w:rPr>
                <w:rFonts w:ascii="Times New Roman" w:eastAsia="Times New Roman" w:hAnsi="Times New Roman" w:cs="Times New Roman"/>
                <w:color w:val="000000"/>
                <w:sz w:val="22"/>
                <w:szCs w:val="22"/>
              </w:rPr>
              <w:t xml:space="preserve"> pt. </w:t>
            </w:r>
            <w:r w:rsidR="00BB7B4D">
              <w:rPr>
                <w:rFonts w:ascii="Times New Roman" w:eastAsia="Times New Roman" w:hAnsi="Times New Roman" w:cs="Times New Roman"/>
                <w:color w:val="000000"/>
                <w:sz w:val="22"/>
                <w:szCs w:val="22"/>
              </w:rPr>
              <w:t>„</w:t>
            </w:r>
            <w:r w:rsidR="00374233" w:rsidRPr="00BB7B4D">
              <w:rPr>
                <w:rFonts w:ascii="Times New Roman" w:eastAsia="Times New Roman" w:hAnsi="Times New Roman" w:cs="Times New Roman"/>
                <w:color w:val="000000"/>
                <w:sz w:val="22"/>
                <w:szCs w:val="22"/>
              </w:rPr>
              <w:t>Analiz</w:t>
            </w:r>
            <w:r w:rsidR="007A6F8B">
              <w:rPr>
                <w:rFonts w:ascii="Times New Roman" w:eastAsia="Times New Roman" w:hAnsi="Times New Roman" w:cs="Times New Roman"/>
                <w:color w:val="000000"/>
                <w:sz w:val="22"/>
                <w:szCs w:val="22"/>
              </w:rPr>
              <w:t>y</w:t>
            </w:r>
            <w:r w:rsidR="00374233" w:rsidRPr="00BB7B4D">
              <w:rPr>
                <w:rFonts w:ascii="Times New Roman" w:eastAsia="Times New Roman" w:hAnsi="Times New Roman" w:cs="Times New Roman"/>
                <w:color w:val="000000"/>
                <w:sz w:val="22"/>
                <w:szCs w:val="22"/>
              </w:rPr>
              <w:t xml:space="preserve"> wpływu transpozycji Dyrektywy nr 2019/882 </w:t>
            </w:r>
            <w:r w:rsidR="007D08ED">
              <w:rPr>
                <w:rFonts w:ascii="Times New Roman" w:eastAsia="Times New Roman" w:hAnsi="Times New Roman" w:cs="Times New Roman"/>
                <w:color w:val="000000"/>
                <w:sz w:val="22"/>
                <w:szCs w:val="22"/>
              </w:rPr>
              <w:br/>
            </w:r>
            <w:r w:rsidR="00374233" w:rsidRPr="00BB7B4D">
              <w:rPr>
                <w:rFonts w:ascii="Times New Roman" w:eastAsia="Times New Roman" w:hAnsi="Times New Roman" w:cs="Times New Roman"/>
                <w:color w:val="000000"/>
                <w:sz w:val="22"/>
                <w:szCs w:val="22"/>
              </w:rPr>
              <w:t>w sprawie wymogów dostępności produktów i usług na konkurencyjność gospodarki i przedsiębiorczość, w tym funkcjonowanie przedsiębiorstw</w:t>
            </w:r>
            <w:r w:rsidR="00BB7B4D">
              <w:rPr>
                <w:rFonts w:ascii="Times New Roman" w:eastAsia="Times New Roman" w:hAnsi="Times New Roman" w:cs="Times New Roman"/>
                <w:color w:val="000000"/>
                <w:sz w:val="22"/>
                <w:szCs w:val="22"/>
              </w:rPr>
              <w:t>”</w:t>
            </w:r>
            <w:r w:rsidR="00374233" w:rsidRPr="00BB7B4D">
              <w:rPr>
                <w:rFonts w:ascii="Times New Roman" w:eastAsia="Times New Roman" w:hAnsi="Times New Roman" w:cs="Times New Roman"/>
                <w:color w:val="000000"/>
                <w:sz w:val="22"/>
                <w:szCs w:val="22"/>
              </w:rPr>
              <w:t>, kwiecień 2021 r.</w:t>
            </w:r>
          </w:p>
        </w:tc>
        <w:tc>
          <w:tcPr>
            <w:tcW w:w="2991" w:type="dxa"/>
            <w:gridSpan w:val="6"/>
          </w:tcPr>
          <w:p w14:paraId="14638425" w14:textId="405529FF" w:rsidR="00EC4C5C" w:rsidRDefault="00EA054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Zobowiązani do spełnienia wym</w:t>
            </w:r>
            <w:r w:rsidR="00F54489">
              <w:rPr>
                <w:rFonts w:ascii="Times New Roman" w:eastAsia="Times New Roman" w:hAnsi="Times New Roman" w:cs="Times New Roman"/>
                <w:color w:val="000000"/>
                <w:sz w:val="22"/>
                <w:szCs w:val="22"/>
              </w:rPr>
              <w:t>agań</w:t>
            </w:r>
            <w:r>
              <w:rPr>
                <w:rFonts w:ascii="Times New Roman" w:eastAsia="Times New Roman" w:hAnsi="Times New Roman" w:cs="Times New Roman"/>
                <w:color w:val="000000"/>
                <w:sz w:val="22"/>
                <w:szCs w:val="22"/>
              </w:rPr>
              <w:t xml:space="preserve"> dostępności</w:t>
            </w:r>
          </w:p>
        </w:tc>
      </w:tr>
      <w:tr w:rsidR="006B174F" w14:paraId="6A507233" w14:textId="77777777" w:rsidTr="00231F84">
        <w:trPr>
          <w:trHeight w:val="142"/>
        </w:trPr>
        <w:tc>
          <w:tcPr>
            <w:tcW w:w="2668" w:type="dxa"/>
            <w:gridSpan w:val="3"/>
          </w:tcPr>
          <w:p w14:paraId="1D5EAA40" w14:textId="77777777" w:rsidR="006B174F" w:rsidRDefault="006B174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Spółki </w:t>
            </w:r>
            <w:r w:rsidR="00923724">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karbu </w:t>
            </w:r>
            <w:r w:rsidR="00923724">
              <w:rPr>
                <w:rFonts w:ascii="Times New Roman" w:eastAsia="Times New Roman" w:hAnsi="Times New Roman" w:cs="Times New Roman"/>
                <w:sz w:val="22"/>
                <w:szCs w:val="22"/>
              </w:rPr>
              <w:t>P</w:t>
            </w:r>
            <w:r>
              <w:rPr>
                <w:rFonts w:ascii="Times New Roman" w:eastAsia="Times New Roman" w:hAnsi="Times New Roman" w:cs="Times New Roman"/>
                <w:sz w:val="22"/>
                <w:szCs w:val="22"/>
              </w:rPr>
              <w:t>aństwa</w:t>
            </w:r>
          </w:p>
        </w:tc>
        <w:tc>
          <w:tcPr>
            <w:tcW w:w="2292" w:type="dxa"/>
            <w:gridSpan w:val="8"/>
          </w:tcPr>
          <w:p w14:paraId="53B626F3" w14:textId="77777777" w:rsidR="006B174F" w:rsidRDefault="003E40A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174</w:t>
            </w:r>
          </w:p>
        </w:tc>
        <w:tc>
          <w:tcPr>
            <w:tcW w:w="2996" w:type="dxa"/>
            <w:gridSpan w:val="12"/>
          </w:tcPr>
          <w:p w14:paraId="0E011FFB" w14:textId="1E38EDE9" w:rsidR="006B174F" w:rsidRDefault="00556AEC" w:rsidP="00556AE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Dane Minist</w:t>
            </w:r>
            <w:r w:rsidR="00923724">
              <w:rPr>
                <w:rFonts w:ascii="Times New Roman" w:eastAsia="Times New Roman" w:hAnsi="Times New Roman" w:cs="Times New Roman"/>
                <w:color w:val="000000"/>
                <w:sz w:val="22"/>
                <w:szCs w:val="22"/>
              </w:rPr>
              <w:t>erstwa</w:t>
            </w:r>
            <w:r>
              <w:rPr>
                <w:rFonts w:ascii="Times New Roman" w:eastAsia="Times New Roman" w:hAnsi="Times New Roman" w:cs="Times New Roman"/>
                <w:color w:val="000000"/>
                <w:sz w:val="22"/>
                <w:szCs w:val="22"/>
              </w:rPr>
              <w:t xml:space="preserve"> Aktywów Państwowych</w:t>
            </w:r>
          </w:p>
        </w:tc>
        <w:tc>
          <w:tcPr>
            <w:tcW w:w="2991" w:type="dxa"/>
            <w:gridSpan w:val="6"/>
          </w:tcPr>
          <w:p w14:paraId="5C34A2A5" w14:textId="090BC80F" w:rsidR="00F45320" w:rsidRDefault="0093668E">
            <w:pPr>
              <w:pBdr>
                <w:top w:val="nil"/>
                <w:left w:val="nil"/>
                <w:bottom w:val="nil"/>
                <w:right w:val="nil"/>
                <w:between w:val="nil"/>
              </w:pBdr>
              <w:rPr>
                <w:rFonts w:ascii="Times New Roman" w:eastAsia="Times New Roman" w:hAnsi="Times New Roman" w:cs="Times New Roman"/>
                <w:color w:val="000000"/>
                <w:sz w:val="22"/>
                <w:szCs w:val="22"/>
              </w:rPr>
            </w:pPr>
            <w:r w:rsidRPr="0093668E">
              <w:rPr>
                <w:rFonts w:ascii="Times New Roman" w:eastAsia="Times New Roman" w:hAnsi="Times New Roman" w:cs="Times New Roman"/>
                <w:color w:val="000000"/>
                <w:sz w:val="22"/>
                <w:szCs w:val="22"/>
              </w:rPr>
              <w:t>Zobowiązani do spełnienia wym</w:t>
            </w:r>
            <w:r w:rsidR="00F54489">
              <w:rPr>
                <w:rFonts w:ascii="Times New Roman" w:eastAsia="Times New Roman" w:hAnsi="Times New Roman" w:cs="Times New Roman"/>
                <w:color w:val="000000"/>
                <w:sz w:val="22"/>
                <w:szCs w:val="22"/>
              </w:rPr>
              <w:t>agań</w:t>
            </w:r>
            <w:r w:rsidRPr="0093668E">
              <w:rPr>
                <w:rFonts w:ascii="Times New Roman" w:eastAsia="Times New Roman" w:hAnsi="Times New Roman" w:cs="Times New Roman"/>
                <w:color w:val="000000"/>
                <w:sz w:val="22"/>
                <w:szCs w:val="22"/>
              </w:rPr>
              <w:t xml:space="preserve"> dostępności</w:t>
            </w:r>
          </w:p>
        </w:tc>
      </w:tr>
      <w:tr w:rsidR="00EC4C5C" w14:paraId="31D2CF62" w14:textId="77777777" w:rsidTr="00231F84">
        <w:trPr>
          <w:trHeight w:val="142"/>
        </w:trPr>
        <w:tc>
          <w:tcPr>
            <w:tcW w:w="2668" w:type="dxa"/>
            <w:gridSpan w:val="3"/>
          </w:tcPr>
          <w:p w14:paraId="2B39FBB3" w14:textId="77777777" w:rsidR="00EC4C5C" w:rsidRDefault="0016570F" w:rsidP="0016570F">
            <w:pPr>
              <w:pBdr>
                <w:top w:val="nil"/>
                <w:left w:val="nil"/>
                <w:bottom w:val="nil"/>
                <w:right w:val="nil"/>
                <w:between w:val="nil"/>
              </w:pBdr>
              <w:rPr>
                <w:rFonts w:ascii="Times New Roman" w:eastAsia="Times New Roman" w:hAnsi="Times New Roman" w:cs="Times New Roman"/>
                <w:color w:val="000000"/>
                <w:sz w:val="22"/>
                <w:szCs w:val="22"/>
              </w:rPr>
            </w:pPr>
            <w:r w:rsidRPr="005A5881">
              <w:rPr>
                <w:rFonts w:ascii="Times New Roman" w:eastAsia="Times New Roman" w:hAnsi="Times New Roman" w:cs="Times New Roman"/>
                <w:sz w:val="22"/>
                <w:szCs w:val="22"/>
              </w:rPr>
              <w:t>O</w:t>
            </w:r>
            <w:r w:rsidR="00515863" w:rsidRPr="005A5881">
              <w:rPr>
                <w:rFonts w:ascii="Times New Roman" w:eastAsia="Times New Roman" w:hAnsi="Times New Roman" w:cs="Times New Roman"/>
                <w:sz w:val="22"/>
                <w:szCs w:val="22"/>
              </w:rPr>
              <w:t xml:space="preserve">soby </w:t>
            </w:r>
            <w:r w:rsidR="008F48FD" w:rsidRPr="005A5881">
              <w:rPr>
                <w:rFonts w:ascii="Times New Roman" w:eastAsia="Times New Roman" w:hAnsi="Times New Roman" w:cs="Times New Roman"/>
                <w:sz w:val="22"/>
                <w:szCs w:val="22"/>
              </w:rPr>
              <w:br/>
            </w:r>
            <w:r w:rsidR="00515863" w:rsidRPr="005A5881">
              <w:rPr>
                <w:rFonts w:ascii="Times New Roman" w:eastAsia="Times New Roman" w:hAnsi="Times New Roman" w:cs="Times New Roman"/>
                <w:sz w:val="22"/>
                <w:szCs w:val="22"/>
              </w:rPr>
              <w:t>z niepełnosprawnościami</w:t>
            </w:r>
            <w:r w:rsidR="006D5808" w:rsidRPr="005A5881">
              <w:rPr>
                <w:rFonts w:ascii="Times New Roman" w:eastAsia="Times New Roman" w:hAnsi="Times New Roman" w:cs="Times New Roman"/>
                <w:sz w:val="22"/>
                <w:szCs w:val="22"/>
              </w:rPr>
              <w:t xml:space="preserve"> – ogółem</w:t>
            </w:r>
          </w:p>
        </w:tc>
        <w:tc>
          <w:tcPr>
            <w:tcW w:w="2292" w:type="dxa"/>
            <w:gridSpan w:val="8"/>
          </w:tcPr>
          <w:p w14:paraId="5DF21C78" w14:textId="2B83B281" w:rsidR="00B47E2B" w:rsidRDefault="0053416F" w:rsidP="00BC62C0">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5,4</w:t>
            </w:r>
            <w:r w:rsidR="00BC62C0">
              <w:rPr>
                <w:rFonts w:ascii="Times New Roman" w:eastAsia="Times New Roman" w:hAnsi="Times New Roman" w:cs="Times New Roman"/>
                <w:sz w:val="22"/>
                <w:szCs w:val="22"/>
              </w:rPr>
              <w:t xml:space="preserve"> mln</w:t>
            </w:r>
            <w:r w:rsidR="00D702E3">
              <w:rPr>
                <w:rFonts w:ascii="Times New Roman" w:eastAsia="Times New Roman" w:hAnsi="Times New Roman" w:cs="Times New Roman"/>
                <w:sz w:val="22"/>
                <w:szCs w:val="22"/>
              </w:rPr>
              <w:t xml:space="preserve">, w </w:t>
            </w:r>
            <w:r w:rsidR="00B47E2B">
              <w:rPr>
                <w:rFonts w:ascii="Times New Roman" w:eastAsia="Times New Roman" w:hAnsi="Times New Roman" w:cs="Times New Roman"/>
                <w:sz w:val="22"/>
                <w:szCs w:val="22"/>
              </w:rPr>
              <w:t>tym:</w:t>
            </w:r>
          </w:p>
          <w:p w14:paraId="2C3B09C0" w14:textId="7663D507" w:rsidR="00B47E2B" w:rsidRDefault="00D702E3" w:rsidP="00BC62C0">
            <w:p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w:t>
            </w:r>
            <w:r w:rsidR="00B47E2B" w:rsidRPr="00B47E2B">
              <w:rPr>
                <w:rFonts w:ascii="Times New Roman" w:eastAsia="Times New Roman" w:hAnsi="Times New Roman" w:cs="Times New Roman"/>
                <w:color w:val="000000"/>
                <w:sz w:val="22"/>
                <w:szCs w:val="22"/>
              </w:rPr>
              <w:t>soby niepełnosprawne – prawnie</w:t>
            </w:r>
            <w:r w:rsidR="00B47E2B">
              <w:rPr>
                <w:rFonts w:ascii="Times New Roman" w:eastAsia="Times New Roman" w:hAnsi="Times New Roman" w:cs="Times New Roman"/>
                <w:color w:val="000000"/>
                <w:sz w:val="22"/>
                <w:szCs w:val="22"/>
              </w:rPr>
              <w:t>: 3,5 mln</w:t>
            </w:r>
            <w:r>
              <w:rPr>
                <w:rFonts w:ascii="Times New Roman" w:eastAsia="Times New Roman" w:hAnsi="Times New Roman" w:cs="Times New Roman"/>
                <w:color w:val="000000"/>
                <w:sz w:val="22"/>
                <w:szCs w:val="22"/>
              </w:rPr>
              <w:t>;</w:t>
            </w:r>
          </w:p>
          <w:p w14:paraId="6FF1E2A3" w14:textId="6EF06966" w:rsidR="00B47E2B" w:rsidRDefault="00D702E3" w:rsidP="00BC62C0">
            <w:p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w:t>
            </w:r>
            <w:r w:rsidR="00B47E2B" w:rsidRPr="00B47E2B">
              <w:rPr>
                <w:rFonts w:ascii="Times New Roman" w:eastAsia="Times New Roman" w:hAnsi="Times New Roman" w:cs="Times New Roman"/>
                <w:color w:val="000000"/>
                <w:sz w:val="22"/>
                <w:szCs w:val="22"/>
              </w:rPr>
              <w:t xml:space="preserve">soby niepełnosprawne </w:t>
            </w:r>
            <w:r w:rsidR="00B47E2B">
              <w:rPr>
                <w:rFonts w:ascii="Times New Roman" w:eastAsia="Times New Roman" w:hAnsi="Times New Roman" w:cs="Times New Roman"/>
                <w:color w:val="000000"/>
                <w:sz w:val="22"/>
                <w:szCs w:val="22"/>
              </w:rPr>
              <w:t>–</w:t>
            </w:r>
            <w:r w:rsidR="00B47E2B" w:rsidRPr="00B47E2B">
              <w:rPr>
                <w:rFonts w:ascii="Times New Roman" w:eastAsia="Times New Roman" w:hAnsi="Times New Roman" w:cs="Times New Roman"/>
                <w:color w:val="000000"/>
                <w:sz w:val="22"/>
                <w:szCs w:val="22"/>
              </w:rPr>
              <w:t xml:space="preserve"> tylko biologicznie</w:t>
            </w:r>
            <w:r w:rsidR="00B47E2B">
              <w:rPr>
                <w:rFonts w:ascii="Times New Roman" w:eastAsia="Times New Roman" w:hAnsi="Times New Roman" w:cs="Times New Roman"/>
                <w:color w:val="000000"/>
                <w:sz w:val="22"/>
                <w:szCs w:val="22"/>
              </w:rPr>
              <w:t>: 1,9 mln</w:t>
            </w:r>
          </w:p>
        </w:tc>
        <w:tc>
          <w:tcPr>
            <w:tcW w:w="2996" w:type="dxa"/>
            <w:gridSpan w:val="12"/>
          </w:tcPr>
          <w:p w14:paraId="2D9089E4" w14:textId="77777777" w:rsidR="00EC4C5C" w:rsidRDefault="00515863">
            <w:p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w:t>
            </w:r>
            <w:r w:rsidR="001A0CCA">
              <w:rPr>
                <w:rFonts w:ascii="Times New Roman" w:eastAsia="Times New Roman" w:hAnsi="Times New Roman" w:cs="Times New Roman"/>
                <w:sz w:val="22"/>
                <w:szCs w:val="22"/>
              </w:rPr>
              <w:t>SP’</w:t>
            </w:r>
            <w:r>
              <w:rPr>
                <w:rFonts w:ascii="Times New Roman" w:eastAsia="Times New Roman" w:hAnsi="Times New Roman" w:cs="Times New Roman"/>
                <w:sz w:val="22"/>
                <w:szCs w:val="22"/>
              </w:rPr>
              <w:t>20</w:t>
            </w:r>
            <w:r w:rsidR="0053416F">
              <w:rPr>
                <w:rFonts w:ascii="Times New Roman" w:eastAsia="Times New Roman" w:hAnsi="Times New Roman" w:cs="Times New Roman"/>
                <w:sz w:val="22"/>
                <w:szCs w:val="22"/>
              </w:rPr>
              <w:t>2</w:t>
            </w:r>
            <w:r>
              <w:rPr>
                <w:rFonts w:ascii="Times New Roman" w:eastAsia="Times New Roman" w:hAnsi="Times New Roman" w:cs="Times New Roman"/>
                <w:sz w:val="22"/>
                <w:szCs w:val="22"/>
              </w:rPr>
              <w:t>1</w:t>
            </w:r>
          </w:p>
        </w:tc>
        <w:tc>
          <w:tcPr>
            <w:tcW w:w="2991" w:type="dxa"/>
            <w:gridSpan w:val="6"/>
          </w:tcPr>
          <w:p w14:paraId="1D06C147" w14:textId="77777777" w:rsidR="00F45320" w:rsidRDefault="0080700A" w:rsidP="00E04E9E">
            <w:pPr>
              <w:pBdr>
                <w:top w:val="nil"/>
                <w:left w:val="nil"/>
                <w:bottom w:val="nil"/>
                <w:right w:val="nil"/>
                <w:between w:val="nil"/>
              </w:pBdr>
              <w:rPr>
                <w:rFonts w:ascii="Times New Roman" w:eastAsia="Times New Roman" w:hAnsi="Times New Roman" w:cs="Times New Roman"/>
                <w:color w:val="000000"/>
                <w:sz w:val="22"/>
                <w:szCs w:val="22"/>
              </w:rPr>
            </w:pPr>
            <w:r w:rsidRPr="0080700A">
              <w:rPr>
                <w:rFonts w:ascii="Times New Roman" w:eastAsia="Times New Roman" w:hAnsi="Times New Roman" w:cs="Times New Roman"/>
                <w:color w:val="000000"/>
                <w:sz w:val="22"/>
                <w:szCs w:val="22"/>
              </w:rPr>
              <w:t xml:space="preserve">Dostępność oznacza </w:t>
            </w:r>
            <w:r w:rsidR="00E04E9E">
              <w:rPr>
                <w:rFonts w:ascii="Times New Roman" w:eastAsia="Times New Roman" w:hAnsi="Times New Roman" w:cs="Times New Roman"/>
                <w:color w:val="000000"/>
                <w:sz w:val="22"/>
                <w:szCs w:val="22"/>
              </w:rPr>
              <w:t xml:space="preserve">możliwość korzystania </w:t>
            </w:r>
            <w:r w:rsidR="008F48FD">
              <w:rPr>
                <w:rFonts w:ascii="Times New Roman" w:eastAsia="Times New Roman" w:hAnsi="Times New Roman" w:cs="Times New Roman"/>
                <w:color w:val="000000"/>
                <w:sz w:val="22"/>
                <w:szCs w:val="22"/>
              </w:rPr>
              <w:br/>
            </w:r>
            <w:r w:rsidR="00E04E9E">
              <w:rPr>
                <w:rFonts w:ascii="Times New Roman" w:eastAsia="Times New Roman" w:hAnsi="Times New Roman" w:cs="Times New Roman"/>
                <w:color w:val="000000"/>
                <w:sz w:val="22"/>
                <w:szCs w:val="22"/>
              </w:rPr>
              <w:t xml:space="preserve">z produktów, usług </w:t>
            </w:r>
            <w:r w:rsidR="008F48FD">
              <w:rPr>
                <w:rFonts w:ascii="Times New Roman" w:eastAsia="Times New Roman" w:hAnsi="Times New Roman" w:cs="Times New Roman"/>
                <w:color w:val="000000"/>
                <w:sz w:val="22"/>
                <w:szCs w:val="22"/>
              </w:rPr>
              <w:br/>
            </w:r>
            <w:r w:rsidR="00E04E9E">
              <w:rPr>
                <w:rFonts w:ascii="Times New Roman" w:eastAsia="Times New Roman" w:hAnsi="Times New Roman" w:cs="Times New Roman"/>
                <w:color w:val="000000"/>
                <w:sz w:val="22"/>
                <w:szCs w:val="22"/>
              </w:rPr>
              <w:t xml:space="preserve">i przestrzeni fizycznej bez barier, a przede wszystkim – </w:t>
            </w:r>
            <w:r w:rsidRPr="0080700A">
              <w:rPr>
                <w:rFonts w:ascii="Times New Roman" w:eastAsia="Times New Roman" w:hAnsi="Times New Roman" w:cs="Times New Roman"/>
                <w:color w:val="000000"/>
                <w:sz w:val="22"/>
                <w:szCs w:val="22"/>
              </w:rPr>
              <w:t xml:space="preserve">możliwość </w:t>
            </w:r>
            <w:r w:rsidR="00E04E9E">
              <w:rPr>
                <w:rFonts w:ascii="Times New Roman" w:eastAsia="Times New Roman" w:hAnsi="Times New Roman" w:cs="Times New Roman"/>
                <w:color w:val="000000"/>
                <w:sz w:val="22"/>
                <w:szCs w:val="22"/>
              </w:rPr>
              <w:t>korzystania z nich</w:t>
            </w:r>
            <w:r w:rsidRPr="0080700A">
              <w:rPr>
                <w:rFonts w:ascii="Times New Roman" w:eastAsia="Times New Roman" w:hAnsi="Times New Roman" w:cs="Times New Roman"/>
                <w:color w:val="000000"/>
                <w:sz w:val="22"/>
                <w:szCs w:val="22"/>
              </w:rPr>
              <w:t xml:space="preserve"> bez względu na ograniczenia</w:t>
            </w:r>
            <w:r w:rsidR="00E04E9E">
              <w:rPr>
                <w:rFonts w:ascii="Times New Roman" w:eastAsia="Times New Roman" w:hAnsi="Times New Roman" w:cs="Times New Roman"/>
                <w:color w:val="000000"/>
                <w:sz w:val="22"/>
                <w:szCs w:val="22"/>
              </w:rPr>
              <w:t xml:space="preserve"> funkcjonalne</w:t>
            </w:r>
            <w:r w:rsidRPr="0080700A">
              <w:rPr>
                <w:rFonts w:ascii="Times New Roman" w:eastAsia="Times New Roman" w:hAnsi="Times New Roman" w:cs="Times New Roman"/>
                <w:color w:val="000000"/>
                <w:sz w:val="22"/>
                <w:szCs w:val="22"/>
              </w:rPr>
              <w:t>, k</w:t>
            </w:r>
            <w:r>
              <w:rPr>
                <w:rFonts w:ascii="Times New Roman" w:eastAsia="Times New Roman" w:hAnsi="Times New Roman" w:cs="Times New Roman"/>
                <w:color w:val="000000"/>
                <w:sz w:val="22"/>
                <w:szCs w:val="22"/>
              </w:rPr>
              <w:t xml:space="preserve">tóre mogą dotyczyć danej osoby. </w:t>
            </w:r>
          </w:p>
          <w:p w14:paraId="27318547" w14:textId="5DD244F4" w:rsidR="00F45320" w:rsidRDefault="0080700A" w:rsidP="00F811EF">
            <w:pPr>
              <w:pBdr>
                <w:top w:val="nil"/>
                <w:left w:val="nil"/>
                <w:bottom w:val="nil"/>
                <w:right w:val="nil"/>
                <w:between w:val="nil"/>
              </w:pBdr>
              <w:rPr>
                <w:rFonts w:ascii="Times New Roman" w:eastAsia="Times New Roman" w:hAnsi="Times New Roman" w:cs="Times New Roman"/>
                <w:color w:val="000000"/>
                <w:sz w:val="22"/>
                <w:szCs w:val="22"/>
              </w:rPr>
            </w:pPr>
            <w:r w:rsidRPr="0080700A">
              <w:rPr>
                <w:rFonts w:ascii="Times New Roman" w:eastAsia="Times New Roman" w:hAnsi="Times New Roman" w:cs="Times New Roman"/>
                <w:color w:val="000000"/>
                <w:sz w:val="22"/>
                <w:szCs w:val="22"/>
              </w:rPr>
              <w:t xml:space="preserve">Implementacja dyrektywy </w:t>
            </w:r>
            <w:r w:rsidR="00E04E9E">
              <w:rPr>
                <w:rFonts w:ascii="Times New Roman" w:eastAsia="Times New Roman" w:hAnsi="Times New Roman" w:cs="Times New Roman"/>
                <w:color w:val="000000"/>
                <w:sz w:val="22"/>
                <w:szCs w:val="22"/>
              </w:rPr>
              <w:t xml:space="preserve">ułatwi </w:t>
            </w:r>
            <w:r w:rsidR="00D702E3">
              <w:rPr>
                <w:rFonts w:ascii="Times New Roman" w:eastAsia="Times New Roman" w:hAnsi="Times New Roman" w:cs="Times New Roman"/>
                <w:color w:val="000000"/>
                <w:sz w:val="22"/>
                <w:szCs w:val="22"/>
              </w:rPr>
              <w:t xml:space="preserve">lub </w:t>
            </w:r>
            <w:r w:rsidRPr="0080700A">
              <w:rPr>
                <w:rFonts w:ascii="Times New Roman" w:eastAsia="Times New Roman" w:hAnsi="Times New Roman" w:cs="Times New Roman"/>
                <w:color w:val="000000"/>
                <w:sz w:val="22"/>
                <w:szCs w:val="22"/>
              </w:rPr>
              <w:t xml:space="preserve">umożliwi wszystkim równe korzystanie </w:t>
            </w:r>
            <w:r w:rsidR="008F48FD">
              <w:rPr>
                <w:rFonts w:ascii="Times New Roman" w:eastAsia="Times New Roman" w:hAnsi="Times New Roman" w:cs="Times New Roman"/>
                <w:color w:val="000000"/>
                <w:sz w:val="22"/>
                <w:szCs w:val="22"/>
              </w:rPr>
              <w:br/>
            </w:r>
            <w:r w:rsidRPr="0080700A">
              <w:rPr>
                <w:rFonts w:ascii="Times New Roman" w:eastAsia="Times New Roman" w:hAnsi="Times New Roman" w:cs="Times New Roman"/>
                <w:color w:val="000000"/>
                <w:sz w:val="22"/>
                <w:szCs w:val="22"/>
              </w:rPr>
              <w:t xml:space="preserve">z produktów i usług, co </w:t>
            </w:r>
            <w:r w:rsidR="00F811EF">
              <w:rPr>
                <w:rFonts w:ascii="Times New Roman" w:eastAsia="Times New Roman" w:hAnsi="Times New Roman" w:cs="Times New Roman"/>
                <w:color w:val="000000"/>
                <w:sz w:val="22"/>
                <w:szCs w:val="22"/>
              </w:rPr>
              <w:t xml:space="preserve">– </w:t>
            </w:r>
            <w:r w:rsidR="00E04E9E">
              <w:rPr>
                <w:rFonts w:ascii="Times New Roman" w:eastAsia="Times New Roman" w:hAnsi="Times New Roman" w:cs="Times New Roman"/>
                <w:color w:val="000000"/>
                <w:sz w:val="22"/>
                <w:szCs w:val="22"/>
              </w:rPr>
              <w:t xml:space="preserve">szczególnie </w:t>
            </w:r>
            <w:r w:rsidRPr="0080700A">
              <w:rPr>
                <w:rFonts w:ascii="Times New Roman" w:eastAsia="Times New Roman" w:hAnsi="Times New Roman" w:cs="Times New Roman"/>
                <w:color w:val="000000"/>
                <w:sz w:val="22"/>
                <w:szCs w:val="22"/>
              </w:rPr>
              <w:t xml:space="preserve">w przypadku osób z niepełnosprawnościami </w:t>
            </w:r>
            <w:r w:rsidR="00F811EF">
              <w:rPr>
                <w:rFonts w:ascii="Times New Roman" w:eastAsia="Times New Roman" w:hAnsi="Times New Roman" w:cs="Times New Roman"/>
                <w:color w:val="000000"/>
                <w:sz w:val="22"/>
                <w:szCs w:val="22"/>
              </w:rPr>
              <w:t xml:space="preserve">– </w:t>
            </w:r>
            <w:r w:rsidRPr="0080700A">
              <w:rPr>
                <w:rFonts w:ascii="Times New Roman" w:eastAsia="Times New Roman" w:hAnsi="Times New Roman" w:cs="Times New Roman"/>
                <w:color w:val="000000"/>
                <w:sz w:val="22"/>
                <w:szCs w:val="22"/>
              </w:rPr>
              <w:t xml:space="preserve">przyczyni się do ich </w:t>
            </w:r>
            <w:r w:rsidR="00E04E9E">
              <w:rPr>
                <w:rFonts w:ascii="Times New Roman" w:eastAsia="Times New Roman" w:hAnsi="Times New Roman" w:cs="Times New Roman"/>
                <w:color w:val="000000"/>
                <w:sz w:val="22"/>
                <w:szCs w:val="22"/>
              </w:rPr>
              <w:t>większego</w:t>
            </w:r>
            <w:r w:rsidRPr="0080700A">
              <w:rPr>
                <w:rFonts w:ascii="Times New Roman" w:eastAsia="Times New Roman" w:hAnsi="Times New Roman" w:cs="Times New Roman"/>
                <w:color w:val="000000"/>
                <w:sz w:val="22"/>
                <w:szCs w:val="22"/>
              </w:rPr>
              <w:t xml:space="preserve"> włączenia</w:t>
            </w:r>
            <w:r w:rsidR="00E04E9E">
              <w:rPr>
                <w:rFonts w:ascii="Times New Roman" w:eastAsia="Times New Roman" w:hAnsi="Times New Roman" w:cs="Times New Roman"/>
                <w:color w:val="000000"/>
                <w:sz w:val="22"/>
                <w:szCs w:val="22"/>
              </w:rPr>
              <w:t xml:space="preserve"> w życiu społeczno-</w:t>
            </w:r>
            <w:r w:rsidR="00F811EF">
              <w:rPr>
                <w:rFonts w:ascii="Times New Roman" w:eastAsia="Times New Roman" w:hAnsi="Times New Roman" w:cs="Times New Roman"/>
                <w:color w:val="000000"/>
                <w:sz w:val="22"/>
                <w:szCs w:val="22"/>
              </w:rPr>
              <w:br/>
            </w:r>
            <w:r w:rsidR="00E04E9E">
              <w:rPr>
                <w:rFonts w:ascii="Times New Roman" w:eastAsia="Times New Roman" w:hAnsi="Times New Roman" w:cs="Times New Roman"/>
                <w:color w:val="000000"/>
                <w:sz w:val="22"/>
                <w:szCs w:val="22"/>
              </w:rPr>
              <w:t>gospodarczym, w tym</w:t>
            </w:r>
            <w:r w:rsidRPr="0080700A">
              <w:rPr>
                <w:rFonts w:ascii="Times New Roman" w:eastAsia="Times New Roman" w:hAnsi="Times New Roman" w:cs="Times New Roman"/>
                <w:color w:val="000000"/>
                <w:sz w:val="22"/>
                <w:szCs w:val="22"/>
              </w:rPr>
              <w:t xml:space="preserve"> </w:t>
            </w:r>
            <w:r w:rsidR="008F48FD">
              <w:rPr>
                <w:rFonts w:ascii="Times New Roman" w:eastAsia="Times New Roman" w:hAnsi="Times New Roman" w:cs="Times New Roman"/>
                <w:color w:val="000000"/>
                <w:sz w:val="22"/>
                <w:szCs w:val="22"/>
              </w:rPr>
              <w:br/>
            </w:r>
            <w:r w:rsidRPr="0080700A">
              <w:rPr>
                <w:rFonts w:ascii="Times New Roman" w:eastAsia="Times New Roman" w:hAnsi="Times New Roman" w:cs="Times New Roman"/>
                <w:color w:val="000000"/>
                <w:sz w:val="22"/>
                <w:szCs w:val="22"/>
              </w:rPr>
              <w:t>na ryn</w:t>
            </w:r>
            <w:r w:rsidR="00E04E9E">
              <w:rPr>
                <w:rFonts w:ascii="Times New Roman" w:eastAsia="Times New Roman" w:hAnsi="Times New Roman" w:cs="Times New Roman"/>
                <w:color w:val="000000"/>
                <w:sz w:val="22"/>
                <w:szCs w:val="22"/>
              </w:rPr>
              <w:t>ku</w:t>
            </w:r>
            <w:r w:rsidR="00757542">
              <w:rPr>
                <w:rFonts w:ascii="Times New Roman" w:eastAsia="Times New Roman" w:hAnsi="Times New Roman" w:cs="Times New Roman"/>
                <w:color w:val="000000"/>
                <w:sz w:val="22"/>
                <w:szCs w:val="22"/>
              </w:rPr>
              <w:t xml:space="preserve"> </w:t>
            </w:r>
            <w:r w:rsidRPr="0080700A">
              <w:rPr>
                <w:rFonts w:ascii="Times New Roman" w:eastAsia="Times New Roman" w:hAnsi="Times New Roman" w:cs="Times New Roman"/>
                <w:color w:val="000000"/>
                <w:sz w:val="22"/>
                <w:szCs w:val="22"/>
              </w:rPr>
              <w:t>pracy</w:t>
            </w:r>
          </w:p>
        </w:tc>
      </w:tr>
      <w:tr w:rsidR="00502314" w14:paraId="1592A7D1" w14:textId="77777777" w:rsidTr="00231F84">
        <w:trPr>
          <w:trHeight w:val="142"/>
        </w:trPr>
        <w:tc>
          <w:tcPr>
            <w:tcW w:w="2668" w:type="dxa"/>
            <w:gridSpan w:val="3"/>
          </w:tcPr>
          <w:p w14:paraId="7F6AAD3A" w14:textId="77777777" w:rsidR="00502314" w:rsidRDefault="00502314" w:rsidP="00517308">
            <w:pPr>
              <w:pBdr>
                <w:top w:val="nil"/>
                <w:left w:val="nil"/>
                <w:bottom w:val="nil"/>
                <w:right w:val="nil"/>
                <w:between w:val="nil"/>
              </w:pBdr>
              <w:rPr>
                <w:rFonts w:ascii="Times New Roman" w:eastAsia="Times New Roman" w:hAnsi="Times New Roman" w:cs="Times New Roman"/>
                <w:sz w:val="22"/>
                <w:szCs w:val="22"/>
              </w:rPr>
            </w:pPr>
            <w:r w:rsidRPr="00502314">
              <w:rPr>
                <w:rFonts w:ascii="Times New Roman" w:eastAsia="Times New Roman" w:hAnsi="Times New Roman" w:cs="Times New Roman"/>
                <w:sz w:val="22"/>
                <w:szCs w:val="22"/>
              </w:rPr>
              <w:t>Osoby niepełnosprawn</w:t>
            </w:r>
            <w:r w:rsidR="00517308">
              <w:rPr>
                <w:rFonts w:ascii="Times New Roman" w:eastAsia="Times New Roman" w:hAnsi="Times New Roman" w:cs="Times New Roman"/>
                <w:sz w:val="22"/>
                <w:szCs w:val="22"/>
              </w:rPr>
              <w:t>e</w:t>
            </w:r>
            <w:r w:rsidR="00E71A3E">
              <w:t xml:space="preserve"> </w:t>
            </w:r>
            <w:r w:rsidR="00E71A3E" w:rsidRPr="00E71A3E">
              <w:rPr>
                <w:rFonts w:ascii="Times New Roman" w:eastAsia="Times New Roman" w:hAnsi="Times New Roman" w:cs="Times New Roman"/>
                <w:sz w:val="22"/>
                <w:szCs w:val="22"/>
              </w:rPr>
              <w:t>biologiczn</w:t>
            </w:r>
            <w:r w:rsidR="00517308">
              <w:rPr>
                <w:rFonts w:ascii="Times New Roman" w:eastAsia="Times New Roman" w:hAnsi="Times New Roman" w:cs="Times New Roman"/>
                <w:sz w:val="22"/>
                <w:szCs w:val="22"/>
              </w:rPr>
              <w:t>ie (o</w:t>
            </w:r>
            <w:r w:rsidR="00517308" w:rsidRPr="00517308">
              <w:rPr>
                <w:rFonts w:ascii="Times New Roman" w:eastAsia="Times New Roman" w:hAnsi="Times New Roman" w:cs="Times New Roman"/>
                <w:sz w:val="22"/>
                <w:szCs w:val="22"/>
              </w:rPr>
              <w:t xml:space="preserve">soba niepełnosprawna biologicznie nie musi posiadać potwierdzenia prawnego (orzeczenia) </w:t>
            </w:r>
            <w:r w:rsidR="008F48FD">
              <w:rPr>
                <w:rFonts w:ascii="Times New Roman" w:eastAsia="Times New Roman" w:hAnsi="Times New Roman" w:cs="Times New Roman"/>
                <w:sz w:val="22"/>
                <w:szCs w:val="22"/>
              </w:rPr>
              <w:br/>
            </w:r>
            <w:r w:rsidR="00517308" w:rsidRPr="00517308">
              <w:rPr>
                <w:rFonts w:ascii="Times New Roman" w:eastAsia="Times New Roman" w:hAnsi="Times New Roman" w:cs="Times New Roman"/>
                <w:sz w:val="22"/>
                <w:szCs w:val="22"/>
              </w:rPr>
              <w:t>o swojej niepełnosprawności</w:t>
            </w:r>
            <w:r w:rsidR="00FE4823">
              <w:rPr>
                <w:rFonts w:ascii="Times New Roman" w:eastAsia="Times New Roman" w:hAnsi="Times New Roman" w:cs="Times New Roman"/>
                <w:sz w:val="22"/>
                <w:szCs w:val="22"/>
              </w:rPr>
              <w:t>)</w:t>
            </w:r>
          </w:p>
        </w:tc>
        <w:tc>
          <w:tcPr>
            <w:tcW w:w="2292" w:type="dxa"/>
            <w:gridSpan w:val="8"/>
          </w:tcPr>
          <w:p w14:paraId="3A8486FA" w14:textId="77777777" w:rsidR="00502314" w:rsidRDefault="00502314">
            <w:pPr>
              <w:spacing w:after="200" w:line="276" w:lineRule="auto"/>
              <w:rPr>
                <w:rFonts w:ascii="Times New Roman" w:eastAsia="Times New Roman" w:hAnsi="Times New Roman" w:cs="Times New Roman"/>
                <w:sz w:val="22"/>
                <w:szCs w:val="22"/>
              </w:rPr>
            </w:pPr>
            <w:r w:rsidRPr="00502314">
              <w:rPr>
                <w:rFonts w:ascii="Times New Roman" w:eastAsia="Times New Roman" w:hAnsi="Times New Roman" w:cs="Times New Roman"/>
                <w:sz w:val="22"/>
                <w:szCs w:val="22"/>
              </w:rPr>
              <w:t>7,7 mln</w:t>
            </w:r>
          </w:p>
        </w:tc>
        <w:tc>
          <w:tcPr>
            <w:tcW w:w="2996" w:type="dxa"/>
            <w:gridSpan w:val="12"/>
          </w:tcPr>
          <w:p w14:paraId="093AF6DF" w14:textId="77777777" w:rsidR="00502314" w:rsidRDefault="008D6F5C" w:rsidP="005F127B">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936AFC" w:rsidRPr="00936AFC">
              <w:rPr>
                <w:rFonts w:ascii="Times New Roman" w:eastAsia="Times New Roman" w:hAnsi="Times New Roman" w:cs="Times New Roman"/>
                <w:sz w:val="22"/>
                <w:szCs w:val="22"/>
              </w:rPr>
              <w:t>ynik</w:t>
            </w:r>
            <w:r w:rsidR="00936AFC">
              <w:rPr>
                <w:rFonts w:ascii="Times New Roman" w:eastAsia="Times New Roman" w:hAnsi="Times New Roman" w:cs="Times New Roman"/>
                <w:sz w:val="22"/>
                <w:szCs w:val="22"/>
              </w:rPr>
              <w:t>i</w:t>
            </w:r>
            <w:r w:rsidR="00936AFC" w:rsidRPr="00936AFC">
              <w:rPr>
                <w:rFonts w:ascii="Times New Roman" w:eastAsia="Times New Roman" w:hAnsi="Times New Roman" w:cs="Times New Roman"/>
                <w:sz w:val="22"/>
                <w:szCs w:val="22"/>
              </w:rPr>
              <w:t xml:space="preserve"> EHIS</w:t>
            </w:r>
            <w:r w:rsidR="0086705C">
              <w:t xml:space="preserve"> </w:t>
            </w:r>
            <w:r w:rsidR="0086705C" w:rsidRPr="00DD15A9">
              <w:rPr>
                <w:rFonts w:ascii="Times New Roman" w:hAnsi="Times New Roman" w:cs="Times New Roman"/>
                <w:sz w:val="22"/>
                <w:szCs w:val="22"/>
              </w:rPr>
              <w:t>prze</w:t>
            </w:r>
            <w:r>
              <w:rPr>
                <w:rFonts w:ascii="Times New Roman" w:hAnsi="Times New Roman" w:cs="Times New Roman"/>
                <w:sz w:val="22"/>
                <w:szCs w:val="22"/>
              </w:rPr>
              <w:t>p</w:t>
            </w:r>
            <w:r w:rsidR="0086705C" w:rsidRPr="00DD15A9">
              <w:rPr>
                <w:rFonts w:ascii="Times New Roman" w:hAnsi="Times New Roman" w:cs="Times New Roman"/>
                <w:sz w:val="22"/>
                <w:szCs w:val="22"/>
              </w:rPr>
              <w:t xml:space="preserve">rowadzonego </w:t>
            </w:r>
            <w:r w:rsidR="008F48FD">
              <w:rPr>
                <w:rFonts w:ascii="Times New Roman" w:hAnsi="Times New Roman" w:cs="Times New Roman"/>
                <w:sz w:val="22"/>
                <w:szCs w:val="22"/>
              </w:rPr>
              <w:br/>
            </w:r>
            <w:r w:rsidR="0086705C" w:rsidRPr="0086705C">
              <w:rPr>
                <w:rFonts w:ascii="Times New Roman" w:eastAsia="Times New Roman" w:hAnsi="Times New Roman" w:cs="Times New Roman"/>
                <w:sz w:val="22"/>
                <w:szCs w:val="22"/>
              </w:rPr>
              <w:t xml:space="preserve">w Polsce </w:t>
            </w:r>
            <w:r w:rsidR="0086705C">
              <w:rPr>
                <w:rFonts w:ascii="Times New Roman" w:eastAsia="Times New Roman" w:hAnsi="Times New Roman" w:cs="Times New Roman"/>
                <w:sz w:val="22"/>
                <w:szCs w:val="22"/>
              </w:rPr>
              <w:t xml:space="preserve">w </w:t>
            </w:r>
            <w:r w:rsidR="0086705C" w:rsidRPr="0086705C">
              <w:rPr>
                <w:rFonts w:ascii="Times New Roman" w:eastAsia="Times New Roman" w:hAnsi="Times New Roman" w:cs="Times New Roman"/>
                <w:sz w:val="22"/>
                <w:szCs w:val="22"/>
              </w:rPr>
              <w:t>2014 r</w:t>
            </w:r>
            <w:r>
              <w:rPr>
                <w:rFonts w:ascii="Times New Roman" w:eastAsia="Times New Roman" w:hAnsi="Times New Roman" w:cs="Times New Roman"/>
                <w:sz w:val="22"/>
                <w:szCs w:val="22"/>
              </w:rPr>
              <w:t>.</w:t>
            </w:r>
            <w:r w:rsidR="0086705C" w:rsidRPr="0086705C">
              <w:rPr>
                <w:rFonts w:ascii="Times New Roman" w:eastAsia="Times New Roman" w:hAnsi="Times New Roman" w:cs="Times New Roman"/>
                <w:sz w:val="22"/>
                <w:szCs w:val="22"/>
              </w:rPr>
              <w:t xml:space="preserve"> </w:t>
            </w:r>
          </w:p>
        </w:tc>
        <w:tc>
          <w:tcPr>
            <w:tcW w:w="2991" w:type="dxa"/>
            <w:gridSpan w:val="6"/>
          </w:tcPr>
          <w:p w14:paraId="361D7884" w14:textId="77777777" w:rsidR="00F45320" w:rsidRDefault="00757542" w:rsidP="00757542">
            <w:pPr>
              <w:pBdr>
                <w:top w:val="nil"/>
                <w:left w:val="nil"/>
                <w:bottom w:val="nil"/>
                <w:right w:val="nil"/>
                <w:between w:val="nil"/>
              </w:pBdr>
              <w:rPr>
                <w:rFonts w:ascii="Times New Roman" w:eastAsia="Times New Roman" w:hAnsi="Times New Roman" w:cs="Times New Roman"/>
                <w:color w:val="000000"/>
                <w:sz w:val="22"/>
                <w:szCs w:val="22"/>
              </w:rPr>
            </w:pPr>
            <w:r w:rsidRPr="0080700A">
              <w:rPr>
                <w:rFonts w:ascii="Times New Roman" w:eastAsia="Times New Roman" w:hAnsi="Times New Roman" w:cs="Times New Roman"/>
                <w:color w:val="000000"/>
                <w:sz w:val="22"/>
                <w:szCs w:val="22"/>
              </w:rPr>
              <w:t xml:space="preserve">Dostępność oznacza </w:t>
            </w:r>
            <w:r>
              <w:rPr>
                <w:rFonts w:ascii="Times New Roman" w:eastAsia="Times New Roman" w:hAnsi="Times New Roman" w:cs="Times New Roman"/>
                <w:color w:val="000000"/>
                <w:sz w:val="22"/>
                <w:szCs w:val="22"/>
              </w:rPr>
              <w:t xml:space="preserve">możliwość korzystania </w:t>
            </w:r>
            <w:r w:rsidR="00BD01F9">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z produktów, usług i przestrzeni fizycznej bez barier, a przede wszystkim – </w:t>
            </w:r>
            <w:r w:rsidRPr="0080700A">
              <w:rPr>
                <w:rFonts w:ascii="Times New Roman" w:eastAsia="Times New Roman" w:hAnsi="Times New Roman" w:cs="Times New Roman"/>
                <w:color w:val="000000"/>
                <w:sz w:val="22"/>
                <w:szCs w:val="22"/>
              </w:rPr>
              <w:t xml:space="preserve">możliwość </w:t>
            </w:r>
            <w:r>
              <w:rPr>
                <w:rFonts w:ascii="Times New Roman" w:eastAsia="Times New Roman" w:hAnsi="Times New Roman" w:cs="Times New Roman"/>
                <w:color w:val="000000"/>
                <w:sz w:val="22"/>
                <w:szCs w:val="22"/>
              </w:rPr>
              <w:t>korzystania z nich</w:t>
            </w:r>
            <w:r w:rsidRPr="0080700A">
              <w:rPr>
                <w:rFonts w:ascii="Times New Roman" w:eastAsia="Times New Roman" w:hAnsi="Times New Roman" w:cs="Times New Roman"/>
                <w:color w:val="000000"/>
                <w:sz w:val="22"/>
                <w:szCs w:val="22"/>
              </w:rPr>
              <w:t xml:space="preserve"> bez względu na ograniczenia</w:t>
            </w:r>
            <w:r>
              <w:rPr>
                <w:rFonts w:ascii="Times New Roman" w:eastAsia="Times New Roman" w:hAnsi="Times New Roman" w:cs="Times New Roman"/>
                <w:color w:val="000000"/>
                <w:sz w:val="22"/>
                <w:szCs w:val="22"/>
              </w:rPr>
              <w:t xml:space="preserve"> funkcjonalne</w:t>
            </w:r>
            <w:r w:rsidRPr="0080700A">
              <w:rPr>
                <w:rFonts w:ascii="Times New Roman" w:eastAsia="Times New Roman" w:hAnsi="Times New Roman" w:cs="Times New Roman"/>
                <w:color w:val="000000"/>
                <w:sz w:val="22"/>
                <w:szCs w:val="22"/>
              </w:rPr>
              <w:t>, k</w:t>
            </w:r>
            <w:r>
              <w:rPr>
                <w:rFonts w:ascii="Times New Roman" w:eastAsia="Times New Roman" w:hAnsi="Times New Roman" w:cs="Times New Roman"/>
                <w:color w:val="000000"/>
                <w:sz w:val="22"/>
                <w:szCs w:val="22"/>
              </w:rPr>
              <w:t>tóre mogą dotyczyć danej osoby.</w:t>
            </w:r>
          </w:p>
          <w:p w14:paraId="23A53FF0" w14:textId="77925E64" w:rsidR="00F45320" w:rsidRDefault="00757542" w:rsidP="00757542">
            <w:pPr>
              <w:pBdr>
                <w:top w:val="nil"/>
                <w:left w:val="nil"/>
                <w:bottom w:val="nil"/>
                <w:right w:val="nil"/>
                <w:between w:val="nil"/>
              </w:pBdr>
              <w:rPr>
                <w:rFonts w:ascii="Times New Roman" w:eastAsia="Times New Roman" w:hAnsi="Times New Roman" w:cs="Times New Roman"/>
                <w:color w:val="000000"/>
                <w:sz w:val="22"/>
                <w:szCs w:val="22"/>
              </w:rPr>
            </w:pPr>
            <w:r w:rsidRPr="0080700A">
              <w:rPr>
                <w:rFonts w:ascii="Times New Roman" w:eastAsia="Times New Roman" w:hAnsi="Times New Roman" w:cs="Times New Roman"/>
                <w:color w:val="000000"/>
                <w:sz w:val="22"/>
                <w:szCs w:val="22"/>
              </w:rPr>
              <w:t xml:space="preserve">Implementacja dyrektywy </w:t>
            </w:r>
            <w:r>
              <w:rPr>
                <w:rFonts w:ascii="Times New Roman" w:eastAsia="Times New Roman" w:hAnsi="Times New Roman" w:cs="Times New Roman"/>
                <w:color w:val="000000"/>
                <w:sz w:val="22"/>
                <w:szCs w:val="22"/>
              </w:rPr>
              <w:t xml:space="preserve">ułatwi </w:t>
            </w:r>
            <w:r w:rsidR="00D702E3">
              <w:rPr>
                <w:rFonts w:ascii="Times New Roman" w:eastAsia="Times New Roman" w:hAnsi="Times New Roman" w:cs="Times New Roman"/>
                <w:color w:val="000000"/>
                <w:sz w:val="22"/>
                <w:szCs w:val="22"/>
              </w:rPr>
              <w:t xml:space="preserve">lub </w:t>
            </w:r>
            <w:r w:rsidRPr="0080700A">
              <w:rPr>
                <w:rFonts w:ascii="Times New Roman" w:eastAsia="Times New Roman" w:hAnsi="Times New Roman" w:cs="Times New Roman"/>
                <w:color w:val="000000"/>
                <w:sz w:val="22"/>
                <w:szCs w:val="22"/>
              </w:rPr>
              <w:t xml:space="preserve">umożliwi wszystkim równe korzystanie </w:t>
            </w:r>
            <w:r w:rsidR="00BD01F9">
              <w:rPr>
                <w:rFonts w:ascii="Times New Roman" w:eastAsia="Times New Roman" w:hAnsi="Times New Roman" w:cs="Times New Roman"/>
                <w:color w:val="000000"/>
                <w:sz w:val="22"/>
                <w:szCs w:val="22"/>
              </w:rPr>
              <w:br/>
            </w:r>
            <w:r w:rsidRPr="0080700A">
              <w:rPr>
                <w:rFonts w:ascii="Times New Roman" w:eastAsia="Times New Roman" w:hAnsi="Times New Roman" w:cs="Times New Roman"/>
                <w:color w:val="000000"/>
                <w:sz w:val="22"/>
                <w:szCs w:val="22"/>
              </w:rPr>
              <w:t xml:space="preserve">z produktów i usług, co </w:t>
            </w:r>
            <w:r>
              <w:rPr>
                <w:rFonts w:ascii="Times New Roman" w:eastAsia="Times New Roman" w:hAnsi="Times New Roman" w:cs="Times New Roman"/>
                <w:color w:val="000000"/>
                <w:sz w:val="22"/>
                <w:szCs w:val="22"/>
              </w:rPr>
              <w:t xml:space="preserve">– szczególnie </w:t>
            </w:r>
            <w:r w:rsidRPr="0080700A">
              <w:rPr>
                <w:rFonts w:ascii="Times New Roman" w:eastAsia="Times New Roman" w:hAnsi="Times New Roman" w:cs="Times New Roman"/>
                <w:color w:val="000000"/>
                <w:sz w:val="22"/>
                <w:szCs w:val="22"/>
              </w:rPr>
              <w:t xml:space="preserve">w przypadku osób z </w:t>
            </w:r>
            <w:r>
              <w:rPr>
                <w:rFonts w:ascii="Times New Roman" w:eastAsia="Times New Roman" w:hAnsi="Times New Roman" w:cs="Times New Roman"/>
                <w:color w:val="000000"/>
                <w:sz w:val="22"/>
                <w:szCs w:val="22"/>
              </w:rPr>
              <w:t xml:space="preserve">niepełnosprawnościami – </w:t>
            </w:r>
            <w:r w:rsidRPr="0080700A">
              <w:rPr>
                <w:rFonts w:ascii="Times New Roman" w:eastAsia="Times New Roman" w:hAnsi="Times New Roman" w:cs="Times New Roman"/>
                <w:color w:val="000000"/>
                <w:sz w:val="22"/>
                <w:szCs w:val="22"/>
              </w:rPr>
              <w:t xml:space="preserve">przyczyni się do ich </w:t>
            </w:r>
            <w:r>
              <w:rPr>
                <w:rFonts w:ascii="Times New Roman" w:eastAsia="Times New Roman" w:hAnsi="Times New Roman" w:cs="Times New Roman"/>
                <w:color w:val="000000"/>
                <w:sz w:val="22"/>
                <w:szCs w:val="22"/>
              </w:rPr>
              <w:t>większego</w:t>
            </w:r>
            <w:r w:rsidRPr="0080700A">
              <w:rPr>
                <w:rFonts w:ascii="Times New Roman" w:eastAsia="Times New Roman" w:hAnsi="Times New Roman" w:cs="Times New Roman"/>
                <w:color w:val="000000"/>
                <w:sz w:val="22"/>
                <w:szCs w:val="22"/>
              </w:rPr>
              <w:t xml:space="preserve"> włączenia</w:t>
            </w:r>
            <w:r>
              <w:rPr>
                <w:rFonts w:ascii="Times New Roman" w:eastAsia="Times New Roman" w:hAnsi="Times New Roman" w:cs="Times New Roman"/>
                <w:color w:val="000000"/>
                <w:sz w:val="22"/>
                <w:szCs w:val="22"/>
              </w:rPr>
              <w:t xml:space="preserve"> w życiu społeczno-</w:t>
            </w:r>
            <w:r w:rsidR="00F811EF">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gospodarczym, w tym</w:t>
            </w:r>
            <w:r w:rsidRPr="0080700A">
              <w:rPr>
                <w:rFonts w:ascii="Times New Roman" w:eastAsia="Times New Roman" w:hAnsi="Times New Roman" w:cs="Times New Roman"/>
                <w:color w:val="000000"/>
                <w:sz w:val="22"/>
                <w:szCs w:val="22"/>
              </w:rPr>
              <w:t xml:space="preserve"> </w:t>
            </w:r>
            <w:r w:rsidR="00BD01F9">
              <w:rPr>
                <w:rFonts w:ascii="Times New Roman" w:eastAsia="Times New Roman" w:hAnsi="Times New Roman" w:cs="Times New Roman"/>
                <w:color w:val="000000"/>
                <w:sz w:val="22"/>
                <w:szCs w:val="22"/>
              </w:rPr>
              <w:br/>
            </w:r>
            <w:r w:rsidRPr="0080700A">
              <w:rPr>
                <w:rFonts w:ascii="Times New Roman" w:eastAsia="Times New Roman" w:hAnsi="Times New Roman" w:cs="Times New Roman"/>
                <w:color w:val="000000"/>
                <w:sz w:val="22"/>
                <w:szCs w:val="22"/>
              </w:rPr>
              <w:t>na ryn</w:t>
            </w:r>
            <w:r>
              <w:rPr>
                <w:rFonts w:ascii="Times New Roman" w:eastAsia="Times New Roman" w:hAnsi="Times New Roman" w:cs="Times New Roman"/>
                <w:color w:val="000000"/>
                <w:sz w:val="22"/>
                <w:szCs w:val="22"/>
              </w:rPr>
              <w:t xml:space="preserve">ku </w:t>
            </w:r>
            <w:r w:rsidRPr="0080700A">
              <w:rPr>
                <w:rFonts w:ascii="Times New Roman" w:eastAsia="Times New Roman" w:hAnsi="Times New Roman" w:cs="Times New Roman"/>
                <w:color w:val="000000"/>
                <w:sz w:val="22"/>
                <w:szCs w:val="22"/>
              </w:rPr>
              <w:t>pracy</w:t>
            </w:r>
          </w:p>
        </w:tc>
      </w:tr>
      <w:tr w:rsidR="00EC4C5C" w14:paraId="3C0C0084" w14:textId="77777777" w:rsidTr="00F4611F">
        <w:trPr>
          <w:trHeight w:val="142"/>
        </w:trPr>
        <w:tc>
          <w:tcPr>
            <w:tcW w:w="2668" w:type="dxa"/>
            <w:gridSpan w:val="3"/>
          </w:tcPr>
          <w:p w14:paraId="363CB74C" w14:textId="77777777" w:rsidR="00156376" w:rsidRPr="00156376" w:rsidRDefault="0016570F" w:rsidP="00156376">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00515863">
              <w:rPr>
                <w:rFonts w:ascii="Times New Roman" w:eastAsia="Times New Roman" w:hAnsi="Times New Roman" w:cs="Times New Roman"/>
                <w:sz w:val="22"/>
                <w:szCs w:val="22"/>
              </w:rPr>
              <w:t>soby starsze</w:t>
            </w:r>
            <w:r w:rsidR="00156376">
              <w:rPr>
                <w:rFonts w:ascii="Times New Roman" w:eastAsia="Times New Roman" w:hAnsi="Times New Roman" w:cs="Times New Roman"/>
                <w:sz w:val="22"/>
                <w:szCs w:val="22"/>
              </w:rPr>
              <w:t xml:space="preserve"> (</w:t>
            </w:r>
            <w:r w:rsidR="00156376" w:rsidRPr="00156376">
              <w:rPr>
                <w:rFonts w:ascii="Times New Roman" w:eastAsia="Times New Roman" w:hAnsi="Times New Roman" w:cs="Times New Roman"/>
                <w:sz w:val="22"/>
                <w:szCs w:val="22"/>
              </w:rPr>
              <w:t xml:space="preserve">stosownie do uregulowań ustawy </w:t>
            </w:r>
            <w:r w:rsidR="00BD01F9">
              <w:rPr>
                <w:rFonts w:ascii="Times New Roman" w:eastAsia="Times New Roman" w:hAnsi="Times New Roman" w:cs="Times New Roman"/>
                <w:sz w:val="22"/>
                <w:szCs w:val="22"/>
              </w:rPr>
              <w:br/>
            </w:r>
            <w:r w:rsidR="00156376" w:rsidRPr="00156376">
              <w:rPr>
                <w:rFonts w:ascii="Times New Roman" w:eastAsia="Times New Roman" w:hAnsi="Times New Roman" w:cs="Times New Roman"/>
                <w:sz w:val="22"/>
                <w:szCs w:val="22"/>
              </w:rPr>
              <w:t>z dnia 11 września</w:t>
            </w:r>
          </w:p>
          <w:p w14:paraId="5250A531" w14:textId="77777777" w:rsidR="00EC4C5C" w:rsidRDefault="00156376" w:rsidP="00156376">
            <w:pPr>
              <w:pBdr>
                <w:top w:val="nil"/>
                <w:left w:val="nil"/>
                <w:bottom w:val="nil"/>
                <w:right w:val="nil"/>
                <w:between w:val="nil"/>
              </w:pBdr>
              <w:rPr>
                <w:rFonts w:ascii="Times New Roman" w:eastAsia="Times New Roman" w:hAnsi="Times New Roman" w:cs="Times New Roman"/>
                <w:color w:val="000000"/>
                <w:sz w:val="22"/>
                <w:szCs w:val="22"/>
              </w:rPr>
            </w:pPr>
            <w:r w:rsidRPr="00156376">
              <w:rPr>
                <w:rFonts w:ascii="Times New Roman" w:eastAsia="Times New Roman" w:hAnsi="Times New Roman" w:cs="Times New Roman"/>
                <w:sz w:val="22"/>
                <w:szCs w:val="22"/>
              </w:rPr>
              <w:t>2015 r. o osobach starszych</w:t>
            </w:r>
            <w:r w:rsidR="008B4560">
              <w:rPr>
                <w:rFonts w:ascii="Times New Roman" w:eastAsia="Times New Roman" w:hAnsi="Times New Roman" w:cs="Times New Roman"/>
                <w:sz w:val="22"/>
                <w:szCs w:val="22"/>
              </w:rPr>
              <w:t xml:space="preserve"> (Dz. U. poz. 1705)</w:t>
            </w:r>
            <w:r w:rsidR="00BD01F9">
              <w:rPr>
                <w:rFonts w:ascii="Times New Roman" w:eastAsia="Times New Roman" w:hAnsi="Times New Roman" w:cs="Times New Roman"/>
                <w:sz w:val="22"/>
                <w:szCs w:val="22"/>
              </w:rPr>
              <w:br/>
            </w:r>
            <w:r w:rsidRPr="00156376">
              <w:rPr>
                <w:rFonts w:ascii="Times New Roman" w:eastAsia="Times New Roman" w:hAnsi="Times New Roman" w:cs="Times New Roman"/>
                <w:sz w:val="22"/>
                <w:szCs w:val="22"/>
              </w:rPr>
              <w:t xml:space="preserve">za osoby starsze przyjęto osoby w wieku 60 lat </w:t>
            </w:r>
            <w:r w:rsidR="00BD01F9">
              <w:rPr>
                <w:rFonts w:ascii="Times New Roman" w:eastAsia="Times New Roman" w:hAnsi="Times New Roman" w:cs="Times New Roman"/>
                <w:sz w:val="22"/>
                <w:szCs w:val="22"/>
              </w:rPr>
              <w:br/>
            </w:r>
            <w:r w:rsidRPr="00156376">
              <w:rPr>
                <w:rFonts w:ascii="Times New Roman" w:eastAsia="Times New Roman" w:hAnsi="Times New Roman" w:cs="Times New Roman"/>
                <w:sz w:val="22"/>
                <w:szCs w:val="22"/>
              </w:rPr>
              <w:t>i więcej</w:t>
            </w:r>
            <w:r>
              <w:rPr>
                <w:rFonts w:ascii="Times New Roman" w:eastAsia="Times New Roman" w:hAnsi="Times New Roman" w:cs="Times New Roman"/>
                <w:sz w:val="22"/>
                <w:szCs w:val="22"/>
              </w:rPr>
              <w:t>)</w:t>
            </w:r>
          </w:p>
        </w:tc>
        <w:tc>
          <w:tcPr>
            <w:tcW w:w="2292" w:type="dxa"/>
            <w:gridSpan w:val="8"/>
          </w:tcPr>
          <w:p w14:paraId="7ADE26AF" w14:textId="77777777" w:rsidR="00EC4C5C" w:rsidRDefault="00885BC8" w:rsidP="00BC62C0">
            <w:pPr>
              <w:pBdr>
                <w:top w:val="nil"/>
                <w:left w:val="nil"/>
                <w:bottom w:val="nil"/>
                <w:right w:val="nil"/>
                <w:between w:val="nil"/>
              </w:pBdr>
              <w:rPr>
                <w:rFonts w:ascii="Times New Roman" w:eastAsia="Times New Roman" w:hAnsi="Times New Roman" w:cs="Times New Roman"/>
                <w:color w:val="000000"/>
                <w:sz w:val="22"/>
                <w:szCs w:val="22"/>
              </w:rPr>
            </w:pPr>
            <w:r w:rsidRPr="00885BC8">
              <w:rPr>
                <w:rFonts w:ascii="Times New Roman" w:eastAsia="Times New Roman" w:hAnsi="Times New Roman" w:cs="Times New Roman"/>
                <w:color w:val="000000"/>
                <w:sz w:val="22"/>
                <w:szCs w:val="22"/>
              </w:rPr>
              <w:t>9</w:t>
            </w:r>
            <w:r w:rsidR="00BC62C0">
              <w:rPr>
                <w:rFonts w:ascii="Times New Roman" w:eastAsia="Times New Roman" w:hAnsi="Times New Roman" w:cs="Times New Roman"/>
                <w:color w:val="000000"/>
                <w:sz w:val="22"/>
                <w:szCs w:val="22"/>
              </w:rPr>
              <w:t>,7 mln</w:t>
            </w:r>
          </w:p>
        </w:tc>
        <w:tc>
          <w:tcPr>
            <w:tcW w:w="2996" w:type="dxa"/>
            <w:gridSpan w:val="12"/>
          </w:tcPr>
          <w:p w14:paraId="377EF844" w14:textId="77777777" w:rsidR="00EC4C5C" w:rsidRDefault="0067206D">
            <w:pPr>
              <w:pBdr>
                <w:top w:val="nil"/>
                <w:left w:val="nil"/>
                <w:bottom w:val="nil"/>
                <w:right w:val="nil"/>
                <w:between w:val="nil"/>
              </w:pBdr>
              <w:rPr>
                <w:rFonts w:ascii="Times New Roman" w:eastAsia="Times New Roman" w:hAnsi="Times New Roman" w:cs="Times New Roman"/>
                <w:color w:val="000000"/>
                <w:sz w:val="22"/>
                <w:szCs w:val="22"/>
              </w:rPr>
            </w:pPr>
            <w:r w:rsidRPr="0067206D">
              <w:rPr>
                <w:rFonts w:ascii="Times New Roman" w:eastAsia="Times New Roman" w:hAnsi="Times New Roman" w:cs="Times New Roman"/>
                <w:color w:val="000000"/>
                <w:sz w:val="22"/>
                <w:szCs w:val="22"/>
              </w:rPr>
              <w:t xml:space="preserve">Sytuacja osób starszych </w:t>
            </w:r>
            <w:r w:rsidR="00BD01F9">
              <w:rPr>
                <w:rFonts w:ascii="Times New Roman" w:eastAsia="Times New Roman" w:hAnsi="Times New Roman" w:cs="Times New Roman"/>
                <w:color w:val="000000"/>
                <w:sz w:val="22"/>
                <w:szCs w:val="22"/>
              </w:rPr>
              <w:br/>
            </w:r>
            <w:r w:rsidRPr="0067206D">
              <w:rPr>
                <w:rFonts w:ascii="Times New Roman" w:eastAsia="Times New Roman" w:hAnsi="Times New Roman" w:cs="Times New Roman"/>
                <w:color w:val="000000"/>
                <w:sz w:val="22"/>
                <w:szCs w:val="22"/>
              </w:rPr>
              <w:t>w Polsce w 2019 r.</w:t>
            </w:r>
            <w:r w:rsidR="001415AA">
              <w:rPr>
                <w:rFonts w:ascii="Times New Roman" w:eastAsia="Times New Roman" w:hAnsi="Times New Roman" w:cs="Times New Roman"/>
                <w:color w:val="000000"/>
                <w:sz w:val="22"/>
                <w:szCs w:val="22"/>
              </w:rPr>
              <w:t>, GUS 12.05.</w:t>
            </w:r>
            <w:r w:rsidR="00035A1A">
              <w:rPr>
                <w:rFonts w:ascii="Times New Roman" w:eastAsia="Times New Roman" w:hAnsi="Times New Roman" w:cs="Times New Roman"/>
                <w:color w:val="000000"/>
                <w:sz w:val="22"/>
                <w:szCs w:val="22"/>
              </w:rPr>
              <w:t>20</w:t>
            </w:r>
            <w:r w:rsidR="001415AA">
              <w:rPr>
                <w:rFonts w:ascii="Times New Roman" w:eastAsia="Times New Roman" w:hAnsi="Times New Roman" w:cs="Times New Roman"/>
                <w:color w:val="000000"/>
                <w:sz w:val="22"/>
                <w:szCs w:val="22"/>
              </w:rPr>
              <w:t>21 r.</w:t>
            </w:r>
          </w:p>
        </w:tc>
        <w:tc>
          <w:tcPr>
            <w:tcW w:w="2991" w:type="dxa"/>
            <w:gridSpan w:val="6"/>
          </w:tcPr>
          <w:p w14:paraId="1D0729BD" w14:textId="0E25CF38" w:rsidR="00F45320" w:rsidRDefault="00757542" w:rsidP="0080700A">
            <w:pPr>
              <w:pBdr>
                <w:top w:val="nil"/>
                <w:left w:val="nil"/>
                <w:bottom w:val="nil"/>
                <w:right w:val="nil"/>
                <w:between w:val="nil"/>
              </w:pBdr>
              <w:rPr>
                <w:rFonts w:ascii="Times New Roman" w:eastAsia="Times New Roman" w:hAnsi="Times New Roman" w:cs="Times New Roman"/>
                <w:color w:val="000000"/>
                <w:sz w:val="22"/>
                <w:szCs w:val="22"/>
              </w:rPr>
            </w:pPr>
            <w:r w:rsidRPr="0080700A">
              <w:rPr>
                <w:rFonts w:ascii="Times New Roman" w:eastAsia="Times New Roman" w:hAnsi="Times New Roman" w:cs="Times New Roman"/>
                <w:color w:val="000000"/>
                <w:sz w:val="22"/>
                <w:szCs w:val="22"/>
              </w:rPr>
              <w:t xml:space="preserve">Dostępność oznacza </w:t>
            </w:r>
            <w:r>
              <w:rPr>
                <w:rFonts w:ascii="Times New Roman" w:eastAsia="Times New Roman" w:hAnsi="Times New Roman" w:cs="Times New Roman"/>
                <w:color w:val="000000"/>
                <w:sz w:val="22"/>
                <w:szCs w:val="22"/>
              </w:rPr>
              <w:t xml:space="preserve">możliwość korzystania </w:t>
            </w:r>
            <w:r w:rsidR="00BD01F9">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z produktów, usług i</w:t>
            </w:r>
            <w:r w:rsidR="00DD341B">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 xml:space="preserve">przestrzeni fizycznej bez barier, a przede wszystkim – </w:t>
            </w:r>
            <w:r w:rsidRPr="0080700A">
              <w:rPr>
                <w:rFonts w:ascii="Times New Roman" w:eastAsia="Times New Roman" w:hAnsi="Times New Roman" w:cs="Times New Roman"/>
                <w:color w:val="000000"/>
                <w:sz w:val="22"/>
                <w:szCs w:val="22"/>
              </w:rPr>
              <w:t xml:space="preserve">możliwość </w:t>
            </w:r>
            <w:r>
              <w:rPr>
                <w:rFonts w:ascii="Times New Roman" w:eastAsia="Times New Roman" w:hAnsi="Times New Roman" w:cs="Times New Roman"/>
                <w:color w:val="000000"/>
                <w:sz w:val="22"/>
                <w:szCs w:val="22"/>
              </w:rPr>
              <w:t>korzystania z nich</w:t>
            </w:r>
            <w:r w:rsidRPr="0080700A">
              <w:rPr>
                <w:rFonts w:ascii="Times New Roman" w:eastAsia="Times New Roman" w:hAnsi="Times New Roman" w:cs="Times New Roman"/>
                <w:color w:val="000000"/>
                <w:sz w:val="22"/>
                <w:szCs w:val="22"/>
              </w:rPr>
              <w:t xml:space="preserve"> bez względu na ograniczenia</w:t>
            </w:r>
            <w:r>
              <w:rPr>
                <w:rFonts w:ascii="Times New Roman" w:eastAsia="Times New Roman" w:hAnsi="Times New Roman" w:cs="Times New Roman"/>
                <w:color w:val="000000"/>
                <w:sz w:val="22"/>
                <w:szCs w:val="22"/>
              </w:rPr>
              <w:t xml:space="preserve"> funkcjonalne</w:t>
            </w:r>
            <w:r w:rsidRPr="0080700A">
              <w:rPr>
                <w:rFonts w:ascii="Times New Roman" w:eastAsia="Times New Roman" w:hAnsi="Times New Roman" w:cs="Times New Roman"/>
                <w:color w:val="000000"/>
                <w:sz w:val="22"/>
                <w:szCs w:val="22"/>
              </w:rPr>
              <w:t>, k</w:t>
            </w:r>
            <w:r>
              <w:rPr>
                <w:rFonts w:ascii="Times New Roman" w:eastAsia="Times New Roman" w:hAnsi="Times New Roman" w:cs="Times New Roman"/>
                <w:color w:val="000000"/>
                <w:sz w:val="22"/>
                <w:szCs w:val="22"/>
              </w:rPr>
              <w:t xml:space="preserve">tóre mogą dotyczyć danej osoby. </w:t>
            </w:r>
          </w:p>
          <w:p w14:paraId="36D8F3C1" w14:textId="2DD7BACF" w:rsidR="00F45320" w:rsidRDefault="00757542" w:rsidP="0080700A">
            <w:pPr>
              <w:pBdr>
                <w:top w:val="nil"/>
                <w:left w:val="nil"/>
                <w:bottom w:val="nil"/>
                <w:right w:val="nil"/>
                <w:between w:val="nil"/>
              </w:pBdr>
              <w:rPr>
                <w:rFonts w:ascii="Times New Roman" w:eastAsia="Times New Roman" w:hAnsi="Times New Roman" w:cs="Times New Roman"/>
                <w:color w:val="000000"/>
                <w:sz w:val="22"/>
                <w:szCs w:val="22"/>
              </w:rPr>
            </w:pPr>
            <w:r w:rsidRPr="0080700A">
              <w:rPr>
                <w:rFonts w:ascii="Times New Roman" w:eastAsia="Times New Roman" w:hAnsi="Times New Roman" w:cs="Times New Roman"/>
                <w:color w:val="000000"/>
                <w:sz w:val="22"/>
                <w:szCs w:val="22"/>
              </w:rPr>
              <w:t xml:space="preserve">Implementacja dyrektywy </w:t>
            </w:r>
            <w:r>
              <w:rPr>
                <w:rFonts w:ascii="Times New Roman" w:eastAsia="Times New Roman" w:hAnsi="Times New Roman" w:cs="Times New Roman"/>
                <w:color w:val="000000"/>
                <w:sz w:val="22"/>
                <w:szCs w:val="22"/>
              </w:rPr>
              <w:t xml:space="preserve">ułatwi </w:t>
            </w:r>
            <w:r w:rsidR="00D702E3">
              <w:rPr>
                <w:rFonts w:ascii="Times New Roman" w:eastAsia="Times New Roman" w:hAnsi="Times New Roman" w:cs="Times New Roman"/>
                <w:color w:val="000000"/>
                <w:sz w:val="22"/>
                <w:szCs w:val="22"/>
              </w:rPr>
              <w:t xml:space="preserve">lub </w:t>
            </w:r>
            <w:r w:rsidRPr="0080700A">
              <w:rPr>
                <w:rFonts w:ascii="Times New Roman" w:eastAsia="Times New Roman" w:hAnsi="Times New Roman" w:cs="Times New Roman"/>
                <w:color w:val="000000"/>
                <w:sz w:val="22"/>
                <w:szCs w:val="22"/>
              </w:rPr>
              <w:t xml:space="preserve">umożliwi wszystkim równe korzystanie </w:t>
            </w:r>
            <w:r w:rsidR="00BD01F9">
              <w:rPr>
                <w:rFonts w:ascii="Times New Roman" w:eastAsia="Times New Roman" w:hAnsi="Times New Roman" w:cs="Times New Roman"/>
                <w:color w:val="000000"/>
                <w:sz w:val="22"/>
                <w:szCs w:val="22"/>
              </w:rPr>
              <w:br/>
            </w:r>
            <w:r w:rsidRPr="0080700A">
              <w:rPr>
                <w:rFonts w:ascii="Times New Roman" w:eastAsia="Times New Roman" w:hAnsi="Times New Roman" w:cs="Times New Roman"/>
                <w:color w:val="000000"/>
                <w:sz w:val="22"/>
                <w:szCs w:val="22"/>
              </w:rPr>
              <w:t xml:space="preserve">z produktów i usług, co </w:t>
            </w:r>
            <w:r>
              <w:rPr>
                <w:rFonts w:ascii="Times New Roman" w:eastAsia="Times New Roman" w:hAnsi="Times New Roman" w:cs="Times New Roman"/>
                <w:color w:val="000000"/>
                <w:sz w:val="22"/>
                <w:szCs w:val="22"/>
              </w:rPr>
              <w:t xml:space="preserve">– szczególnie </w:t>
            </w:r>
            <w:r w:rsidRPr="0080700A">
              <w:rPr>
                <w:rFonts w:ascii="Times New Roman" w:eastAsia="Times New Roman" w:hAnsi="Times New Roman" w:cs="Times New Roman"/>
                <w:color w:val="000000"/>
                <w:sz w:val="22"/>
                <w:szCs w:val="22"/>
              </w:rPr>
              <w:t xml:space="preserve">w przypadku osób z </w:t>
            </w:r>
            <w:r>
              <w:rPr>
                <w:rFonts w:ascii="Times New Roman" w:eastAsia="Times New Roman" w:hAnsi="Times New Roman" w:cs="Times New Roman"/>
                <w:color w:val="000000"/>
                <w:sz w:val="22"/>
                <w:szCs w:val="22"/>
              </w:rPr>
              <w:t xml:space="preserve">niepełnosprawnościami – </w:t>
            </w:r>
            <w:r w:rsidRPr="0080700A">
              <w:rPr>
                <w:rFonts w:ascii="Times New Roman" w:eastAsia="Times New Roman" w:hAnsi="Times New Roman" w:cs="Times New Roman"/>
                <w:color w:val="000000"/>
                <w:sz w:val="22"/>
                <w:szCs w:val="22"/>
              </w:rPr>
              <w:t xml:space="preserve">przyczyni się do ich </w:t>
            </w:r>
            <w:r>
              <w:rPr>
                <w:rFonts w:ascii="Times New Roman" w:eastAsia="Times New Roman" w:hAnsi="Times New Roman" w:cs="Times New Roman"/>
                <w:color w:val="000000"/>
                <w:sz w:val="22"/>
                <w:szCs w:val="22"/>
              </w:rPr>
              <w:t>większego</w:t>
            </w:r>
            <w:r w:rsidRPr="0080700A">
              <w:rPr>
                <w:rFonts w:ascii="Times New Roman" w:eastAsia="Times New Roman" w:hAnsi="Times New Roman" w:cs="Times New Roman"/>
                <w:color w:val="000000"/>
                <w:sz w:val="22"/>
                <w:szCs w:val="22"/>
              </w:rPr>
              <w:t xml:space="preserve"> włączenia</w:t>
            </w:r>
            <w:r>
              <w:rPr>
                <w:rFonts w:ascii="Times New Roman" w:eastAsia="Times New Roman" w:hAnsi="Times New Roman" w:cs="Times New Roman"/>
                <w:color w:val="000000"/>
                <w:sz w:val="22"/>
                <w:szCs w:val="22"/>
              </w:rPr>
              <w:t xml:space="preserve"> w życiu społeczno-</w:t>
            </w:r>
            <w:r w:rsidR="00F811EF">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gospodarczym, w tym</w:t>
            </w:r>
            <w:r w:rsidRPr="0080700A">
              <w:rPr>
                <w:rFonts w:ascii="Times New Roman" w:eastAsia="Times New Roman" w:hAnsi="Times New Roman" w:cs="Times New Roman"/>
                <w:color w:val="000000"/>
                <w:sz w:val="22"/>
                <w:szCs w:val="22"/>
              </w:rPr>
              <w:t xml:space="preserve"> </w:t>
            </w:r>
            <w:r w:rsidR="00A36E7E">
              <w:rPr>
                <w:rFonts w:ascii="Times New Roman" w:eastAsia="Times New Roman" w:hAnsi="Times New Roman" w:cs="Times New Roman"/>
                <w:color w:val="000000"/>
                <w:sz w:val="22"/>
                <w:szCs w:val="22"/>
              </w:rPr>
              <w:br/>
            </w:r>
            <w:r w:rsidRPr="0080700A">
              <w:rPr>
                <w:rFonts w:ascii="Times New Roman" w:eastAsia="Times New Roman" w:hAnsi="Times New Roman" w:cs="Times New Roman"/>
                <w:color w:val="000000"/>
                <w:sz w:val="22"/>
                <w:szCs w:val="22"/>
              </w:rPr>
              <w:t>na ryn</w:t>
            </w:r>
            <w:r>
              <w:rPr>
                <w:rFonts w:ascii="Times New Roman" w:eastAsia="Times New Roman" w:hAnsi="Times New Roman" w:cs="Times New Roman"/>
                <w:color w:val="000000"/>
                <w:sz w:val="22"/>
                <w:szCs w:val="22"/>
              </w:rPr>
              <w:t xml:space="preserve">ku </w:t>
            </w:r>
            <w:r w:rsidRPr="0080700A">
              <w:rPr>
                <w:rFonts w:ascii="Times New Roman" w:eastAsia="Times New Roman" w:hAnsi="Times New Roman" w:cs="Times New Roman"/>
                <w:color w:val="000000"/>
                <w:sz w:val="22"/>
                <w:szCs w:val="22"/>
              </w:rPr>
              <w:t>pracy</w:t>
            </w:r>
          </w:p>
        </w:tc>
      </w:tr>
      <w:tr w:rsidR="00231F84" w14:paraId="2ED5F26F" w14:textId="77777777" w:rsidTr="00EB79F1">
        <w:trPr>
          <w:trHeight w:val="142"/>
        </w:trPr>
        <w:tc>
          <w:tcPr>
            <w:tcW w:w="2668" w:type="dxa"/>
            <w:gridSpan w:val="3"/>
            <w:shd w:val="clear" w:color="auto" w:fill="auto"/>
          </w:tcPr>
          <w:p w14:paraId="337C93C8" w14:textId="77777777" w:rsidR="00A31158" w:rsidRPr="00EB79F1" w:rsidRDefault="00A31158"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sidRPr="00EB79F1">
              <w:rPr>
                <w:rFonts w:ascii="Times New Roman" w:eastAsia="Times New Roman" w:hAnsi="Times New Roman" w:cs="Times New Roman"/>
                <w:sz w:val="22"/>
                <w:szCs w:val="22"/>
              </w:rPr>
              <w:t>PFRON</w:t>
            </w:r>
          </w:p>
          <w:p w14:paraId="4D3E329A" w14:textId="77777777" w:rsidR="00A31158" w:rsidRPr="00EB79F1" w:rsidRDefault="00A31158"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sidRPr="00EB79F1">
              <w:rPr>
                <w:rFonts w:ascii="Times New Roman" w:eastAsia="Times New Roman" w:hAnsi="Times New Roman" w:cs="Times New Roman"/>
                <w:sz w:val="22"/>
                <w:szCs w:val="22"/>
              </w:rPr>
              <w:lastRenderedPageBreak/>
              <w:t>(</w:t>
            </w:r>
            <w:r w:rsidR="00C32019" w:rsidRPr="00EB79F1">
              <w:rPr>
                <w:rFonts w:ascii="Times New Roman" w:eastAsia="Times New Roman" w:hAnsi="Times New Roman" w:cs="Times New Roman"/>
                <w:sz w:val="22"/>
                <w:szCs w:val="22"/>
              </w:rPr>
              <w:t xml:space="preserve">Biuro Funduszu </w:t>
            </w:r>
            <w:r w:rsidRPr="00EB79F1">
              <w:rPr>
                <w:rFonts w:ascii="Times New Roman" w:eastAsia="Times New Roman" w:hAnsi="Times New Roman" w:cs="Times New Roman"/>
                <w:sz w:val="22"/>
                <w:szCs w:val="22"/>
              </w:rPr>
              <w:t xml:space="preserve">oraz </w:t>
            </w:r>
            <w:r w:rsidR="00F93228">
              <w:rPr>
                <w:rFonts w:ascii="Times New Roman" w:eastAsia="Times New Roman" w:hAnsi="Times New Roman" w:cs="Times New Roman"/>
                <w:sz w:val="22"/>
                <w:szCs w:val="22"/>
              </w:rPr>
              <w:t>O</w:t>
            </w:r>
            <w:r w:rsidRPr="00EB79F1">
              <w:rPr>
                <w:rFonts w:ascii="Times New Roman" w:eastAsia="Times New Roman" w:hAnsi="Times New Roman" w:cs="Times New Roman"/>
                <w:sz w:val="22"/>
                <w:szCs w:val="22"/>
              </w:rPr>
              <w:t>ddziały</w:t>
            </w:r>
            <w:r w:rsidR="00F93228">
              <w:rPr>
                <w:rFonts w:ascii="Times New Roman" w:eastAsia="Times New Roman" w:hAnsi="Times New Roman" w:cs="Times New Roman"/>
                <w:sz w:val="22"/>
                <w:szCs w:val="22"/>
              </w:rPr>
              <w:t xml:space="preserve"> PFRON</w:t>
            </w:r>
            <w:r w:rsidRPr="00EB79F1">
              <w:rPr>
                <w:rFonts w:ascii="Times New Roman" w:eastAsia="Times New Roman" w:hAnsi="Times New Roman" w:cs="Times New Roman"/>
                <w:sz w:val="22"/>
                <w:szCs w:val="22"/>
              </w:rPr>
              <w:t>)</w:t>
            </w:r>
          </w:p>
        </w:tc>
        <w:tc>
          <w:tcPr>
            <w:tcW w:w="2292" w:type="dxa"/>
            <w:gridSpan w:val="8"/>
            <w:shd w:val="clear" w:color="auto" w:fill="auto"/>
          </w:tcPr>
          <w:p w14:paraId="66281AB4" w14:textId="77777777" w:rsidR="00A31158" w:rsidRPr="00EB79F1" w:rsidRDefault="00A31158"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lastRenderedPageBreak/>
              <w:t>17</w:t>
            </w:r>
          </w:p>
        </w:tc>
        <w:tc>
          <w:tcPr>
            <w:tcW w:w="2996" w:type="dxa"/>
            <w:gridSpan w:val="12"/>
            <w:shd w:val="clear" w:color="auto" w:fill="auto"/>
          </w:tcPr>
          <w:p w14:paraId="2B9566A6" w14:textId="77777777" w:rsidR="00A31158" w:rsidRPr="00EB79F1" w:rsidRDefault="00A31158"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1D8FC06E" w14:textId="237F0C62" w:rsidR="002C155D" w:rsidRPr="00EB79F1" w:rsidRDefault="00F45320"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w:t>
            </w:r>
            <w:r w:rsidR="00A31158" w:rsidRPr="00EB79F1">
              <w:rPr>
                <w:rFonts w:ascii="Times New Roman" w:eastAsia="Times New Roman" w:hAnsi="Times New Roman" w:cs="Times New Roman"/>
                <w:color w:val="000000"/>
                <w:sz w:val="22"/>
                <w:szCs w:val="22"/>
              </w:rPr>
              <w:t xml:space="preserve">onitorowanie funkcjonowania systemu </w:t>
            </w:r>
            <w:r w:rsidR="00A31158" w:rsidRPr="00EB79F1">
              <w:rPr>
                <w:rFonts w:ascii="Times New Roman" w:eastAsia="Times New Roman" w:hAnsi="Times New Roman" w:cs="Times New Roman"/>
                <w:color w:val="000000"/>
                <w:sz w:val="22"/>
                <w:szCs w:val="22"/>
              </w:rPr>
              <w:lastRenderedPageBreak/>
              <w:t>nadzoru rynku w zakresie zapewniania spełniania wym</w:t>
            </w:r>
            <w:r w:rsidR="00B74C77">
              <w:rPr>
                <w:rFonts w:ascii="Times New Roman" w:eastAsia="Times New Roman" w:hAnsi="Times New Roman" w:cs="Times New Roman"/>
                <w:color w:val="000000"/>
                <w:sz w:val="22"/>
                <w:szCs w:val="22"/>
              </w:rPr>
              <w:t>agań</w:t>
            </w:r>
            <w:r w:rsidR="00A31158" w:rsidRPr="00EB79F1">
              <w:rPr>
                <w:rFonts w:ascii="Times New Roman" w:eastAsia="Times New Roman" w:hAnsi="Times New Roman" w:cs="Times New Roman"/>
                <w:color w:val="000000"/>
                <w:sz w:val="22"/>
                <w:szCs w:val="22"/>
              </w:rPr>
              <w:t xml:space="preserve"> dostępności produktów i usług</w:t>
            </w:r>
          </w:p>
        </w:tc>
      </w:tr>
      <w:tr w:rsidR="00231F84" w14:paraId="535B53F3" w14:textId="77777777" w:rsidTr="00EB79F1">
        <w:trPr>
          <w:trHeight w:val="142"/>
        </w:trPr>
        <w:tc>
          <w:tcPr>
            <w:tcW w:w="2668" w:type="dxa"/>
            <w:gridSpan w:val="3"/>
            <w:shd w:val="clear" w:color="auto" w:fill="auto"/>
          </w:tcPr>
          <w:p w14:paraId="60C2682F" w14:textId="77777777" w:rsidR="00A31158" w:rsidRPr="00EB79F1" w:rsidRDefault="00752E16"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Ministerstwo Cyfryzacji</w:t>
            </w:r>
          </w:p>
        </w:tc>
        <w:tc>
          <w:tcPr>
            <w:tcW w:w="2292" w:type="dxa"/>
            <w:gridSpan w:val="8"/>
            <w:shd w:val="clear" w:color="auto" w:fill="auto"/>
          </w:tcPr>
          <w:p w14:paraId="1D23C771" w14:textId="77777777" w:rsidR="00A31158" w:rsidRPr="00EB79F1" w:rsidRDefault="00D96BBE"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w:t>
            </w:r>
          </w:p>
        </w:tc>
        <w:tc>
          <w:tcPr>
            <w:tcW w:w="2996" w:type="dxa"/>
            <w:gridSpan w:val="12"/>
            <w:shd w:val="clear" w:color="auto" w:fill="auto"/>
          </w:tcPr>
          <w:p w14:paraId="00A6F0E7" w14:textId="77777777" w:rsidR="00A31158" w:rsidRPr="00EB79F1" w:rsidRDefault="00A31158"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1F747FE6" w14:textId="4C479090" w:rsidR="002C155D" w:rsidRPr="00EB79F1" w:rsidRDefault="002C155D"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D96BBE" w:rsidRPr="00EB79F1">
              <w:rPr>
                <w:rFonts w:ascii="Times New Roman" w:eastAsia="Times New Roman" w:hAnsi="Times New Roman" w:cs="Times New Roman"/>
                <w:color w:val="000000"/>
                <w:sz w:val="22"/>
                <w:szCs w:val="22"/>
              </w:rPr>
              <w:t xml:space="preserve">adzór nad </w:t>
            </w:r>
            <w:proofErr w:type="spellStart"/>
            <w:r w:rsidR="003D03D6">
              <w:rPr>
                <w:rFonts w:ascii="Times New Roman" w:eastAsia="Times New Roman" w:hAnsi="Times New Roman" w:cs="Times New Roman"/>
                <w:color w:val="000000"/>
                <w:sz w:val="22"/>
                <w:szCs w:val="22"/>
              </w:rPr>
              <w:t>spełnianianiem</w:t>
            </w:r>
            <w:proofErr w:type="spellEnd"/>
            <w:r w:rsidR="00D654ED">
              <w:rPr>
                <w:rFonts w:ascii="Times New Roman" w:eastAsia="Times New Roman" w:hAnsi="Times New Roman" w:cs="Times New Roman"/>
                <w:color w:val="000000"/>
                <w:sz w:val="22"/>
                <w:szCs w:val="22"/>
              </w:rPr>
              <w:t xml:space="preserve"> </w:t>
            </w:r>
            <w:r w:rsidR="00B74C77" w:rsidRPr="00B74C77">
              <w:rPr>
                <w:rFonts w:ascii="Times New Roman" w:eastAsia="Times New Roman" w:hAnsi="Times New Roman" w:cs="Times New Roman"/>
                <w:color w:val="000000"/>
                <w:sz w:val="22"/>
                <w:szCs w:val="22"/>
              </w:rPr>
              <w:t>wymaga</w:t>
            </w:r>
            <w:r w:rsidR="003D03D6">
              <w:rPr>
                <w:rFonts w:ascii="Times New Roman" w:eastAsia="Times New Roman" w:hAnsi="Times New Roman" w:cs="Times New Roman"/>
                <w:color w:val="000000"/>
                <w:sz w:val="22"/>
                <w:szCs w:val="22"/>
              </w:rPr>
              <w:t>ń</w:t>
            </w:r>
            <w:r w:rsidR="00B74C77">
              <w:rPr>
                <w:rFonts w:ascii="Times New Roman" w:eastAsia="Times New Roman" w:hAnsi="Times New Roman" w:cs="Times New Roman"/>
                <w:color w:val="000000"/>
                <w:sz w:val="22"/>
                <w:szCs w:val="22"/>
              </w:rPr>
              <w:t xml:space="preserve"> </w:t>
            </w:r>
            <w:r w:rsidR="00D96BBE" w:rsidRPr="00EB79F1">
              <w:rPr>
                <w:rFonts w:ascii="Times New Roman" w:eastAsia="Times New Roman" w:hAnsi="Times New Roman" w:cs="Times New Roman"/>
                <w:color w:val="000000"/>
                <w:sz w:val="22"/>
                <w:szCs w:val="22"/>
              </w:rPr>
              <w:t xml:space="preserve">dostępności </w:t>
            </w:r>
            <w:r w:rsidR="00CF30EB">
              <w:rPr>
                <w:rFonts w:ascii="Times New Roman" w:eastAsia="Times New Roman" w:hAnsi="Times New Roman" w:cs="Times New Roman"/>
                <w:color w:val="000000"/>
                <w:sz w:val="22"/>
                <w:szCs w:val="22"/>
              </w:rPr>
              <w:t>usług handlu elektronicznego</w:t>
            </w:r>
          </w:p>
        </w:tc>
      </w:tr>
      <w:tr w:rsidR="00231F84" w14:paraId="3A470343" w14:textId="77777777" w:rsidTr="00EB79F1">
        <w:trPr>
          <w:trHeight w:val="142"/>
        </w:trPr>
        <w:tc>
          <w:tcPr>
            <w:tcW w:w="2668" w:type="dxa"/>
            <w:gridSpan w:val="3"/>
            <w:shd w:val="clear" w:color="auto" w:fill="auto"/>
          </w:tcPr>
          <w:p w14:paraId="71B07BDC" w14:textId="77777777" w:rsidR="00A31158" w:rsidRPr="00EB79F1" w:rsidRDefault="00AB58C6"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sidRPr="00EB79F1">
              <w:rPr>
                <w:rFonts w:ascii="Times New Roman" w:eastAsia="Times New Roman" w:hAnsi="Times New Roman" w:cs="Times New Roman"/>
                <w:sz w:val="22"/>
                <w:szCs w:val="22"/>
              </w:rPr>
              <w:t>Urząd Komunikacji Elektronicznej</w:t>
            </w:r>
          </w:p>
        </w:tc>
        <w:tc>
          <w:tcPr>
            <w:tcW w:w="2292" w:type="dxa"/>
            <w:gridSpan w:val="8"/>
            <w:shd w:val="clear" w:color="auto" w:fill="auto"/>
          </w:tcPr>
          <w:p w14:paraId="1A8CA2B5" w14:textId="77777777" w:rsidR="00A31158" w:rsidRPr="00EB79F1" w:rsidRDefault="00AE4926"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w:t>
            </w:r>
          </w:p>
        </w:tc>
        <w:tc>
          <w:tcPr>
            <w:tcW w:w="2996" w:type="dxa"/>
            <w:gridSpan w:val="12"/>
            <w:shd w:val="clear" w:color="auto" w:fill="auto"/>
          </w:tcPr>
          <w:p w14:paraId="204AAFEE" w14:textId="77777777" w:rsidR="00A31158" w:rsidRPr="00EB79F1" w:rsidRDefault="00A31158"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6C4BFD73" w14:textId="72664952" w:rsidR="002C155D" w:rsidRPr="00EB79F1" w:rsidRDefault="002C155D"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AD19AE" w:rsidRPr="00AD19AE">
              <w:rPr>
                <w:rFonts w:ascii="Times New Roman" w:eastAsia="Times New Roman" w:hAnsi="Times New Roman" w:cs="Times New Roman"/>
                <w:color w:val="000000"/>
                <w:sz w:val="22"/>
                <w:szCs w:val="22"/>
              </w:rPr>
              <w:t xml:space="preserve">adzór nad spełnianiem </w:t>
            </w:r>
            <w:r w:rsidR="00B74C77" w:rsidRPr="00B74C77">
              <w:rPr>
                <w:rFonts w:ascii="Times New Roman" w:eastAsia="Times New Roman" w:hAnsi="Times New Roman" w:cs="Times New Roman"/>
                <w:color w:val="000000"/>
                <w:sz w:val="22"/>
                <w:szCs w:val="22"/>
              </w:rPr>
              <w:t>wymagań</w:t>
            </w:r>
            <w:r w:rsidR="00AD19AE" w:rsidRPr="00AD19AE">
              <w:rPr>
                <w:rFonts w:ascii="Times New Roman" w:eastAsia="Times New Roman" w:hAnsi="Times New Roman" w:cs="Times New Roman"/>
                <w:color w:val="000000"/>
                <w:sz w:val="22"/>
                <w:szCs w:val="22"/>
              </w:rPr>
              <w:t xml:space="preserve"> dostępności </w:t>
            </w:r>
            <w:r w:rsidR="00F80BDD">
              <w:rPr>
                <w:rFonts w:ascii="Times New Roman" w:eastAsia="Times New Roman" w:hAnsi="Times New Roman" w:cs="Times New Roman"/>
                <w:color w:val="000000"/>
                <w:sz w:val="22"/>
                <w:szCs w:val="22"/>
              </w:rPr>
              <w:t xml:space="preserve">dla </w:t>
            </w:r>
            <w:r w:rsidR="00AD19AE" w:rsidRPr="00AD19AE">
              <w:rPr>
                <w:rFonts w:ascii="Times New Roman" w:eastAsia="Times New Roman" w:hAnsi="Times New Roman" w:cs="Times New Roman"/>
                <w:color w:val="000000"/>
                <w:sz w:val="22"/>
                <w:szCs w:val="22"/>
              </w:rPr>
              <w:t xml:space="preserve">konsumenckich urządzeń końcowych z interaktywnymi zdolnościami obliczeniowymi wykorzystywanych w ramach świadczenia usług </w:t>
            </w:r>
            <w:r w:rsidR="00F25CDB" w:rsidRPr="00F25CDB">
              <w:rPr>
                <w:rFonts w:ascii="Times New Roman" w:eastAsia="Times New Roman" w:hAnsi="Times New Roman" w:cs="Times New Roman"/>
                <w:color w:val="000000"/>
                <w:sz w:val="22"/>
                <w:szCs w:val="22"/>
              </w:rPr>
              <w:t>telekomunikacyjnych</w:t>
            </w:r>
            <w:r w:rsidR="00AD19AE" w:rsidRPr="00AD19AE">
              <w:rPr>
                <w:rFonts w:ascii="Times New Roman" w:eastAsia="Times New Roman" w:hAnsi="Times New Roman" w:cs="Times New Roman"/>
                <w:color w:val="000000"/>
                <w:sz w:val="22"/>
                <w:szCs w:val="22"/>
              </w:rPr>
              <w:t xml:space="preserve"> i usług dostępu do audiowizualnych usług medialnych, terminali, usług </w:t>
            </w:r>
            <w:r w:rsidR="00F25CDB" w:rsidRPr="00F25CDB">
              <w:rPr>
                <w:rFonts w:ascii="Times New Roman" w:eastAsia="Times New Roman" w:hAnsi="Times New Roman" w:cs="Times New Roman"/>
                <w:color w:val="000000"/>
                <w:sz w:val="22"/>
                <w:szCs w:val="22"/>
              </w:rPr>
              <w:t>telekomunikacyjnych</w:t>
            </w:r>
            <w:r w:rsidR="006B1AAE">
              <w:rPr>
                <w:rFonts w:ascii="Times New Roman" w:eastAsia="Times New Roman" w:hAnsi="Times New Roman" w:cs="Times New Roman"/>
                <w:color w:val="000000"/>
                <w:sz w:val="22"/>
                <w:szCs w:val="22"/>
              </w:rPr>
              <w:br/>
            </w:r>
            <w:r w:rsidR="00AD19AE" w:rsidRPr="00AD19AE">
              <w:rPr>
                <w:rFonts w:ascii="Times New Roman" w:eastAsia="Times New Roman" w:hAnsi="Times New Roman" w:cs="Times New Roman"/>
                <w:color w:val="000000"/>
                <w:sz w:val="22"/>
                <w:szCs w:val="22"/>
              </w:rPr>
              <w:t>i usług dostępu do audiowizualnych usług medialnych</w:t>
            </w:r>
            <w:r w:rsidR="002717C3">
              <w:rPr>
                <w:rFonts w:ascii="Times New Roman" w:eastAsia="Times New Roman" w:hAnsi="Times New Roman" w:cs="Times New Roman"/>
                <w:color w:val="000000"/>
                <w:sz w:val="22"/>
                <w:szCs w:val="22"/>
              </w:rPr>
              <w:t xml:space="preserve">, </w:t>
            </w:r>
            <w:r w:rsidR="0049793B">
              <w:rPr>
                <w:rFonts w:ascii="Times New Roman" w:eastAsia="Times New Roman" w:hAnsi="Times New Roman" w:cs="Times New Roman"/>
                <w:color w:val="000000"/>
                <w:sz w:val="22"/>
                <w:szCs w:val="22"/>
              </w:rPr>
              <w:t xml:space="preserve">konsumenckich </w:t>
            </w:r>
            <w:r w:rsidR="002717C3" w:rsidRPr="002717C3">
              <w:rPr>
                <w:rFonts w:ascii="Times New Roman" w:eastAsia="Times New Roman" w:hAnsi="Times New Roman" w:cs="Times New Roman"/>
                <w:color w:val="000000"/>
                <w:sz w:val="22"/>
                <w:szCs w:val="22"/>
              </w:rPr>
              <w:t>systemów sprzętu komputerowego ogólnego przeznaczenia i ich systemów operacyjnych, czytników książek elektronicznych, usług rozpowszechniania książek elektronicznych</w:t>
            </w:r>
          </w:p>
        </w:tc>
      </w:tr>
      <w:tr w:rsidR="00231F84" w14:paraId="30DAC0FF" w14:textId="77777777" w:rsidTr="00EB79F1">
        <w:trPr>
          <w:trHeight w:val="142"/>
        </w:trPr>
        <w:tc>
          <w:tcPr>
            <w:tcW w:w="2668" w:type="dxa"/>
            <w:gridSpan w:val="3"/>
            <w:shd w:val="clear" w:color="auto" w:fill="auto"/>
          </w:tcPr>
          <w:p w14:paraId="5154FD20" w14:textId="77777777" w:rsidR="00A31158" w:rsidRPr="00EB79F1" w:rsidRDefault="00932712"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sidRPr="00EB79F1">
              <w:rPr>
                <w:rFonts w:ascii="Times New Roman" w:eastAsia="Times New Roman" w:hAnsi="Times New Roman" w:cs="Times New Roman"/>
                <w:sz w:val="22"/>
                <w:szCs w:val="22"/>
              </w:rPr>
              <w:t>Rzecznik Finansowy</w:t>
            </w:r>
          </w:p>
        </w:tc>
        <w:tc>
          <w:tcPr>
            <w:tcW w:w="2292" w:type="dxa"/>
            <w:gridSpan w:val="8"/>
            <w:shd w:val="clear" w:color="auto" w:fill="auto"/>
          </w:tcPr>
          <w:p w14:paraId="447FA205" w14:textId="77777777" w:rsidR="00A31158" w:rsidRPr="00EB79F1" w:rsidRDefault="00932712"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w:t>
            </w:r>
          </w:p>
        </w:tc>
        <w:tc>
          <w:tcPr>
            <w:tcW w:w="2996" w:type="dxa"/>
            <w:gridSpan w:val="12"/>
            <w:shd w:val="clear" w:color="auto" w:fill="auto"/>
          </w:tcPr>
          <w:p w14:paraId="6F777B25" w14:textId="77777777" w:rsidR="00A31158" w:rsidRPr="00EB79F1" w:rsidRDefault="00A31158"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55BC38C5" w14:textId="5917CFE4" w:rsidR="002C155D" w:rsidRPr="00EB79F1" w:rsidRDefault="002C155D"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932712" w:rsidRPr="00EB79F1">
              <w:rPr>
                <w:rFonts w:ascii="Times New Roman" w:eastAsia="Times New Roman" w:hAnsi="Times New Roman" w:cs="Times New Roman"/>
                <w:color w:val="000000"/>
                <w:sz w:val="22"/>
                <w:szCs w:val="22"/>
              </w:rPr>
              <w:t>adzór nad</w:t>
            </w:r>
            <w:r w:rsidR="006928A6" w:rsidRPr="00AD19AE">
              <w:rPr>
                <w:rFonts w:ascii="Times New Roman" w:eastAsia="Times New Roman" w:hAnsi="Times New Roman" w:cs="Times New Roman"/>
                <w:color w:val="000000"/>
                <w:sz w:val="22"/>
                <w:szCs w:val="22"/>
              </w:rPr>
              <w:t xml:space="preserve"> spełnianiem </w:t>
            </w:r>
            <w:r w:rsidR="00B74C77" w:rsidRPr="00B74C77">
              <w:rPr>
                <w:rFonts w:ascii="Times New Roman" w:eastAsia="Times New Roman" w:hAnsi="Times New Roman" w:cs="Times New Roman"/>
                <w:color w:val="000000"/>
                <w:sz w:val="22"/>
                <w:szCs w:val="22"/>
              </w:rPr>
              <w:t>wymagań</w:t>
            </w:r>
            <w:r w:rsidR="006928A6" w:rsidRPr="00AD19AE">
              <w:rPr>
                <w:rFonts w:ascii="Times New Roman" w:eastAsia="Times New Roman" w:hAnsi="Times New Roman" w:cs="Times New Roman"/>
                <w:color w:val="000000"/>
                <w:sz w:val="22"/>
                <w:szCs w:val="22"/>
              </w:rPr>
              <w:t xml:space="preserve"> dostępności </w:t>
            </w:r>
            <w:r w:rsidR="00295931">
              <w:rPr>
                <w:rFonts w:ascii="Times New Roman" w:eastAsia="Times New Roman" w:hAnsi="Times New Roman" w:cs="Times New Roman"/>
                <w:color w:val="000000"/>
                <w:sz w:val="22"/>
                <w:szCs w:val="22"/>
              </w:rPr>
              <w:t xml:space="preserve">dla </w:t>
            </w:r>
            <w:r w:rsidR="00932712" w:rsidRPr="00EB79F1">
              <w:rPr>
                <w:rFonts w:ascii="Times New Roman" w:eastAsia="Times New Roman" w:hAnsi="Times New Roman" w:cs="Times New Roman"/>
                <w:color w:val="000000"/>
                <w:sz w:val="22"/>
                <w:szCs w:val="22"/>
              </w:rPr>
              <w:t>usług bankowości detalicznej</w:t>
            </w:r>
          </w:p>
        </w:tc>
      </w:tr>
      <w:tr w:rsidR="00231F84" w14:paraId="7A59944F" w14:textId="77777777" w:rsidTr="00EB79F1">
        <w:trPr>
          <w:trHeight w:val="142"/>
        </w:trPr>
        <w:tc>
          <w:tcPr>
            <w:tcW w:w="2668" w:type="dxa"/>
            <w:gridSpan w:val="3"/>
            <w:shd w:val="clear" w:color="auto" w:fill="auto"/>
          </w:tcPr>
          <w:p w14:paraId="532AD1E6" w14:textId="77777777" w:rsidR="00A31158" w:rsidRPr="00EB79F1" w:rsidRDefault="00320EBB"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sidRPr="00EB79F1">
              <w:rPr>
                <w:rFonts w:ascii="Times New Roman" w:eastAsia="Times New Roman" w:hAnsi="Times New Roman" w:cs="Times New Roman"/>
                <w:sz w:val="22"/>
                <w:szCs w:val="22"/>
              </w:rPr>
              <w:t xml:space="preserve">Urząd Transportu Kolejowego </w:t>
            </w:r>
          </w:p>
        </w:tc>
        <w:tc>
          <w:tcPr>
            <w:tcW w:w="2292" w:type="dxa"/>
            <w:gridSpan w:val="8"/>
            <w:shd w:val="clear" w:color="auto" w:fill="auto"/>
          </w:tcPr>
          <w:p w14:paraId="2CC34789" w14:textId="77777777" w:rsidR="00A31158" w:rsidRPr="00EB79F1" w:rsidRDefault="00320EBB"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w:t>
            </w:r>
          </w:p>
        </w:tc>
        <w:tc>
          <w:tcPr>
            <w:tcW w:w="2996" w:type="dxa"/>
            <w:gridSpan w:val="12"/>
            <w:shd w:val="clear" w:color="auto" w:fill="auto"/>
          </w:tcPr>
          <w:p w14:paraId="5A9C2A96" w14:textId="77777777" w:rsidR="00A31158" w:rsidRPr="00EB79F1" w:rsidRDefault="00A31158"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341A91D6" w14:textId="018F3679" w:rsidR="002C155D" w:rsidRPr="00EB79F1" w:rsidRDefault="002C155D"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5C2A63" w:rsidRPr="00EB79F1">
              <w:rPr>
                <w:rFonts w:ascii="Times New Roman" w:eastAsia="Times New Roman" w:hAnsi="Times New Roman" w:cs="Times New Roman"/>
                <w:color w:val="000000"/>
                <w:sz w:val="22"/>
                <w:szCs w:val="22"/>
              </w:rPr>
              <w:t xml:space="preserve">adzór </w:t>
            </w:r>
            <w:r w:rsidR="00F80BDD" w:rsidRPr="00EB79F1">
              <w:rPr>
                <w:rFonts w:ascii="Times New Roman" w:eastAsia="Times New Roman" w:hAnsi="Times New Roman" w:cs="Times New Roman"/>
                <w:color w:val="000000"/>
                <w:sz w:val="22"/>
                <w:szCs w:val="22"/>
              </w:rPr>
              <w:t xml:space="preserve">nad </w:t>
            </w:r>
            <w:r w:rsidR="00F80BDD" w:rsidRPr="00AD19AE">
              <w:rPr>
                <w:rFonts w:ascii="Times New Roman" w:eastAsia="Times New Roman" w:hAnsi="Times New Roman" w:cs="Times New Roman"/>
                <w:color w:val="000000"/>
                <w:sz w:val="22"/>
                <w:szCs w:val="22"/>
              </w:rPr>
              <w:t xml:space="preserve">spełnianiem </w:t>
            </w:r>
            <w:r w:rsidR="00B74C77" w:rsidRPr="00B74C77">
              <w:rPr>
                <w:rFonts w:ascii="Times New Roman" w:eastAsia="Times New Roman" w:hAnsi="Times New Roman" w:cs="Times New Roman"/>
                <w:color w:val="000000"/>
                <w:sz w:val="22"/>
                <w:szCs w:val="22"/>
              </w:rPr>
              <w:t>wymagań</w:t>
            </w:r>
            <w:r w:rsidR="00F80BDD" w:rsidRPr="00AD19AE">
              <w:rPr>
                <w:rFonts w:ascii="Times New Roman" w:eastAsia="Times New Roman" w:hAnsi="Times New Roman" w:cs="Times New Roman"/>
                <w:color w:val="000000"/>
                <w:sz w:val="22"/>
                <w:szCs w:val="22"/>
              </w:rPr>
              <w:t xml:space="preserve"> dostępności </w:t>
            </w:r>
            <w:r w:rsidR="005C2A63" w:rsidRPr="00EB79F1">
              <w:rPr>
                <w:rFonts w:ascii="Times New Roman" w:eastAsia="Times New Roman" w:hAnsi="Times New Roman" w:cs="Times New Roman"/>
                <w:color w:val="000000"/>
                <w:sz w:val="22"/>
                <w:szCs w:val="22"/>
              </w:rPr>
              <w:t xml:space="preserve">dla </w:t>
            </w:r>
            <w:r w:rsidR="002F4C65">
              <w:rPr>
                <w:rFonts w:ascii="Times New Roman" w:eastAsia="Times New Roman" w:hAnsi="Times New Roman" w:cs="Times New Roman"/>
                <w:color w:val="000000"/>
                <w:sz w:val="22"/>
                <w:szCs w:val="22"/>
              </w:rPr>
              <w:t xml:space="preserve">usług towarzyszących usługom </w:t>
            </w:r>
            <w:r w:rsidR="0076248F">
              <w:rPr>
                <w:rFonts w:ascii="Times New Roman" w:eastAsia="Times New Roman" w:hAnsi="Times New Roman" w:cs="Times New Roman"/>
                <w:color w:val="000000"/>
                <w:sz w:val="22"/>
                <w:szCs w:val="22"/>
              </w:rPr>
              <w:t xml:space="preserve">kolejowego </w:t>
            </w:r>
            <w:r w:rsidR="005C2A63" w:rsidRPr="00EB79F1">
              <w:rPr>
                <w:rFonts w:ascii="Times New Roman" w:eastAsia="Times New Roman" w:hAnsi="Times New Roman" w:cs="Times New Roman"/>
                <w:color w:val="000000"/>
                <w:sz w:val="22"/>
                <w:szCs w:val="22"/>
              </w:rPr>
              <w:t xml:space="preserve">transportu </w:t>
            </w:r>
            <w:r w:rsidR="0076248F" w:rsidRPr="00EB79F1">
              <w:rPr>
                <w:rFonts w:ascii="Times New Roman" w:eastAsia="Times New Roman" w:hAnsi="Times New Roman" w:cs="Times New Roman"/>
                <w:color w:val="000000"/>
                <w:sz w:val="22"/>
                <w:szCs w:val="22"/>
              </w:rPr>
              <w:t>pasażerskiego</w:t>
            </w:r>
          </w:p>
        </w:tc>
      </w:tr>
      <w:tr w:rsidR="00231F84" w14:paraId="5D290D7B" w14:textId="77777777" w:rsidTr="00EB79F1">
        <w:trPr>
          <w:trHeight w:val="142"/>
        </w:trPr>
        <w:tc>
          <w:tcPr>
            <w:tcW w:w="2668" w:type="dxa"/>
            <w:gridSpan w:val="3"/>
            <w:shd w:val="clear" w:color="auto" w:fill="auto"/>
          </w:tcPr>
          <w:p w14:paraId="599B852C" w14:textId="77777777" w:rsidR="002F2CD1" w:rsidRPr="00EB79F1" w:rsidRDefault="00320EBB"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sidRPr="00EB79F1">
              <w:rPr>
                <w:rFonts w:ascii="Times New Roman" w:eastAsia="Times New Roman" w:hAnsi="Times New Roman" w:cs="Times New Roman"/>
                <w:sz w:val="22"/>
                <w:szCs w:val="22"/>
              </w:rPr>
              <w:t>Urząd Lotnictwa Cywilnego</w:t>
            </w:r>
          </w:p>
        </w:tc>
        <w:tc>
          <w:tcPr>
            <w:tcW w:w="2292" w:type="dxa"/>
            <w:gridSpan w:val="8"/>
            <w:shd w:val="clear" w:color="auto" w:fill="auto"/>
          </w:tcPr>
          <w:p w14:paraId="3E50C72B" w14:textId="77777777" w:rsidR="002F2CD1" w:rsidRPr="00EB79F1" w:rsidRDefault="00320EBB"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w:t>
            </w:r>
          </w:p>
        </w:tc>
        <w:tc>
          <w:tcPr>
            <w:tcW w:w="2996" w:type="dxa"/>
            <w:gridSpan w:val="12"/>
            <w:shd w:val="clear" w:color="auto" w:fill="auto"/>
          </w:tcPr>
          <w:p w14:paraId="3BF5A2D3" w14:textId="77777777" w:rsidR="002F2CD1" w:rsidRPr="00EB79F1" w:rsidRDefault="002F2CD1"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59744933" w14:textId="6E296EDC" w:rsidR="002C155D" w:rsidRPr="00EB79F1" w:rsidRDefault="002C155D"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5C2A63" w:rsidRPr="00EB79F1">
              <w:rPr>
                <w:rFonts w:ascii="Times New Roman" w:eastAsia="Times New Roman" w:hAnsi="Times New Roman" w:cs="Times New Roman"/>
                <w:color w:val="000000"/>
                <w:sz w:val="22"/>
                <w:szCs w:val="22"/>
              </w:rPr>
              <w:t xml:space="preserve">adzór </w:t>
            </w:r>
            <w:r w:rsidR="00F80BDD" w:rsidRPr="00EB79F1">
              <w:rPr>
                <w:rFonts w:ascii="Times New Roman" w:eastAsia="Times New Roman" w:hAnsi="Times New Roman" w:cs="Times New Roman"/>
                <w:color w:val="000000"/>
                <w:sz w:val="22"/>
                <w:szCs w:val="22"/>
              </w:rPr>
              <w:t xml:space="preserve">nad </w:t>
            </w:r>
            <w:r w:rsidR="00F80BDD" w:rsidRPr="00AD19AE">
              <w:rPr>
                <w:rFonts w:ascii="Times New Roman" w:eastAsia="Times New Roman" w:hAnsi="Times New Roman" w:cs="Times New Roman"/>
                <w:color w:val="000000"/>
                <w:sz w:val="22"/>
                <w:szCs w:val="22"/>
              </w:rPr>
              <w:t xml:space="preserve">spełnianiem </w:t>
            </w:r>
            <w:r w:rsidR="00B74C77" w:rsidRPr="00B74C77">
              <w:rPr>
                <w:rFonts w:ascii="Times New Roman" w:eastAsia="Times New Roman" w:hAnsi="Times New Roman" w:cs="Times New Roman"/>
                <w:color w:val="000000"/>
                <w:sz w:val="22"/>
                <w:szCs w:val="22"/>
              </w:rPr>
              <w:t>wymagań</w:t>
            </w:r>
            <w:r w:rsidR="00F80BDD" w:rsidRPr="00AD19AE">
              <w:rPr>
                <w:rFonts w:ascii="Times New Roman" w:eastAsia="Times New Roman" w:hAnsi="Times New Roman" w:cs="Times New Roman"/>
                <w:color w:val="000000"/>
                <w:sz w:val="22"/>
                <w:szCs w:val="22"/>
              </w:rPr>
              <w:t xml:space="preserve"> dostępności </w:t>
            </w:r>
            <w:r w:rsidR="005C2A63" w:rsidRPr="00EB79F1">
              <w:rPr>
                <w:rFonts w:ascii="Times New Roman" w:eastAsia="Times New Roman" w:hAnsi="Times New Roman" w:cs="Times New Roman"/>
                <w:color w:val="000000"/>
                <w:sz w:val="22"/>
                <w:szCs w:val="22"/>
              </w:rPr>
              <w:t>dla</w:t>
            </w:r>
            <w:r w:rsidR="002F4C65">
              <w:rPr>
                <w:rFonts w:ascii="Times New Roman" w:eastAsia="Times New Roman" w:hAnsi="Times New Roman" w:cs="Times New Roman"/>
                <w:color w:val="000000"/>
                <w:sz w:val="22"/>
                <w:szCs w:val="22"/>
              </w:rPr>
              <w:t xml:space="preserve"> usług towarzyszących usługom</w:t>
            </w:r>
            <w:r w:rsidR="00241868">
              <w:rPr>
                <w:rFonts w:ascii="Times New Roman" w:eastAsia="Times New Roman" w:hAnsi="Times New Roman" w:cs="Times New Roman"/>
                <w:color w:val="000000"/>
                <w:sz w:val="22"/>
                <w:szCs w:val="22"/>
              </w:rPr>
              <w:t xml:space="preserve"> </w:t>
            </w:r>
            <w:r w:rsidR="002F4C65">
              <w:rPr>
                <w:rFonts w:ascii="Times New Roman" w:eastAsia="Times New Roman" w:hAnsi="Times New Roman" w:cs="Times New Roman"/>
                <w:color w:val="000000"/>
                <w:sz w:val="22"/>
                <w:szCs w:val="22"/>
              </w:rPr>
              <w:t xml:space="preserve"> </w:t>
            </w:r>
            <w:r w:rsidR="005C2A63" w:rsidRPr="00EB79F1">
              <w:rPr>
                <w:rFonts w:ascii="Times New Roman" w:eastAsia="Times New Roman" w:hAnsi="Times New Roman" w:cs="Times New Roman"/>
                <w:color w:val="000000"/>
                <w:sz w:val="22"/>
                <w:szCs w:val="22"/>
              </w:rPr>
              <w:t xml:space="preserve"> </w:t>
            </w:r>
            <w:r w:rsidR="00C9129C">
              <w:rPr>
                <w:rFonts w:ascii="Times New Roman" w:eastAsia="Times New Roman" w:hAnsi="Times New Roman" w:cs="Times New Roman"/>
                <w:color w:val="000000"/>
                <w:sz w:val="22"/>
                <w:szCs w:val="22"/>
              </w:rPr>
              <w:t xml:space="preserve">lotniczego </w:t>
            </w:r>
            <w:r w:rsidR="005C2A63" w:rsidRPr="00EB79F1">
              <w:rPr>
                <w:rFonts w:ascii="Times New Roman" w:eastAsia="Times New Roman" w:hAnsi="Times New Roman" w:cs="Times New Roman"/>
                <w:color w:val="000000"/>
                <w:sz w:val="22"/>
                <w:szCs w:val="22"/>
              </w:rPr>
              <w:t xml:space="preserve">transportu </w:t>
            </w:r>
            <w:r w:rsidR="00C9129C" w:rsidRPr="00EB79F1">
              <w:rPr>
                <w:rFonts w:ascii="Times New Roman" w:eastAsia="Times New Roman" w:hAnsi="Times New Roman" w:cs="Times New Roman"/>
                <w:color w:val="000000"/>
                <w:sz w:val="22"/>
                <w:szCs w:val="22"/>
              </w:rPr>
              <w:t>pasażerskiego</w:t>
            </w:r>
          </w:p>
        </w:tc>
      </w:tr>
      <w:tr w:rsidR="00231F84" w14:paraId="109E6367" w14:textId="77777777" w:rsidTr="00EB79F1">
        <w:trPr>
          <w:trHeight w:val="142"/>
        </w:trPr>
        <w:tc>
          <w:tcPr>
            <w:tcW w:w="2668" w:type="dxa"/>
            <w:gridSpan w:val="3"/>
            <w:shd w:val="clear" w:color="auto" w:fill="auto"/>
          </w:tcPr>
          <w:p w14:paraId="0AF70D5D" w14:textId="7B4C0102" w:rsidR="002F2CD1" w:rsidRPr="00EB79F1" w:rsidRDefault="002C155D"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Pr>
                <w:rFonts w:ascii="Times New Roman" w:eastAsia="Times New Roman" w:hAnsi="Times New Roman" w:cs="Times New Roman"/>
                <w:sz w:val="22"/>
                <w:szCs w:val="22"/>
              </w:rPr>
              <w:t>U</w:t>
            </w:r>
            <w:r w:rsidR="00E953CE" w:rsidRPr="00EB79F1">
              <w:rPr>
                <w:rFonts w:ascii="Times New Roman" w:eastAsia="Times New Roman" w:hAnsi="Times New Roman" w:cs="Times New Roman"/>
                <w:sz w:val="22"/>
                <w:szCs w:val="22"/>
              </w:rPr>
              <w:t>rzędy morskie</w:t>
            </w:r>
            <w:r w:rsidR="0049793B">
              <w:rPr>
                <w:rFonts w:ascii="Times New Roman" w:eastAsia="Times New Roman" w:hAnsi="Times New Roman" w:cs="Times New Roman"/>
                <w:sz w:val="22"/>
                <w:szCs w:val="22"/>
              </w:rPr>
              <w:t xml:space="preserve"> </w:t>
            </w:r>
            <w:proofErr w:type="spellStart"/>
            <w:r w:rsidR="007774B6">
              <w:rPr>
                <w:rFonts w:ascii="Times New Roman" w:hAnsi="Times New Roman" w:cs="Times New Roman"/>
                <w:sz w:val="22"/>
                <w:szCs w:val="22"/>
              </w:rPr>
              <w:t>i</w:t>
            </w:r>
            <w:r w:rsidR="0049793B" w:rsidRPr="0049793B">
              <w:rPr>
                <w:rFonts w:ascii="Times New Roman" w:hAnsi="Times New Roman" w:cs="Times New Roman"/>
                <w:sz w:val="22"/>
                <w:szCs w:val="22"/>
              </w:rPr>
              <w:t>wskazan</w:t>
            </w:r>
            <w:r w:rsidR="006E6155">
              <w:rPr>
                <w:rFonts w:ascii="Times New Roman" w:hAnsi="Times New Roman" w:cs="Times New Roman"/>
                <w:sz w:val="22"/>
                <w:szCs w:val="22"/>
              </w:rPr>
              <w:t>e</w:t>
            </w:r>
            <w:proofErr w:type="spellEnd"/>
            <w:r w:rsidR="0049793B" w:rsidRPr="0049793B">
              <w:rPr>
                <w:rFonts w:ascii="Times New Roman" w:hAnsi="Times New Roman" w:cs="Times New Roman"/>
                <w:sz w:val="22"/>
                <w:szCs w:val="22"/>
              </w:rPr>
              <w:t xml:space="preserve"> przez ministra właściwego do spraw żeglugi śródlądowej jednost</w:t>
            </w:r>
            <w:r w:rsidR="006E6155">
              <w:rPr>
                <w:rFonts w:ascii="Times New Roman" w:hAnsi="Times New Roman" w:cs="Times New Roman"/>
                <w:sz w:val="22"/>
                <w:szCs w:val="22"/>
              </w:rPr>
              <w:t>ki</w:t>
            </w:r>
            <w:r w:rsidR="0049793B" w:rsidRPr="0049793B">
              <w:rPr>
                <w:rFonts w:ascii="Times New Roman" w:hAnsi="Times New Roman" w:cs="Times New Roman"/>
                <w:sz w:val="22"/>
                <w:szCs w:val="22"/>
              </w:rPr>
              <w:t xml:space="preserve"> organizacyjn</w:t>
            </w:r>
            <w:r w:rsidR="006E6155">
              <w:rPr>
                <w:rFonts w:ascii="Times New Roman" w:hAnsi="Times New Roman" w:cs="Times New Roman"/>
                <w:sz w:val="22"/>
                <w:szCs w:val="22"/>
              </w:rPr>
              <w:t>e</w:t>
            </w:r>
            <w:r w:rsidR="0049793B" w:rsidRPr="0049793B">
              <w:rPr>
                <w:rFonts w:ascii="Times New Roman" w:hAnsi="Times New Roman" w:cs="Times New Roman"/>
                <w:sz w:val="22"/>
                <w:szCs w:val="22"/>
              </w:rPr>
              <w:t xml:space="preserve"> podległ</w:t>
            </w:r>
            <w:r w:rsidR="006E6155">
              <w:rPr>
                <w:rFonts w:ascii="Times New Roman" w:hAnsi="Times New Roman" w:cs="Times New Roman"/>
                <w:sz w:val="22"/>
                <w:szCs w:val="22"/>
              </w:rPr>
              <w:t>e</w:t>
            </w:r>
            <w:r w:rsidR="0049793B" w:rsidRPr="0049793B">
              <w:rPr>
                <w:rFonts w:ascii="Times New Roman" w:hAnsi="Times New Roman" w:cs="Times New Roman"/>
                <w:sz w:val="22"/>
                <w:szCs w:val="22"/>
              </w:rPr>
              <w:t xml:space="preserve"> temu ministrowi lub przez niego nadzorowan</w:t>
            </w:r>
            <w:r w:rsidR="006E6155">
              <w:rPr>
                <w:rFonts w:ascii="Times New Roman" w:hAnsi="Times New Roman" w:cs="Times New Roman"/>
                <w:sz w:val="22"/>
                <w:szCs w:val="22"/>
              </w:rPr>
              <w:t>e</w:t>
            </w:r>
            <w:r w:rsidR="00427F1D">
              <w:rPr>
                <w:rFonts w:ascii="Times New Roman" w:eastAsia="Times New Roman" w:hAnsi="Times New Roman" w:cs="Times New Roman"/>
                <w:sz w:val="22"/>
                <w:szCs w:val="22"/>
              </w:rPr>
              <w:t xml:space="preserve"> </w:t>
            </w:r>
          </w:p>
        </w:tc>
        <w:tc>
          <w:tcPr>
            <w:tcW w:w="2292" w:type="dxa"/>
            <w:gridSpan w:val="8"/>
            <w:shd w:val="clear" w:color="auto" w:fill="auto"/>
          </w:tcPr>
          <w:p w14:paraId="42C86EEB" w14:textId="20FE2CA3" w:rsidR="002F2CD1" w:rsidRPr="00EB79F1" w:rsidRDefault="00F140CB" w:rsidP="00DD341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związku z</w:t>
            </w:r>
            <w:r w:rsidR="00DD341B">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brzmieniem art. 38 ust.</w:t>
            </w:r>
            <w:r w:rsidR="00F811EF">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 xml:space="preserve">3 pkt 7 </w:t>
            </w:r>
            <w:r w:rsidR="00D702E3">
              <w:rPr>
                <w:rFonts w:ascii="Times New Roman" w:eastAsia="Times New Roman" w:hAnsi="Times New Roman" w:cs="Times New Roman"/>
                <w:color w:val="000000"/>
                <w:sz w:val="22"/>
                <w:szCs w:val="22"/>
              </w:rPr>
              <w:t xml:space="preserve">projektu ustawy </w:t>
            </w:r>
            <w:r>
              <w:rPr>
                <w:rFonts w:ascii="Times New Roman" w:eastAsia="Times New Roman" w:hAnsi="Times New Roman" w:cs="Times New Roman"/>
                <w:color w:val="000000"/>
                <w:sz w:val="22"/>
                <w:szCs w:val="22"/>
              </w:rPr>
              <w:t>o</w:t>
            </w:r>
            <w:r w:rsidR="006E6155">
              <w:rPr>
                <w:rFonts w:ascii="Times New Roman" w:eastAsia="Times New Roman" w:hAnsi="Times New Roman" w:cs="Times New Roman"/>
                <w:color w:val="000000"/>
                <w:sz w:val="22"/>
                <w:szCs w:val="22"/>
              </w:rPr>
              <w:t>becnie b</w:t>
            </w:r>
            <w:r w:rsidR="00D654ED">
              <w:rPr>
                <w:rFonts w:ascii="Times New Roman" w:eastAsia="Times New Roman" w:hAnsi="Times New Roman" w:cs="Times New Roman"/>
                <w:color w:val="000000"/>
                <w:sz w:val="22"/>
                <w:szCs w:val="22"/>
              </w:rPr>
              <w:t xml:space="preserve">rak </w:t>
            </w:r>
            <w:r w:rsidR="00D702E3">
              <w:rPr>
                <w:rFonts w:ascii="Times New Roman" w:eastAsia="Times New Roman" w:hAnsi="Times New Roman" w:cs="Times New Roman"/>
                <w:color w:val="000000"/>
                <w:sz w:val="22"/>
                <w:szCs w:val="22"/>
              </w:rPr>
              <w:t xml:space="preserve">jest </w:t>
            </w:r>
            <w:r w:rsidR="00D654ED">
              <w:rPr>
                <w:rFonts w:ascii="Times New Roman" w:eastAsia="Times New Roman" w:hAnsi="Times New Roman" w:cs="Times New Roman"/>
                <w:color w:val="000000"/>
                <w:sz w:val="22"/>
                <w:szCs w:val="22"/>
              </w:rPr>
              <w:t>możliwości wskazania liczby podmiotów</w:t>
            </w:r>
            <w:r>
              <w:rPr>
                <w:rFonts w:ascii="Times New Roman" w:eastAsia="Times New Roman" w:hAnsi="Times New Roman" w:cs="Times New Roman"/>
                <w:color w:val="000000"/>
                <w:sz w:val="22"/>
                <w:szCs w:val="22"/>
              </w:rPr>
              <w:t>.</w:t>
            </w:r>
          </w:p>
        </w:tc>
        <w:tc>
          <w:tcPr>
            <w:tcW w:w="2996" w:type="dxa"/>
            <w:gridSpan w:val="12"/>
            <w:shd w:val="clear" w:color="auto" w:fill="auto"/>
          </w:tcPr>
          <w:p w14:paraId="1E5407D0" w14:textId="77777777" w:rsidR="002F2CD1" w:rsidRPr="00EB79F1" w:rsidRDefault="002F2CD1"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18BC7342" w14:textId="00C64077" w:rsidR="002C155D" w:rsidRPr="00EB79F1" w:rsidRDefault="002C155D" w:rsidP="00DD341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5C2A63" w:rsidRPr="00EB79F1">
              <w:rPr>
                <w:rFonts w:ascii="Times New Roman" w:eastAsia="Times New Roman" w:hAnsi="Times New Roman" w:cs="Times New Roman"/>
                <w:color w:val="000000"/>
                <w:sz w:val="22"/>
                <w:szCs w:val="22"/>
              </w:rPr>
              <w:t xml:space="preserve">adzór </w:t>
            </w:r>
            <w:r w:rsidR="00572740" w:rsidRPr="00EB79F1">
              <w:rPr>
                <w:rFonts w:ascii="Times New Roman" w:eastAsia="Times New Roman" w:hAnsi="Times New Roman" w:cs="Times New Roman"/>
                <w:color w:val="000000"/>
                <w:sz w:val="22"/>
                <w:szCs w:val="22"/>
              </w:rPr>
              <w:t xml:space="preserve">nad </w:t>
            </w:r>
            <w:r w:rsidR="00572740" w:rsidRPr="00AD19AE">
              <w:rPr>
                <w:rFonts w:ascii="Times New Roman" w:eastAsia="Times New Roman" w:hAnsi="Times New Roman" w:cs="Times New Roman"/>
                <w:color w:val="000000"/>
                <w:sz w:val="22"/>
                <w:szCs w:val="22"/>
              </w:rPr>
              <w:t xml:space="preserve">spełnianiem </w:t>
            </w:r>
            <w:r w:rsidR="00B74C77" w:rsidRPr="00B74C77">
              <w:rPr>
                <w:rFonts w:ascii="Times New Roman" w:eastAsia="Times New Roman" w:hAnsi="Times New Roman" w:cs="Times New Roman"/>
                <w:color w:val="000000"/>
                <w:sz w:val="22"/>
                <w:szCs w:val="22"/>
              </w:rPr>
              <w:t>wymagań</w:t>
            </w:r>
            <w:r w:rsidR="00572740" w:rsidRPr="00AD19AE">
              <w:rPr>
                <w:rFonts w:ascii="Times New Roman" w:eastAsia="Times New Roman" w:hAnsi="Times New Roman" w:cs="Times New Roman"/>
                <w:color w:val="000000"/>
                <w:sz w:val="22"/>
                <w:szCs w:val="22"/>
              </w:rPr>
              <w:t xml:space="preserve"> dostępności</w:t>
            </w:r>
            <w:r w:rsidR="00860C11">
              <w:rPr>
                <w:rFonts w:ascii="Times New Roman" w:eastAsia="Times New Roman" w:hAnsi="Times New Roman" w:cs="Times New Roman"/>
                <w:color w:val="000000"/>
                <w:sz w:val="22"/>
                <w:szCs w:val="22"/>
              </w:rPr>
              <w:t xml:space="preserve"> </w:t>
            </w:r>
            <w:r w:rsidR="005C2A63" w:rsidRPr="00EB79F1">
              <w:rPr>
                <w:rFonts w:ascii="Times New Roman" w:eastAsia="Times New Roman" w:hAnsi="Times New Roman" w:cs="Times New Roman"/>
                <w:color w:val="000000"/>
                <w:sz w:val="22"/>
                <w:szCs w:val="22"/>
              </w:rPr>
              <w:t>dla</w:t>
            </w:r>
            <w:r w:rsidR="002F4C65">
              <w:rPr>
                <w:rFonts w:ascii="Times New Roman" w:eastAsia="Times New Roman" w:hAnsi="Times New Roman" w:cs="Times New Roman"/>
                <w:color w:val="000000"/>
                <w:sz w:val="22"/>
                <w:szCs w:val="22"/>
              </w:rPr>
              <w:t xml:space="preserve"> usług towarzyszących usługom </w:t>
            </w:r>
            <w:r w:rsidR="00C9129C">
              <w:rPr>
                <w:rFonts w:ascii="Times New Roman" w:eastAsia="Times New Roman" w:hAnsi="Times New Roman" w:cs="Times New Roman"/>
                <w:color w:val="000000"/>
                <w:sz w:val="22"/>
                <w:szCs w:val="22"/>
              </w:rPr>
              <w:t>wodnego</w:t>
            </w:r>
            <w:r w:rsidR="008C71E2">
              <w:rPr>
                <w:rFonts w:ascii="Times New Roman" w:eastAsia="Times New Roman" w:hAnsi="Times New Roman" w:cs="Times New Roman"/>
                <w:color w:val="000000"/>
                <w:sz w:val="22"/>
                <w:szCs w:val="22"/>
              </w:rPr>
              <w:t xml:space="preserve"> </w:t>
            </w:r>
            <w:r w:rsidR="005C2A63" w:rsidRPr="00EB79F1">
              <w:rPr>
                <w:rFonts w:ascii="Times New Roman" w:eastAsia="Times New Roman" w:hAnsi="Times New Roman" w:cs="Times New Roman"/>
                <w:color w:val="000000"/>
                <w:sz w:val="22"/>
                <w:szCs w:val="22"/>
              </w:rPr>
              <w:t>transportu</w:t>
            </w:r>
            <w:r w:rsidR="00C9129C">
              <w:rPr>
                <w:rFonts w:ascii="Times New Roman" w:eastAsia="Times New Roman" w:hAnsi="Times New Roman" w:cs="Times New Roman"/>
                <w:color w:val="000000"/>
                <w:sz w:val="22"/>
                <w:szCs w:val="22"/>
              </w:rPr>
              <w:t xml:space="preserve"> </w:t>
            </w:r>
            <w:r w:rsidR="00C9129C" w:rsidRPr="00EB79F1">
              <w:rPr>
                <w:rFonts w:ascii="Times New Roman" w:eastAsia="Times New Roman" w:hAnsi="Times New Roman" w:cs="Times New Roman"/>
                <w:color w:val="000000"/>
                <w:sz w:val="22"/>
                <w:szCs w:val="22"/>
              </w:rPr>
              <w:t>pasażerskiego</w:t>
            </w:r>
          </w:p>
        </w:tc>
      </w:tr>
      <w:tr w:rsidR="00231F84" w14:paraId="1232DF8D" w14:textId="77777777" w:rsidTr="00EB79F1">
        <w:trPr>
          <w:trHeight w:val="142"/>
        </w:trPr>
        <w:tc>
          <w:tcPr>
            <w:tcW w:w="2668" w:type="dxa"/>
            <w:gridSpan w:val="3"/>
            <w:shd w:val="clear" w:color="auto" w:fill="auto"/>
          </w:tcPr>
          <w:p w14:paraId="27581147" w14:textId="77777777" w:rsidR="002F2CD1" w:rsidRDefault="002C155D"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7F6414" w:rsidRPr="00EB79F1">
              <w:rPr>
                <w:rFonts w:ascii="Times New Roman" w:eastAsia="Times New Roman" w:hAnsi="Times New Roman" w:cs="Times New Roman"/>
                <w:sz w:val="22"/>
                <w:szCs w:val="22"/>
              </w:rPr>
              <w:t>ojewódzkie inspektoraty transportu drogowego</w:t>
            </w:r>
          </w:p>
          <w:p w14:paraId="789BA6BC" w14:textId="77777777" w:rsidR="002C155D" w:rsidRPr="00EB79F1" w:rsidRDefault="002C155D" w:rsidP="00EB79F1">
            <w:pPr>
              <w:pBdr>
                <w:top w:val="nil"/>
                <w:left w:val="nil"/>
                <w:bottom w:val="nil"/>
                <w:right w:val="nil"/>
                <w:between w:val="nil"/>
              </w:pBdr>
              <w:tabs>
                <w:tab w:val="left" w:pos="1560"/>
              </w:tabs>
              <w:rPr>
                <w:rFonts w:ascii="Times New Roman" w:eastAsia="Times New Roman" w:hAnsi="Times New Roman" w:cs="Times New Roman"/>
                <w:sz w:val="22"/>
                <w:szCs w:val="22"/>
              </w:rPr>
            </w:pPr>
          </w:p>
        </w:tc>
        <w:tc>
          <w:tcPr>
            <w:tcW w:w="2292" w:type="dxa"/>
            <w:gridSpan w:val="8"/>
            <w:shd w:val="clear" w:color="auto" w:fill="auto"/>
          </w:tcPr>
          <w:p w14:paraId="06586141" w14:textId="77777777" w:rsidR="002F2CD1" w:rsidRPr="00EB79F1" w:rsidRDefault="007F6414"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16</w:t>
            </w:r>
          </w:p>
        </w:tc>
        <w:tc>
          <w:tcPr>
            <w:tcW w:w="2996" w:type="dxa"/>
            <w:gridSpan w:val="12"/>
            <w:shd w:val="clear" w:color="auto" w:fill="auto"/>
          </w:tcPr>
          <w:p w14:paraId="07979DE9" w14:textId="77777777" w:rsidR="002F2CD1" w:rsidRPr="00EB79F1" w:rsidRDefault="002F2CD1"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5E9195F6" w14:textId="158C9B2A" w:rsidR="006C172B" w:rsidRPr="00EB79F1" w:rsidRDefault="002C155D" w:rsidP="0026765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5C2A63" w:rsidRPr="00EB79F1">
              <w:rPr>
                <w:rFonts w:ascii="Times New Roman" w:eastAsia="Times New Roman" w:hAnsi="Times New Roman" w:cs="Times New Roman"/>
                <w:color w:val="000000"/>
                <w:sz w:val="22"/>
                <w:szCs w:val="22"/>
              </w:rPr>
              <w:t xml:space="preserve">adzór nad </w:t>
            </w:r>
            <w:r w:rsidR="00572740" w:rsidRPr="00AD19AE">
              <w:rPr>
                <w:rFonts w:ascii="Times New Roman" w:eastAsia="Times New Roman" w:hAnsi="Times New Roman" w:cs="Times New Roman"/>
                <w:color w:val="000000"/>
                <w:sz w:val="22"/>
                <w:szCs w:val="22"/>
              </w:rPr>
              <w:t xml:space="preserve">spełnianiem </w:t>
            </w:r>
            <w:r w:rsidR="00B74C77" w:rsidRPr="00B74C77">
              <w:rPr>
                <w:rFonts w:ascii="Times New Roman" w:eastAsia="Times New Roman" w:hAnsi="Times New Roman" w:cs="Times New Roman"/>
                <w:color w:val="000000"/>
                <w:sz w:val="22"/>
                <w:szCs w:val="22"/>
              </w:rPr>
              <w:t>wymagań</w:t>
            </w:r>
            <w:r w:rsidR="00572740" w:rsidRPr="00AD19AE">
              <w:rPr>
                <w:rFonts w:ascii="Times New Roman" w:eastAsia="Times New Roman" w:hAnsi="Times New Roman" w:cs="Times New Roman"/>
                <w:color w:val="000000"/>
                <w:sz w:val="22"/>
                <w:szCs w:val="22"/>
              </w:rPr>
              <w:t xml:space="preserve"> dostępności </w:t>
            </w:r>
            <w:r w:rsidR="005C2A63" w:rsidRPr="00EB79F1">
              <w:rPr>
                <w:rFonts w:ascii="Times New Roman" w:eastAsia="Times New Roman" w:hAnsi="Times New Roman" w:cs="Times New Roman"/>
                <w:color w:val="000000"/>
                <w:sz w:val="22"/>
                <w:szCs w:val="22"/>
              </w:rPr>
              <w:t xml:space="preserve">dla </w:t>
            </w:r>
            <w:r w:rsidR="002F4C65">
              <w:rPr>
                <w:rFonts w:ascii="Times New Roman" w:eastAsia="Times New Roman" w:hAnsi="Times New Roman" w:cs="Times New Roman"/>
                <w:color w:val="000000"/>
                <w:sz w:val="22"/>
                <w:szCs w:val="22"/>
              </w:rPr>
              <w:t>usług towarzyszących usługom</w:t>
            </w:r>
            <w:r w:rsidR="00395A96">
              <w:rPr>
                <w:rFonts w:ascii="Times New Roman" w:eastAsia="Times New Roman" w:hAnsi="Times New Roman" w:cs="Times New Roman"/>
                <w:color w:val="000000"/>
                <w:sz w:val="22"/>
                <w:szCs w:val="22"/>
              </w:rPr>
              <w:t xml:space="preserve"> </w:t>
            </w:r>
            <w:r w:rsidR="002F4C65">
              <w:rPr>
                <w:rFonts w:ascii="Times New Roman" w:eastAsia="Times New Roman" w:hAnsi="Times New Roman" w:cs="Times New Roman"/>
                <w:color w:val="000000"/>
                <w:sz w:val="22"/>
                <w:szCs w:val="22"/>
              </w:rPr>
              <w:t>autobusowego i autokarowego</w:t>
            </w:r>
            <w:r w:rsidR="0049793B" w:rsidRPr="00EB79F1">
              <w:rPr>
                <w:rFonts w:ascii="Times New Roman" w:eastAsia="Times New Roman" w:hAnsi="Times New Roman" w:cs="Times New Roman"/>
                <w:color w:val="000000"/>
                <w:sz w:val="22"/>
                <w:szCs w:val="22"/>
              </w:rPr>
              <w:t xml:space="preserve"> transportu pasażerskiego</w:t>
            </w:r>
          </w:p>
        </w:tc>
      </w:tr>
      <w:tr w:rsidR="0067567A" w14:paraId="6FEFC48E" w14:textId="77777777" w:rsidTr="00EB79F1">
        <w:trPr>
          <w:trHeight w:val="142"/>
        </w:trPr>
        <w:tc>
          <w:tcPr>
            <w:tcW w:w="2668" w:type="dxa"/>
            <w:gridSpan w:val="3"/>
            <w:shd w:val="clear" w:color="auto" w:fill="auto"/>
          </w:tcPr>
          <w:p w14:paraId="44B6EE40" w14:textId="77777777" w:rsidR="0067567A" w:rsidRDefault="00EB2B9D" w:rsidP="00EB79F1">
            <w:pPr>
              <w:pBdr>
                <w:top w:val="nil"/>
                <w:left w:val="nil"/>
                <w:bottom w:val="nil"/>
                <w:right w:val="nil"/>
                <w:between w:val="nil"/>
              </w:pBdr>
              <w:tabs>
                <w:tab w:val="left" w:pos="1560"/>
              </w:tabs>
              <w:rPr>
                <w:rFonts w:ascii="Times New Roman" w:eastAsia="Times New Roman" w:hAnsi="Times New Roman" w:cs="Times New Roman"/>
                <w:sz w:val="22"/>
                <w:szCs w:val="22"/>
              </w:rPr>
            </w:pPr>
            <w:r>
              <w:rPr>
                <w:rFonts w:ascii="Times New Roman" w:eastAsia="Times New Roman" w:hAnsi="Times New Roman" w:cs="Times New Roman"/>
                <w:sz w:val="22"/>
                <w:szCs w:val="22"/>
              </w:rPr>
              <w:t>Urzędy celno-skarbowe</w:t>
            </w:r>
          </w:p>
          <w:p w14:paraId="38DEF8C6" w14:textId="77777777" w:rsidR="00EB2B9D" w:rsidRDefault="00EB2B9D" w:rsidP="00EB79F1">
            <w:pPr>
              <w:pBdr>
                <w:top w:val="nil"/>
                <w:left w:val="nil"/>
                <w:bottom w:val="nil"/>
                <w:right w:val="nil"/>
                <w:between w:val="nil"/>
              </w:pBdr>
              <w:tabs>
                <w:tab w:val="left" w:pos="1560"/>
              </w:tabs>
              <w:rPr>
                <w:rFonts w:ascii="Times New Roman" w:eastAsia="Times New Roman" w:hAnsi="Times New Roman" w:cs="Times New Roman"/>
                <w:sz w:val="22"/>
                <w:szCs w:val="22"/>
              </w:rPr>
            </w:pPr>
          </w:p>
        </w:tc>
        <w:tc>
          <w:tcPr>
            <w:tcW w:w="2292" w:type="dxa"/>
            <w:gridSpan w:val="8"/>
            <w:shd w:val="clear" w:color="auto" w:fill="auto"/>
          </w:tcPr>
          <w:p w14:paraId="5CFA9081" w14:textId="77777777" w:rsidR="0067567A" w:rsidRPr="00EB79F1" w:rsidRDefault="00EB2B9D"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2996" w:type="dxa"/>
            <w:gridSpan w:val="12"/>
            <w:shd w:val="clear" w:color="auto" w:fill="auto"/>
          </w:tcPr>
          <w:p w14:paraId="13869722" w14:textId="77777777" w:rsidR="0067567A" w:rsidRPr="00EB79F1" w:rsidRDefault="0067567A"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2D60A6E7" w14:textId="14861EDF" w:rsidR="0067567A" w:rsidRDefault="00F51E79" w:rsidP="00EB79F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w:t>
            </w:r>
            <w:r w:rsidR="008C4379">
              <w:rPr>
                <w:rFonts w:ascii="Times New Roman" w:eastAsia="Times New Roman" w:hAnsi="Times New Roman" w:cs="Times New Roman"/>
                <w:color w:val="000000"/>
                <w:sz w:val="22"/>
                <w:szCs w:val="22"/>
              </w:rPr>
              <w:t>dział w systemie nadzoru rynku nad produktami</w:t>
            </w:r>
          </w:p>
        </w:tc>
      </w:tr>
      <w:tr w:rsidR="00231F84" w14:paraId="3FA0F382" w14:textId="77777777" w:rsidTr="00EB79F1">
        <w:trPr>
          <w:trHeight w:val="142"/>
        </w:trPr>
        <w:tc>
          <w:tcPr>
            <w:tcW w:w="2668" w:type="dxa"/>
            <w:gridSpan w:val="3"/>
            <w:shd w:val="clear" w:color="auto" w:fill="auto"/>
          </w:tcPr>
          <w:p w14:paraId="5C547737" w14:textId="77777777" w:rsidR="00E953CE" w:rsidRPr="00EB79F1" w:rsidRDefault="00171BE9" w:rsidP="00EB79F1">
            <w:pPr>
              <w:pBdr>
                <w:top w:val="nil"/>
                <w:left w:val="nil"/>
                <w:bottom w:val="nil"/>
                <w:right w:val="nil"/>
                <w:between w:val="nil"/>
              </w:pBdr>
              <w:tabs>
                <w:tab w:val="left" w:pos="1560"/>
              </w:tabs>
              <w:rPr>
                <w:rFonts w:ascii="Times New Roman" w:eastAsia="Times New Roman" w:hAnsi="Times New Roman" w:cs="Times New Roman"/>
                <w:sz w:val="22"/>
                <w:szCs w:val="22"/>
              </w:rPr>
            </w:pPr>
            <w:proofErr w:type="spellStart"/>
            <w:r w:rsidRPr="00EB79F1">
              <w:rPr>
                <w:rFonts w:ascii="Times New Roman" w:eastAsia="Times New Roman" w:hAnsi="Times New Roman" w:cs="Times New Roman"/>
                <w:sz w:val="22"/>
                <w:szCs w:val="22"/>
              </w:rPr>
              <w:t>M</w:t>
            </w:r>
            <w:r w:rsidR="002F4C65">
              <w:rPr>
                <w:rFonts w:ascii="Times New Roman" w:eastAsia="Times New Roman" w:hAnsi="Times New Roman" w:cs="Times New Roman"/>
                <w:sz w:val="22"/>
                <w:szCs w:val="22"/>
              </w:rPr>
              <w:t>FiPR</w:t>
            </w:r>
            <w:proofErr w:type="spellEnd"/>
          </w:p>
        </w:tc>
        <w:tc>
          <w:tcPr>
            <w:tcW w:w="2292" w:type="dxa"/>
            <w:gridSpan w:val="8"/>
            <w:shd w:val="clear" w:color="auto" w:fill="auto"/>
          </w:tcPr>
          <w:p w14:paraId="2F6E6E18" w14:textId="77777777" w:rsidR="00E953CE" w:rsidRPr="00EB79F1" w:rsidRDefault="00171BE9" w:rsidP="00EB79F1">
            <w:pPr>
              <w:pBdr>
                <w:top w:val="nil"/>
                <w:left w:val="nil"/>
                <w:bottom w:val="nil"/>
                <w:right w:val="nil"/>
                <w:between w:val="nil"/>
              </w:pBdr>
              <w:rPr>
                <w:rFonts w:ascii="Times New Roman" w:eastAsia="Times New Roman" w:hAnsi="Times New Roman" w:cs="Times New Roman"/>
                <w:color w:val="000000"/>
                <w:sz w:val="22"/>
                <w:szCs w:val="22"/>
              </w:rPr>
            </w:pPr>
            <w:r w:rsidRPr="00EB79F1">
              <w:rPr>
                <w:rFonts w:ascii="Times New Roman" w:eastAsia="Times New Roman" w:hAnsi="Times New Roman" w:cs="Times New Roman"/>
                <w:color w:val="000000"/>
                <w:sz w:val="22"/>
                <w:szCs w:val="22"/>
              </w:rPr>
              <w:t>1</w:t>
            </w:r>
          </w:p>
        </w:tc>
        <w:tc>
          <w:tcPr>
            <w:tcW w:w="2996" w:type="dxa"/>
            <w:gridSpan w:val="12"/>
            <w:shd w:val="clear" w:color="auto" w:fill="auto"/>
          </w:tcPr>
          <w:p w14:paraId="3A8264E3" w14:textId="77777777" w:rsidR="00E953CE" w:rsidRPr="00EB79F1" w:rsidRDefault="00E953CE" w:rsidP="00EB79F1">
            <w:pPr>
              <w:pBdr>
                <w:top w:val="nil"/>
                <w:left w:val="nil"/>
                <w:bottom w:val="nil"/>
                <w:right w:val="nil"/>
                <w:between w:val="nil"/>
              </w:pBdr>
              <w:rPr>
                <w:rFonts w:ascii="Times New Roman" w:eastAsia="Times New Roman" w:hAnsi="Times New Roman" w:cs="Times New Roman"/>
                <w:color w:val="000000"/>
                <w:sz w:val="22"/>
                <w:szCs w:val="22"/>
              </w:rPr>
            </w:pPr>
          </w:p>
        </w:tc>
        <w:tc>
          <w:tcPr>
            <w:tcW w:w="2991" w:type="dxa"/>
            <w:gridSpan w:val="6"/>
            <w:shd w:val="clear" w:color="auto" w:fill="auto"/>
          </w:tcPr>
          <w:p w14:paraId="37652DF5" w14:textId="785B0456" w:rsidR="002C155D" w:rsidRPr="00EB79F1" w:rsidRDefault="002C155D" w:rsidP="00C0729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w:t>
            </w:r>
            <w:r w:rsidR="0084562D" w:rsidRPr="0084562D">
              <w:rPr>
                <w:rFonts w:ascii="Times New Roman" w:eastAsia="Times New Roman" w:hAnsi="Times New Roman" w:cs="Times New Roman"/>
                <w:color w:val="000000"/>
                <w:sz w:val="22"/>
                <w:szCs w:val="22"/>
              </w:rPr>
              <w:t xml:space="preserve">adania w zakresie zaprojektowania i prowadzenia działań w ramach strategii edukacyjnej oraz informacyjno-promocyjnej związanej z implementacją </w:t>
            </w:r>
            <w:r w:rsidR="0084562D" w:rsidRPr="0084562D">
              <w:rPr>
                <w:rFonts w:ascii="Times New Roman" w:eastAsia="Times New Roman" w:hAnsi="Times New Roman" w:cs="Times New Roman"/>
                <w:color w:val="000000"/>
                <w:sz w:val="22"/>
                <w:szCs w:val="22"/>
              </w:rPr>
              <w:lastRenderedPageBreak/>
              <w:t>dyrektywy</w:t>
            </w:r>
            <w:r w:rsidR="00B82A10">
              <w:rPr>
                <w:rFonts w:ascii="Times New Roman" w:eastAsia="Times New Roman" w:hAnsi="Times New Roman" w:cs="Times New Roman"/>
                <w:color w:val="000000"/>
                <w:sz w:val="22"/>
                <w:szCs w:val="22"/>
              </w:rPr>
              <w:t xml:space="preserve"> 2019/882</w:t>
            </w:r>
            <w:r w:rsidR="0084562D" w:rsidRPr="0084562D">
              <w:rPr>
                <w:rFonts w:ascii="Times New Roman" w:eastAsia="Times New Roman" w:hAnsi="Times New Roman" w:cs="Times New Roman"/>
                <w:color w:val="000000"/>
                <w:sz w:val="22"/>
                <w:szCs w:val="22"/>
              </w:rPr>
              <w:t xml:space="preserve"> </w:t>
            </w:r>
            <w:r w:rsidR="00B82A10">
              <w:rPr>
                <w:rFonts w:ascii="Times New Roman" w:eastAsia="Times New Roman" w:hAnsi="Times New Roman" w:cs="Times New Roman"/>
                <w:color w:val="000000"/>
                <w:sz w:val="22"/>
                <w:szCs w:val="22"/>
              </w:rPr>
              <w:br/>
            </w:r>
            <w:r w:rsidR="0084562D" w:rsidRPr="0084562D">
              <w:rPr>
                <w:rFonts w:ascii="Times New Roman" w:eastAsia="Times New Roman" w:hAnsi="Times New Roman" w:cs="Times New Roman"/>
                <w:color w:val="000000"/>
                <w:sz w:val="22"/>
                <w:szCs w:val="22"/>
              </w:rPr>
              <w:t>i stosowaniem przepisów ustawy implementującej dyrektywę</w:t>
            </w:r>
          </w:p>
        </w:tc>
      </w:tr>
      <w:tr w:rsidR="00EC4C5C" w14:paraId="3566C8E8" w14:textId="77777777" w:rsidTr="00757542">
        <w:trPr>
          <w:trHeight w:val="142"/>
        </w:trPr>
        <w:tc>
          <w:tcPr>
            <w:tcW w:w="2668" w:type="dxa"/>
            <w:gridSpan w:val="3"/>
          </w:tcPr>
          <w:p w14:paraId="1CAAA476" w14:textId="77777777" w:rsidR="00EC4C5C" w:rsidRDefault="00E04915">
            <w:pPr>
              <w:pBdr>
                <w:top w:val="nil"/>
                <w:left w:val="nil"/>
                <w:bottom w:val="nil"/>
                <w:right w:val="nil"/>
                <w:between w:val="nil"/>
              </w:pBdr>
              <w:tabs>
                <w:tab w:val="left" w:pos="1560"/>
              </w:tabs>
              <w:rPr>
                <w:rFonts w:ascii="Times New Roman" w:eastAsia="Times New Roman" w:hAnsi="Times New Roman" w:cs="Times New Roman"/>
                <w:color w:val="000000"/>
                <w:sz w:val="22"/>
                <w:szCs w:val="22"/>
              </w:rPr>
            </w:pPr>
            <w:r w:rsidRPr="00E04915">
              <w:rPr>
                <w:rFonts w:ascii="Times New Roman" w:eastAsia="Times New Roman" w:hAnsi="Times New Roman" w:cs="Times New Roman"/>
                <w:sz w:val="22"/>
                <w:szCs w:val="22"/>
              </w:rPr>
              <w:lastRenderedPageBreak/>
              <w:t>Konsumenci kupujący detalicznie (osoby mające pełną i ograniczoną zdolność do czynności prawnych)</w:t>
            </w:r>
          </w:p>
        </w:tc>
        <w:tc>
          <w:tcPr>
            <w:tcW w:w="2292" w:type="dxa"/>
            <w:gridSpan w:val="8"/>
          </w:tcPr>
          <w:p w14:paraId="5973FB5D" w14:textId="77777777" w:rsidR="00EC4C5C" w:rsidRDefault="00324DE1">
            <w:pPr>
              <w:pBdr>
                <w:top w:val="nil"/>
                <w:left w:val="nil"/>
                <w:bottom w:val="nil"/>
                <w:right w:val="nil"/>
                <w:between w:val="nil"/>
              </w:pBdr>
              <w:rPr>
                <w:rFonts w:ascii="Times New Roman" w:eastAsia="Times New Roman" w:hAnsi="Times New Roman" w:cs="Times New Roman"/>
                <w:color w:val="000000"/>
                <w:sz w:val="22"/>
                <w:szCs w:val="22"/>
              </w:rPr>
            </w:pPr>
            <w:r w:rsidRPr="00324DE1">
              <w:rPr>
                <w:rFonts w:ascii="Times New Roman" w:eastAsia="Times New Roman" w:hAnsi="Times New Roman" w:cs="Times New Roman"/>
                <w:color w:val="000000"/>
                <w:sz w:val="22"/>
                <w:szCs w:val="22"/>
              </w:rPr>
              <w:t>33,2 mln</w:t>
            </w:r>
          </w:p>
        </w:tc>
        <w:tc>
          <w:tcPr>
            <w:tcW w:w="2996" w:type="dxa"/>
            <w:gridSpan w:val="12"/>
          </w:tcPr>
          <w:p w14:paraId="517EF6FA" w14:textId="77777777" w:rsidR="00EC4C5C" w:rsidRDefault="00324DE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GUS</w:t>
            </w:r>
          </w:p>
        </w:tc>
        <w:tc>
          <w:tcPr>
            <w:tcW w:w="2991" w:type="dxa"/>
            <w:gridSpan w:val="6"/>
          </w:tcPr>
          <w:p w14:paraId="0F810A5E" w14:textId="34D724FC" w:rsidR="002C155D" w:rsidRDefault="00757542" w:rsidP="007575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Dostępność, służąc w</w:t>
            </w:r>
            <w:r w:rsidR="00A05EC1">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 xml:space="preserve">pierwszej kolejności </w:t>
            </w:r>
            <w:r w:rsidR="005F3A29">
              <w:rPr>
                <w:rFonts w:ascii="Times New Roman" w:eastAsia="Times New Roman" w:hAnsi="Times New Roman" w:cs="Times New Roman"/>
                <w:color w:val="000000"/>
                <w:sz w:val="22"/>
                <w:szCs w:val="22"/>
              </w:rPr>
              <w:t>osobom ze</w:t>
            </w:r>
            <w:r w:rsidR="008411D2">
              <w:rPr>
                <w:rFonts w:ascii="Times New Roman" w:eastAsia="Times New Roman" w:hAnsi="Times New Roman" w:cs="Times New Roman"/>
                <w:color w:val="000000"/>
                <w:sz w:val="22"/>
                <w:szCs w:val="22"/>
              </w:rPr>
              <w:t xml:space="preserve"> szczególnymi </w:t>
            </w:r>
            <w:r w:rsidR="005F3A29">
              <w:rPr>
                <w:rFonts w:ascii="Times New Roman" w:eastAsia="Times New Roman" w:hAnsi="Times New Roman" w:cs="Times New Roman"/>
                <w:color w:val="000000"/>
                <w:sz w:val="22"/>
                <w:szCs w:val="22"/>
              </w:rPr>
              <w:t>potrzebami,</w:t>
            </w:r>
            <w:r>
              <w:rPr>
                <w:rFonts w:ascii="Times New Roman" w:eastAsia="Times New Roman" w:hAnsi="Times New Roman" w:cs="Times New Roman"/>
                <w:color w:val="000000"/>
                <w:sz w:val="22"/>
                <w:szCs w:val="22"/>
              </w:rPr>
              <w:t xml:space="preserve"> jest cechą produktów, usług i</w:t>
            </w:r>
            <w:r w:rsidR="00DD341B">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przestrzeni fizycznej, która ułatwia korzystanie wszystkim użytkownikom z tych produktów, usług lub przestrzeni.</w:t>
            </w:r>
          </w:p>
          <w:p w14:paraId="0ED5A6A5" w14:textId="43578473" w:rsidR="00125298" w:rsidRDefault="00125298" w:rsidP="00757542">
            <w:pPr>
              <w:pBdr>
                <w:top w:val="nil"/>
                <w:left w:val="nil"/>
                <w:bottom w:val="nil"/>
                <w:right w:val="nil"/>
                <w:between w:val="nil"/>
              </w:pBdr>
              <w:rPr>
                <w:rFonts w:ascii="Times New Roman" w:eastAsia="Times New Roman" w:hAnsi="Times New Roman" w:cs="Times New Roman"/>
                <w:color w:val="000000"/>
                <w:sz w:val="22"/>
                <w:szCs w:val="22"/>
              </w:rPr>
            </w:pPr>
          </w:p>
        </w:tc>
      </w:tr>
      <w:tr w:rsidR="00EC4C5C" w14:paraId="11332735" w14:textId="77777777" w:rsidTr="00757542">
        <w:trPr>
          <w:trHeight w:val="302"/>
        </w:trPr>
        <w:tc>
          <w:tcPr>
            <w:tcW w:w="10947" w:type="dxa"/>
            <w:gridSpan w:val="29"/>
            <w:shd w:val="clear" w:color="auto" w:fill="99CCFF"/>
            <w:vAlign w:val="center"/>
          </w:tcPr>
          <w:p w14:paraId="43363244" w14:textId="77777777" w:rsidR="00EC4C5C" w:rsidRDefault="00112BFC"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5. </w:t>
            </w:r>
            <w:r w:rsidR="00515863">
              <w:rPr>
                <w:rFonts w:ascii="Times New Roman" w:eastAsia="Times New Roman" w:hAnsi="Times New Roman" w:cs="Times New Roman"/>
                <w:b/>
                <w:color w:val="000000"/>
                <w:sz w:val="22"/>
                <w:szCs w:val="22"/>
              </w:rPr>
              <w:t>Informacje na temat zakresu, czasu trwania i podsumowanie wyników konsultacji</w:t>
            </w:r>
          </w:p>
        </w:tc>
      </w:tr>
      <w:tr w:rsidR="00EC4C5C" w14:paraId="3F67309D" w14:textId="77777777" w:rsidTr="00757542">
        <w:trPr>
          <w:trHeight w:val="342"/>
        </w:trPr>
        <w:tc>
          <w:tcPr>
            <w:tcW w:w="10947" w:type="dxa"/>
            <w:gridSpan w:val="29"/>
            <w:shd w:val="clear" w:color="auto" w:fill="FFFFFF"/>
          </w:tcPr>
          <w:p w14:paraId="7273E12F" w14:textId="77777777" w:rsidR="00847D46"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W okresie od stycznia do listopada 2021</w:t>
            </w:r>
            <w:r w:rsidR="00752E16">
              <w:rPr>
                <w:rFonts w:ascii="Times New Roman" w:eastAsia="Times New Roman" w:hAnsi="Times New Roman" w:cs="Times New Roman"/>
                <w:sz w:val="22"/>
                <w:szCs w:val="21"/>
              </w:rPr>
              <w:t> </w:t>
            </w:r>
            <w:r w:rsidRPr="00C15191">
              <w:rPr>
                <w:rFonts w:ascii="Times New Roman" w:eastAsia="Times New Roman" w:hAnsi="Times New Roman" w:cs="Times New Roman"/>
                <w:sz w:val="22"/>
                <w:szCs w:val="21"/>
              </w:rPr>
              <w:t xml:space="preserve">r. odbyły się robocze </w:t>
            </w:r>
            <w:proofErr w:type="spellStart"/>
            <w:r w:rsidRPr="00C15191">
              <w:rPr>
                <w:rFonts w:ascii="Times New Roman" w:eastAsia="Times New Roman" w:hAnsi="Times New Roman" w:cs="Times New Roman"/>
                <w:sz w:val="22"/>
                <w:szCs w:val="21"/>
              </w:rPr>
              <w:t>prekonsultacje</w:t>
            </w:r>
            <w:proofErr w:type="spellEnd"/>
            <w:r w:rsidR="002562E5">
              <w:rPr>
                <w:rFonts w:ascii="Times New Roman" w:eastAsia="Times New Roman" w:hAnsi="Times New Roman" w:cs="Times New Roman"/>
                <w:sz w:val="22"/>
                <w:szCs w:val="21"/>
              </w:rPr>
              <w:t xml:space="preserve">. </w:t>
            </w:r>
            <w:proofErr w:type="spellStart"/>
            <w:r w:rsidR="002562E5">
              <w:rPr>
                <w:rFonts w:ascii="Times New Roman" w:eastAsia="Times New Roman" w:hAnsi="Times New Roman" w:cs="Times New Roman"/>
                <w:sz w:val="22"/>
                <w:szCs w:val="21"/>
              </w:rPr>
              <w:t>Prekonsultacje</w:t>
            </w:r>
            <w:proofErr w:type="spellEnd"/>
            <w:r w:rsidR="002562E5">
              <w:rPr>
                <w:rFonts w:ascii="Times New Roman" w:eastAsia="Times New Roman" w:hAnsi="Times New Roman" w:cs="Times New Roman"/>
                <w:sz w:val="22"/>
                <w:szCs w:val="21"/>
              </w:rPr>
              <w:t xml:space="preserve"> odbyły się</w:t>
            </w:r>
            <w:r w:rsidRPr="00C15191">
              <w:rPr>
                <w:rFonts w:ascii="Times New Roman" w:eastAsia="Times New Roman" w:hAnsi="Times New Roman" w:cs="Times New Roman"/>
                <w:sz w:val="22"/>
                <w:szCs w:val="21"/>
              </w:rPr>
              <w:t xml:space="preserve"> z</w:t>
            </w:r>
            <w:r w:rsidR="002C155D" w:rsidRPr="00C15191">
              <w:rPr>
                <w:rFonts w:ascii="Times New Roman" w:eastAsia="Times New Roman" w:hAnsi="Times New Roman" w:cs="Times New Roman"/>
                <w:sz w:val="22"/>
                <w:szCs w:val="21"/>
              </w:rPr>
              <w:t xml:space="preserve"> </w:t>
            </w:r>
            <w:r w:rsidR="002C155D">
              <w:rPr>
                <w:rFonts w:ascii="Times New Roman" w:eastAsia="Times New Roman" w:hAnsi="Times New Roman" w:cs="Times New Roman"/>
                <w:sz w:val="22"/>
                <w:szCs w:val="21"/>
              </w:rPr>
              <w:t xml:space="preserve">podmiotami, </w:t>
            </w:r>
            <w:r w:rsidR="002C155D" w:rsidRPr="00C15191">
              <w:rPr>
                <w:rFonts w:ascii="Times New Roman" w:eastAsia="Times New Roman" w:hAnsi="Times New Roman" w:cs="Times New Roman"/>
                <w:sz w:val="22"/>
                <w:szCs w:val="21"/>
              </w:rPr>
              <w:t>któr</w:t>
            </w:r>
            <w:r w:rsidR="002C155D">
              <w:rPr>
                <w:rFonts w:ascii="Times New Roman" w:eastAsia="Times New Roman" w:hAnsi="Times New Roman" w:cs="Times New Roman"/>
                <w:sz w:val="22"/>
                <w:szCs w:val="21"/>
              </w:rPr>
              <w:t>e</w:t>
            </w:r>
            <w:r w:rsidR="002C155D" w:rsidRPr="00C15191">
              <w:rPr>
                <w:rFonts w:ascii="Times New Roman" w:eastAsia="Times New Roman" w:hAnsi="Times New Roman" w:cs="Times New Roman"/>
                <w:sz w:val="22"/>
                <w:szCs w:val="21"/>
              </w:rPr>
              <w:t xml:space="preserve"> wyrazi</w:t>
            </w:r>
            <w:r w:rsidR="002C155D">
              <w:rPr>
                <w:rFonts w:ascii="Times New Roman" w:eastAsia="Times New Roman" w:hAnsi="Times New Roman" w:cs="Times New Roman"/>
                <w:sz w:val="22"/>
                <w:szCs w:val="21"/>
              </w:rPr>
              <w:t>ły</w:t>
            </w:r>
            <w:r w:rsidR="002C155D" w:rsidRPr="00C15191">
              <w:rPr>
                <w:rFonts w:ascii="Times New Roman" w:eastAsia="Times New Roman" w:hAnsi="Times New Roman" w:cs="Times New Roman"/>
                <w:sz w:val="22"/>
                <w:szCs w:val="21"/>
              </w:rPr>
              <w:t xml:space="preserve"> zainteresowanie wzięciem </w:t>
            </w:r>
            <w:r w:rsidR="002C155D">
              <w:rPr>
                <w:rFonts w:ascii="Times New Roman" w:eastAsia="Times New Roman" w:hAnsi="Times New Roman" w:cs="Times New Roman"/>
                <w:sz w:val="22"/>
                <w:szCs w:val="21"/>
              </w:rPr>
              <w:t>w nich udziału</w:t>
            </w:r>
            <w:r w:rsidRPr="00C15191">
              <w:rPr>
                <w:rFonts w:ascii="Times New Roman" w:eastAsia="Times New Roman" w:hAnsi="Times New Roman" w:cs="Times New Roman"/>
                <w:sz w:val="22"/>
                <w:szCs w:val="21"/>
              </w:rPr>
              <w:t>: przedsiębiorcami i organizacjami branżowymi skupiającymi podmioty, na których działalność wpły</w:t>
            </w:r>
            <w:r w:rsidR="002562E5">
              <w:rPr>
                <w:rFonts w:ascii="Times New Roman" w:eastAsia="Times New Roman" w:hAnsi="Times New Roman" w:cs="Times New Roman"/>
                <w:sz w:val="22"/>
                <w:szCs w:val="21"/>
              </w:rPr>
              <w:t>ną</w:t>
            </w:r>
            <w:r w:rsidRPr="00C15191">
              <w:rPr>
                <w:rFonts w:ascii="Times New Roman" w:eastAsia="Times New Roman" w:hAnsi="Times New Roman" w:cs="Times New Roman"/>
                <w:sz w:val="22"/>
                <w:szCs w:val="21"/>
              </w:rPr>
              <w:t xml:space="preserve"> przepisy projektowanej ustawy</w:t>
            </w:r>
            <w:r w:rsidR="002562E5">
              <w:rPr>
                <w:rFonts w:ascii="Times New Roman" w:eastAsia="Times New Roman" w:hAnsi="Times New Roman" w:cs="Times New Roman"/>
                <w:sz w:val="22"/>
                <w:szCs w:val="21"/>
              </w:rPr>
              <w:t xml:space="preserve">. Ponadto w </w:t>
            </w:r>
            <w:proofErr w:type="spellStart"/>
            <w:r w:rsidR="002562E5">
              <w:rPr>
                <w:rFonts w:ascii="Times New Roman" w:eastAsia="Times New Roman" w:hAnsi="Times New Roman" w:cs="Times New Roman"/>
                <w:sz w:val="22"/>
                <w:szCs w:val="21"/>
              </w:rPr>
              <w:t>prekonsultacjach</w:t>
            </w:r>
            <w:proofErr w:type="spellEnd"/>
            <w:r w:rsidR="002562E5">
              <w:rPr>
                <w:rFonts w:ascii="Times New Roman" w:eastAsia="Times New Roman" w:hAnsi="Times New Roman" w:cs="Times New Roman"/>
                <w:sz w:val="22"/>
                <w:szCs w:val="21"/>
              </w:rPr>
              <w:t xml:space="preserve"> uczestniczyły także</w:t>
            </w:r>
            <w:r w:rsidRPr="00C15191">
              <w:rPr>
                <w:rFonts w:ascii="Times New Roman" w:eastAsia="Times New Roman" w:hAnsi="Times New Roman" w:cs="Times New Roman"/>
                <w:sz w:val="22"/>
                <w:szCs w:val="21"/>
              </w:rPr>
              <w:t xml:space="preserve"> organizacj</w:t>
            </w:r>
            <w:r w:rsidR="002562E5">
              <w:rPr>
                <w:rFonts w:ascii="Times New Roman" w:eastAsia="Times New Roman" w:hAnsi="Times New Roman" w:cs="Times New Roman"/>
                <w:sz w:val="22"/>
                <w:szCs w:val="21"/>
              </w:rPr>
              <w:t>e</w:t>
            </w:r>
            <w:r w:rsidRPr="00C15191">
              <w:rPr>
                <w:rFonts w:ascii="Times New Roman" w:eastAsia="Times New Roman" w:hAnsi="Times New Roman" w:cs="Times New Roman"/>
                <w:sz w:val="22"/>
                <w:szCs w:val="21"/>
              </w:rPr>
              <w:t xml:space="preserve"> społeczn</w:t>
            </w:r>
            <w:r w:rsidR="002562E5">
              <w:rPr>
                <w:rFonts w:ascii="Times New Roman" w:eastAsia="Times New Roman" w:hAnsi="Times New Roman" w:cs="Times New Roman"/>
                <w:sz w:val="22"/>
                <w:szCs w:val="21"/>
              </w:rPr>
              <w:t>e</w:t>
            </w:r>
            <w:r w:rsidRPr="00C15191">
              <w:rPr>
                <w:rFonts w:ascii="Times New Roman" w:eastAsia="Times New Roman" w:hAnsi="Times New Roman" w:cs="Times New Roman"/>
                <w:sz w:val="22"/>
                <w:szCs w:val="21"/>
              </w:rPr>
              <w:t xml:space="preserve"> i eksper</w:t>
            </w:r>
            <w:r w:rsidR="002562E5">
              <w:rPr>
                <w:rFonts w:ascii="Times New Roman" w:eastAsia="Times New Roman" w:hAnsi="Times New Roman" w:cs="Times New Roman"/>
                <w:sz w:val="22"/>
                <w:szCs w:val="21"/>
              </w:rPr>
              <w:t>ci</w:t>
            </w:r>
            <w:r w:rsidRPr="00C15191">
              <w:rPr>
                <w:rFonts w:ascii="Times New Roman" w:eastAsia="Times New Roman" w:hAnsi="Times New Roman" w:cs="Times New Roman"/>
                <w:sz w:val="22"/>
                <w:szCs w:val="21"/>
              </w:rPr>
              <w:t>, resort</w:t>
            </w:r>
            <w:r w:rsidR="002562E5">
              <w:rPr>
                <w:rFonts w:ascii="Times New Roman" w:eastAsia="Times New Roman" w:hAnsi="Times New Roman" w:cs="Times New Roman"/>
                <w:sz w:val="22"/>
                <w:szCs w:val="21"/>
              </w:rPr>
              <w:t>y</w:t>
            </w:r>
            <w:r w:rsidRPr="00C15191">
              <w:rPr>
                <w:rFonts w:ascii="Times New Roman" w:eastAsia="Times New Roman" w:hAnsi="Times New Roman" w:cs="Times New Roman"/>
                <w:sz w:val="22"/>
                <w:szCs w:val="21"/>
              </w:rPr>
              <w:t xml:space="preserve"> oraz organ</w:t>
            </w:r>
            <w:r w:rsidR="002562E5">
              <w:rPr>
                <w:rFonts w:ascii="Times New Roman" w:eastAsia="Times New Roman" w:hAnsi="Times New Roman" w:cs="Times New Roman"/>
                <w:sz w:val="22"/>
                <w:szCs w:val="21"/>
              </w:rPr>
              <w:t>y</w:t>
            </w:r>
            <w:r w:rsidRPr="00C15191">
              <w:rPr>
                <w:rFonts w:ascii="Times New Roman" w:eastAsia="Times New Roman" w:hAnsi="Times New Roman" w:cs="Times New Roman"/>
                <w:sz w:val="22"/>
                <w:szCs w:val="21"/>
              </w:rPr>
              <w:t xml:space="preserve"> nadzoru rynku. W prowadzonych dyskusjach aktywny głos zabrali również przedstawiciele środowiska akademickiego zaangażowani w prace Rady Dostępności. </w:t>
            </w:r>
          </w:p>
          <w:p w14:paraId="6292CC79" w14:textId="77777777" w:rsidR="00C15191" w:rsidRPr="00C15191"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W </w:t>
            </w:r>
            <w:proofErr w:type="spellStart"/>
            <w:r w:rsidRPr="00C15191">
              <w:rPr>
                <w:rFonts w:ascii="Times New Roman" w:eastAsia="Times New Roman" w:hAnsi="Times New Roman" w:cs="Times New Roman"/>
                <w:sz w:val="22"/>
                <w:szCs w:val="21"/>
              </w:rPr>
              <w:t>prekonsultacjach</w:t>
            </w:r>
            <w:proofErr w:type="spellEnd"/>
            <w:r w:rsidRPr="00C15191">
              <w:rPr>
                <w:rFonts w:ascii="Times New Roman" w:eastAsia="Times New Roman" w:hAnsi="Times New Roman" w:cs="Times New Roman"/>
                <w:sz w:val="22"/>
                <w:szCs w:val="21"/>
              </w:rPr>
              <w:t xml:space="preserve"> wzięły udział następujące podmioty:</w:t>
            </w:r>
          </w:p>
          <w:p w14:paraId="34BB164C"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Ministerstwo Rozwoju i Technologii; </w:t>
            </w:r>
          </w:p>
          <w:p w14:paraId="0853415F"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Ministerstwo Rodziny i Polityki Społecznej (Biuro Pełnomocnika Rządu do Spraw Osób Niepełnosprawnych); </w:t>
            </w:r>
          </w:p>
          <w:p w14:paraId="7CFF923B"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Ministerstwo Infrastruktury; </w:t>
            </w:r>
          </w:p>
          <w:p w14:paraId="7399CE87"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Kancelaria Prezesa Rady Ministrów (Departament Telekomunikacji oraz Departament Społeczeństwa Informacyjnego); </w:t>
            </w:r>
          </w:p>
          <w:p w14:paraId="6E94FCDD"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Ministerstwo Edukacji i Nauki;</w:t>
            </w:r>
          </w:p>
          <w:p w14:paraId="64B592CF"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Ministerstwo Spraw Wewnętrznych i Administracji;</w:t>
            </w:r>
          </w:p>
          <w:p w14:paraId="24CDF807"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Ministerstwo Kultury i Dziedzictwa Narodowego;</w:t>
            </w:r>
          </w:p>
          <w:p w14:paraId="0CB0DC71"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Krajowa Rada Radiofonii i Telewizji; </w:t>
            </w:r>
          </w:p>
          <w:p w14:paraId="7805A1DB"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Urząd Ochrony Konkurencji i Konsumentów; </w:t>
            </w:r>
          </w:p>
          <w:p w14:paraId="0B1F415A"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Biuro Rzecznika Finansowego;</w:t>
            </w:r>
          </w:p>
          <w:p w14:paraId="491AD7A9"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Urząd Komisji Nadzoru Finansowego;</w:t>
            </w:r>
          </w:p>
          <w:p w14:paraId="25D0508D"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Urząd Komunikacji Elektronicznej;</w:t>
            </w:r>
          </w:p>
          <w:p w14:paraId="43AF091D"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Główny Inspektorat Transportu Drogowego;</w:t>
            </w:r>
          </w:p>
          <w:p w14:paraId="2CFD79D9"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wojewódzkie inspektoraty transportu drogowego;</w:t>
            </w:r>
          </w:p>
          <w:p w14:paraId="13384B48"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Urząd Transportu Kolejowego;</w:t>
            </w:r>
          </w:p>
          <w:p w14:paraId="71ACCDA3"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Urząd Lotnictwa Cywilnego;</w:t>
            </w:r>
          </w:p>
          <w:p w14:paraId="0D59E72B"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urzędy morskie;</w:t>
            </w:r>
          </w:p>
          <w:p w14:paraId="4D062753"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urzędy żeglugi śródlądowej;</w:t>
            </w:r>
          </w:p>
          <w:p w14:paraId="001F78AB"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Państwowy Fundusz Rehabilitacji Osób Niepełnosprawnych;</w:t>
            </w:r>
          </w:p>
          <w:p w14:paraId="5264DF9C"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Narodowy Bank Polski; </w:t>
            </w:r>
          </w:p>
          <w:p w14:paraId="02E332F4"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Urząd Zamówień Publicznych;</w:t>
            </w:r>
          </w:p>
          <w:p w14:paraId="61265CE2"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Polska Agencja Rozwoju Przedsiębiorczości;</w:t>
            </w:r>
          </w:p>
          <w:p w14:paraId="17C62452"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Rada Dostępności;</w:t>
            </w:r>
          </w:p>
          <w:p w14:paraId="276C1C95"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Konfederacja Lewiatan;</w:t>
            </w:r>
          </w:p>
          <w:p w14:paraId="79913BD8"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Związek Banków Polskich;</w:t>
            </w:r>
          </w:p>
          <w:p w14:paraId="53B1C4C1"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lastRenderedPageBreak/>
              <w:t>Związek Pracodawców Branży Internetowej IAB Polska;</w:t>
            </w:r>
          </w:p>
          <w:p w14:paraId="65D6008B"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Grupa Allegro;</w:t>
            </w:r>
          </w:p>
          <w:p w14:paraId="5DDFCBEE" w14:textId="77777777" w:rsidR="00C15191" w:rsidRPr="00C15191" w:rsidRDefault="00C15191" w:rsidP="00116AE1">
            <w:pPr>
              <w:numPr>
                <w:ilvl w:val="0"/>
                <w:numId w:val="32"/>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organizacje pozarządowe działające na rzecz osób z niepełnosprawnościami i osób starszych.</w:t>
            </w:r>
          </w:p>
          <w:p w14:paraId="6D9F57D4" w14:textId="77777777" w:rsidR="00C15191" w:rsidRPr="00C15191"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Projekt ustawy zosta</w:t>
            </w:r>
            <w:r w:rsidR="002C155D">
              <w:rPr>
                <w:rFonts w:ascii="Times New Roman" w:eastAsia="Times New Roman" w:hAnsi="Times New Roman" w:cs="Times New Roman"/>
                <w:sz w:val="22"/>
                <w:szCs w:val="21"/>
              </w:rPr>
              <w:t>ł</w:t>
            </w:r>
            <w:r w:rsidRPr="00C15191">
              <w:rPr>
                <w:rFonts w:ascii="Times New Roman" w:eastAsia="Times New Roman" w:hAnsi="Times New Roman" w:cs="Times New Roman"/>
                <w:sz w:val="22"/>
                <w:szCs w:val="21"/>
              </w:rPr>
              <w:t xml:space="preserve"> przekazany do zaopiniowania przez następujące podmioty:</w:t>
            </w:r>
          </w:p>
          <w:p w14:paraId="14F94F36"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Prokuratorię Generalną Rzeczypospolitej Polskiej</w:t>
            </w:r>
            <w:r w:rsidR="002C155D">
              <w:rPr>
                <w:rFonts w:ascii="Times New Roman" w:eastAsia="Times New Roman" w:hAnsi="Times New Roman" w:cs="Times New Roman"/>
                <w:sz w:val="22"/>
                <w:szCs w:val="21"/>
              </w:rPr>
              <w:t>;</w:t>
            </w:r>
          </w:p>
          <w:p w14:paraId="3B609360"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Urzędu Ochrony Konkurencji i Konsumentów</w:t>
            </w:r>
            <w:r w:rsidR="002C155D">
              <w:rPr>
                <w:rFonts w:ascii="Times New Roman" w:eastAsia="Times New Roman" w:hAnsi="Times New Roman" w:cs="Times New Roman"/>
                <w:sz w:val="22"/>
                <w:szCs w:val="21"/>
              </w:rPr>
              <w:t>;</w:t>
            </w:r>
          </w:p>
          <w:p w14:paraId="03028BAB"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Krajową Radę Radiofonii i Telewizji;</w:t>
            </w:r>
          </w:p>
          <w:p w14:paraId="13B4BEAB"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Rzecznika Finansowego;</w:t>
            </w:r>
          </w:p>
          <w:p w14:paraId="18036BA9"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Urzędu Komisji Nadzoru Finansowego;</w:t>
            </w:r>
          </w:p>
          <w:p w14:paraId="5645EC17"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Urzędu Komunikacji Elektronicznej;</w:t>
            </w:r>
          </w:p>
          <w:p w14:paraId="537F02F3"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Głównego Inspektora Transportu Drogowego;</w:t>
            </w:r>
          </w:p>
          <w:p w14:paraId="4AA100E3"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wojewódzkich inspektorów transportu drogowego;</w:t>
            </w:r>
          </w:p>
          <w:p w14:paraId="1DABF1CA"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Urzędu Transportu Kolejowego;</w:t>
            </w:r>
          </w:p>
          <w:p w14:paraId="68678662"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Urzędu Lotnictwa Cywilnego;</w:t>
            </w:r>
          </w:p>
          <w:p w14:paraId="669B39B0"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dyrektorów urzędów morskich;</w:t>
            </w:r>
          </w:p>
          <w:p w14:paraId="6C00F7D7"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dyrektorów urzędów żeglugi śródlądowej;</w:t>
            </w:r>
          </w:p>
          <w:p w14:paraId="7C30EA50"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Prezesa Narodowego Banku Polskiego; </w:t>
            </w:r>
          </w:p>
          <w:p w14:paraId="7B99FEF6"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Urzędu Zamówień Publicznych;</w:t>
            </w:r>
          </w:p>
          <w:p w14:paraId="5DD725F7" w14:textId="77777777" w:rsidR="00C15191" w:rsidRPr="00C15191"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Prezesa Polskiej Agencji Rozwoju Przedsiębiorczości;</w:t>
            </w:r>
          </w:p>
          <w:p w14:paraId="21D865A6" w14:textId="77777777" w:rsidR="0076546C" w:rsidRDefault="00C15191" w:rsidP="00116AE1">
            <w:pPr>
              <w:numPr>
                <w:ilvl w:val="0"/>
                <w:numId w:val="33"/>
              </w:num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 xml:space="preserve">Prezesa </w:t>
            </w:r>
            <w:r w:rsidR="004A1DCB">
              <w:rPr>
                <w:rFonts w:ascii="Times New Roman" w:eastAsia="Times New Roman" w:hAnsi="Times New Roman" w:cs="Times New Roman"/>
                <w:sz w:val="22"/>
                <w:szCs w:val="21"/>
              </w:rPr>
              <w:t>Zarządu</w:t>
            </w:r>
            <w:r w:rsidR="00730945">
              <w:rPr>
                <w:rFonts w:ascii="Times New Roman" w:eastAsia="Times New Roman" w:hAnsi="Times New Roman" w:cs="Times New Roman"/>
                <w:sz w:val="22"/>
                <w:szCs w:val="21"/>
              </w:rPr>
              <w:t xml:space="preserve"> PFRON</w:t>
            </w:r>
            <w:r w:rsidR="0076546C">
              <w:rPr>
                <w:rFonts w:ascii="Times New Roman" w:eastAsia="Times New Roman" w:hAnsi="Times New Roman" w:cs="Times New Roman"/>
                <w:sz w:val="22"/>
                <w:szCs w:val="21"/>
              </w:rPr>
              <w:t>;</w:t>
            </w:r>
          </w:p>
          <w:p w14:paraId="05C060E2" w14:textId="77777777" w:rsidR="00C15191" w:rsidRPr="00C15191" w:rsidRDefault="009852F7" w:rsidP="00116AE1">
            <w:pPr>
              <w:numPr>
                <w:ilvl w:val="0"/>
                <w:numId w:val="33"/>
              </w:numPr>
              <w:spacing w:before="120" w:after="120"/>
              <w:jc w:val="both"/>
              <w:rPr>
                <w:rFonts w:ascii="Times New Roman" w:eastAsia="Times New Roman" w:hAnsi="Times New Roman" w:cs="Times New Roman"/>
                <w:sz w:val="22"/>
                <w:szCs w:val="21"/>
              </w:rPr>
            </w:pPr>
            <w:r>
              <w:rPr>
                <w:rFonts w:ascii="Times New Roman" w:eastAsia="Times New Roman" w:hAnsi="Times New Roman" w:cs="Times New Roman"/>
                <w:sz w:val="22"/>
                <w:szCs w:val="21"/>
              </w:rPr>
              <w:t xml:space="preserve">Szefa </w:t>
            </w:r>
            <w:r w:rsidR="0076546C">
              <w:rPr>
                <w:rFonts w:ascii="Times New Roman" w:eastAsia="Times New Roman" w:hAnsi="Times New Roman" w:cs="Times New Roman"/>
                <w:sz w:val="22"/>
                <w:szCs w:val="21"/>
              </w:rPr>
              <w:t>Krajowej Administracji Skarbowej</w:t>
            </w:r>
            <w:r w:rsidR="00C15191" w:rsidRPr="00C15191">
              <w:rPr>
                <w:rFonts w:ascii="Times New Roman" w:eastAsia="Times New Roman" w:hAnsi="Times New Roman" w:cs="Times New Roman"/>
                <w:sz w:val="22"/>
                <w:szCs w:val="21"/>
              </w:rPr>
              <w:t>.</w:t>
            </w:r>
          </w:p>
          <w:p w14:paraId="40516DD5" w14:textId="37CC0DBB" w:rsidR="00C15191"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Projekt ustawy na podstawie art. 16 ustawy z dnia 23 maja 1991</w:t>
            </w:r>
            <w:r w:rsidR="00752E16">
              <w:rPr>
                <w:rFonts w:ascii="Times New Roman" w:eastAsia="Times New Roman" w:hAnsi="Times New Roman" w:cs="Times New Roman"/>
                <w:sz w:val="22"/>
                <w:szCs w:val="21"/>
              </w:rPr>
              <w:t> </w:t>
            </w:r>
            <w:r w:rsidRPr="00C15191">
              <w:rPr>
                <w:rFonts w:ascii="Times New Roman" w:eastAsia="Times New Roman" w:hAnsi="Times New Roman" w:cs="Times New Roman"/>
                <w:sz w:val="22"/>
                <w:szCs w:val="21"/>
              </w:rPr>
              <w:t>r. o organizacjach pracodawców (Dz. U. z 20</w:t>
            </w:r>
            <w:r w:rsidR="002C155D">
              <w:rPr>
                <w:rFonts w:ascii="Times New Roman" w:eastAsia="Times New Roman" w:hAnsi="Times New Roman" w:cs="Times New Roman"/>
                <w:sz w:val="22"/>
                <w:szCs w:val="21"/>
              </w:rPr>
              <w:t>22</w:t>
            </w:r>
            <w:r w:rsidRPr="00C15191">
              <w:rPr>
                <w:rFonts w:ascii="Times New Roman" w:eastAsia="Times New Roman" w:hAnsi="Times New Roman" w:cs="Times New Roman"/>
                <w:sz w:val="22"/>
                <w:szCs w:val="21"/>
              </w:rPr>
              <w:t xml:space="preserve"> r. </w:t>
            </w:r>
            <w:r w:rsidR="00125298">
              <w:rPr>
                <w:rFonts w:ascii="Times New Roman" w:eastAsia="Times New Roman" w:hAnsi="Times New Roman" w:cs="Times New Roman"/>
                <w:sz w:val="22"/>
                <w:szCs w:val="21"/>
              </w:rPr>
              <w:br/>
            </w:r>
            <w:r w:rsidRPr="00C15191">
              <w:rPr>
                <w:rFonts w:ascii="Times New Roman" w:eastAsia="Times New Roman" w:hAnsi="Times New Roman" w:cs="Times New Roman"/>
                <w:sz w:val="22"/>
                <w:szCs w:val="21"/>
              </w:rPr>
              <w:t>poz.</w:t>
            </w:r>
            <w:r w:rsidR="002C155D">
              <w:rPr>
                <w:rFonts w:ascii="Times New Roman" w:eastAsia="Times New Roman" w:hAnsi="Times New Roman" w:cs="Times New Roman"/>
                <w:sz w:val="22"/>
                <w:szCs w:val="21"/>
              </w:rPr>
              <w:t xml:space="preserve"> 97</w:t>
            </w:r>
            <w:r w:rsidRPr="00C15191">
              <w:rPr>
                <w:rFonts w:ascii="Times New Roman" w:eastAsia="Times New Roman" w:hAnsi="Times New Roman" w:cs="Times New Roman"/>
                <w:sz w:val="22"/>
                <w:szCs w:val="21"/>
              </w:rPr>
              <w:t>) oraz art. 19 ustawy z dnia 23 maja 1991 r. o związkach zawodowych (Dz. U. z 20</w:t>
            </w:r>
            <w:r w:rsidR="002F4C65">
              <w:rPr>
                <w:rFonts w:ascii="Times New Roman" w:eastAsia="Times New Roman" w:hAnsi="Times New Roman" w:cs="Times New Roman"/>
                <w:sz w:val="22"/>
                <w:szCs w:val="21"/>
              </w:rPr>
              <w:t>22</w:t>
            </w:r>
            <w:r w:rsidRPr="00C15191">
              <w:rPr>
                <w:rFonts w:ascii="Times New Roman" w:eastAsia="Times New Roman" w:hAnsi="Times New Roman" w:cs="Times New Roman"/>
                <w:sz w:val="22"/>
                <w:szCs w:val="21"/>
              </w:rPr>
              <w:t xml:space="preserve"> r. poz.</w:t>
            </w:r>
            <w:r w:rsidR="002F4C65">
              <w:rPr>
                <w:rFonts w:ascii="Times New Roman" w:eastAsia="Times New Roman" w:hAnsi="Times New Roman" w:cs="Times New Roman"/>
                <w:sz w:val="22"/>
                <w:szCs w:val="21"/>
              </w:rPr>
              <w:t xml:space="preserve"> 854</w:t>
            </w:r>
            <w:r w:rsidRPr="00C15191">
              <w:rPr>
                <w:rFonts w:ascii="Times New Roman" w:eastAsia="Times New Roman" w:hAnsi="Times New Roman" w:cs="Times New Roman"/>
                <w:sz w:val="22"/>
                <w:szCs w:val="21"/>
              </w:rPr>
              <w:t>) zosta</w:t>
            </w:r>
            <w:r w:rsidR="002C155D">
              <w:rPr>
                <w:rFonts w:ascii="Times New Roman" w:eastAsia="Times New Roman" w:hAnsi="Times New Roman" w:cs="Times New Roman"/>
                <w:sz w:val="22"/>
                <w:szCs w:val="21"/>
              </w:rPr>
              <w:t>ł</w:t>
            </w:r>
            <w:r w:rsidRPr="00C15191">
              <w:rPr>
                <w:rFonts w:ascii="Times New Roman" w:eastAsia="Times New Roman" w:hAnsi="Times New Roman" w:cs="Times New Roman"/>
                <w:sz w:val="22"/>
                <w:szCs w:val="21"/>
              </w:rPr>
              <w:t xml:space="preserve"> również skierowany do zaopiniowania przez reprezentatywne organizacje pracodawców oraz reprezentatywne organizacje związkowe.</w:t>
            </w:r>
          </w:p>
          <w:p w14:paraId="0EEF52E8" w14:textId="7551883C" w:rsidR="00885694" w:rsidRPr="00C15191" w:rsidRDefault="00885694" w:rsidP="00C15191">
            <w:pPr>
              <w:spacing w:before="120" w:after="120"/>
              <w:jc w:val="both"/>
              <w:rPr>
                <w:rFonts w:ascii="Times New Roman" w:eastAsia="Times New Roman" w:hAnsi="Times New Roman" w:cs="Times New Roman"/>
                <w:sz w:val="22"/>
                <w:szCs w:val="21"/>
              </w:rPr>
            </w:pPr>
            <w:r>
              <w:rPr>
                <w:rFonts w:ascii="Times New Roman" w:eastAsia="Times New Roman" w:hAnsi="Times New Roman" w:cs="Times New Roman"/>
                <w:sz w:val="22"/>
                <w:szCs w:val="21"/>
              </w:rPr>
              <w:t>Projekt ustawy zgodnie z art. 5 ustawy z dnia 24 lipca 2015</w:t>
            </w:r>
            <w:r w:rsidR="00752E16">
              <w:rPr>
                <w:rFonts w:ascii="Times New Roman" w:eastAsia="Times New Roman" w:hAnsi="Times New Roman" w:cs="Times New Roman"/>
                <w:sz w:val="22"/>
                <w:szCs w:val="21"/>
              </w:rPr>
              <w:t> </w:t>
            </w:r>
            <w:r>
              <w:rPr>
                <w:rFonts w:ascii="Times New Roman" w:eastAsia="Times New Roman" w:hAnsi="Times New Roman" w:cs="Times New Roman"/>
                <w:sz w:val="22"/>
                <w:szCs w:val="21"/>
              </w:rPr>
              <w:t xml:space="preserve">r. </w:t>
            </w:r>
            <w:r w:rsidR="005F6646">
              <w:rPr>
                <w:rFonts w:ascii="Times New Roman" w:eastAsia="Times New Roman" w:hAnsi="Times New Roman" w:cs="Times New Roman"/>
                <w:sz w:val="22"/>
                <w:szCs w:val="21"/>
              </w:rPr>
              <w:t xml:space="preserve">o Radzie Dialogu Społecznego i innych instytucjach dialogu społecznego (Dz. U. z 2018 r. poz. </w:t>
            </w:r>
            <w:r w:rsidR="00B113BA">
              <w:rPr>
                <w:rFonts w:ascii="Times New Roman" w:eastAsia="Times New Roman" w:hAnsi="Times New Roman" w:cs="Times New Roman"/>
                <w:sz w:val="22"/>
                <w:szCs w:val="21"/>
              </w:rPr>
              <w:t xml:space="preserve">2232, z </w:t>
            </w:r>
            <w:proofErr w:type="spellStart"/>
            <w:r w:rsidR="00B113BA">
              <w:rPr>
                <w:rFonts w:ascii="Times New Roman" w:eastAsia="Times New Roman" w:hAnsi="Times New Roman" w:cs="Times New Roman"/>
                <w:sz w:val="22"/>
                <w:szCs w:val="21"/>
              </w:rPr>
              <w:t>późn</w:t>
            </w:r>
            <w:proofErr w:type="spellEnd"/>
            <w:r w:rsidR="00B113BA">
              <w:rPr>
                <w:rFonts w:ascii="Times New Roman" w:eastAsia="Times New Roman" w:hAnsi="Times New Roman" w:cs="Times New Roman"/>
                <w:sz w:val="22"/>
                <w:szCs w:val="21"/>
              </w:rPr>
              <w:t xml:space="preserve">. zm.) </w:t>
            </w:r>
            <w:r w:rsidR="003A304A">
              <w:rPr>
                <w:rFonts w:ascii="Times New Roman" w:eastAsia="Times New Roman" w:hAnsi="Times New Roman" w:cs="Times New Roman"/>
                <w:sz w:val="22"/>
                <w:szCs w:val="21"/>
              </w:rPr>
              <w:t>zosta</w:t>
            </w:r>
            <w:r w:rsidR="00DF756F">
              <w:rPr>
                <w:rFonts w:ascii="Times New Roman" w:eastAsia="Times New Roman" w:hAnsi="Times New Roman" w:cs="Times New Roman"/>
                <w:sz w:val="22"/>
                <w:szCs w:val="21"/>
              </w:rPr>
              <w:t>ł</w:t>
            </w:r>
            <w:r w:rsidR="00B113BA" w:rsidRPr="00C15191">
              <w:rPr>
                <w:rFonts w:ascii="Times New Roman" w:eastAsia="Times New Roman" w:hAnsi="Times New Roman" w:cs="Times New Roman"/>
                <w:sz w:val="22"/>
                <w:szCs w:val="21"/>
              </w:rPr>
              <w:t xml:space="preserve"> skierowany do zaopiniowania przez</w:t>
            </w:r>
            <w:r w:rsidR="00B113BA">
              <w:rPr>
                <w:rFonts w:ascii="Times New Roman" w:eastAsia="Times New Roman" w:hAnsi="Times New Roman" w:cs="Times New Roman"/>
                <w:sz w:val="22"/>
                <w:szCs w:val="21"/>
              </w:rPr>
              <w:t xml:space="preserve"> Radę Dialogu Społecznego.</w:t>
            </w:r>
          </w:p>
          <w:p w14:paraId="0E4C4F8C" w14:textId="77777777" w:rsidR="00C15191" w:rsidRPr="00C15191"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Projekt ustawy na podstawie art. 13 ust. 2 pkt 1 ustawy z dnia 19 lipca 2019</w:t>
            </w:r>
            <w:r w:rsidR="00752E16">
              <w:rPr>
                <w:rFonts w:ascii="Times New Roman" w:eastAsia="Times New Roman" w:hAnsi="Times New Roman" w:cs="Times New Roman"/>
                <w:sz w:val="22"/>
                <w:szCs w:val="21"/>
              </w:rPr>
              <w:t> </w:t>
            </w:r>
            <w:r w:rsidRPr="00C15191">
              <w:rPr>
                <w:rFonts w:ascii="Times New Roman" w:eastAsia="Times New Roman" w:hAnsi="Times New Roman" w:cs="Times New Roman"/>
                <w:sz w:val="22"/>
                <w:szCs w:val="21"/>
              </w:rPr>
              <w:t>r. o zapewnianiu dostępności osobom ze szczególnymi potrzebami zosta</w:t>
            </w:r>
            <w:r w:rsidR="00DF756F">
              <w:rPr>
                <w:rFonts w:ascii="Times New Roman" w:eastAsia="Times New Roman" w:hAnsi="Times New Roman" w:cs="Times New Roman"/>
                <w:sz w:val="22"/>
                <w:szCs w:val="21"/>
              </w:rPr>
              <w:t>ł</w:t>
            </w:r>
            <w:r w:rsidRPr="00C15191">
              <w:rPr>
                <w:rFonts w:ascii="Times New Roman" w:eastAsia="Times New Roman" w:hAnsi="Times New Roman" w:cs="Times New Roman"/>
                <w:sz w:val="22"/>
                <w:szCs w:val="21"/>
              </w:rPr>
              <w:t xml:space="preserve"> także skierowany do zaopiniowania przez Radę Dostępności.</w:t>
            </w:r>
          </w:p>
          <w:p w14:paraId="2094695B" w14:textId="76BEE869" w:rsidR="00C15191" w:rsidRPr="00C15191" w:rsidRDefault="00C15191" w:rsidP="00C15191">
            <w:pPr>
              <w:spacing w:before="120" w:after="120"/>
              <w:jc w:val="both"/>
              <w:rPr>
                <w:rFonts w:ascii="Times New Roman" w:eastAsia="Times New Roman" w:hAnsi="Times New Roman" w:cs="Times New Roman"/>
                <w:sz w:val="22"/>
                <w:szCs w:val="21"/>
              </w:rPr>
            </w:pPr>
            <w:bookmarkStart w:id="5" w:name="_Hlk124331036"/>
            <w:r w:rsidRPr="00C15191">
              <w:rPr>
                <w:rFonts w:ascii="Times New Roman" w:eastAsia="Times New Roman" w:hAnsi="Times New Roman" w:cs="Times New Roman"/>
                <w:sz w:val="22"/>
                <w:szCs w:val="21"/>
              </w:rPr>
              <w:t>Projekt ustawy nie podlega</w:t>
            </w:r>
            <w:r w:rsidR="00875977">
              <w:rPr>
                <w:rFonts w:ascii="Times New Roman" w:eastAsia="Times New Roman" w:hAnsi="Times New Roman" w:cs="Times New Roman"/>
                <w:sz w:val="22"/>
                <w:szCs w:val="21"/>
              </w:rPr>
              <w:t>ł</w:t>
            </w:r>
            <w:r w:rsidRPr="00C15191">
              <w:rPr>
                <w:rFonts w:ascii="Times New Roman" w:eastAsia="Times New Roman" w:hAnsi="Times New Roman" w:cs="Times New Roman"/>
                <w:sz w:val="22"/>
                <w:szCs w:val="21"/>
              </w:rPr>
              <w:t xml:space="preserve"> opiniowaniu przez Komisję Wspólną Rządu i Samorządu Terytorialnego, gdyż nie dotyczy spraw związanych z samorządem terytorialnym, o których mowa w </w:t>
            </w:r>
            <w:r w:rsidR="00300765">
              <w:rPr>
                <w:rFonts w:ascii="Times New Roman" w:eastAsia="Times New Roman" w:hAnsi="Times New Roman" w:cs="Times New Roman"/>
                <w:sz w:val="22"/>
                <w:szCs w:val="21"/>
              </w:rPr>
              <w:t xml:space="preserve">przepisach </w:t>
            </w:r>
            <w:r w:rsidRPr="00C15191">
              <w:rPr>
                <w:rFonts w:ascii="Times New Roman" w:eastAsia="Times New Roman" w:hAnsi="Times New Roman" w:cs="Times New Roman"/>
                <w:sz w:val="22"/>
                <w:szCs w:val="21"/>
              </w:rPr>
              <w:t>ustaw</w:t>
            </w:r>
            <w:r w:rsidR="00300765">
              <w:rPr>
                <w:rFonts w:ascii="Times New Roman" w:eastAsia="Times New Roman" w:hAnsi="Times New Roman" w:cs="Times New Roman"/>
                <w:sz w:val="22"/>
                <w:szCs w:val="21"/>
              </w:rPr>
              <w:t>y</w:t>
            </w:r>
            <w:r w:rsidRPr="00C15191">
              <w:rPr>
                <w:rFonts w:ascii="Times New Roman" w:eastAsia="Times New Roman" w:hAnsi="Times New Roman" w:cs="Times New Roman"/>
                <w:sz w:val="22"/>
                <w:szCs w:val="21"/>
              </w:rPr>
              <w:t xml:space="preserve"> z dnia 6 maja 2005</w:t>
            </w:r>
            <w:r w:rsidR="00752E16">
              <w:rPr>
                <w:rFonts w:ascii="Times New Roman" w:eastAsia="Times New Roman" w:hAnsi="Times New Roman" w:cs="Times New Roman"/>
                <w:sz w:val="22"/>
                <w:szCs w:val="21"/>
              </w:rPr>
              <w:t> </w:t>
            </w:r>
            <w:r w:rsidRPr="00C15191">
              <w:rPr>
                <w:rFonts w:ascii="Times New Roman" w:eastAsia="Times New Roman" w:hAnsi="Times New Roman" w:cs="Times New Roman"/>
                <w:sz w:val="22"/>
                <w:szCs w:val="21"/>
              </w:rPr>
              <w:t>r. o Komisji Wspólnej Rządu i Samorządu Terytorialnego oraz o przedstawicielach Rzeczypospolitej Polskiej w Komitecie Regionów Unii Europejskiej (Dz. U. poz. 759</w:t>
            </w:r>
            <w:r w:rsidR="000D744F">
              <w:rPr>
                <w:rFonts w:ascii="Times New Roman" w:eastAsia="Times New Roman" w:hAnsi="Times New Roman" w:cs="Times New Roman"/>
                <w:sz w:val="22"/>
                <w:szCs w:val="21"/>
              </w:rPr>
              <w:t xml:space="preserve">, z </w:t>
            </w:r>
            <w:proofErr w:type="spellStart"/>
            <w:r w:rsidR="000D744F">
              <w:rPr>
                <w:rFonts w:ascii="Times New Roman" w:eastAsia="Times New Roman" w:hAnsi="Times New Roman" w:cs="Times New Roman"/>
                <w:sz w:val="22"/>
                <w:szCs w:val="21"/>
              </w:rPr>
              <w:t>późn</w:t>
            </w:r>
            <w:proofErr w:type="spellEnd"/>
            <w:r w:rsidR="000D744F">
              <w:rPr>
                <w:rFonts w:ascii="Times New Roman" w:eastAsia="Times New Roman" w:hAnsi="Times New Roman" w:cs="Times New Roman"/>
                <w:sz w:val="22"/>
                <w:szCs w:val="21"/>
              </w:rPr>
              <w:t>. zm.</w:t>
            </w:r>
            <w:r w:rsidRPr="00C15191">
              <w:rPr>
                <w:rFonts w:ascii="Times New Roman" w:eastAsia="Times New Roman" w:hAnsi="Times New Roman" w:cs="Times New Roman"/>
                <w:sz w:val="22"/>
                <w:szCs w:val="21"/>
              </w:rPr>
              <w:t xml:space="preserve">). </w:t>
            </w:r>
          </w:p>
          <w:bookmarkEnd w:id="5"/>
          <w:p w14:paraId="789A8413" w14:textId="77777777" w:rsidR="00C15191" w:rsidRPr="00C15191"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Projekt ustawy nie wymaga przedstawienia właściwym organom i instytucjom U</w:t>
            </w:r>
            <w:r w:rsidR="00771DA4">
              <w:rPr>
                <w:rFonts w:ascii="Times New Roman" w:eastAsia="Times New Roman" w:hAnsi="Times New Roman" w:cs="Times New Roman"/>
                <w:sz w:val="22"/>
                <w:szCs w:val="21"/>
              </w:rPr>
              <w:t>E</w:t>
            </w:r>
            <w:r w:rsidRPr="00C15191">
              <w:rPr>
                <w:rFonts w:ascii="Times New Roman" w:eastAsia="Times New Roman" w:hAnsi="Times New Roman" w:cs="Times New Roman"/>
                <w:sz w:val="22"/>
                <w:szCs w:val="21"/>
              </w:rPr>
              <w:t>, w tym Europejskiemu Bankowi Centralnemu, celem uzyskania opinii, dokonania powiadomienia, konsultacji albo uzgodnienia projektu.</w:t>
            </w:r>
          </w:p>
          <w:p w14:paraId="5AC9B9B2" w14:textId="77777777" w:rsidR="009247A0" w:rsidRDefault="00C15191" w:rsidP="008F3DA0">
            <w:pPr>
              <w:spacing w:before="120"/>
              <w:jc w:val="both"/>
            </w:pPr>
            <w:r w:rsidRPr="00C15191">
              <w:rPr>
                <w:rFonts w:ascii="Times New Roman" w:eastAsia="Times New Roman" w:hAnsi="Times New Roman" w:cs="Times New Roman"/>
                <w:sz w:val="22"/>
                <w:szCs w:val="21"/>
              </w:rPr>
              <w:t>Projekt ustawy zosta</w:t>
            </w:r>
            <w:r w:rsidR="00AC2258">
              <w:rPr>
                <w:rFonts w:ascii="Times New Roman" w:eastAsia="Times New Roman" w:hAnsi="Times New Roman" w:cs="Times New Roman"/>
                <w:sz w:val="22"/>
                <w:szCs w:val="21"/>
              </w:rPr>
              <w:t>ł</w:t>
            </w:r>
            <w:r w:rsidRPr="00C15191">
              <w:rPr>
                <w:rFonts w:ascii="Times New Roman" w:eastAsia="Times New Roman" w:hAnsi="Times New Roman" w:cs="Times New Roman"/>
                <w:sz w:val="22"/>
                <w:szCs w:val="21"/>
              </w:rPr>
              <w:t xml:space="preserve"> przekazany do konsultacji publicznych, w tym m.in. z organizacjami pozarządowymi działającymi na rzecz osób z niepełnosprawnościami i osób starszych.</w:t>
            </w:r>
            <w:r w:rsidR="00DF19A6">
              <w:t xml:space="preserve"> </w:t>
            </w:r>
          </w:p>
          <w:p w14:paraId="07E5D7FB" w14:textId="77777777" w:rsidR="00C15191" w:rsidRPr="00C15191" w:rsidRDefault="00C15191" w:rsidP="00C15191">
            <w:pPr>
              <w:spacing w:before="120" w:after="120"/>
              <w:jc w:val="both"/>
              <w:rPr>
                <w:rFonts w:ascii="Times New Roman" w:eastAsia="Times New Roman" w:hAnsi="Times New Roman" w:cs="Times New Roman"/>
                <w:sz w:val="22"/>
                <w:szCs w:val="21"/>
              </w:rPr>
            </w:pPr>
            <w:r w:rsidRPr="00C15191">
              <w:rPr>
                <w:rFonts w:ascii="Times New Roman" w:eastAsia="Times New Roman" w:hAnsi="Times New Roman" w:cs="Times New Roman"/>
                <w:sz w:val="22"/>
                <w:szCs w:val="21"/>
              </w:rPr>
              <w:t>Wyniki konsultacji publicznych i opiniowania zosta</w:t>
            </w:r>
            <w:r w:rsidR="00875977">
              <w:rPr>
                <w:rFonts w:ascii="Times New Roman" w:eastAsia="Times New Roman" w:hAnsi="Times New Roman" w:cs="Times New Roman"/>
                <w:sz w:val="22"/>
                <w:szCs w:val="21"/>
              </w:rPr>
              <w:t>ły</w:t>
            </w:r>
            <w:r w:rsidRPr="00C15191">
              <w:rPr>
                <w:rFonts w:ascii="Times New Roman" w:eastAsia="Times New Roman" w:hAnsi="Times New Roman" w:cs="Times New Roman"/>
                <w:sz w:val="22"/>
                <w:szCs w:val="21"/>
              </w:rPr>
              <w:t xml:space="preserve"> omówione w raporcie z konsultacji</w:t>
            </w:r>
            <w:r w:rsidR="00752E16">
              <w:rPr>
                <w:rFonts w:ascii="Times New Roman" w:eastAsia="Times New Roman" w:hAnsi="Times New Roman" w:cs="Times New Roman"/>
                <w:sz w:val="22"/>
                <w:szCs w:val="21"/>
              </w:rPr>
              <w:t xml:space="preserve"> </w:t>
            </w:r>
            <w:r w:rsidRPr="00C15191">
              <w:rPr>
                <w:rFonts w:ascii="Times New Roman" w:eastAsia="Times New Roman" w:hAnsi="Times New Roman" w:cs="Times New Roman"/>
                <w:sz w:val="22"/>
                <w:szCs w:val="21"/>
              </w:rPr>
              <w:t>udostępniony</w:t>
            </w:r>
            <w:r w:rsidR="00752E16">
              <w:rPr>
                <w:rFonts w:ascii="Times New Roman" w:eastAsia="Times New Roman" w:hAnsi="Times New Roman" w:cs="Times New Roman"/>
                <w:sz w:val="22"/>
                <w:szCs w:val="21"/>
              </w:rPr>
              <w:t>m</w:t>
            </w:r>
            <w:r w:rsidRPr="00C15191">
              <w:rPr>
                <w:rFonts w:ascii="Times New Roman" w:eastAsia="Times New Roman" w:hAnsi="Times New Roman" w:cs="Times New Roman"/>
                <w:sz w:val="22"/>
                <w:szCs w:val="21"/>
              </w:rPr>
              <w:t xml:space="preserve"> w Biuletynie Informacji Publicznej </w:t>
            </w:r>
            <w:proofErr w:type="spellStart"/>
            <w:r w:rsidR="00875977">
              <w:rPr>
                <w:rFonts w:ascii="Times New Roman" w:eastAsia="Times New Roman" w:hAnsi="Times New Roman" w:cs="Times New Roman"/>
                <w:sz w:val="22"/>
                <w:szCs w:val="21"/>
              </w:rPr>
              <w:t>MFiPR</w:t>
            </w:r>
            <w:proofErr w:type="spellEnd"/>
            <w:r w:rsidR="00875977">
              <w:rPr>
                <w:rFonts w:ascii="Times New Roman" w:eastAsia="Times New Roman" w:hAnsi="Times New Roman" w:cs="Times New Roman"/>
                <w:sz w:val="22"/>
                <w:szCs w:val="21"/>
              </w:rPr>
              <w:t xml:space="preserve"> </w:t>
            </w:r>
            <w:r w:rsidR="00AC2258">
              <w:rPr>
                <w:rFonts w:ascii="Times New Roman" w:hAnsi="Times New Roman" w:cs="Times New Roman"/>
                <w:sz w:val="22"/>
                <w:szCs w:val="22"/>
              </w:rPr>
              <w:t xml:space="preserve">oraz </w:t>
            </w:r>
            <w:r w:rsidRPr="00C15191">
              <w:rPr>
                <w:rFonts w:ascii="Times New Roman" w:eastAsia="Times New Roman" w:hAnsi="Times New Roman" w:cs="Times New Roman"/>
                <w:sz w:val="22"/>
                <w:szCs w:val="21"/>
              </w:rPr>
              <w:t>na stronie podmiotowej Rządowego Centrum Legislacji, w serwisie Rządowy Proces Legislacyjny.</w:t>
            </w:r>
          </w:p>
          <w:p w14:paraId="6653EC61" w14:textId="00488CED" w:rsidR="00AC2258" w:rsidRDefault="00AC2258" w:rsidP="00FB5E0E">
            <w:pPr>
              <w:pStyle w:val="USTustnpkodeksu"/>
              <w:spacing w:line="240" w:lineRule="auto"/>
              <w:ind w:firstLine="0"/>
              <w:rPr>
                <w:rFonts w:ascii="Times New Roman" w:hAnsi="Times New Roman" w:cs="Times New Roman"/>
                <w:sz w:val="22"/>
                <w:szCs w:val="22"/>
              </w:rPr>
            </w:pPr>
            <w:r w:rsidRPr="00AC2258">
              <w:rPr>
                <w:rFonts w:ascii="Times New Roman" w:hAnsi="Times New Roman" w:cs="Times New Roman"/>
                <w:sz w:val="22"/>
                <w:szCs w:val="22"/>
              </w:rPr>
              <w:t>Projekt ustawy zgodnie z art. 5 ustawy z dnia 7 lipca 2005</w:t>
            </w:r>
            <w:r w:rsidR="00752E16">
              <w:rPr>
                <w:rFonts w:ascii="Times New Roman" w:hAnsi="Times New Roman" w:cs="Times New Roman"/>
                <w:sz w:val="22"/>
                <w:szCs w:val="22"/>
              </w:rPr>
              <w:t> </w:t>
            </w:r>
            <w:r w:rsidRPr="00AC2258">
              <w:rPr>
                <w:rFonts w:ascii="Times New Roman" w:hAnsi="Times New Roman" w:cs="Times New Roman"/>
                <w:sz w:val="22"/>
                <w:szCs w:val="22"/>
              </w:rPr>
              <w:t xml:space="preserve">r. o działalności lobbingowej w procesie stanowienia prawa </w:t>
            </w:r>
            <w:r w:rsidR="00125298">
              <w:rPr>
                <w:rFonts w:ascii="Times New Roman" w:hAnsi="Times New Roman" w:cs="Times New Roman"/>
                <w:sz w:val="22"/>
                <w:szCs w:val="22"/>
              </w:rPr>
              <w:br/>
            </w:r>
            <w:r w:rsidRPr="00AC2258">
              <w:rPr>
                <w:rFonts w:ascii="Times New Roman" w:hAnsi="Times New Roman" w:cs="Times New Roman"/>
                <w:sz w:val="22"/>
                <w:szCs w:val="22"/>
              </w:rPr>
              <w:t>(Dz. U. z 2017 r. poz. 248) oraz § 52 ust. 1 uchwały nr 190 Rady Ministrów z dnia 29 października 2013</w:t>
            </w:r>
            <w:r w:rsidR="00752E16">
              <w:rPr>
                <w:rFonts w:ascii="Times New Roman" w:hAnsi="Times New Roman" w:cs="Times New Roman"/>
                <w:sz w:val="22"/>
                <w:szCs w:val="22"/>
              </w:rPr>
              <w:t> </w:t>
            </w:r>
            <w:r w:rsidRPr="00AC2258">
              <w:rPr>
                <w:rFonts w:ascii="Times New Roman" w:hAnsi="Times New Roman" w:cs="Times New Roman"/>
                <w:sz w:val="22"/>
                <w:szCs w:val="22"/>
              </w:rPr>
              <w:t>r. – Regulamin pracy Rady Ministrów (M.P. z 20</w:t>
            </w:r>
            <w:r w:rsidR="003D5200">
              <w:rPr>
                <w:rFonts w:ascii="Times New Roman" w:hAnsi="Times New Roman" w:cs="Times New Roman"/>
                <w:sz w:val="22"/>
                <w:szCs w:val="22"/>
              </w:rPr>
              <w:t>22</w:t>
            </w:r>
            <w:r w:rsidRPr="00AC2258">
              <w:rPr>
                <w:rFonts w:ascii="Times New Roman" w:hAnsi="Times New Roman" w:cs="Times New Roman"/>
                <w:sz w:val="22"/>
                <w:szCs w:val="22"/>
              </w:rPr>
              <w:t xml:space="preserve"> r. poz. </w:t>
            </w:r>
            <w:r w:rsidR="003D5200">
              <w:rPr>
                <w:rFonts w:ascii="Times New Roman" w:hAnsi="Times New Roman" w:cs="Times New Roman"/>
                <w:sz w:val="22"/>
                <w:szCs w:val="22"/>
              </w:rPr>
              <w:t>348</w:t>
            </w:r>
            <w:r w:rsidRPr="00AC2258">
              <w:rPr>
                <w:rFonts w:ascii="Times New Roman" w:hAnsi="Times New Roman" w:cs="Times New Roman"/>
                <w:sz w:val="22"/>
                <w:szCs w:val="22"/>
              </w:rPr>
              <w:t>) został udostępniony w Biuletynie Informacji Publicznej Ministerstwa Funduszy i Polityki Regionalnej oraz na stronie podmiotowej Rządowego Centrum Legislacji, w serwisie Rządowy Proces Legislacyjny.</w:t>
            </w:r>
          </w:p>
          <w:p w14:paraId="179B6465" w14:textId="4124D228" w:rsidR="00125298" w:rsidRPr="00AC2258" w:rsidRDefault="00AF2637" w:rsidP="00AF2637">
            <w:pPr>
              <w:pStyle w:val="NormalnyWeb"/>
              <w:spacing w:before="0" w:beforeAutospacing="0"/>
              <w:rPr>
                <w:sz w:val="22"/>
                <w:szCs w:val="22"/>
              </w:rPr>
            </w:pPr>
            <w:r w:rsidRPr="00AF2637">
              <w:rPr>
                <w:sz w:val="22"/>
                <w:szCs w:val="22"/>
              </w:rPr>
              <w:t xml:space="preserve">Nie zgłoszono zainteresowania pracami nad projektem w trybie przepisów o działalności lobbingowej w procesie stanowienia prawa. </w:t>
            </w:r>
          </w:p>
        </w:tc>
      </w:tr>
      <w:tr w:rsidR="00EC4C5C" w14:paraId="20B2FA3C" w14:textId="77777777" w:rsidTr="00757542">
        <w:trPr>
          <w:trHeight w:val="363"/>
        </w:trPr>
        <w:tc>
          <w:tcPr>
            <w:tcW w:w="10947" w:type="dxa"/>
            <w:gridSpan w:val="29"/>
            <w:shd w:val="clear" w:color="auto" w:fill="99CCFF"/>
            <w:vAlign w:val="center"/>
          </w:tcPr>
          <w:p w14:paraId="74C0BA2B" w14:textId="77777777" w:rsidR="00342742" w:rsidRPr="00F26D4C" w:rsidRDefault="00112BFC"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6. </w:t>
            </w:r>
            <w:r w:rsidR="00515863">
              <w:rPr>
                <w:rFonts w:ascii="Times New Roman" w:eastAsia="Times New Roman" w:hAnsi="Times New Roman" w:cs="Times New Roman"/>
                <w:b/>
                <w:color w:val="000000"/>
                <w:sz w:val="22"/>
                <w:szCs w:val="22"/>
              </w:rPr>
              <w:t>Wpływ na sektor finansów publicznych</w:t>
            </w:r>
          </w:p>
        </w:tc>
      </w:tr>
      <w:tr w:rsidR="00EC4C5C" w14:paraId="27B076A9" w14:textId="77777777" w:rsidTr="00757542">
        <w:trPr>
          <w:trHeight w:val="142"/>
        </w:trPr>
        <w:tc>
          <w:tcPr>
            <w:tcW w:w="3133" w:type="dxa"/>
            <w:gridSpan w:val="4"/>
            <w:vMerge w:val="restart"/>
            <w:shd w:val="clear" w:color="auto" w:fill="FFFFFF"/>
          </w:tcPr>
          <w:p w14:paraId="0D3697F5" w14:textId="77777777" w:rsidR="00EC4C5C" w:rsidRDefault="00515863" w:rsidP="00CA456E">
            <w:pPr>
              <w:pBdr>
                <w:top w:val="nil"/>
                <w:left w:val="nil"/>
                <w:bottom w:val="nil"/>
                <w:right w:val="nil"/>
                <w:between w:val="nil"/>
              </w:pBdr>
              <w:spacing w:before="40" w:after="4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(ceny stałe z</w:t>
            </w:r>
            <w:r w:rsidR="00CA456E">
              <w:rPr>
                <w:rFonts w:ascii="Times New Roman" w:eastAsia="Times New Roman" w:hAnsi="Times New Roman" w:cs="Times New Roman"/>
                <w:color w:val="000000"/>
                <w:sz w:val="21"/>
                <w:szCs w:val="21"/>
              </w:rPr>
              <w:t xml:space="preserve"> 2020</w:t>
            </w:r>
            <w:r>
              <w:rPr>
                <w:rFonts w:ascii="Times New Roman" w:eastAsia="Times New Roman" w:hAnsi="Times New Roman" w:cs="Times New Roman"/>
                <w:color w:val="000000"/>
                <w:sz w:val="21"/>
                <w:szCs w:val="21"/>
              </w:rPr>
              <w:t xml:space="preserve"> r.)</w:t>
            </w:r>
          </w:p>
        </w:tc>
        <w:tc>
          <w:tcPr>
            <w:tcW w:w="7814" w:type="dxa"/>
            <w:gridSpan w:val="25"/>
            <w:shd w:val="clear" w:color="auto" w:fill="FFFFFF"/>
          </w:tcPr>
          <w:p w14:paraId="02704269" w14:textId="77777777" w:rsidR="00EC4C5C" w:rsidRDefault="00515863">
            <w:pPr>
              <w:pBdr>
                <w:top w:val="nil"/>
                <w:left w:val="nil"/>
                <w:bottom w:val="nil"/>
                <w:right w:val="nil"/>
                <w:between w:val="nil"/>
              </w:pBdr>
              <w:spacing w:before="40" w:after="4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Skutki w okresie 10 lat od wejścia w życie zmian [mln zł]</w:t>
            </w:r>
          </w:p>
        </w:tc>
      </w:tr>
      <w:tr w:rsidR="00EB79F1" w14:paraId="38BCA76B" w14:textId="77777777">
        <w:trPr>
          <w:trHeight w:val="142"/>
        </w:trPr>
        <w:tc>
          <w:tcPr>
            <w:tcW w:w="3133" w:type="dxa"/>
            <w:gridSpan w:val="4"/>
            <w:vMerge/>
            <w:shd w:val="clear" w:color="auto" w:fill="FFFFFF"/>
          </w:tcPr>
          <w:p w14:paraId="37C4F3EF"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569" w:type="dxa"/>
            <w:gridSpan w:val="2"/>
            <w:shd w:val="clear" w:color="auto" w:fill="FFFFFF"/>
          </w:tcPr>
          <w:p w14:paraId="19CEEDB2"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w:t>
            </w:r>
          </w:p>
        </w:tc>
        <w:tc>
          <w:tcPr>
            <w:tcW w:w="570" w:type="dxa"/>
            <w:gridSpan w:val="2"/>
            <w:shd w:val="clear" w:color="auto" w:fill="FFFFFF"/>
          </w:tcPr>
          <w:p w14:paraId="32817F49"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570" w:type="dxa"/>
            <w:gridSpan w:val="2"/>
            <w:shd w:val="clear" w:color="auto" w:fill="FFFFFF"/>
          </w:tcPr>
          <w:p w14:paraId="2CFCE126"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569" w:type="dxa"/>
            <w:gridSpan w:val="3"/>
            <w:shd w:val="clear" w:color="auto" w:fill="FFFFFF"/>
          </w:tcPr>
          <w:p w14:paraId="7C56292C"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570" w:type="dxa"/>
            <w:gridSpan w:val="2"/>
            <w:shd w:val="clear" w:color="auto" w:fill="FFFFFF"/>
          </w:tcPr>
          <w:p w14:paraId="107669EF"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570" w:type="dxa"/>
            <w:shd w:val="clear" w:color="auto" w:fill="FFFFFF"/>
          </w:tcPr>
          <w:p w14:paraId="29CAAD7F"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570" w:type="dxa"/>
            <w:gridSpan w:val="3"/>
            <w:shd w:val="clear" w:color="auto" w:fill="FFFFFF"/>
          </w:tcPr>
          <w:p w14:paraId="5F6EB967"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569" w:type="dxa"/>
            <w:gridSpan w:val="3"/>
            <w:shd w:val="clear" w:color="auto" w:fill="FFFFFF"/>
          </w:tcPr>
          <w:p w14:paraId="35CB7D35"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570" w:type="dxa"/>
            <w:gridSpan w:val="2"/>
            <w:shd w:val="clear" w:color="auto" w:fill="FFFFFF"/>
          </w:tcPr>
          <w:p w14:paraId="5A8F3D75"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570" w:type="dxa"/>
            <w:gridSpan w:val="2"/>
            <w:shd w:val="clear" w:color="auto" w:fill="FFFFFF"/>
          </w:tcPr>
          <w:p w14:paraId="44359E3A"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570" w:type="dxa"/>
            <w:shd w:val="clear" w:color="auto" w:fill="FFFFFF"/>
          </w:tcPr>
          <w:p w14:paraId="5803E00D"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1547" w:type="dxa"/>
            <w:gridSpan w:val="2"/>
            <w:shd w:val="clear" w:color="auto" w:fill="FFFFFF"/>
          </w:tcPr>
          <w:p w14:paraId="27B7296B" w14:textId="77777777" w:rsidR="00EC4C5C" w:rsidRDefault="00515863">
            <w:pPr>
              <w:pBdr>
                <w:top w:val="nil"/>
                <w:left w:val="nil"/>
                <w:bottom w:val="nil"/>
                <w:right w:val="nil"/>
                <w:between w:val="nil"/>
              </w:pBdr>
              <w:spacing w:before="40" w:after="40"/>
              <w:jc w:val="center"/>
              <w:rPr>
                <w:rFonts w:ascii="Times New Roman" w:eastAsia="Times New Roman" w:hAnsi="Times New Roman" w:cs="Times New Roman"/>
                <w:color w:val="000000"/>
                <w:sz w:val="21"/>
                <w:szCs w:val="21"/>
              </w:rPr>
            </w:pPr>
            <w:r>
              <w:rPr>
                <w:rFonts w:ascii="Times New Roman" w:eastAsia="Times New Roman" w:hAnsi="Times New Roman" w:cs="Times New Roman"/>
                <w:i/>
                <w:color w:val="000000"/>
                <w:sz w:val="21"/>
                <w:szCs w:val="21"/>
              </w:rPr>
              <w:t>Łącznie (0-10)</w:t>
            </w:r>
          </w:p>
        </w:tc>
      </w:tr>
      <w:tr w:rsidR="00EB79F1" w14:paraId="1C7AE666" w14:textId="77777777">
        <w:trPr>
          <w:trHeight w:val="321"/>
        </w:trPr>
        <w:tc>
          <w:tcPr>
            <w:tcW w:w="3133" w:type="dxa"/>
            <w:gridSpan w:val="4"/>
            <w:shd w:val="clear" w:color="auto" w:fill="FFFFFF"/>
            <w:vAlign w:val="center"/>
          </w:tcPr>
          <w:p w14:paraId="386F7A87"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Dochody ogółem</w:t>
            </w:r>
          </w:p>
        </w:tc>
        <w:tc>
          <w:tcPr>
            <w:tcW w:w="569" w:type="dxa"/>
            <w:gridSpan w:val="2"/>
            <w:shd w:val="clear" w:color="auto" w:fill="FFFFFF"/>
          </w:tcPr>
          <w:p w14:paraId="27BC71E6"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036A4AC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1FC2FC4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1653DBD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2A24E67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64A9977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59250B0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D24A7A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02401CD8"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709F2B0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2543DF2E"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37D5B48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7F2160B8" w14:textId="77777777">
        <w:trPr>
          <w:trHeight w:val="321"/>
        </w:trPr>
        <w:tc>
          <w:tcPr>
            <w:tcW w:w="3133" w:type="dxa"/>
            <w:gridSpan w:val="4"/>
            <w:shd w:val="clear" w:color="auto" w:fill="FFFFFF"/>
            <w:vAlign w:val="center"/>
          </w:tcPr>
          <w:p w14:paraId="31E5A49B"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budżet państwa</w:t>
            </w:r>
          </w:p>
        </w:tc>
        <w:tc>
          <w:tcPr>
            <w:tcW w:w="569" w:type="dxa"/>
            <w:gridSpan w:val="2"/>
            <w:shd w:val="clear" w:color="auto" w:fill="FFFFFF"/>
          </w:tcPr>
          <w:p w14:paraId="51E8A812"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6584AB9B"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2DB836D2"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0F1BE42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3C0C085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34A9454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5CD393C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3BDA059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3615AE8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78D532C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2608FB6B"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41A2018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1986D745" w14:textId="77777777">
        <w:trPr>
          <w:trHeight w:val="344"/>
        </w:trPr>
        <w:tc>
          <w:tcPr>
            <w:tcW w:w="3133" w:type="dxa"/>
            <w:gridSpan w:val="4"/>
            <w:shd w:val="clear" w:color="auto" w:fill="FFFFFF"/>
            <w:vAlign w:val="center"/>
          </w:tcPr>
          <w:p w14:paraId="3E887A64"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JST</w:t>
            </w:r>
          </w:p>
        </w:tc>
        <w:tc>
          <w:tcPr>
            <w:tcW w:w="569" w:type="dxa"/>
            <w:gridSpan w:val="2"/>
            <w:shd w:val="clear" w:color="auto" w:fill="FFFFFF"/>
          </w:tcPr>
          <w:p w14:paraId="14CC186F"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74D2267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3D19F899"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2862D1F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721C9B2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4E7A405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43039449"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B5C9B51"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2ABF7AB9"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0ED3CE4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6E9CF658"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16A38089"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7FCD098D" w14:textId="77777777">
        <w:trPr>
          <w:trHeight w:val="344"/>
        </w:trPr>
        <w:tc>
          <w:tcPr>
            <w:tcW w:w="3133" w:type="dxa"/>
            <w:gridSpan w:val="4"/>
            <w:shd w:val="clear" w:color="auto" w:fill="FFFFFF"/>
            <w:vAlign w:val="center"/>
          </w:tcPr>
          <w:p w14:paraId="64FD4130"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pozostałe jednostki (oddzielnie)</w:t>
            </w:r>
          </w:p>
        </w:tc>
        <w:tc>
          <w:tcPr>
            <w:tcW w:w="569" w:type="dxa"/>
            <w:gridSpan w:val="2"/>
            <w:shd w:val="clear" w:color="auto" w:fill="FFFFFF"/>
          </w:tcPr>
          <w:p w14:paraId="62BAC772"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328247AB"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4B042A2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9D15156"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6E2A3B2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652C9BE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7B65476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7702E0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25A1A738"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4598D481"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131D2571"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60322BF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2409A78C" w14:textId="77777777">
        <w:trPr>
          <w:trHeight w:val="330"/>
        </w:trPr>
        <w:tc>
          <w:tcPr>
            <w:tcW w:w="3133" w:type="dxa"/>
            <w:gridSpan w:val="4"/>
            <w:shd w:val="clear" w:color="auto" w:fill="FFFFFF"/>
            <w:vAlign w:val="center"/>
          </w:tcPr>
          <w:p w14:paraId="77F46539"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Wydatki ogółem</w:t>
            </w:r>
          </w:p>
        </w:tc>
        <w:tc>
          <w:tcPr>
            <w:tcW w:w="569" w:type="dxa"/>
            <w:gridSpan w:val="2"/>
            <w:shd w:val="clear" w:color="auto" w:fill="FFFFFF"/>
          </w:tcPr>
          <w:p w14:paraId="75DC3769"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1C46B32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5F53AA52"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27B9ECC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22BC36E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299200E6"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61394301"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6CCC7A31"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7B789B2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5CE593B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6E60BE4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106F973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1A60CC" w14:paraId="6A5C689F" w14:textId="77777777">
        <w:trPr>
          <w:trHeight w:val="330"/>
        </w:trPr>
        <w:tc>
          <w:tcPr>
            <w:tcW w:w="3133" w:type="dxa"/>
            <w:gridSpan w:val="4"/>
            <w:shd w:val="clear" w:color="auto" w:fill="FFFFFF"/>
            <w:vAlign w:val="center"/>
          </w:tcPr>
          <w:p w14:paraId="216D7C07"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budżet państwa</w:t>
            </w:r>
          </w:p>
        </w:tc>
        <w:tc>
          <w:tcPr>
            <w:tcW w:w="569" w:type="dxa"/>
            <w:gridSpan w:val="2"/>
            <w:shd w:val="clear" w:color="auto" w:fill="FFFFFF"/>
          </w:tcPr>
          <w:p w14:paraId="003BEE0A" w14:textId="77777777" w:rsidR="001A60CC" w:rsidRDefault="001A60CC" w:rsidP="001A60CC">
            <w:pP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1627B2C7"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1A60CC">
              <w:rPr>
                <w:rFonts w:ascii="Times New Roman" w:eastAsia="Times New Roman" w:hAnsi="Times New Roman" w:cs="Times New Roman"/>
                <w:color w:val="000000"/>
                <w:sz w:val="21"/>
                <w:szCs w:val="21"/>
              </w:rPr>
              <w:t>0,0</w:t>
            </w:r>
          </w:p>
        </w:tc>
        <w:tc>
          <w:tcPr>
            <w:tcW w:w="570" w:type="dxa"/>
            <w:gridSpan w:val="2"/>
            <w:shd w:val="clear" w:color="auto" w:fill="FFFFFF"/>
          </w:tcPr>
          <w:p w14:paraId="0C02382A"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1A60CC">
              <w:rPr>
                <w:rFonts w:ascii="Times New Roman" w:eastAsia="Times New Roman" w:hAnsi="Times New Roman" w:cs="Times New Roman"/>
                <w:color w:val="000000"/>
                <w:sz w:val="21"/>
                <w:szCs w:val="21"/>
              </w:rPr>
              <w:t>0,0</w:t>
            </w:r>
          </w:p>
        </w:tc>
        <w:tc>
          <w:tcPr>
            <w:tcW w:w="569" w:type="dxa"/>
            <w:gridSpan w:val="3"/>
            <w:shd w:val="clear" w:color="auto" w:fill="FFFFFF"/>
          </w:tcPr>
          <w:p w14:paraId="4C316A1F"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1A60CC">
              <w:rPr>
                <w:rFonts w:ascii="Times New Roman" w:eastAsia="Times New Roman" w:hAnsi="Times New Roman" w:cs="Times New Roman"/>
                <w:color w:val="000000"/>
                <w:sz w:val="21"/>
                <w:szCs w:val="21"/>
              </w:rPr>
              <w:t>0,0</w:t>
            </w:r>
          </w:p>
        </w:tc>
        <w:tc>
          <w:tcPr>
            <w:tcW w:w="570" w:type="dxa"/>
            <w:gridSpan w:val="2"/>
            <w:shd w:val="clear" w:color="auto" w:fill="FFFFFF"/>
          </w:tcPr>
          <w:p w14:paraId="1EC10282"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1A60CC">
              <w:rPr>
                <w:rFonts w:ascii="Times New Roman" w:eastAsia="Times New Roman" w:hAnsi="Times New Roman" w:cs="Times New Roman"/>
                <w:color w:val="000000"/>
                <w:sz w:val="21"/>
                <w:szCs w:val="21"/>
              </w:rPr>
              <w:t>0,0</w:t>
            </w:r>
          </w:p>
        </w:tc>
        <w:tc>
          <w:tcPr>
            <w:tcW w:w="570" w:type="dxa"/>
            <w:shd w:val="clear" w:color="auto" w:fill="FFFFFF"/>
          </w:tcPr>
          <w:p w14:paraId="6D89F9B5"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1A60CC">
              <w:rPr>
                <w:rFonts w:ascii="Times New Roman" w:eastAsia="Times New Roman" w:hAnsi="Times New Roman" w:cs="Times New Roman"/>
                <w:color w:val="000000"/>
                <w:sz w:val="21"/>
                <w:szCs w:val="21"/>
              </w:rPr>
              <w:t>0,0</w:t>
            </w:r>
          </w:p>
        </w:tc>
        <w:tc>
          <w:tcPr>
            <w:tcW w:w="570" w:type="dxa"/>
            <w:gridSpan w:val="3"/>
            <w:shd w:val="clear" w:color="auto" w:fill="FFFFFF"/>
          </w:tcPr>
          <w:p w14:paraId="613D95B4"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1A60CC">
              <w:rPr>
                <w:rFonts w:ascii="Times New Roman" w:eastAsia="Times New Roman" w:hAnsi="Times New Roman" w:cs="Times New Roman"/>
                <w:color w:val="000000"/>
                <w:sz w:val="21"/>
                <w:szCs w:val="21"/>
              </w:rPr>
              <w:t>0,0</w:t>
            </w:r>
          </w:p>
        </w:tc>
        <w:tc>
          <w:tcPr>
            <w:tcW w:w="569" w:type="dxa"/>
            <w:gridSpan w:val="3"/>
            <w:shd w:val="clear" w:color="auto" w:fill="FFFFFF"/>
          </w:tcPr>
          <w:p w14:paraId="12A50B76"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60B56503"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29F1184E"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shd w:val="clear" w:color="auto" w:fill="FFFFFF"/>
          </w:tcPr>
          <w:p w14:paraId="213E379D"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1547" w:type="dxa"/>
            <w:gridSpan w:val="2"/>
            <w:shd w:val="clear" w:color="auto" w:fill="FFFFFF"/>
          </w:tcPr>
          <w:p w14:paraId="6AE83C41"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r>
      <w:tr w:rsidR="00EB79F1" w14:paraId="0C9EA4C9" w14:textId="77777777">
        <w:trPr>
          <w:trHeight w:val="351"/>
        </w:trPr>
        <w:tc>
          <w:tcPr>
            <w:tcW w:w="3133" w:type="dxa"/>
            <w:gridSpan w:val="4"/>
            <w:shd w:val="clear" w:color="auto" w:fill="FFFFFF"/>
            <w:vAlign w:val="center"/>
          </w:tcPr>
          <w:p w14:paraId="762681E3"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JST</w:t>
            </w:r>
          </w:p>
        </w:tc>
        <w:tc>
          <w:tcPr>
            <w:tcW w:w="569" w:type="dxa"/>
            <w:gridSpan w:val="2"/>
            <w:shd w:val="clear" w:color="auto" w:fill="FFFFFF"/>
          </w:tcPr>
          <w:p w14:paraId="3E51D168" w14:textId="77777777" w:rsidR="00EC4C5C" w:rsidRDefault="006B4DE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w:t>
            </w:r>
          </w:p>
        </w:tc>
        <w:tc>
          <w:tcPr>
            <w:tcW w:w="570" w:type="dxa"/>
            <w:gridSpan w:val="2"/>
            <w:shd w:val="clear" w:color="auto" w:fill="FFFFFF"/>
          </w:tcPr>
          <w:p w14:paraId="63DB6B01" w14:textId="77777777" w:rsidR="00EC4C5C" w:rsidRDefault="00DF36DE" w:rsidP="0039662B">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w:t>
            </w:r>
            <w:r w:rsidR="0039662B">
              <w:rPr>
                <w:rFonts w:ascii="Times New Roman" w:eastAsia="Times New Roman" w:hAnsi="Times New Roman" w:cs="Times New Roman"/>
                <w:color w:val="000000"/>
                <w:sz w:val="21"/>
                <w:szCs w:val="21"/>
              </w:rPr>
              <w:t>,0</w:t>
            </w:r>
          </w:p>
        </w:tc>
        <w:tc>
          <w:tcPr>
            <w:tcW w:w="570" w:type="dxa"/>
            <w:gridSpan w:val="2"/>
            <w:shd w:val="clear" w:color="auto" w:fill="FFFFFF"/>
          </w:tcPr>
          <w:p w14:paraId="73A4F89A"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69" w:type="dxa"/>
            <w:gridSpan w:val="3"/>
            <w:shd w:val="clear" w:color="auto" w:fill="FFFFFF"/>
          </w:tcPr>
          <w:p w14:paraId="1AE213B9"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gridSpan w:val="2"/>
            <w:shd w:val="clear" w:color="auto" w:fill="FFFFFF"/>
          </w:tcPr>
          <w:p w14:paraId="6E1B69B6"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shd w:val="clear" w:color="auto" w:fill="FFFFFF"/>
          </w:tcPr>
          <w:p w14:paraId="2CB34C3A"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gridSpan w:val="3"/>
            <w:shd w:val="clear" w:color="auto" w:fill="FFFFFF"/>
          </w:tcPr>
          <w:p w14:paraId="75801021"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69" w:type="dxa"/>
            <w:gridSpan w:val="3"/>
            <w:shd w:val="clear" w:color="auto" w:fill="FFFFFF"/>
          </w:tcPr>
          <w:p w14:paraId="4CF7B1A2"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gridSpan w:val="2"/>
            <w:shd w:val="clear" w:color="auto" w:fill="FFFFFF"/>
          </w:tcPr>
          <w:p w14:paraId="55666034"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gridSpan w:val="2"/>
            <w:shd w:val="clear" w:color="auto" w:fill="FFFFFF"/>
          </w:tcPr>
          <w:p w14:paraId="53858840"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shd w:val="clear" w:color="auto" w:fill="FFFFFF"/>
          </w:tcPr>
          <w:p w14:paraId="44C8E587"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1547" w:type="dxa"/>
            <w:gridSpan w:val="2"/>
            <w:shd w:val="clear" w:color="auto" w:fill="FFFFFF"/>
          </w:tcPr>
          <w:p w14:paraId="6A1A438F"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r>
      <w:tr w:rsidR="00EB79F1" w14:paraId="4E6BDB6B" w14:textId="77777777">
        <w:trPr>
          <w:trHeight w:val="351"/>
        </w:trPr>
        <w:tc>
          <w:tcPr>
            <w:tcW w:w="3133" w:type="dxa"/>
            <w:gridSpan w:val="4"/>
            <w:shd w:val="clear" w:color="auto" w:fill="FFFFFF"/>
            <w:vAlign w:val="center"/>
          </w:tcPr>
          <w:p w14:paraId="3D2472B6"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pozostałe jednostki (oddzielnie)</w:t>
            </w:r>
          </w:p>
        </w:tc>
        <w:tc>
          <w:tcPr>
            <w:tcW w:w="569" w:type="dxa"/>
            <w:gridSpan w:val="2"/>
            <w:shd w:val="clear" w:color="auto" w:fill="FFFFFF"/>
          </w:tcPr>
          <w:p w14:paraId="3A5172BB" w14:textId="77777777" w:rsidR="00EC4C5C" w:rsidRDefault="006B4DE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w:t>
            </w:r>
          </w:p>
        </w:tc>
        <w:tc>
          <w:tcPr>
            <w:tcW w:w="570" w:type="dxa"/>
            <w:gridSpan w:val="2"/>
            <w:shd w:val="clear" w:color="auto" w:fill="FFFFFF"/>
          </w:tcPr>
          <w:p w14:paraId="61AB35C4" w14:textId="77777777" w:rsidR="00EC4C5C" w:rsidRDefault="0039662B">
            <w:pPr>
              <w:pBdr>
                <w:top w:val="nil"/>
                <w:left w:val="nil"/>
                <w:bottom w:val="nil"/>
                <w:right w:val="nil"/>
                <w:between w:val="nil"/>
              </w:pBdr>
              <w:rPr>
                <w:rFonts w:ascii="Times New Roman" w:eastAsia="Times New Roman" w:hAnsi="Times New Roman" w:cs="Times New Roman"/>
                <w:color w:val="000000"/>
                <w:sz w:val="21"/>
                <w:szCs w:val="21"/>
              </w:rPr>
            </w:pPr>
            <w:r w:rsidRPr="0039662B">
              <w:rPr>
                <w:rFonts w:ascii="Times New Roman" w:eastAsia="Times New Roman" w:hAnsi="Times New Roman" w:cs="Times New Roman"/>
                <w:color w:val="000000"/>
                <w:sz w:val="21"/>
                <w:szCs w:val="21"/>
              </w:rPr>
              <w:t>0,0</w:t>
            </w:r>
          </w:p>
        </w:tc>
        <w:tc>
          <w:tcPr>
            <w:tcW w:w="570" w:type="dxa"/>
            <w:gridSpan w:val="2"/>
            <w:shd w:val="clear" w:color="auto" w:fill="FFFFFF"/>
          </w:tcPr>
          <w:p w14:paraId="003A8523"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69" w:type="dxa"/>
            <w:gridSpan w:val="3"/>
            <w:shd w:val="clear" w:color="auto" w:fill="FFFFFF"/>
          </w:tcPr>
          <w:p w14:paraId="60123687"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70" w:type="dxa"/>
            <w:gridSpan w:val="2"/>
            <w:shd w:val="clear" w:color="auto" w:fill="FFFFFF"/>
          </w:tcPr>
          <w:p w14:paraId="35C2B655"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70" w:type="dxa"/>
            <w:shd w:val="clear" w:color="auto" w:fill="FFFFFF"/>
          </w:tcPr>
          <w:p w14:paraId="09D9A237"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70" w:type="dxa"/>
            <w:gridSpan w:val="3"/>
            <w:shd w:val="clear" w:color="auto" w:fill="FFFFFF"/>
          </w:tcPr>
          <w:p w14:paraId="7D30C875"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69" w:type="dxa"/>
            <w:gridSpan w:val="3"/>
            <w:shd w:val="clear" w:color="auto" w:fill="FFFFFF"/>
          </w:tcPr>
          <w:p w14:paraId="53871E59"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70" w:type="dxa"/>
            <w:gridSpan w:val="2"/>
            <w:shd w:val="clear" w:color="auto" w:fill="FFFFFF"/>
          </w:tcPr>
          <w:p w14:paraId="01A42144"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70" w:type="dxa"/>
            <w:gridSpan w:val="2"/>
            <w:shd w:val="clear" w:color="auto" w:fill="FFFFFF"/>
          </w:tcPr>
          <w:p w14:paraId="109CD485"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570" w:type="dxa"/>
            <w:shd w:val="clear" w:color="auto" w:fill="FFFFFF"/>
          </w:tcPr>
          <w:p w14:paraId="6B91A93D" w14:textId="77777777" w:rsidR="00EC4C5C" w:rsidRDefault="00EA2087">
            <w:pPr>
              <w:pBdr>
                <w:top w:val="nil"/>
                <w:left w:val="nil"/>
                <w:bottom w:val="nil"/>
                <w:right w:val="nil"/>
                <w:between w:val="nil"/>
              </w:pBdr>
              <w:rPr>
                <w:rFonts w:ascii="Times New Roman" w:eastAsia="Times New Roman" w:hAnsi="Times New Roman" w:cs="Times New Roman"/>
                <w:color w:val="000000"/>
                <w:sz w:val="21"/>
                <w:szCs w:val="21"/>
              </w:rPr>
            </w:pPr>
            <w:r w:rsidRPr="00EA2087">
              <w:rPr>
                <w:rFonts w:ascii="Times New Roman" w:eastAsia="Times New Roman" w:hAnsi="Times New Roman" w:cs="Times New Roman"/>
                <w:color w:val="000000"/>
                <w:sz w:val="21"/>
                <w:szCs w:val="21"/>
              </w:rPr>
              <w:t>0,0</w:t>
            </w:r>
          </w:p>
        </w:tc>
        <w:tc>
          <w:tcPr>
            <w:tcW w:w="1547" w:type="dxa"/>
            <w:gridSpan w:val="2"/>
            <w:shd w:val="clear" w:color="auto" w:fill="FFFFFF"/>
          </w:tcPr>
          <w:p w14:paraId="4E1673F8" w14:textId="77777777" w:rsidR="00EC4C5C" w:rsidRDefault="006B4DE6">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w:t>
            </w:r>
          </w:p>
        </w:tc>
      </w:tr>
      <w:tr w:rsidR="001A60CC" w14:paraId="698798A8" w14:textId="77777777">
        <w:trPr>
          <w:trHeight w:val="360"/>
        </w:trPr>
        <w:tc>
          <w:tcPr>
            <w:tcW w:w="3133" w:type="dxa"/>
            <w:gridSpan w:val="4"/>
            <w:shd w:val="clear" w:color="auto" w:fill="FFFFFF"/>
            <w:vAlign w:val="center"/>
          </w:tcPr>
          <w:p w14:paraId="1ACD680C"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Saldo ogółem</w:t>
            </w:r>
          </w:p>
        </w:tc>
        <w:tc>
          <w:tcPr>
            <w:tcW w:w="569" w:type="dxa"/>
            <w:gridSpan w:val="2"/>
            <w:shd w:val="clear" w:color="auto" w:fill="FFFFFF"/>
          </w:tcPr>
          <w:p w14:paraId="551D5579" w14:textId="77777777" w:rsidR="001A60CC" w:rsidRDefault="001A60CC" w:rsidP="001A60CC">
            <w:pP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6164D6E0"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749439FF"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69" w:type="dxa"/>
            <w:gridSpan w:val="3"/>
            <w:shd w:val="clear" w:color="auto" w:fill="FFFFFF"/>
          </w:tcPr>
          <w:p w14:paraId="7581D7AE"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113C2BB8"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shd w:val="clear" w:color="auto" w:fill="FFFFFF"/>
          </w:tcPr>
          <w:p w14:paraId="4C65EEE9"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3"/>
            <w:shd w:val="clear" w:color="auto" w:fill="FFFFFF"/>
          </w:tcPr>
          <w:p w14:paraId="7D8B3BE7"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69" w:type="dxa"/>
            <w:gridSpan w:val="3"/>
            <w:shd w:val="clear" w:color="auto" w:fill="FFFFFF"/>
          </w:tcPr>
          <w:p w14:paraId="61861643"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7010E03A"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gridSpan w:val="2"/>
            <w:shd w:val="clear" w:color="auto" w:fill="FFFFFF"/>
          </w:tcPr>
          <w:p w14:paraId="527713BF"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570" w:type="dxa"/>
            <w:shd w:val="clear" w:color="auto" w:fill="FFFFFF"/>
          </w:tcPr>
          <w:p w14:paraId="3D3D57D6"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c>
          <w:tcPr>
            <w:tcW w:w="1547" w:type="dxa"/>
            <w:gridSpan w:val="2"/>
            <w:shd w:val="clear" w:color="auto" w:fill="FFFFFF"/>
          </w:tcPr>
          <w:p w14:paraId="755F7139" w14:textId="77777777" w:rsidR="001A60CC" w:rsidRDefault="001A60CC" w:rsidP="001A60CC">
            <w:pPr>
              <w:pBdr>
                <w:top w:val="nil"/>
                <w:left w:val="nil"/>
                <w:bottom w:val="nil"/>
                <w:right w:val="nil"/>
                <w:between w:val="nil"/>
              </w:pBdr>
              <w:rPr>
                <w:rFonts w:ascii="Times New Roman" w:eastAsia="Times New Roman" w:hAnsi="Times New Roman" w:cs="Times New Roman"/>
                <w:color w:val="000000"/>
                <w:sz w:val="21"/>
                <w:szCs w:val="21"/>
              </w:rPr>
            </w:pPr>
            <w:r w:rsidRPr="00AE2DC1">
              <w:rPr>
                <w:rFonts w:ascii="Times New Roman" w:eastAsia="Times New Roman" w:hAnsi="Times New Roman" w:cs="Times New Roman"/>
                <w:color w:val="000000"/>
                <w:sz w:val="21"/>
                <w:szCs w:val="21"/>
              </w:rPr>
              <w:t>0,0</w:t>
            </w:r>
          </w:p>
        </w:tc>
      </w:tr>
      <w:tr w:rsidR="00EB79F1" w14:paraId="6A75F6C8" w14:textId="77777777">
        <w:trPr>
          <w:trHeight w:val="360"/>
        </w:trPr>
        <w:tc>
          <w:tcPr>
            <w:tcW w:w="3133" w:type="dxa"/>
            <w:gridSpan w:val="4"/>
            <w:shd w:val="clear" w:color="auto" w:fill="FFFFFF"/>
            <w:vAlign w:val="center"/>
          </w:tcPr>
          <w:p w14:paraId="11F8561A"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budżet państwa</w:t>
            </w:r>
          </w:p>
        </w:tc>
        <w:tc>
          <w:tcPr>
            <w:tcW w:w="569" w:type="dxa"/>
            <w:gridSpan w:val="2"/>
            <w:shd w:val="clear" w:color="auto" w:fill="FFFFFF"/>
          </w:tcPr>
          <w:p w14:paraId="7F0BDA97"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04CDC71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655ACCE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6773080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43075C5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0C6E5C1C"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00D0643C"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55A1FEE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42BCCB18"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5FC8419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208930F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4A278DC1"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5C52BD11" w14:textId="77777777">
        <w:trPr>
          <w:trHeight w:val="357"/>
        </w:trPr>
        <w:tc>
          <w:tcPr>
            <w:tcW w:w="3133" w:type="dxa"/>
            <w:gridSpan w:val="4"/>
            <w:shd w:val="clear" w:color="auto" w:fill="FFFFFF"/>
            <w:vAlign w:val="center"/>
          </w:tcPr>
          <w:p w14:paraId="4A895669"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JST</w:t>
            </w:r>
          </w:p>
        </w:tc>
        <w:tc>
          <w:tcPr>
            <w:tcW w:w="569" w:type="dxa"/>
            <w:gridSpan w:val="2"/>
            <w:shd w:val="clear" w:color="auto" w:fill="FFFFFF"/>
          </w:tcPr>
          <w:p w14:paraId="11C4C85F"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4547B04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6A41ECAE"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E21B017"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6D6D5D3C"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179EC2CE"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40A423F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40581D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1253FD2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3B22F950"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47C3447C"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29271B6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4855694A" w14:textId="77777777">
        <w:trPr>
          <w:trHeight w:val="357"/>
        </w:trPr>
        <w:tc>
          <w:tcPr>
            <w:tcW w:w="3133" w:type="dxa"/>
            <w:gridSpan w:val="4"/>
            <w:shd w:val="clear" w:color="auto" w:fill="FFFFFF"/>
            <w:vAlign w:val="center"/>
          </w:tcPr>
          <w:p w14:paraId="6D2C2B09"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pozostałe jednostki (oddzielnie)</w:t>
            </w:r>
          </w:p>
        </w:tc>
        <w:tc>
          <w:tcPr>
            <w:tcW w:w="569" w:type="dxa"/>
            <w:gridSpan w:val="2"/>
            <w:shd w:val="clear" w:color="auto" w:fill="FFFFFF"/>
          </w:tcPr>
          <w:p w14:paraId="527BEDC2" w14:textId="77777777" w:rsidR="00EC4C5C" w:rsidRDefault="00EC4C5C">
            <w:pPr>
              <w:rPr>
                <w:rFonts w:ascii="Times New Roman" w:eastAsia="Times New Roman" w:hAnsi="Times New Roman" w:cs="Times New Roman"/>
                <w:color w:val="000000"/>
                <w:sz w:val="21"/>
                <w:szCs w:val="21"/>
              </w:rPr>
            </w:pPr>
          </w:p>
        </w:tc>
        <w:tc>
          <w:tcPr>
            <w:tcW w:w="570" w:type="dxa"/>
            <w:gridSpan w:val="2"/>
            <w:shd w:val="clear" w:color="auto" w:fill="FFFFFF"/>
          </w:tcPr>
          <w:p w14:paraId="775CFE1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458DD28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6CD1D11E"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48504A7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4B454D5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3"/>
            <w:shd w:val="clear" w:color="auto" w:fill="FFFFFF"/>
          </w:tcPr>
          <w:p w14:paraId="3CB4A61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69" w:type="dxa"/>
            <w:gridSpan w:val="3"/>
            <w:shd w:val="clear" w:color="auto" w:fill="FFFFFF"/>
          </w:tcPr>
          <w:p w14:paraId="7955D0D8"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6C39E9A6"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gridSpan w:val="2"/>
            <w:shd w:val="clear" w:color="auto" w:fill="FFFFFF"/>
          </w:tcPr>
          <w:p w14:paraId="04C576D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570" w:type="dxa"/>
            <w:shd w:val="clear" w:color="auto" w:fill="FFFFFF"/>
          </w:tcPr>
          <w:p w14:paraId="266C375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547" w:type="dxa"/>
            <w:gridSpan w:val="2"/>
            <w:shd w:val="clear" w:color="auto" w:fill="FFFFFF"/>
          </w:tcPr>
          <w:p w14:paraId="2093273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C4C5C" w14:paraId="20A3D693" w14:textId="77777777" w:rsidTr="004029E8">
        <w:trPr>
          <w:trHeight w:val="348"/>
        </w:trPr>
        <w:tc>
          <w:tcPr>
            <w:tcW w:w="2243" w:type="dxa"/>
            <w:gridSpan w:val="2"/>
            <w:shd w:val="clear" w:color="auto" w:fill="FFFFFF"/>
            <w:vAlign w:val="center"/>
          </w:tcPr>
          <w:p w14:paraId="0FB507B7"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Źródła finansowania </w:t>
            </w:r>
          </w:p>
        </w:tc>
        <w:tc>
          <w:tcPr>
            <w:tcW w:w="8704" w:type="dxa"/>
            <w:gridSpan w:val="27"/>
            <w:shd w:val="clear" w:color="auto" w:fill="FFFFFF"/>
            <w:vAlign w:val="center"/>
          </w:tcPr>
          <w:p w14:paraId="2EF5A410" w14:textId="77777777" w:rsidR="00EC4C5C" w:rsidRPr="00EB79F1" w:rsidRDefault="00824A0D">
            <w:pPr>
              <w:pBdr>
                <w:top w:val="nil"/>
                <w:left w:val="nil"/>
                <w:bottom w:val="nil"/>
                <w:right w:val="nil"/>
                <w:between w:val="nil"/>
              </w:pBdr>
              <w:jc w:val="both"/>
              <w:rPr>
                <w:rFonts w:eastAsia="Times New Roman"/>
                <w:color w:val="000000"/>
                <w:sz w:val="22"/>
                <w:szCs w:val="22"/>
              </w:rPr>
            </w:pPr>
            <w:r>
              <w:rPr>
                <w:rFonts w:ascii="Times New Roman" w:eastAsia="Times New Roman" w:hAnsi="Times New Roman" w:cs="Times New Roman"/>
                <w:color w:val="000000"/>
                <w:sz w:val="22"/>
                <w:szCs w:val="22"/>
              </w:rPr>
              <w:t>f</w:t>
            </w:r>
            <w:r w:rsidR="0077519A" w:rsidRPr="009C553D">
              <w:rPr>
                <w:rFonts w:ascii="Times New Roman" w:eastAsia="Times New Roman" w:hAnsi="Times New Roman" w:cs="Times New Roman"/>
                <w:color w:val="000000"/>
                <w:sz w:val="22"/>
                <w:szCs w:val="22"/>
              </w:rPr>
              <w:t>undusze europejskie</w:t>
            </w:r>
          </w:p>
        </w:tc>
      </w:tr>
      <w:tr w:rsidR="00EC4C5C" w14:paraId="2D690B42" w14:textId="77777777" w:rsidTr="004029E8">
        <w:trPr>
          <w:trHeight w:val="348"/>
        </w:trPr>
        <w:tc>
          <w:tcPr>
            <w:tcW w:w="2243" w:type="dxa"/>
            <w:gridSpan w:val="2"/>
            <w:shd w:val="clear" w:color="auto" w:fill="FFFFFF"/>
            <w:vAlign w:val="center"/>
          </w:tcPr>
          <w:p w14:paraId="486B9A4C" w14:textId="77777777" w:rsidR="00EC4C5C" w:rsidRDefault="00515863" w:rsidP="00FE2ECE">
            <w:pPr>
              <w:spacing w:before="120" w:after="120"/>
              <w:jc w:val="both"/>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 xml:space="preserve">Dochody </w:t>
            </w:r>
          </w:p>
        </w:tc>
        <w:tc>
          <w:tcPr>
            <w:tcW w:w="8704" w:type="dxa"/>
            <w:gridSpan w:val="27"/>
            <w:shd w:val="clear" w:color="auto" w:fill="FFFFFF"/>
            <w:vAlign w:val="center"/>
          </w:tcPr>
          <w:p w14:paraId="630B27BB" w14:textId="7CF720E7" w:rsidR="005914B7" w:rsidRPr="00566F3C" w:rsidRDefault="00201A77" w:rsidP="005914B7">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7C7787">
              <w:rPr>
                <w:rFonts w:ascii="Times New Roman" w:eastAsia="Times New Roman" w:hAnsi="Times New Roman" w:cs="Times New Roman"/>
                <w:sz w:val="22"/>
                <w:szCs w:val="22"/>
              </w:rPr>
              <w:t>Prognozowane są</w:t>
            </w:r>
            <w:r w:rsidR="00515863" w:rsidRPr="00143F5A">
              <w:rPr>
                <w:rFonts w:ascii="Times New Roman" w:eastAsia="Times New Roman" w:hAnsi="Times New Roman" w:cs="Times New Roman"/>
                <w:sz w:val="22"/>
                <w:szCs w:val="22"/>
              </w:rPr>
              <w:t xml:space="preserve"> dochod</w:t>
            </w:r>
            <w:r w:rsidRPr="00143F5A">
              <w:rPr>
                <w:rFonts w:ascii="Times New Roman" w:eastAsia="Times New Roman" w:hAnsi="Times New Roman" w:cs="Times New Roman"/>
                <w:sz w:val="22"/>
                <w:szCs w:val="22"/>
              </w:rPr>
              <w:t>y</w:t>
            </w:r>
            <w:r w:rsidR="00515863" w:rsidRPr="00143F5A">
              <w:rPr>
                <w:rFonts w:ascii="Times New Roman" w:eastAsia="Times New Roman" w:hAnsi="Times New Roman" w:cs="Times New Roman"/>
                <w:sz w:val="22"/>
                <w:szCs w:val="22"/>
              </w:rPr>
              <w:t xml:space="preserve"> z </w:t>
            </w:r>
            <w:r w:rsidR="00AC2258">
              <w:rPr>
                <w:rFonts w:ascii="Times New Roman" w:eastAsia="Times New Roman" w:hAnsi="Times New Roman" w:cs="Times New Roman"/>
                <w:sz w:val="22"/>
                <w:szCs w:val="22"/>
              </w:rPr>
              <w:t xml:space="preserve">nakładanych administracyjnych </w:t>
            </w:r>
            <w:r w:rsidR="00515863" w:rsidRPr="00143F5A">
              <w:rPr>
                <w:rFonts w:ascii="Times New Roman" w:eastAsia="Times New Roman" w:hAnsi="Times New Roman" w:cs="Times New Roman"/>
                <w:sz w:val="22"/>
                <w:szCs w:val="22"/>
              </w:rPr>
              <w:t>kar</w:t>
            </w:r>
            <w:r w:rsidR="00515863" w:rsidRPr="00554211">
              <w:rPr>
                <w:rFonts w:ascii="Times New Roman" w:eastAsia="Times New Roman" w:hAnsi="Times New Roman" w:cs="Times New Roman"/>
                <w:sz w:val="22"/>
                <w:szCs w:val="22"/>
              </w:rPr>
              <w:t xml:space="preserve"> </w:t>
            </w:r>
            <w:r w:rsidR="00FC229E" w:rsidRPr="00554211">
              <w:rPr>
                <w:rFonts w:ascii="Times New Roman" w:eastAsia="Times New Roman" w:hAnsi="Times New Roman" w:cs="Times New Roman"/>
                <w:sz w:val="22"/>
                <w:szCs w:val="22"/>
              </w:rPr>
              <w:t>pieniężn</w:t>
            </w:r>
            <w:r w:rsidR="00AC2258">
              <w:rPr>
                <w:rFonts w:ascii="Times New Roman" w:eastAsia="Times New Roman" w:hAnsi="Times New Roman" w:cs="Times New Roman"/>
                <w:sz w:val="22"/>
                <w:szCs w:val="22"/>
              </w:rPr>
              <w:t>ych</w:t>
            </w:r>
            <w:r w:rsidR="00515863" w:rsidRPr="00554211">
              <w:rPr>
                <w:rFonts w:ascii="Times New Roman" w:eastAsia="Times New Roman" w:hAnsi="Times New Roman" w:cs="Times New Roman"/>
                <w:sz w:val="22"/>
                <w:szCs w:val="22"/>
              </w:rPr>
              <w:t xml:space="preserve">. </w:t>
            </w:r>
            <w:r w:rsidR="005914B7" w:rsidRPr="003E7A0B">
              <w:rPr>
                <w:rFonts w:ascii="Times New Roman" w:hAnsi="Times New Roman" w:cs="Times New Roman"/>
                <w:sz w:val="22"/>
                <w:szCs w:val="22"/>
              </w:rPr>
              <w:t xml:space="preserve">Z uwagi na fakt, że </w:t>
            </w:r>
            <w:r w:rsidR="005914B7" w:rsidRPr="007C7787">
              <w:rPr>
                <w:rFonts w:ascii="Times New Roman" w:eastAsia="Times New Roman" w:hAnsi="Times New Roman" w:cs="Times New Roman"/>
                <w:sz w:val="22"/>
                <w:szCs w:val="22"/>
              </w:rPr>
              <w:t>dla większości organów</w:t>
            </w:r>
            <w:r w:rsidR="005914B7">
              <w:rPr>
                <w:rFonts w:ascii="Times New Roman" w:eastAsia="Times New Roman" w:hAnsi="Times New Roman" w:cs="Times New Roman"/>
                <w:sz w:val="22"/>
                <w:szCs w:val="22"/>
              </w:rPr>
              <w:t xml:space="preserve"> nadzoru rynku</w:t>
            </w:r>
            <w:r w:rsidR="005914B7" w:rsidRPr="007C7787">
              <w:rPr>
                <w:rFonts w:ascii="Times New Roman" w:eastAsia="Times New Roman" w:hAnsi="Times New Roman" w:cs="Times New Roman"/>
                <w:sz w:val="22"/>
                <w:szCs w:val="22"/>
              </w:rPr>
              <w:t xml:space="preserve"> zadania </w:t>
            </w:r>
            <w:r w:rsidR="005914B7">
              <w:rPr>
                <w:rFonts w:ascii="Times New Roman" w:eastAsia="Times New Roman" w:hAnsi="Times New Roman" w:cs="Times New Roman"/>
                <w:sz w:val="22"/>
                <w:szCs w:val="22"/>
              </w:rPr>
              <w:t xml:space="preserve">wynikające z </w:t>
            </w:r>
            <w:r w:rsidR="003B63A5">
              <w:rPr>
                <w:rFonts w:ascii="Times New Roman" w:eastAsia="Times New Roman" w:hAnsi="Times New Roman" w:cs="Times New Roman"/>
                <w:color w:val="000000"/>
                <w:sz w:val="22"/>
                <w:szCs w:val="22"/>
              </w:rPr>
              <w:t xml:space="preserve">projektowanej </w:t>
            </w:r>
            <w:r w:rsidR="005914B7">
              <w:rPr>
                <w:rFonts w:ascii="Times New Roman" w:eastAsia="Times New Roman" w:hAnsi="Times New Roman" w:cs="Times New Roman"/>
                <w:sz w:val="22"/>
                <w:szCs w:val="22"/>
              </w:rPr>
              <w:t>ustawy są zadaniami nowymi</w:t>
            </w:r>
            <w:r w:rsidR="005914B7" w:rsidRPr="007C7787">
              <w:rPr>
                <w:rFonts w:ascii="Times New Roman" w:eastAsia="Times New Roman" w:hAnsi="Times New Roman" w:cs="Times New Roman"/>
                <w:sz w:val="22"/>
                <w:szCs w:val="22"/>
              </w:rPr>
              <w:t xml:space="preserve">, </w:t>
            </w:r>
            <w:r w:rsidR="005914B7" w:rsidRPr="00143F5A">
              <w:rPr>
                <w:rFonts w:ascii="Times New Roman" w:eastAsia="Times New Roman" w:hAnsi="Times New Roman" w:cs="Times New Roman"/>
                <w:sz w:val="22"/>
                <w:szCs w:val="22"/>
              </w:rPr>
              <w:t>spodziewane dochody</w:t>
            </w:r>
            <w:r w:rsidR="005914B7" w:rsidRPr="007C7787">
              <w:rPr>
                <w:rFonts w:ascii="Times New Roman" w:eastAsia="Times New Roman" w:hAnsi="Times New Roman" w:cs="Times New Roman"/>
                <w:sz w:val="22"/>
                <w:szCs w:val="22"/>
              </w:rPr>
              <w:t xml:space="preserve"> </w:t>
            </w:r>
            <w:r w:rsidR="005914B7">
              <w:rPr>
                <w:rFonts w:ascii="Times New Roman" w:eastAsia="Times New Roman" w:hAnsi="Times New Roman" w:cs="Times New Roman"/>
                <w:sz w:val="22"/>
                <w:szCs w:val="22"/>
              </w:rPr>
              <w:t xml:space="preserve">są </w:t>
            </w:r>
            <w:r w:rsidR="005914B7" w:rsidRPr="007C7787">
              <w:rPr>
                <w:rFonts w:ascii="Times New Roman" w:eastAsia="Times New Roman" w:hAnsi="Times New Roman" w:cs="Times New Roman"/>
                <w:sz w:val="22"/>
                <w:szCs w:val="22"/>
              </w:rPr>
              <w:t>bardzo trudne lub niemożliwe do oszacowania</w:t>
            </w:r>
            <w:r w:rsidR="005914B7" w:rsidRPr="00143F5A">
              <w:rPr>
                <w:rFonts w:ascii="Times New Roman" w:eastAsia="Times New Roman" w:hAnsi="Times New Roman" w:cs="Times New Roman"/>
                <w:sz w:val="22"/>
                <w:szCs w:val="22"/>
              </w:rPr>
              <w:t>.</w:t>
            </w:r>
            <w:r w:rsidR="005914B7" w:rsidRPr="001A7A18">
              <w:rPr>
                <w:rFonts w:eastAsia="Times New Roman"/>
                <w:color w:val="000000"/>
                <w:sz w:val="24"/>
                <w:szCs w:val="24"/>
              </w:rPr>
              <w:t xml:space="preserve"> </w:t>
            </w:r>
          </w:p>
          <w:p w14:paraId="3E000DC5" w14:textId="2B5D8917" w:rsidR="00ED10BB" w:rsidRDefault="00ED1A18" w:rsidP="00566F3C">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ED1A18">
              <w:rPr>
                <w:rFonts w:ascii="Times New Roman" w:eastAsia="Times New Roman" w:hAnsi="Times New Roman" w:cs="Times New Roman"/>
                <w:sz w:val="22"/>
                <w:szCs w:val="22"/>
              </w:rPr>
              <w:t xml:space="preserve">Środki finansowe pochodzące z kar pieniężnych stanowią </w:t>
            </w:r>
            <w:r w:rsidR="00F02F1C">
              <w:rPr>
                <w:rFonts w:ascii="Times New Roman" w:eastAsia="Times New Roman" w:hAnsi="Times New Roman" w:cs="Times New Roman"/>
                <w:sz w:val="22"/>
                <w:szCs w:val="22"/>
              </w:rPr>
              <w:t>przychód</w:t>
            </w:r>
            <w:r w:rsidR="00F02F1C" w:rsidRPr="00ED1A18">
              <w:rPr>
                <w:rFonts w:ascii="Times New Roman" w:eastAsia="Times New Roman" w:hAnsi="Times New Roman" w:cs="Times New Roman"/>
                <w:sz w:val="22"/>
                <w:szCs w:val="22"/>
              </w:rPr>
              <w:t xml:space="preserve"> </w:t>
            </w:r>
            <w:r w:rsidRPr="00ED1A18">
              <w:rPr>
                <w:rFonts w:ascii="Times New Roman" w:eastAsia="Times New Roman" w:hAnsi="Times New Roman" w:cs="Times New Roman"/>
                <w:sz w:val="22"/>
                <w:szCs w:val="22"/>
              </w:rPr>
              <w:t>Funduszu Dostępności (FD), o którym mowa w art. 35 ustawy z dnia 19 lipca 2019</w:t>
            </w:r>
            <w:r w:rsidR="002511B5">
              <w:rPr>
                <w:rFonts w:ascii="Times New Roman" w:eastAsia="Times New Roman" w:hAnsi="Times New Roman" w:cs="Times New Roman"/>
                <w:sz w:val="22"/>
                <w:szCs w:val="22"/>
              </w:rPr>
              <w:t> </w:t>
            </w:r>
            <w:r w:rsidRPr="00ED1A18">
              <w:rPr>
                <w:rFonts w:ascii="Times New Roman" w:eastAsia="Times New Roman" w:hAnsi="Times New Roman" w:cs="Times New Roman"/>
                <w:sz w:val="22"/>
                <w:szCs w:val="22"/>
              </w:rPr>
              <w:t>r. o zapewnianiu dostępności osobom ze szczególnymi potrzebami.</w:t>
            </w:r>
            <w:r>
              <w:rPr>
                <w:rFonts w:ascii="Times New Roman" w:eastAsia="Times New Roman" w:hAnsi="Times New Roman" w:cs="Times New Roman"/>
                <w:sz w:val="22"/>
                <w:szCs w:val="22"/>
              </w:rPr>
              <w:t xml:space="preserve"> </w:t>
            </w:r>
            <w:r w:rsidR="00ED10BB">
              <w:rPr>
                <w:rFonts w:ascii="Times New Roman" w:eastAsia="Times New Roman" w:hAnsi="Times New Roman" w:cs="Times New Roman"/>
                <w:sz w:val="22"/>
                <w:szCs w:val="22"/>
              </w:rPr>
              <w:t>F</w:t>
            </w:r>
            <w:r w:rsidR="00982398">
              <w:rPr>
                <w:rFonts w:ascii="Times New Roman" w:eastAsia="Times New Roman" w:hAnsi="Times New Roman" w:cs="Times New Roman"/>
                <w:sz w:val="22"/>
                <w:szCs w:val="22"/>
              </w:rPr>
              <w:t>D</w:t>
            </w:r>
            <w:r w:rsidR="00ED10BB">
              <w:rPr>
                <w:rFonts w:ascii="Times New Roman" w:eastAsia="Times New Roman" w:hAnsi="Times New Roman" w:cs="Times New Roman"/>
                <w:sz w:val="22"/>
                <w:szCs w:val="22"/>
              </w:rPr>
              <w:t xml:space="preserve"> służy </w:t>
            </w:r>
            <w:r w:rsidR="005F3A29">
              <w:rPr>
                <w:rFonts w:ascii="Times New Roman" w:eastAsia="Times New Roman" w:hAnsi="Times New Roman" w:cs="Times New Roman"/>
                <w:sz w:val="22"/>
                <w:szCs w:val="22"/>
              </w:rPr>
              <w:t>zapewnieniu</w:t>
            </w:r>
            <w:r w:rsidR="00ED10BB">
              <w:rPr>
                <w:rFonts w:ascii="Times New Roman" w:eastAsia="Times New Roman" w:hAnsi="Times New Roman" w:cs="Times New Roman"/>
                <w:sz w:val="22"/>
                <w:szCs w:val="22"/>
              </w:rPr>
              <w:t xml:space="preserve"> lub poprawie dostępności</w:t>
            </w:r>
            <w:r w:rsidR="007A19CB">
              <w:rPr>
                <w:rFonts w:ascii="Times New Roman" w:eastAsia="Times New Roman" w:hAnsi="Times New Roman" w:cs="Times New Roman"/>
                <w:sz w:val="22"/>
                <w:szCs w:val="22"/>
              </w:rPr>
              <w:t xml:space="preserve">, wspierając realizację celów państwa wskazanych m.in. </w:t>
            </w:r>
            <w:r w:rsidR="00982398">
              <w:rPr>
                <w:rFonts w:ascii="Times New Roman" w:eastAsia="Times New Roman" w:hAnsi="Times New Roman" w:cs="Times New Roman"/>
                <w:sz w:val="22"/>
                <w:szCs w:val="22"/>
              </w:rPr>
              <w:t xml:space="preserve">w </w:t>
            </w:r>
            <w:r w:rsidR="007A19CB">
              <w:rPr>
                <w:rFonts w:ascii="Times New Roman" w:eastAsia="Times New Roman" w:hAnsi="Times New Roman" w:cs="Times New Roman"/>
                <w:sz w:val="22"/>
                <w:szCs w:val="22"/>
              </w:rPr>
              <w:t xml:space="preserve">programie Dostępność Plus czy </w:t>
            </w:r>
            <w:r w:rsidR="00982398">
              <w:rPr>
                <w:rFonts w:ascii="Times New Roman" w:eastAsia="Times New Roman" w:hAnsi="Times New Roman" w:cs="Times New Roman"/>
                <w:sz w:val="22"/>
                <w:szCs w:val="22"/>
              </w:rPr>
              <w:t xml:space="preserve">w </w:t>
            </w:r>
            <w:r w:rsidR="005F3A29">
              <w:rPr>
                <w:rFonts w:ascii="Times New Roman" w:eastAsia="Times New Roman" w:hAnsi="Times New Roman" w:cs="Times New Roman"/>
                <w:sz w:val="22"/>
                <w:szCs w:val="22"/>
              </w:rPr>
              <w:t>Strategii na</w:t>
            </w:r>
            <w:r w:rsidR="007A19CB" w:rsidRPr="006146C8">
              <w:rPr>
                <w:rFonts w:ascii="Times New Roman" w:eastAsia="Times New Roman" w:hAnsi="Times New Roman" w:cs="Times New Roman"/>
                <w:sz w:val="22"/>
                <w:szCs w:val="22"/>
              </w:rPr>
              <w:t xml:space="preserve"> rzecz Osób z</w:t>
            </w:r>
            <w:r w:rsidR="00A05EC1">
              <w:rPr>
                <w:rFonts w:ascii="Times New Roman" w:eastAsia="Times New Roman" w:hAnsi="Times New Roman" w:cs="Times New Roman"/>
                <w:sz w:val="22"/>
                <w:szCs w:val="22"/>
              </w:rPr>
              <w:t> </w:t>
            </w:r>
            <w:r w:rsidR="007A19CB" w:rsidRPr="006146C8">
              <w:rPr>
                <w:rFonts w:ascii="Times New Roman" w:eastAsia="Times New Roman" w:hAnsi="Times New Roman" w:cs="Times New Roman"/>
                <w:sz w:val="22"/>
                <w:szCs w:val="22"/>
              </w:rPr>
              <w:t xml:space="preserve">Niepełnosprawnościami </w:t>
            </w:r>
            <w:r w:rsidR="007A19CB">
              <w:rPr>
                <w:rFonts w:ascii="Times New Roman" w:eastAsia="Times New Roman" w:hAnsi="Times New Roman" w:cs="Times New Roman"/>
                <w:sz w:val="22"/>
                <w:szCs w:val="22"/>
              </w:rPr>
              <w:t xml:space="preserve">na lata </w:t>
            </w:r>
            <w:r w:rsidR="007A19CB" w:rsidRPr="006146C8">
              <w:rPr>
                <w:rFonts w:ascii="Times New Roman" w:eastAsia="Times New Roman" w:hAnsi="Times New Roman" w:cs="Times New Roman"/>
                <w:sz w:val="22"/>
                <w:szCs w:val="22"/>
              </w:rPr>
              <w:t>2021–2030</w:t>
            </w:r>
            <w:r w:rsidR="007A19CB">
              <w:rPr>
                <w:rFonts w:ascii="Times New Roman" w:eastAsia="Times New Roman" w:hAnsi="Times New Roman" w:cs="Times New Roman"/>
                <w:sz w:val="22"/>
                <w:szCs w:val="22"/>
              </w:rPr>
              <w:t>.</w:t>
            </w:r>
          </w:p>
          <w:p w14:paraId="231D1A6E" w14:textId="4EAD1A5C" w:rsidR="007A19CB" w:rsidRDefault="00ED1A18" w:rsidP="00566F3C">
            <w:pPr>
              <w:pBdr>
                <w:top w:val="nil"/>
                <w:left w:val="nil"/>
                <w:bottom w:val="nil"/>
                <w:right w:val="nil"/>
                <w:between w:val="nil"/>
              </w:pBdr>
              <w:spacing w:before="120" w:after="120"/>
              <w:jc w:val="both"/>
            </w:pPr>
            <w:r w:rsidRPr="00ED1A18">
              <w:rPr>
                <w:rFonts w:ascii="Times New Roman" w:eastAsia="Times New Roman" w:hAnsi="Times New Roman" w:cs="Times New Roman"/>
                <w:sz w:val="22"/>
                <w:szCs w:val="22"/>
              </w:rPr>
              <w:t>Zasilenie F</w:t>
            </w:r>
            <w:r w:rsidR="00982398">
              <w:rPr>
                <w:rFonts w:ascii="Times New Roman" w:eastAsia="Times New Roman" w:hAnsi="Times New Roman" w:cs="Times New Roman"/>
                <w:sz w:val="22"/>
                <w:szCs w:val="22"/>
              </w:rPr>
              <w:t>D</w:t>
            </w:r>
            <w:r w:rsidRPr="00ED1A18">
              <w:rPr>
                <w:rFonts w:ascii="Times New Roman" w:eastAsia="Times New Roman" w:hAnsi="Times New Roman" w:cs="Times New Roman"/>
                <w:sz w:val="22"/>
                <w:szCs w:val="22"/>
              </w:rPr>
              <w:t xml:space="preserve"> </w:t>
            </w:r>
            <w:r w:rsidR="00C55F81">
              <w:rPr>
                <w:rFonts w:ascii="Times New Roman" w:eastAsia="Times New Roman" w:hAnsi="Times New Roman" w:cs="Times New Roman"/>
                <w:sz w:val="22"/>
                <w:szCs w:val="22"/>
              </w:rPr>
              <w:t xml:space="preserve">przychodami </w:t>
            </w:r>
            <w:r w:rsidRPr="00ED1A18">
              <w:rPr>
                <w:rFonts w:ascii="Times New Roman" w:eastAsia="Times New Roman" w:hAnsi="Times New Roman" w:cs="Times New Roman"/>
                <w:sz w:val="22"/>
                <w:szCs w:val="22"/>
              </w:rPr>
              <w:t xml:space="preserve">z kar </w:t>
            </w:r>
            <w:r w:rsidR="00982398">
              <w:rPr>
                <w:rFonts w:ascii="Times New Roman" w:eastAsia="Times New Roman" w:hAnsi="Times New Roman" w:cs="Times New Roman"/>
                <w:sz w:val="22"/>
                <w:szCs w:val="22"/>
              </w:rPr>
              <w:t>pienię</w:t>
            </w:r>
            <w:r w:rsidR="00A93823">
              <w:rPr>
                <w:rFonts w:ascii="Times New Roman" w:eastAsia="Times New Roman" w:hAnsi="Times New Roman" w:cs="Times New Roman"/>
                <w:sz w:val="22"/>
                <w:szCs w:val="22"/>
              </w:rPr>
              <w:t>ż</w:t>
            </w:r>
            <w:r w:rsidR="00982398">
              <w:rPr>
                <w:rFonts w:ascii="Times New Roman" w:eastAsia="Times New Roman" w:hAnsi="Times New Roman" w:cs="Times New Roman"/>
                <w:sz w:val="22"/>
                <w:szCs w:val="22"/>
              </w:rPr>
              <w:t xml:space="preserve">nych </w:t>
            </w:r>
            <w:r w:rsidR="007A19CB">
              <w:rPr>
                <w:rFonts w:ascii="Times New Roman" w:eastAsia="Times New Roman" w:hAnsi="Times New Roman" w:cs="Times New Roman"/>
                <w:sz w:val="22"/>
                <w:szCs w:val="22"/>
              </w:rPr>
              <w:t>nakładanymi</w:t>
            </w:r>
            <w:r w:rsidR="00ED10BB">
              <w:rPr>
                <w:rFonts w:ascii="Times New Roman" w:eastAsia="Times New Roman" w:hAnsi="Times New Roman" w:cs="Times New Roman"/>
                <w:sz w:val="22"/>
                <w:szCs w:val="22"/>
              </w:rPr>
              <w:t xml:space="preserve"> na podstawie </w:t>
            </w:r>
            <w:r w:rsidR="003B63A5">
              <w:rPr>
                <w:rFonts w:ascii="Times New Roman" w:eastAsia="Times New Roman" w:hAnsi="Times New Roman" w:cs="Times New Roman"/>
                <w:color w:val="000000"/>
                <w:sz w:val="22"/>
                <w:szCs w:val="22"/>
              </w:rPr>
              <w:t xml:space="preserve">projektowanej </w:t>
            </w:r>
            <w:r w:rsidR="00ED10BB">
              <w:rPr>
                <w:rFonts w:ascii="Times New Roman" w:eastAsia="Times New Roman" w:hAnsi="Times New Roman" w:cs="Times New Roman"/>
                <w:sz w:val="22"/>
                <w:szCs w:val="22"/>
              </w:rPr>
              <w:t xml:space="preserve">ustawy </w:t>
            </w:r>
            <w:r w:rsidRPr="00ED1A18">
              <w:rPr>
                <w:rFonts w:ascii="Times New Roman" w:eastAsia="Times New Roman" w:hAnsi="Times New Roman" w:cs="Times New Roman"/>
                <w:sz w:val="22"/>
                <w:szCs w:val="22"/>
              </w:rPr>
              <w:t xml:space="preserve">będzie stanowiło </w:t>
            </w:r>
            <w:r w:rsidR="00ED10BB">
              <w:rPr>
                <w:rFonts w:ascii="Times New Roman" w:eastAsia="Times New Roman" w:hAnsi="Times New Roman" w:cs="Times New Roman"/>
                <w:sz w:val="22"/>
                <w:szCs w:val="22"/>
              </w:rPr>
              <w:t xml:space="preserve">dodatkowe </w:t>
            </w:r>
            <w:r w:rsidRPr="00ED1A18">
              <w:rPr>
                <w:rFonts w:ascii="Times New Roman" w:eastAsia="Times New Roman" w:hAnsi="Times New Roman" w:cs="Times New Roman"/>
                <w:sz w:val="22"/>
                <w:szCs w:val="22"/>
              </w:rPr>
              <w:t xml:space="preserve">realne wsparcie dla </w:t>
            </w:r>
            <w:r w:rsidR="00ED10BB">
              <w:rPr>
                <w:rFonts w:ascii="Times New Roman" w:eastAsia="Times New Roman" w:hAnsi="Times New Roman" w:cs="Times New Roman"/>
                <w:sz w:val="22"/>
                <w:szCs w:val="22"/>
              </w:rPr>
              <w:t>pod</w:t>
            </w:r>
            <w:r w:rsidR="007A19CB">
              <w:rPr>
                <w:rFonts w:ascii="Times New Roman" w:eastAsia="Times New Roman" w:hAnsi="Times New Roman" w:cs="Times New Roman"/>
                <w:sz w:val="22"/>
                <w:szCs w:val="22"/>
              </w:rPr>
              <w:t>m</w:t>
            </w:r>
            <w:r w:rsidR="00ED10BB">
              <w:rPr>
                <w:rFonts w:ascii="Times New Roman" w:eastAsia="Times New Roman" w:hAnsi="Times New Roman" w:cs="Times New Roman"/>
                <w:sz w:val="22"/>
                <w:szCs w:val="22"/>
              </w:rPr>
              <w:t xml:space="preserve">iotów publicznych i </w:t>
            </w:r>
            <w:r w:rsidRPr="00ED1A18">
              <w:rPr>
                <w:rFonts w:ascii="Times New Roman" w:eastAsia="Times New Roman" w:hAnsi="Times New Roman" w:cs="Times New Roman"/>
                <w:sz w:val="22"/>
                <w:szCs w:val="22"/>
              </w:rPr>
              <w:t>przedsiębiorców</w:t>
            </w:r>
            <w:r w:rsidR="00ED10BB">
              <w:rPr>
                <w:rFonts w:ascii="Times New Roman" w:eastAsia="Times New Roman" w:hAnsi="Times New Roman" w:cs="Times New Roman"/>
                <w:sz w:val="22"/>
                <w:szCs w:val="22"/>
              </w:rPr>
              <w:t xml:space="preserve"> realizujący</w:t>
            </w:r>
            <w:r w:rsidR="00722C85">
              <w:rPr>
                <w:rFonts w:ascii="Times New Roman" w:eastAsia="Times New Roman" w:hAnsi="Times New Roman" w:cs="Times New Roman"/>
                <w:sz w:val="22"/>
                <w:szCs w:val="22"/>
              </w:rPr>
              <w:t>ch obowiązki za</w:t>
            </w:r>
            <w:r w:rsidR="007A19CB">
              <w:rPr>
                <w:rFonts w:ascii="Times New Roman" w:eastAsia="Times New Roman" w:hAnsi="Times New Roman" w:cs="Times New Roman"/>
                <w:sz w:val="22"/>
                <w:szCs w:val="22"/>
              </w:rPr>
              <w:t>r</w:t>
            </w:r>
            <w:r w:rsidR="00722C85">
              <w:rPr>
                <w:rFonts w:ascii="Times New Roman" w:eastAsia="Times New Roman" w:hAnsi="Times New Roman" w:cs="Times New Roman"/>
                <w:sz w:val="22"/>
                <w:szCs w:val="22"/>
              </w:rPr>
              <w:t>ówno ustawy</w:t>
            </w:r>
            <w:r w:rsidR="00537920">
              <w:rPr>
                <w:rFonts w:ascii="Times New Roman" w:eastAsia="Times New Roman" w:hAnsi="Times New Roman" w:cs="Times New Roman"/>
                <w:sz w:val="22"/>
                <w:szCs w:val="22"/>
              </w:rPr>
              <w:t xml:space="preserve"> </w:t>
            </w:r>
            <w:r w:rsidR="00722C85" w:rsidRPr="00ED1A18">
              <w:rPr>
                <w:rFonts w:ascii="Times New Roman" w:eastAsia="Times New Roman" w:hAnsi="Times New Roman" w:cs="Times New Roman"/>
                <w:sz w:val="22"/>
                <w:szCs w:val="22"/>
              </w:rPr>
              <w:t>z dnia 19 lipca 2019</w:t>
            </w:r>
            <w:r w:rsidR="002511B5">
              <w:rPr>
                <w:rFonts w:ascii="Times New Roman" w:eastAsia="Times New Roman" w:hAnsi="Times New Roman" w:cs="Times New Roman"/>
                <w:sz w:val="22"/>
                <w:szCs w:val="22"/>
              </w:rPr>
              <w:t> </w:t>
            </w:r>
            <w:r w:rsidR="00722C85" w:rsidRPr="00ED1A18">
              <w:rPr>
                <w:rFonts w:ascii="Times New Roman" w:eastAsia="Times New Roman" w:hAnsi="Times New Roman" w:cs="Times New Roman"/>
                <w:sz w:val="22"/>
                <w:szCs w:val="22"/>
              </w:rPr>
              <w:t>r. o zapewnianiu dostępności osobom ze szczególnymi potrzebami</w:t>
            </w:r>
            <w:r w:rsidR="00722C85">
              <w:rPr>
                <w:rFonts w:ascii="Times New Roman" w:eastAsia="Times New Roman" w:hAnsi="Times New Roman" w:cs="Times New Roman"/>
                <w:sz w:val="22"/>
                <w:szCs w:val="22"/>
              </w:rPr>
              <w:t xml:space="preserve">, jak i projektowanej ustawy o </w:t>
            </w:r>
            <w:r w:rsidR="00722C85" w:rsidRPr="001F0D83">
              <w:rPr>
                <w:rFonts w:ascii="Times New Roman" w:hAnsi="Times New Roman" w:cs="Times New Roman"/>
                <w:sz w:val="22"/>
                <w:szCs w:val="22"/>
              </w:rPr>
              <w:t>zapewnianiu spełniania wym</w:t>
            </w:r>
            <w:r w:rsidR="00C12BD1">
              <w:rPr>
                <w:rFonts w:ascii="Times New Roman" w:hAnsi="Times New Roman" w:cs="Times New Roman"/>
                <w:sz w:val="22"/>
                <w:szCs w:val="22"/>
              </w:rPr>
              <w:t>agań</w:t>
            </w:r>
            <w:r w:rsidR="00722C85" w:rsidRPr="001F0D83">
              <w:rPr>
                <w:rFonts w:ascii="Times New Roman" w:hAnsi="Times New Roman" w:cs="Times New Roman"/>
                <w:sz w:val="22"/>
                <w:szCs w:val="22"/>
              </w:rPr>
              <w:t xml:space="preserve"> dostępności niektórych produktów i usług przez podmioty gospodarcze</w:t>
            </w:r>
            <w:r w:rsidR="00722C85">
              <w:rPr>
                <w:rFonts w:ascii="Times New Roman" w:hAnsi="Times New Roman" w:cs="Times New Roman"/>
                <w:sz w:val="22"/>
                <w:szCs w:val="22"/>
              </w:rPr>
              <w:t>.</w:t>
            </w:r>
            <w:r w:rsidR="00AF2D9C">
              <w:rPr>
                <w:rFonts w:ascii="Times New Roman" w:hAnsi="Times New Roman" w:cs="Times New Roman"/>
                <w:sz w:val="22"/>
                <w:szCs w:val="22"/>
              </w:rPr>
              <w:t xml:space="preserve"> </w:t>
            </w:r>
            <w:r w:rsidR="008423F0">
              <w:rPr>
                <w:rFonts w:ascii="Times New Roman" w:hAnsi="Times New Roman" w:cs="Times New Roman"/>
                <w:sz w:val="22"/>
                <w:szCs w:val="22"/>
              </w:rPr>
              <w:t xml:space="preserve">Środki te, </w:t>
            </w:r>
            <w:r w:rsidR="008423F0" w:rsidRPr="008423F0">
              <w:rPr>
                <w:rFonts w:ascii="Times New Roman" w:hAnsi="Times New Roman" w:cs="Times New Roman"/>
                <w:sz w:val="22"/>
                <w:szCs w:val="22"/>
              </w:rPr>
              <w:t>w</w:t>
            </w:r>
            <w:r w:rsidR="00A05EC1">
              <w:rPr>
                <w:rFonts w:ascii="Times New Roman" w:hAnsi="Times New Roman" w:cs="Times New Roman"/>
                <w:sz w:val="22"/>
                <w:szCs w:val="22"/>
              </w:rPr>
              <w:t> </w:t>
            </w:r>
            <w:r w:rsidR="008423F0" w:rsidRPr="008423F0">
              <w:rPr>
                <w:rFonts w:ascii="Times New Roman" w:hAnsi="Times New Roman" w:cs="Times New Roman"/>
                <w:sz w:val="22"/>
                <w:szCs w:val="22"/>
              </w:rPr>
              <w:t>postaci instrumentów finansowych</w:t>
            </w:r>
            <w:r w:rsidR="008423F0">
              <w:rPr>
                <w:rFonts w:ascii="Times New Roman" w:hAnsi="Times New Roman" w:cs="Times New Roman"/>
                <w:sz w:val="22"/>
                <w:szCs w:val="22"/>
              </w:rPr>
              <w:t>,</w:t>
            </w:r>
            <w:r w:rsidR="008423F0" w:rsidRPr="008423F0">
              <w:rPr>
                <w:rFonts w:ascii="Times New Roman" w:hAnsi="Times New Roman" w:cs="Times New Roman"/>
                <w:sz w:val="22"/>
                <w:szCs w:val="22"/>
              </w:rPr>
              <w:t xml:space="preserve"> </w:t>
            </w:r>
            <w:r w:rsidR="008423F0">
              <w:rPr>
                <w:rFonts w:ascii="Times New Roman" w:hAnsi="Times New Roman" w:cs="Times New Roman"/>
                <w:sz w:val="22"/>
                <w:szCs w:val="22"/>
              </w:rPr>
              <w:t>zostaną przeznaczone na wsparcie dla podmiotów gospodarczych na dostosowanie produktów i usług do wym</w:t>
            </w:r>
            <w:r w:rsidR="00C12BD1">
              <w:rPr>
                <w:rFonts w:ascii="Times New Roman" w:hAnsi="Times New Roman" w:cs="Times New Roman"/>
                <w:sz w:val="22"/>
                <w:szCs w:val="22"/>
              </w:rPr>
              <w:t>agań</w:t>
            </w:r>
            <w:r w:rsidR="008423F0">
              <w:rPr>
                <w:rFonts w:ascii="Times New Roman" w:hAnsi="Times New Roman" w:cs="Times New Roman"/>
                <w:sz w:val="22"/>
                <w:szCs w:val="22"/>
              </w:rPr>
              <w:t xml:space="preserve"> </w:t>
            </w:r>
            <w:r w:rsidR="003B63A5">
              <w:rPr>
                <w:rFonts w:ascii="Times New Roman" w:hAnsi="Times New Roman" w:cs="Times New Roman"/>
                <w:sz w:val="22"/>
                <w:szCs w:val="22"/>
              </w:rPr>
              <w:t xml:space="preserve">projektu </w:t>
            </w:r>
            <w:r w:rsidR="008423F0">
              <w:rPr>
                <w:rFonts w:ascii="Times New Roman" w:hAnsi="Times New Roman" w:cs="Times New Roman"/>
                <w:sz w:val="22"/>
                <w:szCs w:val="22"/>
              </w:rPr>
              <w:t>ustawy.</w:t>
            </w:r>
          </w:p>
          <w:p w14:paraId="2E8BBBF6" w14:textId="4FCAAD71" w:rsidR="00455509" w:rsidRDefault="005914B7" w:rsidP="00566F3C">
            <w:pPr>
              <w:pBdr>
                <w:top w:val="nil"/>
                <w:left w:val="nil"/>
                <w:bottom w:val="nil"/>
                <w:right w:val="nil"/>
                <w:between w:val="nil"/>
              </w:pBdr>
              <w:spacing w:before="120" w:after="120"/>
              <w:jc w:val="both"/>
              <w:rPr>
                <w:rFonts w:ascii="Times New Roman" w:hAnsi="Times New Roman" w:cs="Times New Roman"/>
                <w:sz w:val="22"/>
                <w:szCs w:val="22"/>
              </w:rPr>
            </w:pPr>
            <w:r>
              <w:rPr>
                <w:rFonts w:ascii="Times New Roman" w:hAnsi="Times New Roman" w:cs="Times New Roman"/>
                <w:sz w:val="22"/>
                <w:szCs w:val="22"/>
              </w:rPr>
              <w:t>W</w:t>
            </w:r>
            <w:r w:rsidR="00455509">
              <w:rPr>
                <w:rFonts w:ascii="Times New Roman" w:hAnsi="Times New Roman" w:cs="Times New Roman"/>
                <w:sz w:val="22"/>
                <w:szCs w:val="22"/>
              </w:rPr>
              <w:t xml:space="preserve">pływy z kar </w:t>
            </w:r>
            <w:r w:rsidR="00982398">
              <w:rPr>
                <w:rFonts w:ascii="Times New Roman" w:hAnsi="Times New Roman" w:cs="Times New Roman"/>
                <w:sz w:val="22"/>
                <w:szCs w:val="22"/>
              </w:rPr>
              <w:t xml:space="preserve">pieniężnych </w:t>
            </w:r>
            <w:r w:rsidR="00455509">
              <w:rPr>
                <w:rFonts w:ascii="Times New Roman" w:hAnsi="Times New Roman" w:cs="Times New Roman"/>
                <w:sz w:val="22"/>
                <w:szCs w:val="22"/>
              </w:rPr>
              <w:t>na podstawie projektowanej ustawy</w:t>
            </w:r>
            <w:r w:rsidR="00BA3BFD">
              <w:rPr>
                <w:rFonts w:ascii="Times New Roman" w:hAnsi="Times New Roman" w:cs="Times New Roman"/>
                <w:sz w:val="22"/>
                <w:szCs w:val="22"/>
              </w:rPr>
              <w:t xml:space="preserve"> są niezbędne dla zapewnienia skuteczności przepisów prawa na rzecz dostępności. Dodatkowo zasilenie F</w:t>
            </w:r>
            <w:r w:rsidR="00982398">
              <w:rPr>
                <w:rFonts w:ascii="Times New Roman" w:hAnsi="Times New Roman" w:cs="Times New Roman"/>
                <w:sz w:val="22"/>
                <w:szCs w:val="22"/>
              </w:rPr>
              <w:t>D</w:t>
            </w:r>
            <w:r w:rsidR="00BA3BFD">
              <w:rPr>
                <w:rFonts w:ascii="Times New Roman" w:hAnsi="Times New Roman" w:cs="Times New Roman"/>
                <w:sz w:val="22"/>
                <w:szCs w:val="22"/>
              </w:rPr>
              <w:t xml:space="preserve"> dodatkowymi </w:t>
            </w:r>
            <w:r w:rsidR="005F3A29">
              <w:rPr>
                <w:rFonts w:ascii="Times New Roman" w:hAnsi="Times New Roman" w:cs="Times New Roman"/>
                <w:sz w:val="22"/>
                <w:szCs w:val="22"/>
              </w:rPr>
              <w:t>wpływami</w:t>
            </w:r>
            <w:r w:rsidR="00BA3BFD">
              <w:rPr>
                <w:rFonts w:ascii="Times New Roman" w:hAnsi="Times New Roman" w:cs="Times New Roman"/>
                <w:sz w:val="22"/>
                <w:szCs w:val="22"/>
              </w:rPr>
              <w:t xml:space="preserve"> wynika z faktycznego niedofinansowania Funduszu.</w:t>
            </w:r>
          </w:p>
          <w:p w14:paraId="41B6A994" w14:textId="77777777" w:rsidR="00566F3C" w:rsidRPr="00566F3C" w:rsidRDefault="005F3A29" w:rsidP="00566F3C">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Ź</w:t>
            </w:r>
            <w:r w:rsidRPr="00566F3C">
              <w:rPr>
                <w:rFonts w:ascii="Times New Roman" w:eastAsia="Times New Roman" w:hAnsi="Times New Roman" w:cs="Times New Roman"/>
                <w:sz w:val="22"/>
                <w:szCs w:val="22"/>
              </w:rPr>
              <w:t>ródłami</w:t>
            </w:r>
            <w:r w:rsidR="00566F3C" w:rsidRPr="00566F3C">
              <w:rPr>
                <w:rFonts w:ascii="Times New Roman" w:eastAsia="Times New Roman" w:hAnsi="Times New Roman" w:cs="Times New Roman"/>
                <w:sz w:val="22"/>
                <w:szCs w:val="22"/>
              </w:rPr>
              <w:t xml:space="preserve"> zasilającymi </w:t>
            </w:r>
            <w:r w:rsidR="00A07CD2">
              <w:rPr>
                <w:rFonts w:ascii="Times New Roman" w:eastAsia="Times New Roman" w:hAnsi="Times New Roman" w:cs="Times New Roman"/>
                <w:sz w:val="22"/>
                <w:szCs w:val="22"/>
              </w:rPr>
              <w:t>FD</w:t>
            </w:r>
            <w:r w:rsidR="009114D9">
              <w:rPr>
                <w:rStyle w:val="Odwoanieprzypisudolnego"/>
                <w:rFonts w:ascii="Times New Roman" w:eastAsia="Times New Roman" w:hAnsi="Times New Roman" w:cs="Times New Roman"/>
                <w:sz w:val="22"/>
                <w:szCs w:val="22"/>
              </w:rPr>
              <w:footnoteReference w:id="3"/>
            </w:r>
            <w:r w:rsidR="00566F3C" w:rsidRPr="00566F3C">
              <w:rPr>
                <w:rFonts w:ascii="Times New Roman" w:eastAsia="Times New Roman" w:hAnsi="Times New Roman" w:cs="Times New Roman"/>
                <w:sz w:val="22"/>
                <w:szCs w:val="22"/>
              </w:rPr>
              <w:t xml:space="preserve"> są </w:t>
            </w:r>
            <w:r w:rsidR="00481383">
              <w:rPr>
                <w:rFonts w:ascii="Times New Roman" w:eastAsia="Times New Roman" w:hAnsi="Times New Roman" w:cs="Times New Roman"/>
                <w:sz w:val="22"/>
                <w:szCs w:val="22"/>
              </w:rPr>
              <w:t>m.in.:</w:t>
            </w:r>
          </w:p>
          <w:p w14:paraId="17946B1C" w14:textId="5C4C5347" w:rsidR="00566F3C" w:rsidRPr="00566F3C" w:rsidRDefault="00566F3C" w:rsidP="00AE2DC1">
            <w:pPr>
              <w:numPr>
                <w:ilvl w:val="0"/>
                <w:numId w:val="53"/>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566F3C">
              <w:rPr>
                <w:rFonts w:ascii="Times New Roman" w:eastAsia="Times New Roman" w:hAnsi="Times New Roman" w:cs="Times New Roman"/>
                <w:sz w:val="22"/>
                <w:szCs w:val="22"/>
              </w:rPr>
              <w:t xml:space="preserve">środki z dotacji z budżetu </w:t>
            </w:r>
            <w:r w:rsidR="005F3A29" w:rsidRPr="00566F3C">
              <w:rPr>
                <w:rFonts w:ascii="Times New Roman" w:eastAsia="Times New Roman" w:hAnsi="Times New Roman" w:cs="Times New Roman"/>
                <w:sz w:val="22"/>
                <w:szCs w:val="22"/>
              </w:rPr>
              <w:t xml:space="preserve">państwa </w:t>
            </w:r>
            <w:r w:rsidR="00AE280D">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założono </w:t>
            </w:r>
            <w:r w:rsidR="000A12B8">
              <w:rPr>
                <w:rFonts w:ascii="Times New Roman" w:eastAsia="Times New Roman" w:hAnsi="Times New Roman" w:cs="Times New Roman"/>
                <w:sz w:val="22"/>
                <w:szCs w:val="22"/>
              </w:rPr>
              <w:t xml:space="preserve">wpływy w wysokości </w:t>
            </w:r>
            <w:r w:rsidRPr="00566F3C">
              <w:rPr>
                <w:rFonts w:ascii="Times New Roman" w:eastAsia="Times New Roman" w:hAnsi="Times New Roman" w:cs="Times New Roman"/>
                <w:sz w:val="22"/>
                <w:szCs w:val="22"/>
              </w:rPr>
              <w:t>320 mln zł w</w:t>
            </w:r>
            <w:r w:rsidR="00A05EC1">
              <w:rPr>
                <w:rFonts w:ascii="Times New Roman" w:eastAsia="Times New Roman" w:hAnsi="Times New Roman" w:cs="Times New Roman"/>
                <w:sz w:val="22"/>
                <w:szCs w:val="22"/>
              </w:rPr>
              <w:t> </w:t>
            </w:r>
            <w:r w:rsidRPr="00566F3C">
              <w:rPr>
                <w:rFonts w:ascii="Times New Roman" w:eastAsia="Times New Roman" w:hAnsi="Times New Roman" w:cs="Times New Roman"/>
                <w:sz w:val="22"/>
                <w:szCs w:val="22"/>
              </w:rPr>
              <w:t xml:space="preserve">perspektywie 10 lat, co daje 32 mln zł rocznie. </w:t>
            </w:r>
            <w:r w:rsidR="005C49E7">
              <w:rPr>
                <w:rFonts w:ascii="Times New Roman" w:eastAsia="Times New Roman" w:hAnsi="Times New Roman" w:cs="Times New Roman"/>
                <w:sz w:val="22"/>
                <w:szCs w:val="22"/>
              </w:rPr>
              <w:t>O</w:t>
            </w:r>
            <w:r w:rsidRPr="00566F3C">
              <w:rPr>
                <w:rFonts w:ascii="Times New Roman" w:eastAsia="Times New Roman" w:hAnsi="Times New Roman" w:cs="Times New Roman"/>
                <w:sz w:val="22"/>
                <w:szCs w:val="22"/>
              </w:rPr>
              <w:t xml:space="preserve">d początku funkcjonowania FD do </w:t>
            </w:r>
            <w:r w:rsidR="009724A5">
              <w:rPr>
                <w:rFonts w:ascii="Times New Roman" w:eastAsia="Times New Roman" w:hAnsi="Times New Roman" w:cs="Times New Roman"/>
                <w:sz w:val="22"/>
                <w:szCs w:val="22"/>
              </w:rPr>
              <w:t>końca lipca 2022 r.</w:t>
            </w:r>
            <w:r w:rsidRPr="00566F3C">
              <w:rPr>
                <w:rFonts w:ascii="Times New Roman" w:eastAsia="Times New Roman" w:hAnsi="Times New Roman" w:cs="Times New Roman"/>
                <w:sz w:val="22"/>
                <w:szCs w:val="22"/>
              </w:rPr>
              <w:t xml:space="preserve"> (4 lata wdrażania) FD otrzymał dotację z budżetu państwa w</w:t>
            </w:r>
            <w:r w:rsidR="00A05EC1">
              <w:rPr>
                <w:rFonts w:ascii="Times New Roman" w:eastAsia="Times New Roman" w:hAnsi="Times New Roman" w:cs="Times New Roman"/>
                <w:sz w:val="22"/>
                <w:szCs w:val="22"/>
              </w:rPr>
              <w:t> </w:t>
            </w:r>
            <w:r w:rsidRPr="00566F3C">
              <w:rPr>
                <w:rFonts w:ascii="Times New Roman" w:eastAsia="Times New Roman" w:hAnsi="Times New Roman" w:cs="Times New Roman"/>
                <w:sz w:val="22"/>
                <w:szCs w:val="22"/>
              </w:rPr>
              <w:t>wysokości 5 mln zł</w:t>
            </w:r>
            <w:r w:rsidR="00C27B2C">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w:t>
            </w:r>
          </w:p>
          <w:p w14:paraId="33DDCA91" w14:textId="77777777" w:rsidR="00566F3C" w:rsidRPr="00566F3C" w:rsidRDefault="00566F3C" w:rsidP="00AE2DC1">
            <w:pPr>
              <w:numPr>
                <w:ilvl w:val="0"/>
                <w:numId w:val="53"/>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566F3C">
              <w:rPr>
                <w:rFonts w:ascii="Times New Roman" w:eastAsia="Times New Roman" w:hAnsi="Times New Roman" w:cs="Times New Roman"/>
                <w:sz w:val="22"/>
                <w:szCs w:val="22"/>
              </w:rPr>
              <w:t>środki z Solidarnościowego Funduszu Wsparcia Osób Niepełnosprawnych (</w:t>
            </w:r>
            <w:r w:rsidR="005F3A29" w:rsidRPr="00566F3C">
              <w:rPr>
                <w:rFonts w:ascii="Times New Roman" w:eastAsia="Times New Roman" w:hAnsi="Times New Roman" w:cs="Times New Roman"/>
                <w:sz w:val="22"/>
                <w:szCs w:val="22"/>
              </w:rPr>
              <w:t>obecnie Fundusz</w:t>
            </w:r>
            <w:r w:rsidRPr="00566F3C">
              <w:rPr>
                <w:rFonts w:ascii="Times New Roman" w:eastAsia="Times New Roman" w:hAnsi="Times New Roman" w:cs="Times New Roman"/>
                <w:sz w:val="22"/>
                <w:szCs w:val="22"/>
              </w:rPr>
              <w:t xml:space="preserve"> Solidarnościowy</w:t>
            </w:r>
            <w:r w:rsidR="000B0FED">
              <w:rPr>
                <w:rFonts w:ascii="Times New Roman" w:eastAsia="Times New Roman" w:hAnsi="Times New Roman" w:cs="Times New Roman"/>
                <w:sz w:val="22"/>
                <w:szCs w:val="22"/>
              </w:rPr>
              <w:t xml:space="preserve"> (FS)</w:t>
            </w:r>
            <w:r w:rsidRPr="00566F3C">
              <w:rPr>
                <w:rFonts w:ascii="Times New Roman" w:eastAsia="Times New Roman" w:hAnsi="Times New Roman" w:cs="Times New Roman"/>
                <w:sz w:val="22"/>
                <w:szCs w:val="22"/>
              </w:rPr>
              <w:t xml:space="preserve">) </w:t>
            </w:r>
            <w:r w:rsidR="00650CED">
              <w:rPr>
                <w:rFonts w:ascii="Times New Roman" w:eastAsia="Times New Roman" w:hAnsi="Times New Roman" w:cs="Times New Roman"/>
                <w:sz w:val="22"/>
                <w:szCs w:val="22"/>
              </w:rPr>
              <w:t xml:space="preserve">– </w:t>
            </w:r>
            <w:r w:rsidRPr="00566F3C">
              <w:rPr>
                <w:rFonts w:ascii="Times New Roman" w:eastAsia="Times New Roman" w:hAnsi="Times New Roman" w:cs="Times New Roman"/>
                <w:sz w:val="22"/>
                <w:szCs w:val="22"/>
              </w:rPr>
              <w:t>założono wpływy na poziomie ok</w:t>
            </w:r>
            <w:r w:rsidR="00650CED">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40 mln rocznie – łącznie 400 mln zł. Od początku funkcjonowania FD kwota FS przykazywana jest do FD zgodnie z planem. Do dziś przekazano do BGK kwotę </w:t>
            </w:r>
            <w:r w:rsidR="00720544">
              <w:rPr>
                <w:rFonts w:ascii="Times New Roman" w:eastAsia="Times New Roman" w:hAnsi="Times New Roman" w:cs="Times New Roman"/>
                <w:sz w:val="22"/>
                <w:szCs w:val="22"/>
              </w:rPr>
              <w:t>200</w:t>
            </w:r>
            <w:r w:rsidRPr="00566F3C">
              <w:rPr>
                <w:rFonts w:ascii="Times New Roman" w:eastAsia="Times New Roman" w:hAnsi="Times New Roman" w:cs="Times New Roman"/>
                <w:sz w:val="22"/>
                <w:szCs w:val="22"/>
              </w:rPr>
              <w:t xml:space="preserve"> mln zł</w:t>
            </w:r>
            <w:r w:rsidR="00C27B2C">
              <w:rPr>
                <w:rFonts w:ascii="Times New Roman" w:eastAsia="Times New Roman" w:hAnsi="Times New Roman" w:cs="Times New Roman"/>
                <w:sz w:val="22"/>
                <w:szCs w:val="22"/>
              </w:rPr>
              <w:t>;</w:t>
            </w:r>
          </w:p>
          <w:p w14:paraId="5EB0FBC2" w14:textId="457195F7" w:rsidR="00566F3C" w:rsidRPr="00566F3C" w:rsidRDefault="00566F3C" w:rsidP="00AE2DC1">
            <w:pPr>
              <w:numPr>
                <w:ilvl w:val="0"/>
                <w:numId w:val="53"/>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566F3C">
              <w:rPr>
                <w:rFonts w:ascii="Times New Roman" w:eastAsia="Times New Roman" w:hAnsi="Times New Roman" w:cs="Times New Roman"/>
                <w:sz w:val="22"/>
                <w:szCs w:val="22"/>
              </w:rPr>
              <w:t>środki finansowe zwracane z projektów instrumentów inżynierii finansowej w</w:t>
            </w:r>
            <w:r w:rsidR="00A05EC1">
              <w:rPr>
                <w:rFonts w:ascii="Times New Roman" w:eastAsia="Times New Roman" w:hAnsi="Times New Roman" w:cs="Times New Roman"/>
                <w:sz w:val="22"/>
                <w:szCs w:val="22"/>
              </w:rPr>
              <w:t> </w:t>
            </w:r>
            <w:r w:rsidRPr="00566F3C">
              <w:rPr>
                <w:rFonts w:ascii="Times New Roman" w:eastAsia="Times New Roman" w:hAnsi="Times New Roman" w:cs="Times New Roman"/>
                <w:sz w:val="22"/>
                <w:szCs w:val="22"/>
              </w:rPr>
              <w:t>perspektywie finansowej 2007</w:t>
            </w:r>
            <w:r w:rsidR="00AE280D">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2013. Wysokość środków zwróconych osiągnie poziom ok</w:t>
            </w:r>
            <w:r w:rsidR="00982398">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137 mln zł; kwoty te spływają do </w:t>
            </w:r>
            <w:proofErr w:type="spellStart"/>
            <w:r w:rsidRPr="00566F3C">
              <w:rPr>
                <w:rFonts w:ascii="Times New Roman" w:eastAsia="Times New Roman" w:hAnsi="Times New Roman" w:cs="Times New Roman"/>
                <w:sz w:val="22"/>
                <w:szCs w:val="22"/>
              </w:rPr>
              <w:t>MF</w:t>
            </w:r>
            <w:r w:rsidR="00C27B2C">
              <w:rPr>
                <w:rFonts w:ascii="Times New Roman" w:eastAsia="Times New Roman" w:hAnsi="Times New Roman" w:cs="Times New Roman"/>
                <w:sz w:val="22"/>
                <w:szCs w:val="22"/>
              </w:rPr>
              <w:t>i</w:t>
            </w:r>
            <w:r w:rsidRPr="00566F3C">
              <w:rPr>
                <w:rFonts w:ascii="Times New Roman" w:eastAsia="Times New Roman" w:hAnsi="Times New Roman" w:cs="Times New Roman"/>
                <w:sz w:val="22"/>
                <w:szCs w:val="22"/>
              </w:rPr>
              <w:t>PR</w:t>
            </w:r>
            <w:proofErr w:type="spellEnd"/>
            <w:r w:rsidRPr="00566F3C">
              <w:rPr>
                <w:rFonts w:ascii="Times New Roman" w:eastAsia="Times New Roman" w:hAnsi="Times New Roman" w:cs="Times New Roman"/>
                <w:sz w:val="22"/>
                <w:szCs w:val="22"/>
              </w:rPr>
              <w:t xml:space="preserve"> planowo i odpowiednio do ich dostępności są uwzględniane w Planie Finansowym FD i przekazywane na rachunek FD. </w:t>
            </w:r>
            <w:r w:rsidRPr="00566F3C">
              <w:rPr>
                <w:rFonts w:ascii="Times New Roman" w:eastAsia="Times New Roman" w:hAnsi="Times New Roman" w:cs="Times New Roman"/>
                <w:sz w:val="22"/>
                <w:szCs w:val="22"/>
              </w:rPr>
              <w:lastRenderedPageBreak/>
              <w:t>Od początku funkcjonowania FD wysokość środków</w:t>
            </w:r>
            <w:r w:rsidR="00C27B2C">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o które zawnioskował i które przekazano do BGK</w:t>
            </w:r>
            <w:r w:rsidR="00C27B2C">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wyniosła 48 576 559,19 zł</w:t>
            </w:r>
            <w:r w:rsidR="00C27B2C">
              <w:rPr>
                <w:rFonts w:ascii="Times New Roman" w:eastAsia="Times New Roman" w:hAnsi="Times New Roman" w:cs="Times New Roman"/>
                <w:sz w:val="22"/>
                <w:szCs w:val="22"/>
              </w:rPr>
              <w:t>;</w:t>
            </w:r>
          </w:p>
          <w:p w14:paraId="46B72E92" w14:textId="59819088" w:rsidR="00566F3C" w:rsidRPr="00566F3C" w:rsidRDefault="00566F3C" w:rsidP="00AE2DC1">
            <w:pPr>
              <w:numPr>
                <w:ilvl w:val="0"/>
                <w:numId w:val="53"/>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566F3C">
              <w:rPr>
                <w:rFonts w:ascii="Times New Roman" w:eastAsia="Times New Roman" w:hAnsi="Times New Roman" w:cs="Times New Roman"/>
                <w:sz w:val="22"/>
                <w:szCs w:val="22"/>
              </w:rPr>
              <w:t xml:space="preserve">odsetki </w:t>
            </w:r>
            <w:r w:rsidR="00720544">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od początku funkcjonowania FD do dziś przekazano do BGK kwotę ok</w:t>
            </w:r>
            <w:r w:rsidR="00982398">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w:t>
            </w:r>
            <w:r w:rsidR="00125298">
              <w:rPr>
                <w:rFonts w:ascii="Times New Roman" w:eastAsia="Times New Roman" w:hAnsi="Times New Roman" w:cs="Times New Roman"/>
                <w:sz w:val="22"/>
                <w:szCs w:val="22"/>
              </w:rPr>
              <w:br/>
            </w:r>
            <w:r w:rsidRPr="00566F3C">
              <w:rPr>
                <w:rFonts w:ascii="Times New Roman" w:eastAsia="Times New Roman" w:hAnsi="Times New Roman" w:cs="Times New Roman"/>
                <w:sz w:val="22"/>
                <w:szCs w:val="22"/>
              </w:rPr>
              <w:t>116 tys. zł</w:t>
            </w:r>
            <w:r w:rsidR="00720544">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w:t>
            </w:r>
          </w:p>
          <w:p w14:paraId="7C8282DC" w14:textId="77D9D27D" w:rsidR="00566F3C" w:rsidRPr="00566F3C" w:rsidRDefault="00566F3C" w:rsidP="00566F3C">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E2DC1">
              <w:rPr>
                <w:rFonts w:ascii="Times New Roman" w:eastAsia="Times New Roman" w:hAnsi="Times New Roman" w:cs="Times New Roman"/>
                <w:sz w:val="22"/>
                <w:szCs w:val="22"/>
              </w:rPr>
              <w:t>Na lata 2023</w:t>
            </w:r>
            <w:r w:rsidR="00160D38">
              <w:rPr>
                <w:rFonts w:ascii="Times New Roman" w:eastAsia="Times New Roman" w:hAnsi="Times New Roman" w:cs="Times New Roman"/>
                <w:sz w:val="22"/>
                <w:szCs w:val="22"/>
              </w:rPr>
              <w:t>–</w:t>
            </w:r>
            <w:r w:rsidRPr="00AE2DC1">
              <w:rPr>
                <w:rFonts w:ascii="Times New Roman" w:eastAsia="Times New Roman" w:hAnsi="Times New Roman" w:cs="Times New Roman"/>
                <w:sz w:val="22"/>
                <w:szCs w:val="22"/>
              </w:rPr>
              <w:t xml:space="preserve">2025 </w:t>
            </w:r>
            <w:r w:rsidR="00C21EA3" w:rsidRPr="00AE2DC1">
              <w:rPr>
                <w:rFonts w:ascii="Times New Roman" w:eastAsia="Times New Roman" w:hAnsi="Times New Roman" w:cs="Times New Roman"/>
                <w:sz w:val="22"/>
                <w:szCs w:val="22"/>
              </w:rPr>
              <w:t>nie zostanie przyznana</w:t>
            </w:r>
            <w:r w:rsidRPr="00AE2DC1">
              <w:rPr>
                <w:rFonts w:ascii="Times New Roman" w:eastAsia="Times New Roman" w:hAnsi="Times New Roman" w:cs="Times New Roman"/>
                <w:sz w:val="22"/>
                <w:szCs w:val="22"/>
              </w:rPr>
              <w:t xml:space="preserve"> dotacj</w:t>
            </w:r>
            <w:r w:rsidR="00EC688F" w:rsidRPr="00AE2DC1">
              <w:rPr>
                <w:rFonts w:ascii="Times New Roman" w:eastAsia="Times New Roman" w:hAnsi="Times New Roman" w:cs="Times New Roman"/>
                <w:sz w:val="22"/>
                <w:szCs w:val="22"/>
              </w:rPr>
              <w:t>a</w:t>
            </w:r>
            <w:r w:rsidR="00C21EA3" w:rsidRPr="00AE2DC1">
              <w:rPr>
                <w:rFonts w:ascii="Times New Roman" w:eastAsia="Times New Roman" w:hAnsi="Times New Roman" w:cs="Times New Roman"/>
                <w:sz w:val="22"/>
                <w:szCs w:val="22"/>
              </w:rPr>
              <w:t xml:space="preserve"> z budżetu państwa</w:t>
            </w:r>
            <w:r w:rsidRPr="00300765">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Brak tych środków wpływa </w:t>
            </w:r>
            <w:r w:rsidR="005C49E7">
              <w:rPr>
                <w:rFonts w:ascii="Times New Roman" w:eastAsia="Times New Roman" w:hAnsi="Times New Roman" w:cs="Times New Roman"/>
                <w:sz w:val="22"/>
                <w:szCs w:val="22"/>
              </w:rPr>
              <w:t xml:space="preserve">negatywnie </w:t>
            </w:r>
            <w:r w:rsidRPr="00566F3C">
              <w:rPr>
                <w:rFonts w:ascii="Times New Roman" w:eastAsia="Times New Roman" w:hAnsi="Times New Roman" w:cs="Times New Roman"/>
                <w:sz w:val="22"/>
                <w:szCs w:val="22"/>
              </w:rPr>
              <w:t xml:space="preserve">na zakres </w:t>
            </w:r>
            <w:r w:rsidR="005F3A29" w:rsidRPr="000A12B8">
              <w:rPr>
                <w:rFonts w:ascii="Times New Roman" w:eastAsia="Times New Roman" w:hAnsi="Times New Roman" w:cs="Times New Roman"/>
                <w:sz w:val="22"/>
                <w:szCs w:val="22"/>
              </w:rPr>
              <w:t xml:space="preserve">inwestycji </w:t>
            </w:r>
            <w:r w:rsidR="005F3A29" w:rsidRPr="00566F3C">
              <w:rPr>
                <w:rFonts w:ascii="Times New Roman" w:eastAsia="Times New Roman" w:hAnsi="Times New Roman" w:cs="Times New Roman"/>
                <w:sz w:val="22"/>
                <w:szCs w:val="22"/>
              </w:rPr>
              <w:t>możliwych</w:t>
            </w:r>
            <w:r w:rsidRPr="00566F3C">
              <w:rPr>
                <w:rFonts w:ascii="Times New Roman" w:eastAsia="Times New Roman" w:hAnsi="Times New Roman" w:cs="Times New Roman"/>
                <w:sz w:val="22"/>
                <w:szCs w:val="22"/>
              </w:rPr>
              <w:t xml:space="preserve"> do finansowania</w:t>
            </w:r>
            <w:r w:rsidR="000A12B8">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Wynika to m.in. z </w:t>
            </w:r>
            <w:r w:rsidR="005C49E7">
              <w:rPr>
                <w:rFonts w:ascii="Times New Roman" w:eastAsia="Times New Roman" w:hAnsi="Times New Roman" w:cs="Times New Roman"/>
                <w:sz w:val="22"/>
                <w:szCs w:val="22"/>
              </w:rPr>
              <w:t>faktu</w:t>
            </w:r>
            <w:r w:rsidRPr="00566F3C">
              <w:rPr>
                <w:rFonts w:ascii="Times New Roman" w:eastAsia="Times New Roman" w:hAnsi="Times New Roman" w:cs="Times New Roman"/>
                <w:sz w:val="22"/>
                <w:szCs w:val="22"/>
              </w:rPr>
              <w:t xml:space="preserve">, że nie wszystkie inwestycje mogą być sfinansowane z odpisów </w:t>
            </w:r>
            <w:r w:rsidR="00720544">
              <w:rPr>
                <w:rFonts w:ascii="Times New Roman" w:eastAsia="Times New Roman" w:hAnsi="Times New Roman" w:cs="Times New Roman"/>
                <w:sz w:val="22"/>
                <w:szCs w:val="22"/>
              </w:rPr>
              <w:t>z</w:t>
            </w:r>
            <w:r w:rsidRPr="00566F3C">
              <w:rPr>
                <w:rFonts w:ascii="Times New Roman" w:eastAsia="Times New Roman" w:hAnsi="Times New Roman" w:cs="Times New Roman"/>
                <w:sz w:val="22"/>
                <w:szCs w:val="22"/>
              </w:rPr>
              <w:t xml:space="preserve"> F</w:t>
            </w:r>
            <w:r w:rsidR="000D79E4">
              <w:rPr>
                <w:rFonts w:ascii="Times New Roman" w:eastAsia="Times New Roman" w:hAnsi="Times New Roman" w:cs="Times New Roman"/>
                <w:sz w:val="22"/>
                <w:szCs w:val="22"/>
              </w:rPr>
              <w:t>S</w:t>
            </w:r>
            <w:r w:rsidRPr="00566F3C">
              <w:rPr>
                <w:rFonts w:ascii="Times New Roman" w:eastAsia="Times New Roman" w:hAnsi="Times New Roman" w:cs="Times New Roman"/>
                <w:sz w:val="22"/>
                <w:szCs w:val="22"/>
              </w:rPr>
              <w:t>, które w naj</w:t>
            </w:r>
            <w:r w:rsidR="00274AA6">
              <w:rPr>
                <w:rFonts w:ascii="Times New Roman" w:eastAsia="Times New Roman" w:hAnsi="Times New Roman" w:cs="Times New Roman"/>
                <w:sz w:val="22"/>
                <w:szCs w:val="22"/>
              </w:rPr>
              <w:t>większym</w:t>
            </w:r>
            <w:r w:rsidRPr="00566F3C">
              <w:rPr>
                <w:rFonts w:ascii="Times New Roman" w:eastAsia="Times New Roman" w:hAnsi="Times New Roman" w:cs="Times New Roman"/>
                <w:sz w:val="22"/>
                <w:szCs w:val="22"/>
              </w:rPr>
              <w:t xml:space="preserve"> stopniu do tej pory zasilały FD (40 mln zł rocznie). </w:t>
            </w:r>
          </w:p>
          <w:p w14:paraId="35E31A5F" w14:textId="166866FD" w:rsidR="00566F3C" w:rsidRPr="00566F3C" w:rsidRDefault="00274AA6" w:rsidP="00566F3C">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566F3C" w:rsidRPr="00566F3C">
              <w:rPr>
                <w:rFonts w:ascii="Times New Roman" w:eastAsia="Times New Roman" w:hAnsi="Times New Roman" w:cs="Times New Roman"/>
                <w:sz w:val="22"/>
                <w:szCs w:val="22"/>
              </w:rPr>
              <w:t>pływy środków finansowych zwracanych z projektów instrumentów inżynierii finansowej w</w:t>
            </w:r>
            <w:r w:rsidR="00A05EC1">
              <w:rPr>
                <w:rFonts w:ascii="Times New Roman" w:eastAsia="Times New Roman" w:hAnsi="Times New Roman" w:cs="Times New Roman"/>
                <w:sz w:val="22"/>
                <w:szCs w:val="22"/>
              </w:rPr>
              <w:t> </w:t>
            </w:r>
            <w:r w:rsidR="00566F3C" w:rsidRPr="00566F3C">
              <w:rPr>
                <w:rFonts w:ascii="Times New Roman" w:eastAsia="Times New Roman" w:hAnsi="Times New Roman" w:cs="Times New Roman"/>
                <w:sz w:val="22"/>
                <w:szCs w:val="22"/>
              </w:rPr>
              <w:t>poprzedniej perspektywie finansowej, które</w:t>
            </w:r>
            <w:r w:rsidR="00C27B2C">
              <w:rPr>
                <w:rFonts w:ascii="Times New Roman" w:eastAsia="Times New Roman" w:hAnsi="Times New Roman" w:cs="Times New Roman"/>
                <w:sz w:val="22"/>
                <w:szCs w:val="22"/>
              </w:rPr>
              <w:t xml:space="preserve"> </w:t>
            </w:r>
            <w:r w:rsidR="00566F3C" w:rsidRPr="00566F3C">
              <w:rPr>
                <w:rFonts w:ascii="Times New Roman" w:eastAsia="Times New Roman" w:hAnsi="Times New Roman" w:cs="Times New Roman"/>
                <w:sz w:val="22"/>
                <w:szCs w:val="22"/>
              </w:rPr>
              <w:t>w pierwszych latach funkcjonowania FD były wysokie (nawet 24 mln rocznie)</w:t>
            </w:r>
            <w:r w:rsidR="00C27B2C">
              <w:rPr>
                <w:rFonts w:ascii="Times New Roman" w:eastAsia="Times New Roman" w:hAnsi="Times New Roman" w:cs="Times New Roman"/>
                <w:sz w:val="22"/>
                <w:szCs w:val="22"/>
              </w:rPr>
              <w:t>,</w:t>
            </w:r>
            <w:r w:rsidR="00566F3C" w:rsidRPr="00566F3C">
              <w:rPr>
                <w:rFonts w:ascii="Times New Roman" w:eastAsia="Times New Roman" w:hAnsi="Times New Roman" w:cs="Times New Roman"/>
                <w:sz w:val="22"/>
                <w:szCs w:val="22"/>
              </w:rPr>
              <w:t xml:space="preserve"> od roku 2023</w:t>
            </w:r>
            <w:r>
              <w:rPr>
                <w:rFonts w:ascii="Times New Roman" w:eastAsia="Times New Roman" w:hAnsi="Times New Roman" w:cs="Times New Roman"/>
                <w:sz w:val="22"/>
                <w:szCs w:val="22"/>
              </w:rPr>
              <w:t xml:space="preserve"> (</w:t>
            </w:r>
            <w:r w:rsidR="00566F3C" w:rsidRPr="00566F3C">
              <w:rPr>
                <w:rFonts w:ascii="Times New Roman" w:eastAsia="Times New Roman" w:hAnsi="Times New Roman" w:cs="Times New Roman"/>
                <w:sz w:val="22"/>
                <w:szCs w:val="22"/>
              </w:rPr>
              <w:t>zgodnie z prognozami wartości spłat</w:t>
            </w:r>
            <w:r>
              <w:rPr>
                <w:rFonts w:ascii="Times New Roman" w:eastAsia="Times New Roman" w:hAnsi="Times New Roman" w:cs="Times New Roman"/>
                <w:sz w:val="22"/>
                <w:szCs w:val="22"/>
              </w:rPr>
              <w:t>)</w:t>
            </w:r>
            <w:r w:rsidR="00566F3C" w:rsidRPr="00566F3C">
              <w:rPr>
                <w:rFonts w:ascii="Times New Roman" w:eastAsia="Times New Roman" w:hAnsi="Times New Roman" w:cs="Times New Roman"/>
                <w:sz w:val="22"/>
                <w:szCs w:val="22"/>
              </w:rPr>
              <w:t>, zaczną spadać. W latach 2023</w:t>
            </w:r>
            <w:r w:rsidR="00D23CEF">
              <w:rPr>
                <w:rFonts w:ascii="Times New Roman" w:eastAsia="Times New Roman" w:hAnsi="Times New Roman" w:cs="Times New Roman"/>
                <w:sz w:val="22"/>
                <w:szCs w:val="22"/>
              </w:rPr>
              <w:t>–</w:t>
            </w:r>
            <w:r w:rsidR="00566F3C" w:rsidRPr="00566F3C">
              <w:rPr>
                <w:rFonts w:ascii="Times New Roman" w:eastAsia="Times New Roman" w:hAnsi="Times New Roman" w:cs="Times New Roman"/>
                <w:sz w:val="22"/>
                <w:szCs w:val="22"/>
              </w:rPr>
              <w:t xml:space="preserve">2026 powinny wynieść odpowiednio ok. 12, 7, 3 i 1 mln zł, co wyraźnie obniży kwotę dostępnych środków na koncie </w:t>
            </w:r>
            <w:r w:rsidR="005F3A29" w:rsidRPr="00566F3C">
              <w:rPr>
                <w:rFonts w:ascii="Times New Roman" w:eastAsia="Times New Roman" w:hAnsi="Times New Roman" w:cs="Times New Roman"/>
                <w:sz w:val="22"/>
                <w:szCs w:val="22"/>
              </w:rPr>
              <w:t>FD</w:t>
            </w:r>
            <w:r w:rsidR="000D79E4">
              <w:rPr>
                <w:rFonts w:ascii="Times New Roman" w:eastAsia="Times New Roman" w:hAnsi="Times New Roman" w:cs="Times New Roman"/>
                <w:sz w:val="22"/>
                <w:szCs w:val="22"/>
              </w:rPr>
              <w:t>.</w:t>
            </w:r>
          </w:p>
          <w:p w14:paraId="64779071" w14:textId="77777777" w:rsidR="00566F3C" w:rsidRPr="00566F3C" w:rsidRDefault="00566F3C" w:rsidP="00566F3C">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566F3C">
              <w:rPr>
                <w:rFonts w:ascii="Times New Roman" w:eastAsia="Times New Roman" w:hAnsi="Times New Roman" w:cs="Times New Roman"/>
                <w:sz w:val="22"/>
                <w:szCs w:val="22"/>
              </w:rPr>
              <w:t xml:space="preserve">Wartość podpisanych umów przez BGK i pośredników finansowych wyniosła w kolejnych latach narastająco: 2019 </w:t>
            </w:r>
            <w:r w:rsidR="00982398">
              <w:rPr>
                <w:rFonts w:ascii="Times New Roman" w:eastAsia="Times New Roman" w:hAnsi="Times New Roman" w:cs="Times New Roman"/>
                <w:sz w:val="22"/>
                <w:szCs w:val="22"/>
              </w:rPr>
              <w:t xml:space="preserve">r. </w:t>
            </w:r>
            <w:r w:rsidRPr="00566F3C">
              <w:rPr>
                <w:rFonts w:ascii="Times New Roman" w:eastAsia="Times New Roman" w:hAnsi="Times New Roman" w:cs="Times New Roman"/>
                <w:sz w:val="22"/>
                <w:szCs w:val="22"/>
              </w:rPr>
              <w:t>– 0 zł, 2020</w:t>
            </w:r>
            <w:r w:rsidR="00982398">
              <w:rPr>
                <w:rFonts w:ascii="Times New Roman" w:eastAsia="Times New Roman" w:hAnsi="Times New Roman" w:cs="Times New Roman"/>
                <w:sz w:val="22"/>
                <w:szCs w:val="22"/>
              </w:rPr>
              <w:t xml:space="preserve"> r.</w:t>
            </w:r>
            <w:r w:rsidRPr="00566F3C">
              <w:rPr>
                <w:rFonts w:ascii="Times New Roman" w:eastAsia="Times New Roman" w:hAnsi="Times New Roman" w:cs="Times New Roman"/>
                <w:sz w:val="22"/>
                <w:szCs w:val="22"/>
              </w:rPr>
              <w:t xml:space="preserve"> – 10,8 mln zł, 2021</w:t>
            </w:r>
            <w:r w:rsidR="002511B5">
              <w:rPr>
                <w:rFonts w:ascii="Times New Roman" w:eastAsia="Times New Roman" w:hAnsi="Times New Roman" w:cs="Times New Roman"/>
                <w:sz w:val="22"/>
                <w:szCs w:val="22"/>
              </w:rPr>
              <w:t> </w:t>
            </w:r>
            <w:r w:rsidR="00982398">
              <w:rPr>
                <w:rFonts w:ascii="Times New Roman" w:eastAsia="Times New Roman" w:hAnsi="Times New Roman" w:cs="Times New Roman"/>
                <w:sz w:val="22"/>
                <w:szCs w:val="22"/>
              </w:rPr>
              <w:t xml:space="preserve">r. </w:t>
            </w:r>
            <w:r w:rsidR="00982398" w:rsidRPr="00566F3C">
              <w:rPr>
                <w:rFonts w:ascii="Times New Roman" w:eastAsia="Times New Roman" w:hAnsi="Times New Roman" w:cs="Times New Roman"/>
                <w:sz w:val="22"/>
                <w:szCs w:val="22"/>
              </w:rPr>
              <w:t>–</w:t>
            </w:r>
            <w:r w:rsidRPr="00566F3C">
              <w:rPr>
                <w:rFonts w:ascii="Times New Roman" w:eastAsia="Times New Roman" w:hAnsi="Times New Roman" w:cs="Times New Roman"/>
                <w:sz w:val="22"/>
                <w:szCs w:val="22"/>
              </w:rPr>
              <w:t xml:space="preserve"> 47 mln zł, a do końca czerwca 2022</w:t>
            </w:r>
            <w:r w:rsidR="002511B5">
              <w:rPr>
                <w:rFonts w:ascii="Times New Roman" w:eastAsia="Times New Roman" w:hAnsi="Times New Roman" w:cs="Times New Roman"/>
                <w:sz w:val="22"/>
                <w:szCs w:val="22"/>
              </w:rPr>
              <w:t> </w:t>
            </w:r>
            <w:r w:rsidR="00982398">
              <w:rPr>
                <w:rFonts w:ascii="Times New Roman" w:eastAsia="Times New Roman" w:hAnsi="Times New Roman" w:cs="Times New Roman"/>
                <w:sz w:val="22"/>
                <w:szCs w:val="22"/>
              </w:rPr>
              <w:t>r.</w:t>
            </w:r>
            <w:r w:rsidRPr="00566F3C">
              <w:rPr>
                <w:rFonts w:ascii="Times New Roman" w:eastAsia="Times New Roman" w:hAnsi="Times New Roman" w:cs="Times New Roman"/>
                <w:sz w:val="22"/>
                <w:szCs w:val="22"/>
              </w:rPr>
              <w:t xml:space="preserve"> – 70,5 mln zł.</w:t>
            </w:r>
          </w:p>
          <w:p w14:paraId="59ED2866" w14:textId="44BB3641" w:rsidR="00201A77" w:rsidRPr="00143F5A" w:rsidRDefault="00566F3C"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566F3C">
              <w:rPr>
                <w:rFonts w:ascii="Times New Roman" w:eastAsia="Times New Roman" w:hAnsi="Times New Roman" w:cs="Times New Roman"/>
                <w:sz w:val="22"/>
                <w:szCs w:val="22"/>
              </w:rPr>
              <w:t>W każdym roku całość zaplanowanych w planie finansowym FD środków jest przekazywana do BGK. W 2022</w:t>
            </w:r>
            <w:r w:rsidR="002511B5">
              <w:rPr>
                <w:rFonts w:ascii="Times New Roman" w:eastAsia="Times New Roman" w:hAnsi="Times New Roman" w:cs="Times New Roman"/>
                <w:sz w:val="22"/>
                <w:szCs w:val="22"/>
              </w:rPr>
              <w:t> </w:t>
            </w:r>
            <w:r w:rsidRPr="00566F3C">
              <w:rPr>
                <w:rFonts w:ascii="Times New Roman" w:eastAsia="Times New Roman" w:hAnsi="Times New Roman" w:cs="Times New Roman"/>
                <w:sz w:val="22"/>
                <w:szCs w:val="22"/>
              </w:rPr>
              <w:t>r. wypłacono środki w kwocie blisko 34 mln zł, w związku ze zgłoszonym przez BGK zapotrzebowaniem. Wnioskowana kwota stanowi 60% środków dostępnych na ten rok w</w:t>
            </w:r>
            <w:r w:rsidR="00A05EC1">
              <w:rPr>
                <w:rFonts w:ascii="Times New Roman" w:eastAsia="Times New Roman" w:hAnsi="Times New Roman" w:cs="Times New Roman"/>
                <w:sz w:val="22"/>
                <w:szCs w:val="22"/>
              </w:rPr>
              <w:t> </w:t>
            </w:r>
            <w:r w:rsidRPr="00566F3C">
              <w:rPr>
                <w:rFonts w:ascii="Times New Roman" w:eastAsia="Times New Roman" w:hAnsi="Times New Roman" w:cs="Times New Roman"/>
                <w:sz w:val="22"/>
                <w:szCs w:val="22"/>
              </w:rPr>
              <w:t xml:space="preserve">planie finansowym FD. </w:t>
            </w:r>
          </w:p>
          <w:p w14:paraId="7A33B9BA" w14:textId="482662E0" w:rsidR="00EC4C5C" w:rsidRPr="003E7A0B" w:rsidRDefault="00824A0D" w:rsidP="00125298">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Konieczne jest również zwrócenie uwagi</w:t>
            </w:r>
            <w:r w:rsidR="00515863" w:rsidRPr="00554211">
              <w:rPr>
                <w:rFonts w:ascii="Times New Roman" w:eastAsia="Times New Roman" w:hAnsi="Times New Roman" w:cs="Times New Roman"/>
                <w:sz w:val="22"/>
                <w:szCs w:val="22"/>
              </w:rPr>
              <w:t xml:space="preserve">, że po stronie dochodowej możliwe są wpływy do budżetu państwa wynikające ze wzrostu aktywności zawodowej osób </w:t>
            </w:r>
            <w:r w:rsidR="002859DA" w:rsidRPr="003E7A0B">
              <w:rPr>
                <w:rFonts w:ascii="Times New Roman" w:hAnsi="Times New Roman" w:cs="Times New Roman"/>
                <w:sz w:val="22"/>
                <w:szCs w:val="22"/>
              </w:rPr>
              <w:t>ze szczególnymi potrzebami</w:t>
            </w:r>
            <w:r w:rsidR="00515863" w:rsidRPr="007C7787">
              <w:rPr>
                <w:rFonts w:ascii="Times New Roman" w:eastAsia="Times New Roman" w:hAnsi="Times New Roman" w:cs="Times New Roman"/>
                <w:sz w:val="22"/>
                <w:szCs w:val="22"/>
              </w:rPr>
              <w:t xml:space="preserve">, które przez obecność licznych barier w </w:t>
            </w:r>
            <w:r w:rsidR="00515863" w:rsidRPr="00143F5A">
              <w:rPr>
                <w:rFonts w:ascii="Times New Roman" w:eastAsia="Times New Roman" w:hAnsi="Times New Roman" w:cs="Times New Roman"/>
                <w:sz w:val="22"/>
                <w:szCs w:val="22"/>
              </w:rPr>
              <w:t>przestrzeni publicznej nie są dziś aktywne na rynku pracy. Są to dochody</w:t>
            </w:r>
            <w:r>
              <w:rPr>
                <w:rFonts w:ascii="Times New Roman" w:eastAsia="Times New Roman" w:hAnsi="Times New Roman" w:cs="Times New Roman"/>
                <w:sz w:val="22"/>
                <w:szCs w:val="22"/>
              </w:rPr>
              <w:t xml:space="preserve"> </w:t>
            </w:r>
            <w:r w:rsidR="00515863" w:rsidRPr="00143F5A">
              <w:rPr>
                <w:rFonts w:ascii="Times New Roman" w:eastAsia="Times New Roman" w:hAnsi="Times New Roman" w:cs="Times New Roman"/>
                <w:sz w:val="22"/>
                <w:szCs w:val="22"/>
              </w:rPr>
              <w:t>zarówno</w:t>
            </w:r>
            <w:r w:rsidR="007A0F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z tytułu odprowadzanych </w:t>
            </w:r>
            <w:r w:rsidR="00515863" w:rsidRPr="00143F5A">
              <w:rPr>
                <w:rFonts w:ascii="Times New Roman" w:eastAsia="Times New Roman" w:hAnsi="Times New Roman" w:cs="Times New Roman"/>
                <w:sz w:val="22"/>
                <w:szCs w:val="22"/>
              </w:rPr>
              <w:t xml:space="preserve">składek </w:t>
            </w:r>
            <w:r>
              <w:rPr>
                <w:rFonts w:ascii="Times New Roman" w:eastAsia="Times New Roman" w:hAnsi="Times New Roman" w:cs="Times New Roman"/>
                <w:sz w:val="22"/>
                <w:szCs w:val="22"/>
              </w:rPr>
              <w:t xml:space="preserve">na </w:t>
            </w:r>
            <w:r w:rsidR="00515863" w:rsidRPr="00143F5A">
              <w:rPr>
                <w:rFonts w:ascii="Times New Roman" w:eastAsia="Times New Roman" w:hAnsi="Times New Roman" w:cs="Times New Roman"/>
                <w:sz w:val="22"/>
                <w:szCs w:val="22"/>
              </w:rPr>
              <w:t xml:space="preserve">ubezpieczenia społeczne </w:t>
            </w:r>
            <w:r>
              <w:rPr>
                <w:rFonts w:ascii="Times New Roman" w:eastAsia="Times New Roman" w:hAnsi="Times New Roman" w:cs="Times New Roman"/>
                <w:sz w:val="22"/>
                <w:szCs w:val="22"/>
              </w:rPr>
              <w:t xml:space="preserve">w związku </w:t>
            </w:r>
            <w:r w:rsidR="005F3A29">
              <w:rPr>
                <w:rFonts w:ascii="Times New Roman" w:eastAsia="Times New Roman" w:hAnsi="Times New Roman" w:cs="Times New Roman"/>
                <w:sz w:val="22"/>
                <w:szCs w:val="22"/>
              </w:rPr>
              <w:t xml:space="preserve">z </w:t>
            </w:r>
            <w:r w:rsidR="005F3A29" w:rsidRPr="00554211">
              <w:rPr>
                <w:rFonts w:ascii="Times New Roman" w:eastAsia="Times New Roman" w:hAnsi="Times New Roman" w:cs="Times New Roman"/>
                <w:sz w:val="22"/>
                <w:szCs w:val="22"/>
              </w:rPr>
              <w:t>podjęciem</w:t>
            </w:r>
            <w:r w:rsidR="00515863" w:rsidRPr="00554211">
              <w:rPr>
                <w:rFonts w:ascii="Times New Roman" w:eastAsia="Times New Roman" w:hAnsi="Times New Roman" w:cs="Times New Roman"/>
                <w:sz w:val="22"/>
                <w:szCs w:val="22"/>
              </w:rPr>
              <w:t xml:space="preserve"> pracy, </w:t>
            </w:r>
            <w:r>
              <w:rPr>
                <w:rFonts w:ascii="Times New Roman" w:eastAsia="Times New Roman" w:hAnsi="Times New Roman" w:cs="Times New Roman"/>
                <w:sz w:val="22"/>
                <w:szCs w:val="22"/>
              </w:rPr>
              <w:t xml:space="preserve">jak i z </w:t>
            </w:r>
            <w:r w:rsidR="00515863" w:rsidRPr="00554211">
              <w:rPr>
                <w:rFonts w:ascii="Times New Roman" w:eastAsia="Times New Roman" w:hAnsi="Times New Roman" w:cs="Times New Roman"/>
                <w:sz w:val="22"/>
                <w:szCs w:val="22"/>
              </w:rPr>
              <w:t xml:space="preserve">oszczędności </w:t>
            </w:r>
            <w:r>
              <w:rPr>
                <w:rFonts w:ascii="Times New Roman" w:eastAsia="Times New Roman" w:hAnsi="Times New Roman" w:cs="Times New Roman"/>
                <w:sz w:val="22"/>
                <w:szCs w:val="22"/>
              </w:rPr>
              <w:t xml:space="preserve">związanych </w:t>
            </w:r>
            <w:r w:rsidR="00515863" w:rsidRPr="00554211">
              <w:rPr>
                <w:rFonts w:ascii="Times New Roman" w:eastAsia="Times New Roman" w:hAnsi="Times New Roman" w:cs="Times New Roman"/>
                <w:sz w:val="22"/>
                <w:szCs w:val="22"/>
              </w:rPr>
              <w:t>ze zmniejsz</w:t>
            </w:r>
            <w:r>
              <w:rPr>
                <w:rFonts w:ascii="Times New Roman" w:eastAsia="Times New Roman" w:hAnsi="Times New Roman" w:cs="Times New Roman"/>
                <w:sz w:val="22"/>
                <w:szCs w:val="22"/>
              </w:rPr>
              <w:t>eniem</w:t>
            </w:r>
            <w:r w:rsidR="00515863" w:rsidRPr="00554211">
              <w:rPr>
                <w:rFonts w:ascii="Times New Roman" w:eastAsia="Times New Roman" w:hAnsi="Times New Roman" w:cs="Times New Roman"/>
                <w:sz w:val="22"/>
                <w:szCs w:val="22"/>
              </w:rPr>
              <w:t xml:space="preserve"> transferów socjalnych.</w:t>
            </w:r>
            <w:r w:rsidR="00326452" w:rsidRPr="00554211">
              <w:rPr>
                <w:rFonts w:ascii="Times New Roman" w:eastAsia="Times New Roman" w:hAnsi="Times New Roman" w:cs="Times New Roman"/>
                <w:sz w:val="22"/>
                <w:szCs w:val="22"/>
              </w:rPr>
              <w:t xml:space="preserve"> </w:t>
            </w:r>
            <w:r w:rsidR="005A7266" w:rsidRPr="006A79A4">
              <w:rPr>
                <w:rFonts w:ascii="Times New Roman" w:eastAsia="Times New Roman" w:hAnsi="Times New Roman" w:cs="Times New Roman"/>
                <w:sz w:val="22"/>
                <w:szCs w:val="22"/>
              </w:rPr>
              <w:t>Zakładając</w:t>
            </w:r>
            <w:r w:rsidR="002E17C9" w:rsidRPr="006A79A4">
              <w:rPr>
                <w:rFonts w:ascii="Times New Roman" w:eastAsia="Times New Roman" w:hAnsi="Times New Roman" w:cs="Times New Roman"/>
                <w:sz w:val="22"/>
                <w:szCs w:val="22"/>
              </w:rPr>
              <w:t xml:space="preserve">, </w:t>
            </w:r>
            <w:r w:rsidR="00515863" w:rsidRPr="006A79A4">
              <w:rPr>
                <w:rFonts w:ascii="Times New Roman" w:eastAsia="Times New Roman" w:hAnsi="Times New Roman" w:cs="Times New Roman"/>
                <w:sz w:val="22"/>
                <w:szCs w:val="22"/>
              </w:rPr>
              <w:t xml:space="preserve">że każda osoba pracująca uzyskałaby </w:t>
            </w:r>
            <w:r>
              <w:rPr>
                <w:rFonts w:ascii="Times New Roman" w:eastAsia="Times New Roman" w:hAnsi="Times New Roman" w:cs="Times New Roman"/>
                <w:sz w:val="22"/>
                <w:szCs w:val="22"/>
              </w:rPr>
              <w:t xml:space="preserve">wynagrodzenie </w:t>
            </w:r>
            <w:r w:rsidR="007B73C5">
              <w:rPr>
                <w:rFonts w:ascii="Times New Roman" w:eastAsia="Times New Roman" w:hAnsi="Times New Roman" w:cs="Times New Roman"/>
                <w:sz w:val="22"/>
                <w:szCs w:val="22"/>
              </w:rPr>
              <w:br/>
            </w:r>
            <w:r>
              <w:rPr>
                <w:rFonts w:ascii="Times New Roman" w:eastAsia="Times New Roman" w:hAnsi="Times New Roman" w:cs="Times New Roman"/>
                <w:sz w:val="22"/>
                <w:szCs w:val="22"/>
              </w:rPr>
              <w:t>w wysokości minimalnego wynagrodzenia za pracę</w:t>
            </w:r>
            <w:r w:rsidR="00515863" w:rsidRPr="006A79A4">
              <w:rPr>
                <w:rFonts w:ascii="Times New Roman" w:eastAsia="Times New Roman" w:hAnsi="Times New Roman" w:cs="Times New Roman"/>
                <w:sz w:val="22"/>
                <w:szCs w:val="22"/>
              </w:rPr>
              <w:t xml:space="preserve">, składka </w:t>
            </w:r>
            <w:r>
              <w:rPr>
                <w:rFonts w:ascii="Times New Roman" w:eastAsia="Times New Roman" w:hAnsi="Times New Roman" w:cs="Times New Roman"/>
                <w:sz w:val="22"/>
                <w:szCs w:val="22"/>
              </w:rPr>
              <w:t xml:space="preserve">na </w:t>
            </w:r>
            <w:r w:rsidR="00515863" w:rsidRPr="009B6894">
              <w:rPr>
                <w:rFonts w:ascii="Times New Roman" w:eastAsia="Times New Roman" w:hAnsi="Times New Roman" w:cs="Times New Roman"/>
                <w:sz w:val="22"/>
                <w:szCs w:val="22"/>
              </w:rPr>
              <w:t>ubezpiecze</w:t>
            </w:r>
            <w:r>
              <w:rPr>
                <w:rFonts w:ascii="Times New Roman" w:eastAsia="Times New Roman" w:hAnsi="Times New Roman" w:cs="Times New Roman"/>
                <w:sz w:val="22"/>
                <w:szCs w:val="22"/>
              </w:rPr>
              <w:t>nia</w:t>
            </w:r>
            <w:r w:rsidR="00515863" w:rsidRPr="009B6894">
              <w:rPr>
                <w:rFonts w:ascii="Times New Roman" w:eastAsia="Times New Roman" w:hAnsi="Times New Roman" w:cs="Times New Roman"/>
                <w:sz w:val="22"/>
                <w:szCs w:val="22"/>
              </w:rPr>
              <w:t xml:space="preserve"> sp</w:t>
            </w:r>
            <w:r w:rsidR="00B448E3" w:rsidRPr="00824529">
              <w:rPr>
                <w:rFonts w:ascii="Times New Roman" w:eastAsia="Times New Roman" w:hAnsi="Times New Roman" w:cs="Times New Roman"/>
                <w:sz w:val="22"/>
                <w:szCs w:val="22"/>
              </w:rPr>
              <w:t>ołeczn</w:t>
            </w:r>
            <w:r>
              <w:rPr>
                <w:rFonts w:ascii="Times New Roman" w:eastAsia="Times New Roman" w:hAnsi="Times New Roman" w:cs="Times New Roman"/>
                <w:sz w:val="22"/>
                <w:szCs w:val="22"/>
              </w:rPr>
              <w:t>e</w:t>
            </w:r>
            <w:r w:rsidR="00B448E3" w:rsidRPr="0082452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za pracownika, </w:t>
            </w:r>
            <w:r w:rsidR="00B448E3" w:rsidRPr="00824529">
              <w:rPr>
                <w:rFonts w:ascii="Times New Roman" w:eastAsia="Times New Roman" w:hAnsi="Times New Roman" w:cs="Times New Roman"/>
                <w:sz w:val="22"/>
                <w:szCs w:val="22"/>
              </w:rPr>
              <w:t>wpłacana do Z</w:t>
            </w:r>
            <w:r>
              <w:rPr>
                <w:rFonts w:ascii="Times New Roman" w:eastAsia="Times New Roman" w:hAnsi="Times New Roman" w:cs="Times New Roman"/>
                <w:sz w:val="22"/>
                <w:szCs w:val="22"/>
              </w:rPr>
              <w:t xml:space="preserve">akładu </w:t>
            </w:r>
            <w:r w:rsidR="00B448E3" w:rsidRPr="00824529">
              <w:rPr>
                <w:rFonts w:ascii="Times New Roman" w:eastAsia="Times New Roman" w:hAnsi="Times New Roman" w:cs="Times New Roman"/>
                <w:sz w:val="22"/>
                <w:szCs w:val="22"/>
              </w:rPr>
              <w:t>U</w:t>
            </w:r>
            <w:r>
              <w:rPr>
                <w:rFonts w:ascii="Times New Roman" w:eastAsia="Times New Roman" w:hAnsi="Times New Roman" w:cs="Times New Roman"/>
                <w:sz w:val="22"/>
                <w:szCs w:val="22"/>
              </w:rPr>
              <w:t xml:space="preserve">bezpieczeń </w:t>
            </w:r>
            <w:r w:rsidR="00B448E3" w:rsidRPr="00824529">
              <w:rPr>
                <w:rFonts w:ascii="Times New Roman" w:eastAsia="Times New Roman" w:hAnsi="Times New Roman" w:cs="Times New Roman"/>
                <w:sz w:val="22"/>
                <w:szCs w:val="22"/>
              </w:rPr>
              <w:t>S</w:t>
            </w:r>
            <w:r>
              <w:rPr>
                <w:rFonts w:ascii="Times New Roman" w:eastAsia="Times New Roman" w:hAnsi="Times New Roman" w:cs="Times New Roman"/>
                <w:sz w:val="22"/>
                <w:szCs w:val="22"/>
              </w:rPr>
              <w:t>połecznych</w:t>
            </w:r>
            <w:r w:rsidR="00B448E3" w:rsidRPr="00824529">
              <w:rPr>
                <w:rFonts w:ascii="Times New Roman" w:eastAsia="Times New Roman" w:hAnsi="Times New Roman" w:cs="Times New Roman"/>
                <w:sz w:val="22"/>
                <w:szCs w:val="22"/>
              </w:rPr>
              <w:t xml:space="preserve"> w 2021</w:t>
            </w:r>
            <w:r w:rsidR="002511B5">
              <w:rPr>
                <w:rFonts w:ascii="Times New Roman" w:eastAsia="Times New Roman" w:hAnsi="Times New Roman" w:cs="Times New Roman"/>
                <w:sz w:val="22"/>
                <w:szCs w:val="22"/>
              </w:rPr>
              <w:t> </w:t>
            </w:r>
            <w:r w:rsidR="00515863" w:rsidRPr="003E7A0B">
              <w:rPr>
                <w:rFonts w:ascii="Times New Roman" w:eastAsia="Times New Roman" w:hAnsi="Times New Roman" w:cs="Times New Roman"/>
                <w:sz w:val="22"/>
                <w:szCs w:val="22"/>
              </w:rPr>
              <w:t>r.</w:t>
            </w:r>
            <w:r>
              <w:rPr>
                <w:rFonts w:ascii="Times New Roman" w:eastAsia="Times New Roman" w:hAnsi="Times New Roman" w:cs="Times New Roman"/>
                <w:sz w:val="22"/>
                <w:szCs w:val="22"/>
              </w:rPr>
              <w:t>,</w:t>
            </w:r>
            <w:r w:rsidR="00515863" w:rsidRPr="003E7A0B">
              <w:rPr>
                <w:rFonts w:ascii="Times New Roman" w:eastAsia="Times New Roman" w:hAnsi="Times New Roman" w:cs="Times New Roman"/>
                <w:sz w:val="22"/>
                <w:szCs w:val="22"/>
              </w:rPr>
              <w:t xml:space="preserve"> </w:t>
            </w:r>
            <w:r w:rsidR="00B448E3" w:rsidRPr="003E7A0B">
              <w:rPr>
                <w:rFonts w:ascii="Times New Roman" w:eastAsia="Times New Roman" w:hAnsi="Times New Roman" w:cs="Times New Roman"/>
                <w:sz w:val="22"/>
                <w:szCs w:val="22"/>
              </w:rPr>
              <w:t xml:space="preserve">wynosiłaby ok. </w:t>
            </w:r>
            <w:r w:rsidR="00125298">
              <w:rPr>
                <w:rFonts w:ascii="Times New Roman" w:eastAsia="Times New Roman" w:hAnsi="Times New Roman" w:cs="Times New Roman"/>
                <w:sz w:val="22"/>
                <w:szCs w:val="22"/>
              </w:rPr>
              <w:br/>
            </w:r>
            <w:r w:rsidR="00B448E3" w:rsidRPr="003E7A0B">
              <w:rPr>
                <w:rFonts w:ascii="Times New Roman" w:eastAsia="Times New Roman" w:hAnsi="Times New Roman" w:cs="Times New Roman"/>
                <w:sz w:val="22"/>
                <w:szCs w:val="22"/>
              </w:rPr>
              <w:t>455,28</w:t>
            </w:r>
            <w:r w:rsidR="00515863" w:rsidRPr="003E7A0B">
              <w:rPr>
                <w:rFonts w:ascii="Times New Roman" w:eastAsia="Times New Roman" w:hAnsi="Times New Roman" w:cs="Times New Roman"/>
                <w:sz w:val="22"/>
                <w:szCs w:val="22"/>
              </w:rPr>
              <w:t xml:space="preserve"> zł miesięcznie. Jednakże z uwagi na nieznaną skalę osób z</w:t>
            </w:r>
            <w:r w:rsidR="00DF0145">
              <w:rPr>
                <w:rFonts w:ascii="Times New Roman" w:eastAsia="Times New Roman" w:hAnsi="Times New Roman" w:cs="Times New Roman"/>
                <w:sz w:val="22"/>
                <w:szCs w:val="22"/>
              </w:rPr>
              <w:t>e szczególnymi potrzebami</w:t>
            </w:r>
            <w:r w:rsidR="00515863" w:rsidRPr="003E7A0B">
              <w:rPr>
                <w:rFonts w:ascii="Times New Roman" w:eastAsia="Times New Roman" w:hAnsi="Times New Roman" w:cs="Times New Roman"/>
                <w:sz w:val="22"/>
                <w:szCs w:val="22"/>
              </w:rPr>
              <w:t xml:space="preserve">, dla których brak dostępności produktów i usług jest jedyną przeszkodą w podjęciu aktywności zawodowej (obok np. kwestii zdrowotnych, osobistych itp.), trudno jest oszacować, jaka część tej grupy społecznej na pewno podejmie pracę w wyniku </w:t>
            </w:r>
            <w:r>
              <w:rPr>
                <w:rFonts w:ascii="Times New Roman" w:eastAsia="Times New Roman" w:hAnsi="Times New Roman" w:cs="Times New Roman"/>
                <w:sz w:val="22"/>
                <w:szCs w:val="22"/>
              </w:rPr>
              <w:t>rozwiązań wprowadzonych</w:t>
            </w:r>
            <w:r w:rsidR="003B63A5">
              <w:rPr>
                <w:rFonts w:ascii="Times New Roman" w:eastAsia="Times New Roman" w:hAnsi="Times New Roman" w:cs="Times New Roman"/>
                <w:sz w:val="22"/>
                <w:szCs w:val="22"/>
              </w:rPr>
              <w:t xml:space="preserve"> </w:t>
            </w:r>
            <w:r w:rsidR="003B63A5">
              <w:rPr>
                <w:rFonts w:ascii="Times New Roman" w:eastAsia="Times New Roman" w:hAnsi="Times New Roman" w:cs="Times New Roman"/>
                <w:color w:val="000000"/>
                <w:sz w:val="22"/>
                <w:szCs w:val="22"/>
              </w:rPr>
              <w:t>projektowaną</w:t>
            </w:r>
            <w:r>
              <w:rPr>
                <w:rFonts w:ascii="Times New Roman" w:eastAsia="Times New Roman" w:hAnsi="Times New Roman" w:cs="Times New Roman"/>
                <w:sz w:val="22"/>
                <w:szCs w:val="22"/>
              </w:rPr>
              <w:t xml:space="preserve"> ustawą </w:t>
            </w:r>
            <w:r w:rsidR="00515863" w:rsidRPr="003E7A0B">
              <w:rPr>
                <w:rFonts w:ascii="Times New Roman" w:eastAsia="Times New Roman" w:hAnsi="Times New Roman" w:cs="Times New Roman"/>
                <w:sz w:val="22"/>
                <w:szCs w:val="22"/>
              </w:rPr>
              <w:t xml:space="preserve">i jaki będzie związany z tym </w:t>
            </w:r>
            <w:r w:rsidR="002E17C9" w:rsidRPr="003E7A0B">
              <w:rPr>
                <w:rFonts w:ascii="Times New Roman" w:eastAsia="Times New Roman" w:hAnsi="Times New Roman" w:cs="Times New Roman"/>
                <w:sz w:val="22"/>
                <w:szCs w:val="22"/>
              </w:rPr>
              <w:t>do</w:t>
            </w:r>
            <w:r w:rsidR="00515863" w:rsidRPr="003E7A0B">
              <w:rPr>
                <w:rFonts w:ascii="Times New Roman" w:eastAsia="Times New Roman" w:hAnsi="Times New Roman" w:cs="Times New Roman"/>
                <w:sz w:val="22"/>
                <w:szCs w:val="22"/>
              </w:rPr>
              <w:t>chód z tytułu ubezpieczeń społecznych.</w:t>
            </w:r>
          </w:p>
        </w:tc>
      </w:tr>
      <w:tr w:rsidR="00EC4C5C" w14:paraId="57FC33A5" w14:textId="77777777" w:rsidTr="004029E8">
        <w:trPr>
          <w:trHeight w:val="691"/>
        </w:trPr>
        <w:tc>
          <w:tcPr>
            <w:tcW w:w="2243" w:type="dxa"/>
            <w:gridSpan w:val="2"/>
            <w:shd w:val="clear" w:color="auto" w:fill="FFFFFF"/>
          </w:tcPr>
          <w:p w14:paraId="31E1B207" w14:textId="52651841" w:rsidR="00EC4C5C" w:rsidRPr="005751C4" w:rsidRDefault="00515863" w:rsidP="00A05EC1">
            <w:pPr>
              <w:pBdr>
                <w:top w:val="nil"/>
                <w:left w:val="nil"/>
                <w:bottom w:val="nil"/>
                <w:right w:val="nil"/>
                <w:between w:val="nil"/>
              </w:pBdr>
              <w:spacing w:before="120" w:after="120"/>
              <w:rPr>
                <w:rFonts w:ascii="Times New Roman" w:eastAsia="Times New Roman" w:hAnsi="Times New Roman" w:cs="Times New Roman"/>
                <w:color w:val="000000"/>
                <w:sz w:val="21"/>
                <w:szCs w:val="21"/>
              </w:rPr>
            </w:pPr>
            <w:r w:rsidRPr="005751C4">
              <w:rPr>
                <w:rFonts w:ascii="Times New Roman" w:eastAsia="Times New Roman" w:hAnsi="Times New Roman" w:cs="Times New Roman"/>
                <w:color w:val="000000"/>
                <w:sz w:val="21"/>
                <w:szCs w:val="21"/>
              </w:rPr>
              <w:lastRenderedPageBreak/>
              <w:t>Dodatkowe informacje, w tym wskazanie źródeł danych i</w:t>
            </w:r>
            <w:r w:rsidR="00A05EC1">
              <w:rPr>
                <w:rFonts w:ascii="Times New Roman" w:eastAsia="Times New Roman" w:hAnsi="Times New Roman" w:cs="Times New Roman"/>
                <w:color w:val="000000"/>
                <w:sz w:val="21"/>
                <w:szCs w:val="21"/>
              </w:rPr>
              <w:t> </w:t>
            </w:r>
            <w:r w:rsidRPr="005751C4">
              <w:rPr>
                <w:rFonts w:ascii="Times New Roman" w:eastAsia="Times New Roman" w:hAnsi="Times New Roman" w:cs="Times New Roman"/>
                <w:color w:val="000000"/>
                <w:sz w:val="21"/>
                <w:szCs w:val="21"/>
              </w:rPr>
              <w:t>przyjętych do obliczeń założeń</w:t>
            </w:r>
          </w:p>
        </w:tc>
        <w:tc>
          <w:tcPr>
            <w:tcW w:w="8704" w:type="dxa"/>
            <w:gridSpan w:val="27"/>
            <w:shd w:val="clear" w:color="auto" w:fill="FFFFFF"/>
          </w:tcPr>
          <w:p w14:paraId="3A778239" w14:textId="120359C6" w:rsidR="004029E8" w:rsidRPr="005751C4" w:rsidRDefault="00896C30" w:rsidP="00FE2ECE">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bookmarkStart w:id="6" w:name="_Hlk124332940"/>
            <w:r w:rsidRPr="005751C4">
              <w:rPr>
                <w:rFonts w:ascii="Times New Roman" w:eastAsia="Times New Roman" w:hAnsi="Times New Roman" w:cs="Times New Roman"/>
                <w:color w:val="000000"/>
                <w:sz w:val="22"/>
                <w:szCs w:val="22"/>
              </w:rPr>
              <w:t>Wdrożenie dyrektywy</w:t>
            </w:r>
            <w:r w:rsidR="00DF0145" w:rsidRPr="005751C4">
              <w:rPr>
                <w:rFonts w:ascii="Times New Roman" w:eastAsia="Times New Roman" w:hAnsi="Times New Roman" w:cs="Times New Roman"/>
                <w:color w:val="000000"/>
                <w:sz w:val="22"/>
                <w:szCs w:val="22"/>
              </w:rPr>
              <w:t xml:space="preserve"> 2019/882</w:t>
            </w:r>
            <w:r w:rsidRPr="005751C4">
              <w:rPr>
                <w:rFonts w:ascii="Times New Roman" w:eastAsia="Times New Roman" w:hAnsi="Times New Roman" w:cs="Times New Roman"/>
                <w:color w:val="000000"/>
                <w:sz w:val="22"/>
                <w:szCs w:val="22"/>
              </w:rPr>
              <w:t xml:space="preserve"> jest związane z </w:t>
            </w:r>
            <w:r w:rsidR="00D62DC6" w:rsidRPr="005751C4">
              <w:rPr>
                <w:rFonts w:ascii="Times New Roman" w:eastAsia="Times New Roman" w:hAnsi="Times New Roman" w:cs="Times New Roman"/>
                <w:color w:val="000000"/>
                <w:sz w:val="22"/>
                <w:szCs w:val="22"/>
              </w:rPr>
              <w:t>rozbudowaniem d</w:t>
            </w:r>
            <w:r w:rsidR="00F65DA3" w:rsidRPr="005751C4">
              <w:rPr>
                <w:rFonts w:ascii="Times New Roman" w:eastAsia="Times New Roman" w:hAnsi="Times New Roman" w:cs="Times New Roman"/>
                <w:color w:val="000000"/>
                <w:sz w:val="22"/>
                <w:szCs w:val="22"/>
              </w:rPr>
              <w:t>o</w:t>
            </w:r>
            <w:r w:rsidR="00D62DC6" w:rsidRPr="005751C4">
              <w:rPr>
                <w:rFonts w:ascii="Times New Roman" w:eastAsia="Times New Roman" w:hAnsi="Times New Roman" w:cs="Times New Roman"/>
                <w:color w:val="000000"/>
                <w:sz w:val="22"/>
                <w:szCs w:val="22"/>
              </w:rPr>
              <w:t>tychczasowego</w:t>
            </w:r>
            <w:r w:rsidRPr="005751C4">
              <w:rPr>
                <w:rFonts w:ascii="Times New Roman" w:eastAsia="Times New Roman" w:hAnsi="Times New Roman" w:cs="Times New Roman"/>
                <w:color w:val="000000"/>
                <w:sz w:val="22"/>
                <w:szCs w:val="22"/>
              </w:rPr>
              <w:t xml:space="preserve"> sytemu nadzoru rynku</w:t>
            </w:r>
            <w:r w:rsidR="00D62DC6" w:rsidRPr="005751C4">
              <w:rPr>
                <w:rFonts w:ascii="Times New Roman" w:eastAsia="Times New Roman" w:hAnsi="Times New Roman" w:cs="Times New Roman"/>
                <w:color w:val="000000"/>
                <w:sz w:val="22"/>
                <w:szCs w:val="22"/>
              </w:rPr>
              <w:t xml:space="preserve"> o nową, bardzo specyficzną materię, którą jest dostępność, a także</w:t>
            </w:r>
            <w:r w:rsidR="00055425" w:rsidRPr="005751C4">
              <w:rPr>
                <w:rFonts w:ascii="Times New Roman" w:eastAsia="Times New Roman" w:hAnsi="Times New Roman" w:cs="Times New Roman"/>
                <w:color w:val="000000"/>
                <w:sz w:val="22"/>
                <w:szCs w:val="22"/>
              </w:rPr>
              <w:t xml:space="preserve"> </w:t>
            </w:r>
            <w:r w:rsidRPr="005751C4">
              <w:rPr>
                <w:rFonts w:ascii="Times New Roman" w:eastAsia="Times New Roman" w:hAnsi="Times New Roman" w:cs="Times New Roman"/>
                <w:color w:val="000000"/>
                <w:sz w:val="22"/>
                <w:szCs w:val="22"/>
              </w:rPr>
              <w:t xml:space="preserve">nałożeniem nowych zadań nadzorczych na zaangażowane organy. </w:t>
            </w:r>
            <w:bookmarkEnd w:id="6"/>
            <w:r w:rsidRPr="005751C4">
              <w:rPr>
                <w:rFonts w:ascii="Times New Roman" w:eastAsia="Times New Roman" w:hAnsi="Times New Roman" w:cs="Times New Roman"/>
                <w:color w:val="000000"/>
                <w:sz w:val="22"/>
                <w:szCs w:val="22"/>
              </w:rPr>
              <w:t>W instytucjach tych istnieje potrzeba zbudowania zespołu kadr z wiedzą zarówno o nadzorze rynku</w:t>
            </w:r>
            <w:r w:rsidR="00CA3707" w:rsidRPr="005751C4">
              <w:rPr>
                <w:rFonts w:ascii="Times New Roman" w:eastAsia="Times New Roman" w:hAnsi="Times New Roman" w:cs="Times New Roman"/>
                <w:color w:val="000000"/>
                <w:sz w:val="22"/>
                <w:szCs w:val="22"/>
              </w:rPr>
              <w:t xml:space="preserve"> i</w:t>
            </w:r>
            <w:r w:rsidRPr="005751C4">
              <w:rPr>
                <w:rFonts w:ascii="Times New Roman" w:eastAsia="Times New Roman" w:hAnsi="Times New Roman" w:cs="Times New Roman"/>
                <w:color w:val="000000"/>
                <w:sz w:val="22"/>
                <w:szCs w:val="22"/>
              </w:rPr>
              <w:t xml:space="preserve"> jego monitorowaniu, jak i</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w</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 xml:space="preserve">obszarze dostępności produktów i usług. </w:t>
            </w:r>
          </w:p>
          <w:p w14:paraId="15CB89B8" w14:textId="03AC16C0" w:rsidR="00D62DC6" w:rsidRPr="005751C4" w:rsidRDefault="003C6FE2" w:rsidP="00D62DC6">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Należy zauważyć, że dyrektywa 2019/882</w:t>
            </w:r>
            <w:r w:rsidR="00D62DC6" w:rsidRPr="005751C4">
              <w:rPr>
                <w:rFonts w:ascii="Times New Roman" w:eastAsia="Times New Roman" w:hAnsi="Times New Roman" w:cs="Times New Roman"/>
                <w:color w:val="000000"/>
                <w:sz w:val="22"/>
                <w:szCs w:val="22"/>
              </w:rPr>
              <w:t xml:space="preserve"> opiera się na modelu </w:t>
            </w:r>
            <w:r w:rsidR="00D62DC6" w:rsidRPr="005751C4">
              <w:rPr>
                <w:rFonts w:ascii="Times New Roman" w:eastAsia="Times New Roman" w:hAnsi="Times New Roman" w:cs="Times New Roman"/>
                <w:i/>
                <w:color w:val="000000"/>
                <w:sz w:val="22"/>
                <w:szCs w:val="22"/>
              </w:rPr>
              <w:t xml:space="preserve">New </w:t>
            </w:r>
            <w:proofErr w:type="spellStart"/>
            <w:r w:rsidR="00D62DC6" w:rsidRPr="005751C4">
              <w:rPr>
                <w:rFonts w:ascii="Times New Roman" w:eastAsia="Times New Roman" w:hAnsi="Times New Roman" w:cs="Times New Roman"/>
                <w:i/>
                <w:color w:val="000000"/>
                <w:sz w:val="22"/>
                <w:szCs w:val="22"/>
              </w:rPr>
              <w:t>Legislative</w:t>
            </w:r>
            <w:proofErr w:type="spellEnd"/>
            <w:r w:rsidR="00D62DC6" w:rsidRPr="005751C4">
              <w:rPr>
                <w:rFonts w:ascii="Times New Roman" w:eastAsia="Times New Roman" w:hAnsi="Times New Roman" w:cs="Times New Roman"/>
                <w:i/>
                <w:color w:val="000000"/>
                <w:sz w:val="22"/>
                <w:szCs w:val="22"/>
              </w:rPr>
              <w:t xml:space="preserve"> Framework</w:t>
            </w:r>
            <w:r w:rsidR="00D62DC6" w:rsidRPr="005751C4">
              <w:rPr>
                <w:rFonts w:ascii="Times New Roman" w:eastAsia="Times New Roman" w:hAnsi="Times New Roman" w:cs="Times New Roman"/>
                <w:color w:val="000000"/>
                <w:sz w:val="22"/>
                <w:szCs w:val="22"/>
              </w:rPr>
              <w:t xml:space="preserve"> (NLF), który bazuje na zestawie standardowych narzędzi udostępniania produktów na rynku UE oraz</w:t>
            </w:r>
            <w:r w:rsidRPr="005751C4">
              <w:rPr>
                <w:rFonts w:ascii="Times New Roman" w:eastAsia="Times New Roman" w:hAnsi="Times New Roman" w:cs="Times New Roman"/>
                <w:color w:val="000000"/>
                <w:sz w:val="22"/>
                <w:szCs w:val="22"/>
              </w:rPr>
              <w:t xml:space="preserve"> mechanizmach nadzoru rynku. Dyrektywa 2019/882</w:t>
            </w:r>
            <w:r w:rsidR="00D62DC6" w:rsidRPr="005751C4">
              <w:rPr>
                <w:rFonts w:ascii="Times New Roman" w:eastAsia="Times New Roman" w:hAnsi="Times New Roman" w:cs="Times New Roman"/>
                <w:color w:val="000000"/>
                <w:sz w:val="22"/>
                <w:szCs w:val="22"/>
              </w:rPr>
              <w:t xml:space="preserve"> stanowi </w:t>
            </w:r>
            <w:r w:rsidRPr="005751C4">
              <w:rPr>
                <w:rFonts w:ascii="Times New Roman" w:eastAsia="Times New Roman" w:hAnsi="Times New Roman" w:cs="Times New Roman"/>
                <w:color w:val="000000"/>
                <w:sz w:val="22"/>
                <w:szCs w:val="22"/>
              </w:rPr>
              <w:t xml:space="preserve">szczególną </w:t>
            </w:r>
            <w:r w:rsidR="00D62DC6" w:rsidRPr="005751C4">
              <w:rPr>
                <w:rFonts w:ascii="Times New Roman" w:eastAsia="Times New Roman" w:hAnsi="Times New Roman" w:cs="Times New Roman"/>
                <w:color w:val="000000"/>
                <w:sz w:val="22"/>
                <w:szCs w:val="22"/>
              </w:rPr>
              <w:t>materię, znacznie różniąc</w:t>
            </w:r>
            <w:r w:rsidR="00AC2258" w:rsidRPr="005751C4">
              <w:rPr>
                <w:rFonts w:ascii="Times New Roman" w:eastAsia="Times New Roman" w:hAnsi="Times New Roman" w:cs="Times New Roman"/>
                <w:color w:val="000000"/>
                <w:sz w:val="22"/>
                <w:szCs w:val="22"/>
              </w:rPr>
              <w:t>ą</w:t>
            </w:r>
            <w:r w:rsidR="00D62DC6" w:rsidRPr="005751C4">
              <w:rPr>
                <w:rFonts w:ascii="Times New Roman" w:eastAsia="Times New Roman" w:hAnsi="Times New Roman" w:cs="Times New Roman"/>
                <w:color w:val="000000"/>
                <w:sz w:val="22"/>
                <w:szCs w:val="22"/>
              </w:rPr>
              <w:t xml:space="preserve"> się od standardowych regulacji NLF.</w:t>
            </w:r>
            <w:r w:rsidRPr="005751C4">
              <w:rPr>
                <w:rFonts w:ascii="Times New Roman" w:eastAsia="Times New Roman" w:hAnsi="Times New Roman" w:cs="Times New Roman"/>
                <w:color w:val="000000"/>
                <w:sz w:val="22"/>
                <w:szCs w:val="22"/>
              </w:rPr>
              <w:t xml:space="preserve"> Ponadto dyrektywa</w:t>
            </w:r>
            <w:r w:rsidR="00AC2258" w:rsidRPr="005751C4">
              <w:rPr>
                <w:rFonts w:ascii="Times New Roman" w:eastAsia="Times New Roman" w:hAnsi="Times New Roman" w:cs="Times New Roman"/>
                <w:color w:val="000000"/>
                <w:sz w:val="22"/>
                <w:szCs w:val="22"/>
              </w:rPr>
              <w:t xml:space="preserve"> 2019/882</w:t>
            </w:r>
            <w:r w:rsidRPr="005751C4">
              <w:rPr>
                <w:rFonts w:ascii="Times New Roman" w:eastAsia="Times New Roman" w:hAnsi="Times New Roman" w:cs="Times New Roman"/>
                <w:color w:val="000000"/>
                <w:sz w:val="22"/>
                <w:szCs w:val="22"/>
              </w:rPr>
              <w:t xml:space="preserve"> nie reguluje jedynie nadzoru i kontroli produktów, ale </w:t>
            </w:r>
            <w:r w:rsidR="005F3A29" w:rsidRPr="005751C4">
              <w:rPr>
                <w:rFonts w:ascii="Times New Roman" w:eastAsia="Times New Roman" w:hAnsi="Times New Roman" w:cs="Times New Roman"/>
                <w:color w:val="000000"/>
                <w:sz w:val="22"/>
                <w:szCs w:val="22"/>
              </w:rPr>
              <w:t>zobowiązuje</w:t>
            </w:r>
            <w:r w:rsidRPr="005751C4">
              <w:rPr>
                <w:rFonts w:ascii="Times New Roman" w:eastAsia="Times New Roman" w:hAnsi="Times New Roman" w:cs="Times New Roman"/>
                <w:color w:val="000000"/>
                <w:sz w:val="22"/>
                <w:szCs w:val="22"/>
              </w:rPr>
              <w:t xml:space="preserve"> państwa </w:t>
            </w:r>
            <w:r w:rsidR="005F3A29" w:rsidRPr="005751C4">
              <w:rPr>
                <w:rFonts w:ascii="Times New Roman" w:eastAsia="Times New Roman" w:hAnsi="Times New Roman" w:cs="Times New Roman"/>
                <w:color w:val="000000"/>
                <w:sz w:val="22"/>
                <w:szCs w:val="22"/>
              </w:rPr>
              <w:t>członkowskie</w:t>
            </w:r>
            <w:r w:rsidR="00300765">
              <w:rPr>
                <w:rFonts w:ascii="Times New Roman" w:eastAsia="Times New Roman" w:hAnsi="Times New Roman" w:cs="Times New Roman"/>
                <w:color w:val="000000"/>
                <w:sz w:val="22"/>
                <w:szCs w:val="22"/>
              </w:rPr>
              <w:t xml:space="preserve"> UE</w:t>
            </w:r>
            <w:r w:rsidRPr="005751C4">
              <w:rPr>
                <w:rFonts w:ascii="Times New Roman" w:eastAsia="Times New Roman" w:hAnsi="Times New Roman" w:cs="Times New Roman"/>
                <w:color w:val="000000"/>
                <w:sz w:val="22"/>
                <w:szCs w:val="22"/>
              </w:rPr>
              <w:t xml:space="preserve"> również do budowy systemu nadzoru i kontroli usług, nie dając jednak w tym zakresie szczegółowych wytycznych.</w:t>
            </w:r>
          </w:p>
          <w:p w14:paraId="3C6F167C" w14:textId="2D06C717" w:rsidR="00D62DC6" w:rsidRPr="005751C4" w:rsidRDefault="00515FD6" w:rsidP="00D62DC6">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Dyrektywa 2019/882 odwołuje</w:t>
            </w:r>
            <w:r w:rsidR="00CA3707" w:rsidRPr="005751C4">
              <w:rPr>
                <w:rFonts w:ascii="Times New Roman" w:eastAsia="Times New Roman" w:hAnsi="Times New Roman" w:cs="Times New Roman"/>
                <w:color w:val="000000"/>
                <w:sz w:val="22"/>
                <w:szCs w:val="22"/>
              </w:rPr>
              <w:t xml:space="preserve"> się</w:t>
            </w:r>
            <w:r w:rsidRPr="005751C4">
              <w:rPr>
                <w:rFonts w:ascii="Times New Roman" w:eastAsia="Times New Roman" w:hAnsi="Times New Roman" w:cs="Times New Roman"/>
                <w:color w:val="000000"/>
                <w:sz w:val="22"/>
                <w:szCs w:val="22"/>
              </w:rPr>
              <w:t xml:space="preserve"> do o</w:t>
            </w:r>
            <w:r w:rsidR="00D62DC6" w:rsidRPr="005751C4">
              <w:rPr>
                <w:rFonts w:ascii="Times New Roman" w:eastAsia="Times New Roman" w:hAnsi="Times New Roman" w:cs="Times New Roman"/>
                <w:color w:val="000000"/>
                <w:sz w:val="22"/>
                <w:szCs w:val="22"/>
              </w:rPr>
              <w:t xml:space="preserve">znakowania CE i procedury kontroli z </w:t>
            </w:r>
            <w:r w:rsidR="00AC2258" w:rsidRPr="005751C4">
              <w:rPr>
                <w:rFonts w:ascii="Times New Roman" w:eastAsia="Times New Roman" w:hAnsi="Times New Roman" w:cs="Times New Roman"/>
                <w:color w:val="000000"/>
                <w:sz w:val="22"/>
                <w:szCs w:val="22"/>
              </w:rPr>
              <w:t>r</w:t>
            </w:r>
            <w:r w:rsidR="00D62DC6" w:rsidRPr="005751C4">
              <w:rPr>
                <w:rFonts w:ascii="Times New Roman" w:eastAsia="Times New Roman" w:hAnsi="Times New Roman" w:cs="Times New Roman"/>
                <w:color w:val="000000"/>
                <w:sz w:val="22"/>
                <w:szCs w:val="22"/>
              </w:rPr>
              <w:t xml:space="preserve">ozporządzenia </w:t>
            </w:r>
            <w:r w:rsidR="00AC2258" w:rsidRPr="005751C4">
              <w:rPr>
                <w:rFonts w:ascii="Times New Roman" w:hAnsi="Times New Roman" w:cs="Times New Roman"/>
                <w:sz w:val="22"/>
                <w:szCs w:val="22"/>
              </w:rPr>
              <w:t>Parlamentu Europejskiego i Rady (WE) nr 765/2008 z dnia 9 lipca 2008</w:t>
            </w:r>
            <w:r w:rsidR="002511B5">
              <w:rPr>
                <w:rFonts w:ascii="Times New Roman" w:hAnsi="Times New Roman" w:cs="Times New Roman"/>
                <w:sz w:val="22"/>
                <w:szCs w:val="22"/>
              </w:rPr>
              <w:t> </w:t>
            </w:r>
            <w:r w:rsidR="00AC2258" w:rsidRPr="005751C4">
              <w:rPr>
                <w:rFonts w:ascii="Times New Roman" w:hAnsi="Times New Roman" w:cs="Times New Roman"/>
                <w:sz w:val="22"/>
                <w:szCs w:val="22"/>
              </w:rPr>
              <w:t>r. ustanawiającego wymagania w zakresie akredytacji i nadzoru rynku odnoszące się do warunków wprowadzania produktów do obrotu i uchylającego rozporządzenie (EWG) nr 339/93</w:t>
            </w:r>
            <w:r w:rsidR="00AC2258" w:rsidRPr="005751C4">
              <w:rPr>
                <w:rFonts w:ascii="Times New Roman" w:eastAsia="Times New Roman" w:hAnsi="Times New Roman" w:cs="Times New Roman"/>
                <w:color w:val="000000"/>
                <w:sz w:val="22"/>
                <w:szCs w:val="22"/>
              </w:rPr>
              <w:t xml:space="preserve"> </w:t>
            </w:r>
            <w:r w:rsidR="00CB497E" w:rsidRPr="005751C4">
              <w:rPr>
                <w:rFonts w:ascii="Times New Roman" w:hAnsi="Times New Roman" w:cs="Times New Roman"/>
                <w:sz w:val="22"/>
                <w:szCs w:val="22"/>
              </w:rPr>
              <w:t xml:space="preserve">(Dz. Urz. </w:t>
            </w:r>
            <w:r w:rsidR="003B13FD">
              <w:rPr>
                <w:rFonts w:ascii="Times New Roman" w:hAnsi="Times New Roman" w:cs="Times New Roman"/>
                <w:sz w:val="22"/>
                <w:szCs w:val="22"/>
              </w:rPr>
              <w:t xml:space="preserve">UE </w:t>
            </w:r>
            <w:r w:rsidR="00CB497E" w:rsidRPr="005751C4">
              <w:rPr>
                <w:rFonts w:ascii="Times New Roman" w:hAnsi="Times New Roman" w:cs="Times New Roman"/>
                <w:sz w:val="22"/>
                <w:szCs w:val="22"/>
              </w:rPr>
              <w:t>L 218 z</w:t>
            </w:r>
            <w:r w:rsidR="00A05EC1">
              <w:rPr>
                <w:rFonts w:ascii="Times New Roman" w:hAnsi="Times New Roman" w:cs="Times New Roman"/>
                <w:sz w:val="22"/>
                <w:szCs w:val="22"/>
              </w:rPr>
              <w:t> </w:t>
            </w:r>
            <w:r w:rsidR="00CB497E" w:rsidRPr="005751C4">
              <w:rPr>
                <w:rFonts w:ascii="Times New Roman" w:hAnsi="Times New Roman" w:cs="Times New Roman"/>
                <w:sz w:val="22"/>
                <w:szCs w:val="22"/>
              </w:rPr>
              <w:t>13.08.2008, str. 30</w:t>
            </w:r>
            <w:r w:rsidR="00982398">
              <w:rPr>
                <w:rFonts w:ascii="Times New Roman" w:hAnsi="Times New Roman" w:cs="Times New Roman"/>
                <w:sz w:val="22"/>
                <w:szCs w:val="22"/>
              </w:rPr>
              <w:t xml:space="preserve">, z </w:t>
            </w:r>
            <w:proofErr w:type="spellStart"/>
            <w:r w:rsidR="00982398">
              <w:rPr>
                <w:rFonts w:ascii="Times New Roman" w:hAnsi="Times New Roman" w:cs="Times New Roman"/>
                <w:sz w:val="22"/>
                <w:szCs w:val="22"/>
              </w:rPr>
              <w:t>późn</w:t>
            </w:r>
            <w:proofErr w:type="spellEnd"/>
            <w:r w:rsidR="00982398">
              <w:rPr>
                <w:rFonts w:ascii="Times New Roman" w:hAnsi="Times New Roman" w:cs="Times New Roman"/>
                <w:sz w:val="22"/>
                <w:szCs w:val="22"/>
              </w:rPr>
              <w:t>. zm.</w:t>
            </w:r>
            <w:r w:rsidR="00CB497E" w:rsidRPr="005751C4">
              <w:rPr>
                <w:rFonts w:ascii="Times New Roman" w:hAnsi="Times New Roman" w:cs="Times New Roman"/>
                <w:sz w:val="22"/>
                <w:szCs w:val="22"/>
              </w:rPr>
              <w:t>)</w:t>
            </w:r>
            <w:r w:rsidR="00CB497E" w:rsidRPr="005751C4">
              <w:rPr>
                <w:rFonts w:ascii="Times New Roman" w:eastAsia="Times New Roman" w:hAnsi="Times New Roman" w:cs="Times New Roman"/>
                <w:color w:val="000000"/>
                <w:sz w:val="22"/>
                <w:szCs w:val="22"/>
              </w:rPr>
              <w:t xml:space="preserve"> – </w:t>
            </w:r>
            <w:r w:rsidR="00AC2258" w:rsidRPr="005751C4">
              <w:rPr>
                <w:rFonts w:ascii="Times New Roman" w:eastAsia="Times New Roman" w:hAnsi="Times New Roman" w:cs="Times New Roman"/>
                <w:color w:val="000000"/>
                <w:sz w:val="22"/>
                <w:szCs w:val="22"/>
              </w:rPr>
              <w:t>dalej „rozporządzenie 765/2008</w:t>
            </w:r>
            <w:r w:rsidR="00CB497E" w:rsidRPr="005751C4">
              <w:rPr>
                <w:rFonts w:ascii="Times New Roman" w:eastAsia="Times New Roman" w:hAnsi="Times New Roman" w:cs="Times New Roman"/>
                <w:color w:val="000000"/>
                <w:sz w:val="22"/>
                <w:szCs w:val="22"/>
              </w:rPr>
              <w:t>”</w:t>
            </w:r>
            <w:r w:rsidR="009C21DD">
              <w:rPr>
                <w:rFonts w:ascii="Times New Roman" w:eastAsia="Times New Roman" w:hAnsi="Times New Roman" w:cs="Times New Roman"/>
                <w:color w:val="000000"/>
                <w:sz w:val="22"/>
                <w:szCs w:val="22"/>
              </w:rPr>
              <w:t xml:space="preserve"> (po wejściu w życie d</w:t>
            </w:r>
            <w:r w:rsidR="0068529F">
              <w:rPr>
                <w:rFonts w:ascii="Times New Roman" w:eastAsia="Times New Roman" w:hAnsi="Times New Roman" w:cs="Times New Roman"/>
                <w:color w:val="000000"/>
                <w:sz w:val="22"/>
                <w:szCs w:val="22"/>
              </w:rPr>
              <w:t>y</w:t>
            </w:r>
            <w:r w:rsidR="009C21DD">
              <w:rPr>
                <w:rFonts w:ascii="Times New Roman" w:eastAsia="Times New Roman" w:hAnsi="Times New Roman" w:cs="Times New Roman"/>
                <w:color w:val="000000"/>
                <w:sz w:val="22"/>
                <w:szCs w:val="22"/>
              </w:rPr>
              <w:t>rektywy 2019/882</w:t>
            </w:r>
            <w:r w:rsidR="00DF25AF">
              <w:rPr>
                <w:rFonts w:ascii="Times New Roman" w:eastAsia="Times New Roman" w:hAnsi="Times New Roman" w:cs="Times New Roman"/>
                <w:color w:val="000000"/>
                <w:sz w:val="22"/>
                <w:szCs w:val="22"/>
              </w:rPr>
              <w:t xml:space="preserve"> </w:t>
            </w:r>
            <w:r w:rsidR="009C21DD">
              <w:rPr>
                <w:rFonts w:ascii="Times New Roman" w:eastAsia="Times New Roman" w:hAnsi="Times New Roman" w:cs="Times New Roman"/>
                <w:color w:val="000000"/>
                <w:sz w:val="22"/>
                <w:szCs w:val="22"/>
              </w:rPr>
              <w:t>rozporządzenie 765/2008 zostało zmienione przez rozporządzenie P</w:t>
            </w:r>
            <w:r w:rsidR="00DF5CBA">
              <w:rPr>
                <w:rFonts w:ascii="Times New Roman" w:eastAsia="Times New Roman" w:hAnsi="Times New Roman" w:cs="Times New Roman"/>
                <w:color w:val="000000"/>
                <w:sz w:val="22"/>
                <w:szCs w:val="22"/>
              </w:rPr>
              <w:t xml:space="preserve">arlamentu </w:t>
            </w:r>
            <w:r w:rsidR="009C21DD">
              <w:rPr>
                <w:rFonts w:ascii="Times New Roman" w:eastAsia="Times New Roman" w:hAnsi="Times New Roman" w:cs="Times New Roman"/>
                <w:color w:val="000000"/>
                <w:sz w:val="22"/>
                <w:szCs w:val="22"/>
              </w:rPr>
              <w:t>E</w:t>
            </w:r>
            <w:r w:rsidR="00DF5CBA">
              <w:rPr>
                <w:rFonts w:ascii="Times New Roman" w:eastAsia="Times New Roman" w:hAnsi="Times New Roman" w:cs="Times New Roman"/>
                <w:color w:val="000000"/>
                <w:sz w:val="22"/>
                <w:szCs w:val="22"/>
              </w:rPr>
              <w:t>uropejskiego</w:t>
            </w:r>
            <w:r w:rsidR="009C21DD">
              <w:rPr>
                <w:rFonts w:ascii="Times New Roman" w:eastAsia="Times New Roman" w:hAnsi="Times New Roman" w:cs="Times New Roman"/>
                <w:color w:val="000000"/>
                <w:sz w:val="22"/>
                <w:szCs w:val="22"/>
              </w:rPr>
              <w:t xml:space="preserve"> i Rady (</w:t>
            </w:r>
            <w:r w:rsidR="00DF25AF">
              <w:rPr>
                <w:rFonts w:ascii="Times New Roman" w:eastAsia="Times New Roman" w:hAnsi="Times New Roman" w:cs="Times New Roman"/>
                <w:color w:val="000000"/>
                <w:sz w:val="22"/>
                <w:szCs w:val="22"/>
              </w:rPr>
              <w:t>UE</w:t>
            </w:r>
            <w:r w:rsidR="009C21DD">
              <w:rPr>
                <w:rFonts w:ascii="Times New Roman" w:eastAsia="Times New Roman" w:hAnsi="Times New Roman" w:cs="Times New Roman"/>
                <w:color w:val="000000"/>
                <w:sz w:val="22"/>
                <w:szCs w:val="22"/>
              </w:rPr>
              <w:t xml:space="preserve">) 2019/1020 z dnia </w:t>
            </w:r>
            <w:r w:rsidR="009C21DD" w:rsidRPr="009C21DD">
              <w:rPr>
                <w:rFonts w:ascii="Times New Roman" w:eastAsia="Times New Roman" w:hAnsi="Times New Roman" w:cs="Times New Roman"/>
                <w:color w:val="000000"/>
                <w:sz w:val="22"/>
                <w:szCs w:val="22"/>
              </w:rPr>
              <w:t>20 czerwca 2019</w:t>
            </w:r>
            <w:r w:rsidR="002511B5">
              <w:rPr>
                <w:rFonts w:ascii="Times New Roman" w:eastAsia="Times New Roman" w:hAnsi="Times New Roman" w:cs="Times New Roman"/>
                <w:color w:val="000000"/>
                <w:sz w:val="22"/>
                <w:szCs w:val="22"/>
              </w:rPr>
              <w:t> </w:t>
            </w:r>
            <w:r w:rsidR="009C21DD" w:rsidRPr="009C21DD">
              <w:rPr>
                <w:rFonts w:ascii="Times New Roman" w:eastAsia="Times New Roman" w:hAnsi="Times New Roman" w:cs="Times New Roman"/>
                <w:color w:val="000000"/>
                <w:sz w:val="22"/>
                <w:szCs w:val="22"/>
              </w:rPr>
              <w:t>r.</w:t>
            </w:r>
            <w:r w:rsidR="00982398" w:rsidRPr="00982398">
              <w:rPr>
                <w:rFonts w:ascii="Times New Roman" w:eastAsia="Times New Roman" w:hAnsi="Times New Roman" w:cs="Arial"/>
                <w:sz w:val="24"/>
              </w:rPr>
              <w:t xml:space="preserve"> </w:t>
            </w:r>
            <w:r w:rsidR="00982398" w:rsidRPr="00982398">
              <w:rPr>
                <w:rFonts w:ascii="Times New Roman" w:eastAsia="Times New Roman" w:hAnsi="Times New Roman" w:cs="Times New Roman"/>
                <w:color w:val="000000"/>
                <w:sz w:val="22"/>
                <w:szCs w:val="22"/>
              </w:rPr>
              <w:t>w sprawie nadzoru rynku i zgodności produktów oraz zmieniającego dyrektywę 2004/42/WE oraz rozporządzenia (WE) nr 765/2008 i (UE) nr 305/2011 (Dz. Urz. UE L 169 z 25.06.2019, str. 1)</w:t>
            </w:r>
            <w:r w:rsidR="009C21DD">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Procedury kontroli w tym rozporządzeniu odnoszą się do</w:t>
            </w:r>
            <w:r w:rsidR="005F49BC" w:rsidRPr="005751C4">
              <w:rPr>
                <w:rFonts w:ascii="Times New Roman" w:eastAsia="Times New Roman" w:hAnsi="Times New Roman" w:cs="Times New Roman"/>
                <w:color w:val="000000"/>
                <w:sz w:val="22"/>
                <w:szCs w:val="22"/>
              </w:rPr>
              <w:t xml:space="preserve"> </w:t>
            </w:r>
            <w:r w:rsidR="00D62DC6" w:rsidRPr="005751C4">
              <w:rPr>
                <w:rFonts w:ascii="Times New Roman" w:eastAsia="Times New Roman" w:hAnsi="Times New Roman" w:cs="Times New Roman"/>
                <w:color w:val="000000"/>
                <w:sz w:val="22"/>
                <w:szCs w:val="22"/>
              </w:rPr>
              <w:t>spełniania wymagań przez produkty i nie są dostosowane do kontroli usług</w:t>
            </w:r>
            <w:r w:rsidR="00B0388C" w:rsidRPr="005751C4">
              <w:rPr>
                <w:rFonts w:ascii="Times New Roman" w:eastAsia="Times New Roman" w:hAnsi="Times New Roman" w:cs="Times New Roman"/>
                <w:color w:val="000000"/>
                <w:sz w:val="22"/>
                <w:szCs w:val="22"/>
              </w:rPr>
              <w:t>. P</w:t>
            </w:r>
            <w:r w:rsidR="00D62DC6" w:rsidRPr="005751C4">
              <w:rPr>
                <w:rFonts w:ascii="Times New Roman" w:eastAsia="Times New Roman" w:hAnsi="Times New Roman" w:cs="Times New Roman"/>
                <w:color w:val="000000"/>
                <w:sz w:val="22"/>
                <w:szCs w:val="22"/>
              </w:rPr>
              <w:t xml:space="preserve">rzede wszystkim w </w:t>
            </w:r>
            <w:r w:rsidR="00B0388C" w:rsidRPr="005751C4">
              <w:rPr>
                <w:rFonts w:ascii="Times New Roman" w:eastAsia="Times New Roman" w:hAnsi="Times New Roman" w:cs="Times New Roman"/>
                <w:color w:val="000000"/>
                <w:sz w:val="22"/>
                <w:szCs w:val="22"/>
              </w:rPr>
              <w:t>r</w:t>
            </w:r>
            <w:r w:rsidR="00D62DC6" w:rsidRPr="005751C4">
              <w:rPr>
                <w:rFonts w:ascii="Times New Roman" w:eastAsia="Times New Roman" w:hAnsi="Times New Roman" w:cs="Times New Roman"/>
                <w:color w:val="000000"/>
                <w:sz w:val="22"/>
                <w:szCs w:val="22"/>
              </w:rPr>
              <w:t xml:space="preserve">ozporządzeniu 765/2008 </w:t>
            </w:r>
            <w:r w:rsidR="00B0388C" w:rsidRPr="005751C4">
              <w:rPr>
                <w:rFonts w:ascii="Times New Roman" w:eastAsia="Times New Roman" w:hAnsi="Times New Roman" w:cs="Times New Roman"/>
                <w:color w:val="000000"/>
                <w:sz w:val="22"/>
                <w:szCs w:val="22"/>
              </w:rPr>
              <w:t xml:space="preserve">brakuje </w:t>
            </w:r>
            <w:r w:rsidR="00D62DC6" w:rsidRPr="005751C4">
              <w:rPr>
                <w:rFonts w:ascii="Times New Roman" w:eastAsia="Times New Roman" w:hAnsi="Times New Roman" w:cs="Times New Roman"/>
                <w:color w:val="000000"/>
                <w:sz w:val="22"/>
                <w:szCs w:val="22"/>
              </w:rPr>
              <w:t xml:space="preserve">definicji </w:t>
            </w:r>
            <w:r w:rsidR="00B0388C" w:rsidRPr="005751C4">
              <w:rPr>
                <w:rFonts w:ascii="Times New Roman" w:eastAsia="Times New Roman" w:hAnsi="Times New Roman" w:cs="Times New Roman"/>
                <w:color w:val="000000"/>
                <w:sz w:val="22"/>
                <w:szCs w:val="22"/>
              </w:rPr>
              <w:lastRenderedPageBreak/>
              <w:t>„</w:t>
            </w:r>
            <w:r w:rsidR="00D62DC6" w:rsidRPr="005751C4">
              <w:rPr>
                <w:rFonts w:ascii="Times New Roman" w:eastAsia="Times New Roman" w:hAnsi="Times New Roman" w:cs="Times New Roman"/>
                <w:color w:val="000000"/>
                <w:sz w:val="22"/>
                <w:szCs w:val="22"/>
              </w:rPr>
              <w:t>dostawcy usług</w:t>
            </w:r>
            <w:r w:rsidR="00B0388C" w:rsidRPr="005751C4">
              <w:rPr>
                <w:rFonts w:ascii="Times New Roman" w:eastAsia="Times New Roman" w:hAnsi="Times New Roman" w:cs="Times New Roman"/>
                <w:color w:val="000000"/>
                <w:sz w:val="22"/>
                <w:szCs w:val="22"/>
              </w:rPr>
              <w:t>”</w:t>
            </w:r>
            <w:r w:rsidR="00D62DC6" w:rsidRPr="005751C4">
              <w:rPr>
                <w:rFonts w:ascii="Times New Roman" w:eastAsia="Times New Roman" w:hAnsi="Times New Roman" w:cs="Times New Roman"/>
                <w:color w:val="000000"/>
                <w:sz w:val="22"/>
                <w:szCs w:val="22"/>
              </w:rPr>
              <w:t>, a co za tym idzie</w:t>
            </w:r>
            <w:r w:rsidR="005F49BC" w:rsidRPr="005751C4">
              <w:rPr>
                <w:rFonts w:ascii="Times New Roman" w:eastAsia="Times New Roman" w:hAnsi="Times New Roman" w:cs="Times New Roman"/>
                <w:color w:val="000000"/>
                <w:sz w:val="22"/>
                <w:szCs w:val="22"/>
              </w:rPr>
              <w:t xml:space="preserve"> </w:t>
            </w:r>
            <w:r w:rsidR="00D62DC6" w:rsidRPr="005751C4">
              <w:rPr>
                <w:rFonts w:ascii="Times New Roman" w:eastAsia="Times New Roman" w:hAnsi="Times New Roman" w:cs="Times New Roman"/>
                <w:color w:val="000000"/>
                <w:sz w:val="22"/>
                <w:szCs w:val="22"/>
              </w:rPr>
              <w:t>środków prawnych</w:t>
            </w:r>
            <w:r w:rsidR="005F49BC" w:rsidRPr="005751C4">
              <w:rPr>
                <w:rFonts w:ascii="Times New Roman" w:eastAsia="Times New Roman" w:hAnsi="Times New Roman" w:cs="Times New Roman"/>
                <w:color w:val="000000"/>
                <w:sz w:val="22"/>
                <w:szCs w:val="22"/>
              </w:rPr>
              <w:t>,</w:t>
            </w:r>
            <w:r w:rsidR="00D62DC6" w:rsidRPr="005751C4">
              <w:rPr>
                <w:rFonts w:ascii="Times New Roman" w:eastAsia="Times New Roman" w:hAnsi="Times New Roman" w:cs="Times New Roman"/>
                <w:color w:val="000000"/>
                <w:sz w:val="22"/>
                <w:szCs w:val="22"/>
              </w:rPr>
              <w:t xml:space="preserve"> jakie należałoby zastosować w celu doprowadzenia usługi do zgodności</w:t>
            </w:r>
            <w:r w:rsidR="005F49BC" w:rsidRPr="005751C4">
              <w:rPr>
                <w:rFonts w:ascii="Times New Roman" w:eastAsia="Times New Roman" w:hAnsi="Times New Roman" w:cs="Times New Roman"/>
                <w:color w:val="000000"/>
                <w:sz w:val="22"/>
                <w:szCs w:val="22"/>
              </w:rPr>
              <w:t xml:space="preserve"> z wymaganiami dot</w:t>
            </w:r>
            <w:r w:rsidR="00300765">
              <w:rPr>
                <w:rFonts w:ascii="Times New Roman" w:eastAsia="Times New Roman" w:hAnsi="Times New Roman" w:cs="Times New Roman"/>
                <w:color w:val="000000"/>
                <w:sz w:val="22"/>
                <w:szCs w:val="22"/>
              </w:rPr>
              <w:t>yczącymi</w:t>
            </w:r>
            <w:r w:rsidR="005F49BC" w:rsidRPr="005751C4">
              <w:rPr>
                <w:rFonts w:ascii="Times New Roman" w:eastAsia="Times New Roman" w:hAnsi="Times New Roman" w:cs="Times New Roman"/>
                <w:color w:val="000000"/>
                <w:sz w:val="22"/>
                <w:szCs w:val="22"/>
              </w:rPr>
              <w:t xml:space="preserve"> dostępności.</w:t>
            </w:r>
          </w:p>
          <w:p w14:paraId="0CBE6732" w14:textId="3F6F788B" w:rsidR="00310760" w:rsidRPr="005751C4" w:rsidRDefault="005F3A29" w:rsidP="00FE2ECE">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Narzędzia</w:t>
            </w:r>
            <w:r w:rsidR="005F49BC" w:rsidRPr="005751C4">
              <w:rPr>
                <w:rFonts w:ascii="Times New Roman" w:eastAsia="Times New Roman" w:hAnsi="Times New Roman" w:cs="Times New Roman"/>
                <w:color w:val="000000"/>
                <w:sz w:val="22"/>
                <w:szCs w:val="22"/>
              </w:rPr>
              <w:t xml:space="preserve"> NLF mogą okazać się</w:t>
            </w:r>
            <w:r w:rsidR="00310760" w:rsidRPr="005751C4">
              <w:rPr>
                <w:rFonts w:ascii="Times New Roman" w:eastAsia="Times New Roman" w:hAnsi="Times New Roman" w:cs="Times New Roman"/>
                <w:color w:val="000000"/>
                <w:sz w:val="22"/>
                <w:szCs w:val="22"/>
              </w:rPr>
              <w:t xml:space="preserve"> </w:t>
            </w:r>
            <w:r w:rsidR="008F2003" w:rsidRPr="005751C4">
              <w:rPr>
                <w:rFonts w:ascii="Times New Roman" w:eastAsia="Times New Roman" w:hAnsi="Times New Roman" w:cs="Times New Roman"/>
                <w:color w:val="000000"/>
                <w:sz w:val="22"/>
                <w:szCs w:val="22"/>
              </w:rPr>
              <w:t>trudne do stosowania w</w:t>
            </w:r>
            <w:r w:rsidR="00310760" w:rsidRPr="005751C4">
              <w:rPr>
                <w:rFonts w:ascii="Times New Roman" w:eastAsia="Times New Roman" w:hAnsi="Times New Roman" w:cs="Times New Roman"/>
                <w:color w:val="000000"/>
                <w:sz w:val="22"/>
                <w:szCs w:val="22"/>
              </w:rPr>
              <w:t xml:space="preserve"> specyfic</w:t>
            </w:r>
            <w:r w:rsidR="005F49BC" w:rsidRPr="005751C4">
              <w:rPr>
                <w:rFonts w:ascii="Times New Roman" w:eastAsia="Times New Roman" w:hAnsi="Times New Roman" w:cs="Times New Roman"/>
                <w:color w:val="000000"/>
                <w:sz w:val="22"/>
                <w:szCs w:val="22"/>
              </w:rPr>
              <w:t>znej dziedzi</w:t>
            </w:r>
            <w:r w:rsidR="008F2003" w:rsidRPr="005751C4">
              <w:rPr>
                <w:rFonts w:ascii="Times New Roman" w:eastAsia="Times New Roman" w:hAnsi="Times New Roman" w:cs="Times New Roman"/>
                <w:color w:val="000000"/>
                <w:sz w:val="22"/>
                <w:szCs w:val="22"/>
              </w:rPr>
              <w:t>nie,</w:t>
            </w:r>
            <w:r w:rsidR="005F49BC" w:rsidRPr="005751C4">
              <w:rPr>
                <w:rFonts w:ascii="Times New Roman" w:eastAsia="Times New Roman" w:hAnsi="Times New Roman" w:cs="Times New Roman"/>
                <w:color w:val="000000"/>
                <w:sz w:val="22"/>
                <w:szCs w:val="22"/>
              </w:rPr>
              <w:t xml:space="preserve"> jaką reguluje dyrektywa 2019/882</w:t>
            </w:r>
            <w:r w:rsidR="00300765">
              <w:rPr>
                <w:rFonts w:ascii="Times New Roman" w:eastAsia="Times New Roman" w:hAnsi="Times New Roman" w:cs="Times New Roman"/>
                <w:color w:val="000000"/>
                <w:sz w:val="22"/>
                <w:szCs w:val="22"/>
              </w:rPr>
              <w:t>,</w:t>
            </w:r>
            <w:r w:rsidR="005F49BC" w:rsidRPr="005751C4">
              <w:rPr>
                <w:rFonts w:ascii="Times New Roman" w:eastAsia="Times New Roman" w:hAnsi="Times New Roman" w:cs="Times New Roman"/>
                <w:color w:val="000000"/>
                <w:sz w:val="22"/>
                <w:szCs w:val="22"/>
              </w:rPr>
              <w:t xml:space="preserve"> z uwagi na fakt, że </w:t>
            </w:r>
            <w:r w:rsidR="00310760" w:rsidRPr="005751C4">
              <w:rPr>
                <w:rFonts w:ascii="Times New Roman" w:eastAsia="Times New Roman" w:hAnsi="Times New Roman" w:cs="Times New Roman"/>
                <w:color w:val="000000"/>
                <w:sz w:val="22"/>
                <w:szCs w:val="22"/>
              </w:rPr>
              <w:t>dostępność to nie tylko ściśle mierzalne cechy produktu czy usługi, ale również sposób</w:t>
            </w:r>
            <w:r w:rsidR="005F49BC" w:rsidRPr="005751C4">
              <w:rPr>
                <w:rFonts w:ascii="Times New Roman" w:eastAsia="Times New Roman" w:hAnsi="Times New Roman" w:cs="Times New Roman"/>
                <w:color w:val="000000"/>
                <w:sz w:val="22"/>
                <w:szCs w:val="22"/>
              </w:rPr>
              <w:t>,</w:t>
            </w:r>
            <w:r w:rsidR="00310760" w:rsidRPr="005751C4">
              <w:rPr>
                <w:rFonts w:ascii="Times New Roman" w:eastAsia="Times New Roman" w:hAnsi="Times New Roman" w:cs="Times New Roman"/>
                <w:color w:val="000000"/>
                <w:sz w:val="22"/>
                <w:szCs w:val="22"/>
              </w:rPr>
              <w:t xml:space="preserve"> w jaki będą one wykorzystywane przez </w:t>
            </w:r>
            <w:r w:rsidR="005F49BC" w:rsidRPr="005751C4">
              <w:rPr>
                <w:rFonts w:ascii="Times New Roman" w:eastAsia="Times New Roman" w:hAnsi="Times New Roman" w:cs="Times New Roman"/>
                <w:color w:val="000000"/>
                <w:sz w:val="22"/>
                <w:szCs w:val="22"/>
              </w:rPr>
              <w:t xml:space="preserve">konsumentów, w tym </w:t>
            </w:r>
            <w:r w:rsidR="00310760" w:rsidRPr="005751C4">
              <w:rPr>
                <w:rFonts w:ascii="Times New Roman" w:eastAsia="Times New Roman" w:hAnsi="Times New Roman" w:cs="Times New Roman"/>
                <w:color w:val="000000"/>
                <w:sz w:val="22"/>
                <w:szCs w:val="22"/>
              </w:rPr>
              <w:t>osoby z</w:t>
            </w:r>
            <w:r w:rsidR="00370347" w:rsidRPr="005751C4">
              <w:rPr>
                <w:rFonts w:ascii="Times New Roman" w:eastAsia="Times New Roman" w:hAnsi="Times New Roman" w:cs="Times New Roman"/>
                <w:color w:val="000000"/>
                <w:sz w:val="22"/>
                <w:szCs w:val="22"/>
              </w:rPr>
              <w:t>e</w:t>
            </w:r>
            <w:r w:rsidR="0077547E" w:rsidRPr="005751C4">
              <w:rPr>
                <w:rFonts w:ascii="Times New Roman" w:eastAsia="Times New Roman" w:hAnsi="Times New Roman" w:cs="Times New Roman"/>
                <w:color w:val="000000"/>
                <w:sz w:val="22"/>
                <w:szCs w:val="22"/>
              </w:rPr>
              <w:t xml:space="preserve"> szczególnymi potrzebami</w:t>
            </w:r>
            <w:r w:rsidR="00B0388C" w:rsidRPr="005751C4">
              <w:rPr>
                <w:rFonts w:ascii="Times New Roman" w:eastAsia="Times New Roman" w:hAnsi="Times New Roman" w:cs="Times New Roman"/>
                <w:color w:val="000000"/>
                <w:sz w:val="22"/>
                <w:szCs w:val="22"/>
              </w:rPr>
              <w:t>. P</w:t>
            </w:r>
            <w:r w:rsidR="005F49BC" w:rsidRPr="005751C4">
              <w:rPr>
                <w:rFonts w:ascii="Times New Roman" w:eastAsia="Times New Roman" w:hAnsi="Times New Roman" w:cs="Times New Roman"/>
                <w:color w:val="000000"/>
                <w:sz w:val="22"/>
                <w:szCs w:val="22"/>
              </w:rPr>
              <w:t>rzy zastosowaniu funkcjonalnych kryteriów d</w:t>
            </w:r>
            <w:r w:rsidR="00B0388C" w:rsidRPr="005751C4">
              <w:rPr>
                <w:rFonts w:ascii="Times New Roman" w:eastAsia="Times New Roman" w:hAnsi="Times New Roman" w:cs="Times New Roman"/>
                <w:color w:val="000000"/>
                <w:sz w:val="22"/>
                <w:szCs w:val="22"/>
              </w:rPr>
              <w:t>o</w:t>
            </w:r>
            <w:r w:rsidR="005F49BC" w:rsidRPr="005751C4">
              <w:rPr>
                <w:rFonts w:ascii="Times New Roman" w:eastAsia="Times New Roman" w:hAnsi="Times New Roman" w:cs="Times New Roman"/>
                <w:color w:val="000000"/>
                <w:sz w:val="22"/>
                <w:szCs w:val="22"/>
              </w:rPr>
              <w:t xml:space="preserve">stępności, jakie określa dyrektywa 2019/882, </w:t>
            </w:r>
            <w:r w:rsidR="00310760" w:rsidRPr="005751C4">
              <w:rPr>
                <w:rFonts w:ascii="Times New Roman" w:eastAsia="Times New Roman" w:hAnsi="Times New Roman" w:cs="Times New Roman"/>
                <w:color w:val="000000"/>
                <w:sz w:val="22"/>
                <w:szCs w:val="22"/>
              </w:rPr>
              <w:t xml:space="preserve">kontrola spełniania </w:t>
            </w:r>
            <w:r w:rsidRPr="005751C4">
              <w:rPr>
                <w:rFonts w:ascii="Times New Roman" w:eastAsia="Times New Roman" w:hAnsi="Times New Roman" w:cs="Times New Roman"/>
                <w:color w:val="000000"/>
                <w:sz w:val="22"/>
                <w:szCs w:val="22"/>
              </w:rPr>
              <w:t>wym</w:t>
            </w:r>
            <w:r w:rsidR="00C12BD1">
              <w:rPr>
                <w:rFonts w:ascii="Times New Roman" w:eastAsia="Times New Roman" w:hAnsi="Times New Roman" w:cs="Times New Roman"/>
                <w:color w:val="000000"/>
                <w:sz w:val="22"/>
                <w:szCs w:val="22"/>
              </w:rPr>
              <w:t>agań</w:t>
            </w:r>
            <w:r w:rsidR="005F49BC" w:rsidRPr="005751C4">
              <w:rPr>
                <w:rFonts w:ascii="Times New Roman" w:eastAsia="Times New Roman" w:hAnsi="Times New Roman" w:cs="Times New Roman"/>
                <w:color w:val="000000"/>
                <w:sz w:val="22"/>
                <w:szCs w:val="22"/>
              </w:rPr>
              <w:t xml:space="preserve"> ustawy transponującej dyrektywę</w:t>
            </w:r>
            <w:r w:rsidR="003B63A5">
              <w:rPr>
                <w:rFonts w:ascii="Times New Roman" w:eastAsia="Times New Roman" w:hAnsi="Times New Roman" w:cs="Times New Roman"/>
                <w:color w:val="000000"/>
                <w:sz w:val="22"/>
                <w:szCs w:val="22"/>
              </w:rPr>
              <w:t xml:space="preserve"> </w:t>
            </w:r>
            <w:r w:rsidR="003B63A5" w:rsidRPr="005751C4">
              <w:rPr>
                <w:rFonts w:ascii="Times New Roman" w:eastAsia="Times New Roman" w:hAnsi="Times New Roman" w:cs="Times New Roman"/>
                <w:color w:val="000000"/>
                <w:sz w:val="22"/>
                <w:szCs w:val="22"/>
              </w:rPr>
              <w:t>2019/882</w:t>
            </w:r>
            <w:r w:rsidR="003B63A5">
              <w:rPr>
                <w:rFonts w:ascii="Times New Roman" w:eastAsia="Times New Roman" w:hAnsi="Times New Roman" w:cs="Times New Roman"/>
                <w:color w:val="000000"/>
                <w:sz w:val="22"/>
                <w:szCs w:val="22"/>
              </w:rPr>
              <w:t xml:space="preserve"> </w:t>
            </w:r>
            <w:r w:rsidR="00310760" w:rsidRPr="005751C4">
              <w:rPr>
                <w:rFonts w:ascii="Times New Roman" w:eastAsia="Times New Roman" w:hAnsi="Times New Roman" w:cs="Times New Roman"/>
                <w:color w:val="000000"/>
                <w:sz w:val="22"/>
                <w:szCs w:val="22"/>
              </w:rPr>
              <w:t>zgodnie ze</w:t>
            </w:r>
            <w:r w:rsidR="005F49BC" w:rsidRPr="005751C4">
              <w:rPr>
                <w:rFonts w:ascii="Times New Roman" w:eastAsia="Times New Roman" w:hAnsi="Times New Roman" w:cs="Times New Roman"/>
                <w:color w:val="000000"/>
                <w:sz w:val="22"/>
                <w:szCs w:val="22"/>
              </w:rPr>
              <w:t xml:space="preserve"> standardami NLF będzie wymagał</w:t>
            </w:r>
            <w:r w:rsidR="00820ACC" w:rsidRPr="005751C4">
              <w:rPr>
                <w:rFonts w:ascii="Times New Roman" w:eastAsia="Times New Roman" w:hAnsi="Times New Roman" w:cs="Times New Roman"/>
                <w:color w:val="000000"/>
                <w:sz w:val="22"/>
                <w:szCs w:val="22"/>
              </w:rPr>
              <w:t>a</w:t>
            </w:r>
            <w:r w:rsidR="005F49BC" w:rsidRPr="005751C4">
              <w:rPr>
                <w:rFonts w:ascii="Times New Roman" w:eastAsia="Times New Roman" w:hAnsi="Times New Roman" w:cs="Times New Roman"/>
                <w:color w:val="000000"/>
                <w:sz w:val="22"/>
                <w:szCs w:val="22"/>
              </w:rPr>
              <w:t xml:space="preserve"> od organ</w:t>
            </w:r>
            <w:r w:rsidR="00B0388C" w:rsidRPr="005751C4">
              <w:rPr>
                <w:rFonts w:ascii="Times New Roman" w:eastAsia="Times New Roman" w:hAnsi="Times New Roman" w:cs="Times New Roman"/>
                <w:color w:val="000000"/>
                <w:sz w:val="22"/>
                <w:szCs w:val="22"/>
              </w:rPr>
              <w:t>ó</w:t>
            </w:r>
            <w:r w:rsidR="005F49BC" w:rsidRPr="005751C4">
              <w:rPr>
                <w:rFonts w:ascii="Times New Roman" w:eastAsia="Times New Roman" w:hAnsi="Times New Roman" w:cs="Times New Roman"/>
                <w:color w:val="000000"/>
                <w:sz w:val="22"/>
                <w:szCs w:val="22"/>
              </w:rPr>
              <w:t xml:space="preserve">w nadzoru </w:t>
            </w:r>
            <w:r w:rsidR="00820ACC" w:rsidRPr="005751C4">
              <w:rPr>
                <w:rFonts w:ascii="Times New Roman" w:eastAsia="Times New Roman" w:hAnsi="Times New Roman" w:cs="Times New Roman"/>
                <w:color w:val="000000"/>
                <w:sz w:val="22"/>
                <w:szCs w:val="22"/>
              </w:rPr>
              <w:t>wypracowania cał</w:t>
            </w:r>
            <w:r w:rsidR="005F49BC" w:rsidRPr="005751C4">
              <w:rPr>
                <w:rFonts w:ascii="Times New Roman" w:eastAsia="Times New Roman" w:hAnsi="Times New Roman" w:cs="Times New Roman"/>
                <w:color w:val="000000"/>
                <w:sz w:val="22"/>
                <w:szCs w:val="22"/>
              </w:rPr>
              <w:t>k</w:t>
            </w:r>
            <w:r w:rsidR="00B0388C" w:rsidRPr="005751C4">
              <w:rPr>
                <w:rFonts w:ascii="Times New Roman" w:eastAsia="Times New Roman" w:hAnsi="Times New Roman" w:cs="Times New Roman"/>
                <w:color w:val="000000"/>
                <w:sz w:val="22"/>
                <w:szCs w:val="22"/>
              </w:rPr>
              <w:t>i</w:t>
            </w:r>
            <w:r w:rsidR="005F49BC" w:rsidRPr="005751C4">
              <w:rPr>
                <w:rFonts w:ascii="Times New Roman" w:eastAsia="Times New Roman" w:hAnsi="Times New Roman" w:cs="Times New Roman"/>
                <w:color w:val="000000"/>
                <w:sz w:val="22"/>
                <w:szCs w:val="22"/>
              </w:rPr>
              <w:t xml:space="preserve">em nowych </w:t>
            </w:r>
            <w:r w:rsidRPr="005751C4">
              <w:rPr>
                <w:rFonts w:ascii="Times New Roman" w:eastAsia="Times New Roman" w:hAnsi="Times New Roman" w:cs="Times New Roman"/>
                <w:color w:val="000000"/>
                <w:sz w:val="22"/>
                <w:szCs w:val="22"/>
              </w:rPr>
              <w:t>narzędzi</w:t>
            </w:r>
            <w:r w:rsidR="005F49BC" w:rsidRPr="005751C4">
              <w:rPr>
                <w:rFonts w:ascii="Times New Roman" w:eastAsia="Times New Roman" w:hAnsi="Times New Roman" w:cs="Times New Roman"/>
                <w:color w:val="000000"/>
                <w:sz w:val="22"/>
                <w:szCs w:val="22"/>
              </w:rPr>
              <w:t xml:space="preserve"> i mechanizmów.</w:t>
            </w:r>
            <w:r w:rsidR="00820ACC" w:rsidRPr="005751C4">
              <w:rPr>
                <w:rFonts w:ascii="Times New Roman" w:eastAsia="Times New Roman" w:hAnsi="Times New Roman" w:cs="Times New Roman"/>
                <w:color w:val="000000"/>
                <w:sz w:val="22"/>
                <w:szCs w:val="22"/>
              </w:rPr>
              <w:t xml:space="preserve"> Inne instytucje, które dotąd nie realizowały zadań w obszarze nadzoru rynku (w tym PFRON), będą musiały zbudować zasoby wiedzy i kadr od podstaw.</w:t>
            </w:r>
          </w:p>
          <w:p w14:paraId="7F899BF6" w14:textId="77777777" w:rsidR="00B81AF7" w:rsidRPr="005751C4" w:rsidRDefault="00B81AF7" w:rsidP="00B81AF7">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Szczególna rola w systemie nadzoru została powierzona Prezesowi </w:t>
            </w:r>
            <w:r w:rsidR="00B0388C" w:rsidRPr="005751C4">
              <w:rPr>
                <w:rFonts w:ascii="Times New Roman" w:eastAsia="Times New Roman" w:hAnsi="Times New Roman" w:cs="Times New Roman"/>
                <w:color w:val="000000"/>
                <w:sz w:val="22"/>
                <w:szCs w:val="22"/>
              </w:rPr>
              <w:t xml:space="preserve">Zarządu </w:t>
            </w:r>
            <w:r w:rsidRPr="005751C4">
              <w:rPr>
                <w:rFonts w:ascii="Times New Roman" w:eastAsia="Times New Roman" w:hAnsi="Times New Roman" w:cs="Times New Roman"/>
                <w:color w:val="000000"/>
                <w:sz w:val="22"/>
                <w:szCs w:val="22"/>
              </w:rPr>
              <w:t>PFRON</w:t>
            </w:r>
            <w:r w:rsidR="00DE380D" w:rsidRPr="005751C4">
              <w:rPr>
                <w:rFonts w:ascii="Times New Roman" w:eastAsia="Times New Roman" w:hAnsi="Times New Roman" w:cs="Times New Roman"/>
                <w:color w:val="000000"/>
                <w:sz w:val="22"/>
                <w:szCs w:val="22"/>
              </w:rPr>
              <w:t>.</w:t>
            </w:r>
          </w:p>
          <w:p w14:paraId="5D31326A" w14:textId="77777777" w:rsidR="00B81AF7" w:rsidRDefault="005F3A29" w:rsidP="00DC0626">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Według</w:t>
            </w:r>
            <w:r w:rsidR="00B81AF7" w:rsidRPr="005751C4">
              <w:rPr>
                <w:rFonts w:ascii="Times New Roman" w:eastAsia="Times New Roman" w:hAnsi="Times New Roman" w:cs="Times New Roman"/>
                <w:color w:val="000000"/>
                <w:sz w:val="22"/>
                <w:szCs w:val="22"/>
              </w:rPr>
              <w:t xml:space="preserve"> projektu ustawy, Prezes Zarządu PFRON:</w:t>
            </w:r>
          </w:p>
          <w:p w14:paraId="4367E4B3" w14:textId="77777777" w:rsidR="00DC0626" w:rsidRPr="00DC0626" w:rsidRDefault="002511B5" w:rsidP="00116AE1">
            <w:pPr>
              <w:numPr>
                <w:ilvl w:val="0"/>
                <w:numId w:val="35"/>
              </w:numPr>
              <w:spacing w:before="120" w:after="120"/>
              <w:jc w:val="both"/>
              <w:rPr>
                <w:rFonts w:ascii="Times New Roman" w:hAnsi="Times New Roman" w:cs="Times New Roman"/>
                <w:sz w:val="22"/>
                <w:szCs w:val="22"/>
              </w:rPr>
            </w:pPr>
            <w:r w:rsidRPr="002511B5">
              <w:rPr>
                <w:rFonts w:ascii="Times New Roman" w:hAnsi="Times New Roman" w:cs="Times New Roman"/>
                <w:sz w:val="22"/>
                <w:szCs w:val="22"/>
              </w:rPr>
              <w:t>monitoruje funkcjonowanie systemu nadzoru rynku przez żądanie od organów nadzoru rynku i organów celnych informacji, w tym danych statystycznych, dotyczących działań podjętych w zakresie nadzoru rynku;</w:t>
            </w:r>
          </w:p>
          <w:p w14:paraId="03BD78DA" w14:textId="481443FB" w:rsidR="00DC0626" w:rsidRPr="00DC0626" w:rsidRDefault="00DC0626" w:rsidP="00116AE1">
            <w:pPr>
              <w:numPr>
                <w:ilvl w:val="0"/>
                <w:numId w:val="35"/>
              </w:numPr>
              <w:spacing w:before="120" w:after="120"/>
              <w:jc w:val="both"/>
              <w:rPr>
                <w:rFonts w:ascii="Times New Roman" w:hAnsi="Times New Roman" w:cs="Times New Roman"/>
                <w:sz w:val="22"/>
                <w:szCs w:val="22"/>
              </w:rPr>
            </w:pPr>
            <w:r w:rsidRPr="00DC0626">
              <w:rPr>
                <w:rFonts w:ascii="Times New Roman" w:hAnsi="Times New Roman" w:cs="Times New Roman"/>
                <w:sz w:val="22"/>
                <w:szCs w:val="22"/>
              </w:rPr>
              <w:t>sprawuje nadzór nad stosowaniem przepisów</w:t>
            </w:r>
            <w:r w:rsidR="00160D38">
              <w:rPr>
                <w:rFonts w:ascii="Times New Roman" w:hAnsi="Times New Roman" w:cs="Times New Roman"/>
                <w:sz w:val="22"/>
                <w:szCs w:val="22"/>
              </w:rPr>
              <w:t xml:space="preserve"> projektowanej</w:t>
            </w:r>
            <w:r w:rsidRPr="00DC0626">
              <w:rPr>
                <w:rFonts w:ascii="Times New Roman" w:hAnsi="Times New Roman" w:cs="Times New Roman"/>
                <w:sz w:val="22"/>
                <w:szCs w:val="22"/>
              </w:rPr>
              <w:t xml:space="preserve"> ustawy przez organy nadzoru rynku przez:</w:t>
            </w:r>
          </w:p>
          <w:p w14:paraId="16D20429" w14:textId="4907B326" w:rsidR="00DC0626" w:rsidRPr="00DC0626" w:rsidRDefault="00CC7307" w:rsidP="00116AE1">
            <w:pPr>
              <w:pStyle w:val="LITlitera"/>
              <w:numPr>
                <w:ilvl w:val="0"/>
                <w:numId w:val="36"/>
              </w:numPr>
              <w:spacing w:before="120" w:after="120" w:line="240" w:lineRule="auto"/>
              <w:rPr>
                <w:rFonts w:ascii="Times New Roman" w:hAnsi="Times New Roman" w:cs="Times New Roman"/>
                <w:sz w:val="22"/>
                <w:szCs w:val="22"/>
              </w:rPr>
            </w:pPr>
            <w:r w:rsidRPr="00CC7307">
              <w:rPr>
                <w:rFonts w:ascii="Times New Roman" w:hAnsi="Times New Roman" w:cs="Times New Roman"/>
                <w:sz w:val="22"/>
                <w:szCs w:val="22"/>
              </w:rPr>
              <w:t>żądanie informacji i danych od organów nadzoru rynku dotyczących organizacji i</w:t>
            </w:r>
            <w:r w:rsidR="00A05EC1">
              <w:rPr>
                <w:rFonts w:ascii="Times New Roman" w:hAnsi="Times New Roman" w:cs="Times New Roman"/>
                <w:sz w:val="22"/>
                <w:szCs w:val="22"/>
              </w:rPr>
              <w:t> </w:t>
            </w:r>
            <w:r w:rsidRPr="00CC7307">
              <w:rPr>
                <w:rFonts w:ascii="Times New Roman" w:hAnsi="Times New Roman" w:cs="Times New Roman"/>
                <w:sz w:val="22"/>
                <w:szCs w:val="22"/>
              </w:rPr>
              <w:t>funkcjonowania systemu nadzoru rynku, niezbędnych do wykonywania uprawnień nadzorczych,</w:t>
            </w:r>
          </w:p>
          <w:p w14:paraId="11F65EE1" w14:textId="77777777" w:rsidR="00DC0626" w:rsidRPr="00DC0626" w:rsidRDefault="00CC7307" w:rsidP="00116AE1">
            <w:pPr>
              <w:pStyle w:val="LITlitera"/>
              <w:numPr>
                <w:ilvl w:val="0"/>
                <w:numId w:val="36"/>
              </w:numPr>
              <w:spacing w:before="120" w:after="120" w:line="240" w:lineRule="auto"/>
              <w:rPr>
                <w:rFonts w:ascii="Times New Roman" w:hAnsi="Times New Roman" w:cs="Times New Roman"/>
                <w:sz w:val="22"/>
                <w:szCs w:val="22"/>
              </w:rPr>
            </w:pPr>
            <w:r w:rsidRPr="00CC7307">
              <w:rPr>
                <w:rFonts w:ascii="Times New Roman" w:hAnsi="Times New Roman" w:cs="Times New Roman"/>
                <w:sz w:val="22"/>
                <w:szCs w:val="22"/>
              </w:rPr>
              <w:t>występowanie z wnioskami dotyczącymi realizowania ich zadań w ramach systemu nadzoru rynku;</w:t>
            </w:r>
          </w:p>
          <w:p w14:paraId="33A2AA3E" w14:textId="32704B6E" w:rsidR="00276391" w:rsidRDefault="00DC0626" w:rsidP="00116AE1">
            <w:pPr>
              <w:numPr>
                <w:ilvl w:val="0"/>
                <w:numId w:val="35"/>
              </w:numPr>
              <w:spacing w:before="120" w:after="120"/>
              <w:jc w:val="both"/>
              <w:rPr>
                <w:rFonts w:ascii="Times New Roman" w:hAnsi="Times New Roman" w:cs="Times New Roman"/>
                <w:sz w:val="22"/>
                <w:szCs w:val="22"/>
              </w:rPr>
            </w:pPr>
            <w:r w:rsidRPr="00DC0626">
              <w:rPr>
                <w:rFonts w:ascii="Times New Roman" w:hAnsi="Times New Roman" w:cs="Times New Roman"/>
                <w:sz w:val="22"/>
                <w:szCs w:val="22"/>
              </w:rPr>
              <w:t>współpracuje z organami nadzoru rynku, organami celnymi oraz ministrem właściwym do spraw rozwoju regionalnego w zakresie stosowania przepisów</w:t>
            </w:r>
            <w:r w:rsidR="003B63A5">
              <w:rPr>
                <w:rFonts w:ascii="Times New Roman" w:hAnsi="Times New Roman" w:cs="Times New Roman"/>
                <w:sz w:val="22"/>
                <w:szCs w:val="22"/>
              </w:rPr>
              <w:t xml:space="preserve"> projekt</w:t>
            </w:r>
            <w:r w:rsidR="00160D38">
              <w:rPr>
                <w:rFonts w:ascii="Times New Roman" w:hAnsi="Times New Roman" w:cs="Times New Roman"/>
                <w:sz w:val="22"/>
                <w:szCs w:val="22"/>
              </w:rPr>
              <w:t>owanej</w:t>
            </w:r>
            <w:r w:rsidRPr="00DC0626">
              <w:rPr>
                <w:rFonts w:ascii="Times New Roman" w:hAnsi="Times New Roman" w:cs="Times New Roman"/>
                <w:sz w:val="22"/>
                <w:szCs w:val="22"/>
              </w:rPr>
              <w:t xml:space="preserve"> ustawy;</w:t>
            </w:r>
          </w:p>
          <w:p w14:paraId="0269D176" w14:textId="74AC4A0F" w:rsidR="00276391" w:rsidRPr="00116AE1" w:rsidRDefault="005441D7" w:rsidP="00116AE1">
            <w:pPr>
              <w:numPr>
                <w:ilvl w:val="0"/>
                <w:numId w:val="35"/>
              </w:numPr>
              <w:spacing w:before="120" w:after="120"/>
              <w:jc w:val="both"/>
              <w:rPr>
                <w:rFonts w:ascii="Times New Roman" w:hAnsi="Times New Roman" w:cs="Times New Roman"/>
                <w:sz w:val="22"/>
                <w:szCs w:val="22"/>
              </w:rPr>
            </w:pPr>
            <w:r w:rsidRPr="00116AE1">
              <w:rPr>
                <w:rFonts w:ascii="Times New Roman" w:hAnsi="Times New Roman" w:cs="Times New Roman"/>
                <w:sz w:val="22"/>
                <w:szCs w:val="22"/>
              </w:rPr>
              <w:t xml:space="preserve">monitoruje i dokonuje oceny stanu dostępu osób ze szczególnymi potrzebami do produktów i usług spełniających wymagania dostępności określone w </w:t>
            </w:r>
            <w:r w:rsidR="003B63A5">
              <w:rPr>
                <w:rFonts w:ascii="Times New Roman" w:hAnsi="Times New Roman" w:cs="Times New Roman"/>
                <w:sz w:val="22"/>
                <w:szCs w:val="22"/>
              </w:rPr>
              <w:t xml:space="preserve">projektowanej </w:t>
            </w:r>
            <w:r w:rsidRPr="00116AE1">
              <w:rPr>
                <w:rFonts w:ascii="Times New Roman" w:hAnsi="Times New Roman" w:cs="Times New Roman"/>
                <w:sz w:val="22"/>
                <w:szCs w:val="22"/>
              </w:rPr>
              <w:t>ustawie;</w:t>
            </w:r>
          </w:p>
          <w:p w14:paraId="3095538A" w14:textId="77777777" w:rsidR="00276391" w:rsidRDefault="00276391" w:rsidP="005441D7">
            <w:pPr>
              <w:numPr>
                <w:ilvl w:val="0"/>
                <w:numId w:val="35"/>
              </w:numPr>
              <w:spacing w:before="120" w:after="120"/>
              <w:jc w:val="both"/>
              <w:rPr>
                <w:rFonts w:ascii="Times New Roman" w:hAnsi="Times New Roman" w:cs="Times New Roman"/>
                <w:sz w:val="22"/>
                <w:szCs w:val="22"/>
              </w:rPr>
            </w:pPr>
            <w:r w:rsidRPr="00276391">
              <w:rPr>
                <w:rFonts w:ascii="Times New Roman" w:hAnsi="Times New Roman" w:cs="Times New Roman"/>
                <w:sz w:val="22"/>
                <w:szCs w:val="22"/>
              </w:rPr>
              <w:t>podaje do publicznej wiadomości na stronie podmiotowej Biuletynu Informacji Publicznej Państwowego Funduszu Rehabilitacji Osób Niepełnosprawnych i na stronie internetowej urzędu obsługującego Prezesa Zarządu PFRON i przekazuje Komisji Europejskiej informacje o organach nadzoru rynku i organach celnych oraz ich kompetencjach;</w:t>
            </w:r>
          </w:p>
          <w:p w14:paraId="6BB2AD66" w14:textId="77777777" w:rsidR="00DC0626" w:rsidRPr="00DC0626" w:rsidRDefault="00DC0626" w:rsidP="00116AE1">
            <w:pPr>
              <w:numPr>
                <w:ilvl w:val="0"/>
                <w:numId w:val="35"/>
              </w:numPr>
              <w:spacing w:before="120" w:after="120"/>
              <w:jc w:val="both"/>
              <w:rPr>
                <w:rFonts w:ascii="Times New Roman" w:hAnsi="Times New Roman" w:cs="Times New Roman"/>
                <w:sz w:val="22"/>
                <w:szCs w:val="22"/>
              </w:rPr>
            </w:pPr>
            <w:r w:rsidRPr="00DC0626">
              <w:rPr>
                <w:rFonts w:ascii="Times New Roman" w:hAnsi="Times New Roman" w:cs="Times New Roman"/>
                <w:sz w:val="22"/>
                <w:szCs w:val="22"/>
              </w:rPr>
              <w:t>sporządza sprawozdanie</w:t>
            </w:r>
            <w:r w:rsidR="00276391">
              <w:rPr>
                <w:rFonts w:ascii="Times New Roman" w:hAnsi="Times New Roman" w:cs="Times New Roman"/>
                <w:sz w:val="22"/>
                <w:szCs w:val="22"/>
              </w:rPr>
              <w:t>,</w:t>
            </w:r>
            <w:r w:rsidR="00276391">
              <w:t xml:space="preserve"> </w:t>
            </w:r>
            <w:r w:rsidR="00276391" w:rsidRPr="00276391">
              <w:rPr>
                <w:rFonts w:ascii="Times New Roman" w:hAnsi="Times New Roman" w:cs="Times New Roman"/>
                <w:sz w:val="22"/>
                <w:szCs w:val="22"/>
              </w:rPr>
              <w:t>o którym mowa w art. 72;</w:t>
            </w:r>
          </w:p>
          <w:p w14:paraId="40B311D9" w14:textId="73733E2F" w:rsidR="00276391" w:rsidRDefault="00276391" w:rsidP="005441D7">
            <w:pPr>
              <w:numPr>
                <w:ilvl w:val="0"/>
                <w:numId w:val="35"/>
              </w:numPr>
              <w:spacing w:before="120" w:after="120"/>
              <w:jc w:val="both"/>
              <w:rPr>
                <w:rFonts w:ascii="Times New Roman" w:eastAsia="Times New Roman" w:hAnsi="Times New Roman" w:cs="Times New Roman"/>
                <w:sz w:val="22"/>
                <w:szCs w:val="21"/>
              </w:rPr>
            </w:pPr>
            <w:r w:rsidRPr="00276391">
              <w:rPr>
                <w:rFonts w:ascii="Times New Roman" w:hAnsi="Times New Roman" w:cs="Times New Roman"/>
                <w:sz w:val="22"/>
                <w:szCs w:val="22"/>
              </w:rPr>
              <w:t>inicjuje i organizuje działalność edukacyjną i informacyjną w zakresie dostępności produktów i usług, a także opracowuje wytyczne dla podmiotów gospodarczych w</w:t>
            </w:r>
            <w:r w:rsidR="00A05EC1">
              <w:rPr>
                <w:rFonts w:ascii="Times New Roman" w:hAnsi="Times New Roman" w:cs="Times New Roman"/>
                <w:sz w:val="22"/>
                <w:szCs w:val="22"/>
              </w:rPr>
              <w:t> </w:t>
            </w:r>
            <w:r w:rsidRPr="00276391">
              <w:rPr>
                <w:rFonts w:ascii="Times New Roman" w:hAnsi="Times New Roman" w:cs="Times New Roman"/>
                <w:sz w:val="22"/>
                <w:szCs w:val="22"/>
              </w:rPr>
              <w:t>zakresie zapewniania spełniania wymagań dostępności produktów i usług;</w:t>
            </w:r>
          </w:p>
          <w:p w14:paraId="30C08BF9" w14:textId="305601CC" w:rsidR="00DC0626" w:rsidRDefault="00DC0626" w:rsidP="00116AE1">
            <w:pPr>
              <w:numPr>
                <w:ilvl w:val="0"/>
                <w:numId w:val="35"/>
              </w:numPr>
              <w:spacing w:before="120" w:after="120"/>
              <w:jc w:val="both"/>
              <w:rPr>
                <w:rFonts w:ascii="Times New Roman" w:eastAsia="Times New Roman" w:hAnsi="Times New Roman" w:cs="Times New Roman"/>
                <w:sz w:val="22"/>
                <w:szCs w:val="21"/>
              </w:rPr>
            </w:pPr>
            <w:r w:rsidRPr="00116AE1">
              <w:rPr>
                <w:rFonts w:ascii="Times New Roman" w:eastAsia="Times New Roman" w:hAnsi="Times New Roman" w:cs="Times New Roman"/>
                <w:sz w:val="22"/>
                <w:szCs w:val="21"/>
              </w:rPr>
              <w:t>rozpatruje</w:t>
            </w:r>
            <w:r w:rsidR="00276391">
              <w:rPr>
                <w:rFonts w:ascii="Times New Roman" w:eastAsia="Times New Roman" w:hAnsi="Times New Roman" w:cs="Times New Roman"/>
                <w:sz w:val="22"/>
                <w:szCs w:val="21"/>
              </w:rPr>
              <w:t xml:space="preserve"> albo</w:t>
            </w:r>
            <w:r w:rsidRPr="00116AE1">
              <w:rPr>
                <w:rFonts w:ascii="Times New Roman" w:eastAsia="Times New Roman" w:hAnsi="Times New Roman" w:cs="Times New Roman"/>
                <w:sz w:val="22"/>
                <w:szCs w:val="21"/>
              </w:rPr>
              <w:t xml:space="preserve"> przekazuje właściwemu organowi nadzoru rynku zawiadomienia, o</w:t>
            </w:r>
            <w:r w:rsidR="00A05EC1">
              <w:rPr>
                <w:rFonts w:ascii="Times New Roman" w:eastAsia="Times New Roman" w:hAnsi="Times New Roman" w:cs="Times New Roman"/>
                <w:sz w:val="22"/>
                <w:szCs w:val="21"/>
              </w:rPr>
              <w:t> </w:t>
            </w:r>
            <w:r w:rsidRPr="00116AE1">
              <w:rPr>
                <w:rFonts w:ascii="Times New Roman" w:eastAsia="Times New Roman" w:hAnsi="Times New Roman" w:cs="Times New Roman"/>
                <w:sz w:val="22"/>
                <w:szCs w:val="21"/>
              </w:rPr>
              <w:t>których mowa w art. 6</w:t>
            </w:r>
            <w:r w:rsidR="00276391">
              <w:rPr>
                <w:rFonts w:ascii="Times New Roman" w:eastAsia="Times New Roman" w:hAnsi="Times New Roman" w:cs="Times New Roman"/>
                <w:sz w:val="22"/>
                <w:szCs w:val="21"/>
              </w:rPr>
              <w:t>7</w:t>
            </w:r>
            <w:r w:rsidRPr="00116AE1">
              <w:rPr>
                <w:rFonts w:ascii="Times New Roman" w:eastAsia="Times New Roman" w:hAnsi="Times New Roman" w:cs="Times New Roman"/>
                <w:sz w:val="22"/>
                <w:szCs w:val="21"/>
              </w:rPr>
              <w:t>;</w:t>
            </w:r>
          </w:p>
          <w:p w14:paraId="65C696A3" w14:textId="77777777" w:rsidR="006033AA" w:rsidRPr="00116AE1" w:rsidRDefault="006033AA" w:rsidP="00116AE1">
            <w:pPr>
              <w:numPr>
                <w:ilvl w:val="0"/>
                <w:numId w:val="35"/>
              </w:numPr>
              <w:spacing w:before="120" w:after="120"/>
              <w:jc w:val="both"/>
              <w:rPr>
                <w:rFonts w:ascii="Times New Roman" w:eastAsia="Times New Roman" w:hAnsi="Times New Roman" w:cs="Times New Roman"/>
                <w:sz w:val="22"/>
                <w:szCs w:val="21"/>
              </w:rPr>
            </w:pPr>
            <w:r w:rsidRPr="006033AA">
              <w:rPr>
                <w:rFonts w:ascii="Times New Roman" w:eastAsia="Times New Roman" w:hAnsi="Times New Roman" w:cs="Times New Roman"/>
                <w:sz w:val="22"/>
                <w:szCs w:val="21"/>
              </w:rPr>
              <w:t>przeprowadza kontrolę, o której mowa w art. 43, oraz prowadzi postępowania, o których mowa w art. 53 i art. 63;</w:t>
            </w:r>
          </w:p>
          <w:p w14:paraId="0E8DDA7D" w14:textId="77777777" w:rsidR="00981A38" w:rsidRPr="00981A38" w:rsidRDefault="00981A38" w:rsidP="00981A38">
            <w:pPr>
              <w:numPr>
                <w:ilvl w:val="0"/>
                <w:numId w:val="35"/>
              </w:numPr>
              <w:spacing w:before="120" w:after="120"/>
              <w:jc w:val="both"/>
              <w:rPr>
                <w:rFonts w:ascii="Times New Roman" w:eastAsia="Times New Roman" w:hAnsi="Times New Roman" w:cs="Times New Roman"/>
                <w:sz w:val="22"/>
                <w:szCs w:val="21"/>
              </w:rPr>
            </w:pPr>
            <w:r w:rsidRPr="00981A38">
              <w:rPr>
                <w:rFonts w:ascii="Times New Roman" w:eastAsia="Times New Roman" w:hAnsi="Times New Roman" w:cs="Times New Roman"/>
                <w:sz w:val="22"/>
                <w:szCs w:val="21"/>
              </w:rPr>
              <w:t>opracowuje strategię, o której mowa w art. 71.</w:t>
            </w:r>
          </w:p>
          <w:p w14:paraId="730396C5" w14:textId="31D6013C" w:rsidR="00B81AF7" w:rsidRPr="005751C4" w:rsidRDefault="00B81AF7" w:rsidP="00C26B11">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Każdy może zgłosić Prezesowi Zarządu PFRON zawiadomienie o niespełnianiu przez produkt albo usługę wym</w:t>
            </w:r>
            <w:r w:rsidR="006574C1">
              <w:rPr>
                <w:rFonts w:ascii="Times New Roman" w:eastAsia="Times New Roman" w:hAnsi="Times New Roman" w:cs="Times New Roman"/>
                <w:color w:val="000000"/>
                <w:sz w:val="22"/>
                <w:szCs w:val="22"/>
              </w:rPr>
              <w:t>agania</w:t>
            </w:r>
            <w:r w:rsidRPr="005751C4">
              <w:rPr>
                <w:rFonts w:ascii="Times New Roman" w:eastAsia="Times New Roman" w:hAnsi="Times New Roman" w:cs="Times New Roman"/>
                <w:color w:val="000000"/>
                <w:sz w:val="22"/>
                <w:szCs w:val="22"/>
              </w:rPr>
              <w:t xml:space="preserve"> dostępności</w:t>
            </w:r>
            <w:r w:rsidR="00C26B11" w:rsidRPr="005751C4">
              <w:rPr>
                <w:rFonts w:ascii="Times New Roman" w:eastAsia="Times New Roman" w:hAnsi="Times New Roman" w:cs="Times New Roman"/>
                <w:color w:val="000000"/>
                <w:sz w:val="22"/>
                <w:szCs w:val="22"/>
              </w:rPr>
              <w:t xml:space="preserve">. </w:t>
            </w:r>
            <w:r w:rsidRPr="005751C4">
              <w:rPr>
                <w:rFonts w:ascii="Times New Roman" w:eastAsia="Times New Roman" w:hAnsi="Times New Roman" w:cs="Times New Roman"/>
                <w:color w:val="000000"/>
                <w:sz w:val="22"/>
                <w:szCs w:val="22"/>
              </w:rPr>
              <w:t xml:space="preserve">Prezes Zarządu PFRON rozpatruje </w:t>
            </w:r>
            <w:r w:rsidR="00210FB7" w:rsidRPr="005751C4">
              <w:rPr>
                <w:rFonts w:ascii="Times New Roman" w:eastAsia="Times New Roman" w:hAnsi="Times New Roman" w:cs="Times New Roman"/>
                <w:color w:val="000000"/>
                <w:sz w:val="22"/>
                <w:szCs w:val="22"/>
              </w:rPr>
              <w:t xml:space="preserve">takie </w:t>
            </w:r>
            <w:r w:rsidRPr="005751C4">
              <w:rPr>
                <w:rFonts w:ascii="Times New Roman" w:eastAsia="Times New Roman" w:hAnsi="Times New Roman" w:cs="Times New Roman"/>
                <w:color w:val="000000"/>
                <w:sz w:val="22"/>
                <w:szCs w:val="22"/>
              </w:rPr>
              <w:t>zawiadomieni</w:t>
            </w:r>
            <w:r w:rsidR="00210FB7" w:rsidRPr="005751C4">
              <w:rPr>
                <w:rFonts w:ascii="Times New Roman" w:eastAsia="Times New Roman" w:hAnsi="Times New Roman" w:cs="Times New Roman"/>
                <w:color w:val="000000"/>
                <w:sz w:val="22"/>
                <w:szCs w:val="22"/>
              </w:rPr>
              <w:t>e</w:t>
            </w:r>
            <w:r w:rsidRPr="005751C4">
              <w:rPr>
                <w:rFonts w:ascii="Times New Roman" w:eastAsia="Times New Roman" w:hAnsi="Times New Roman" w:cs="Times New Roman"/>
                <w:color w:val="000000"/>
                <w:sz w:val="22"/>
                <w:szCs w:val="22"/>
              </w:rPr>
              <w:t xml:space="preserve"> i</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może wszcząć sam postępowanie kontrolne albo przekazać sprawę właściwemu organowi nadzoru rynku.</w:t>
            </w:r>
          </w:p>
          <w:p w14:paraId="22B09EF1" w14:textId="47F998DA"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Ze względu na złożoność kwestii związanych z uruchomieniem i funkcjonowaniem nowego systemu mającego na celu zapewnienie dostępności produktów i usług niezbędne jest </w:t>
            </w:r>
            <w:r w:rsidR="00284AB9">
              <w:rPr>
                <w:rFonts w:ascii="Times New Roman" w:eastAsia="Times New Roman" w:hAnsi="Times New Roman" w:cs="Times New Roman"/>
                <w:color w:val="000000"/>
                <w:sz w:val="22"/>
                <w:szCs w:val="22"/>
              </w:rPr>
              <w:t>przygotowanie</w:t>
            </w:r>
            <w:r w:rsidRPr="005751C4">
              <w:rPr>
                <w:rFonts w:ascii="Times New Roman" w:eastAsia="Times New Roman" w:hAnsi="Times New Roman" w:cs="Times New Roman"/>
                <w:color w:val="000000"/>
                <w:sz w:val="22"/>
                <w:szCs w:val="22"/>
              </w:rPr>
              <w:t xml:space="preserve"> zasobów kadrowych do obsługi zadań przewidzianych dla Prezesa Zarządu PFRON, zarówno w Biurze Funduszu</w:t>
            </w:r>
            <w:r w:rsidR="00B0388C"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jak i </w:t>
            </w:r>
            <w:r w:rsidR="00B0388C" w:rsidRPr="005751C4">
              <w:rPr>
                <w:rFonts w:ascii="Times New Roman" w:eastAsia="Times New Roman" w:hAnsi="Times New Roman" w:cs="Times New Roman"/>
                <w:color w:val="000000"/>
                <w:sz w:val="22"/>
                <w:szCs w:val="22"/>
              </w:rPr>
              <w:t xml:space="preserve">w </w:t>
            </w:r>
            <w:r w:rsidRPr="005751C4">
              <w:rPr>
                <w:rFonts w:ascii="Times New Roman" w:eastAsia="Times New Roman" w:hAnsi="Times New Roman" w:cs="Times New Roman"/>
                <w:color w:val="000000"/>
                <w:sz w:val="22"/>
                <w:szCs w:val="22"/>
              </w:rPr>
              <w:t>Oddziałach PFRON.</w:t>
            </w:r>
          </w:p>
          <w:p w14:paraId="6CCE4C9A" w14:textId="31EAD696"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Szacuje się, że po pełnym wdrożeniu przepisów </w:t>
            </w:r>
            <w:r w:rsidR="00160D38">
              <w:rPr>
                <w:rFonts w:ascii="Times New Roman" w:eastAsia="Times New Roman" w:hAnsi="Times New Roman" w:cs="Times New Roman"/>
                <w:color w:val="000000"/>
                <w:sz w:val="22"/>
                <w:szCs w:val="22"/>
              </w:rPr>
              <w:t>projektowanej</w:t>
            </w:r>
            <w:r w:rsidR="003B63A5" w:rsidRPr="00DC0626">
              <w:rPr>
                <w:rFonts w:ascii="Times New Roman" w:hAnsi="Times New Roman" w:cs="Times New Roman"/>
                <w:sz w:val="22"/>
                <w:szCs w:val="22"/>
              </w:rPr>
              <w:t xml:space="preserve"> </w:t>
            </w:r>
            <w:r w:rsidRPr="005751C4">
              <w:rPr>
                <w:rFonts w:ascii="Times New Roman" w:eastAsia="Times New Roman" w:hAnsi="Times New Roman" w:cs="Times New Roman"/>
                <w:color w:val="000000"/>
                <w:sz w:val="22"/>
                <w:szCs w:val="22"/>
              </w:rPr>
              <w:t xml:space="preserve">ustawy oraz przeprowadzeniu działań informacyjno-edukacyjnych roczna liczba spraw związanych z rozpatrywaniem </w:t>
            </w:r>
            <w:r w:rsidRPr="005751C4">
              <w:rPr>
                <w:rFonts w:ascii="Times New Roman" w:eastAsia="Times New Roman" w:hAnsi="Times New Roman" w:cs="Times New Roman"/>
                <w:color w:val="000000"/>
                <w:sz w:val="22"/>
                <w:szCs w:val="22"/>
              </w:rPr>
              <w:lastRenderedPageBreak/>
              <w:t>informacji, zawiadomień, wniosków, opinii i skarg oraz współpracą krajową z organami nadzoru</w:t>
            </w:r>
            <w:r w:rsidR="00270E97">
              <w:rPr>
                <w:rFonts w:ascii="Times New Roman" w:eastAsia="Times New Roman" w:hAnsi="Times New Roman" w:cs="Times New Roman"/>
                <w:color w:val="000000"/>
                <w:sz w:val="22"/>
                <w:szCs w:val="22"/>
              </w:rPr>
              <w:t xml:space="preserve"> rynku</w:t>
            </w:r>
            <w:r w:rsidRPr="005751C4">
              <w:rPr>
                <w:rFonts w:ascii="Times New Roman" w:eastAsia="Times New Roman" w:hAnsi="Times New Roman" w:cs="Times New Roman"/>
                <w:color w:val="000000"/>
                <w:sz w:val="22"/>
                <w:szCs w:val="22"/>
              </w:rPr>
              <w:t xml:space="preserve"> będzie wynosiła 5% liczby podmiotów objętych przepisami </w:t>
            </w:r>
            <w:r w:rsidR="003B63A5">
              <w:rPr>
                <w:rFonts w:ascii="Times New Roman" w:eastAsia="Times New Roman" w:hAnsi="Times New Roman" w:cs="Times New Roman"/>
                <w:color w:val="000000"/>
                <w:sz w:val="22"/>
                <w:szCs w:val="22"/>
              </w:rPr>
              <w:t xml:space="preserve">projektowanej </w:t>
            </w:r>
            <w:r w:rsidRPr="005751C4">
              <w:rPr>
                <w:rFonts w:ascii="Times New Roman" w:eastAsia="Times New Roman" w:hAnsi="Times New Roman" w:cs="Times New Roman"/>
                <w:color w:val="000000"/>
                <w:sz w:val="22"/>
                <w:szCs w:val="22"/>
              </w:rPr>
              <w:t>ustawy. Oznacza to ok</w:t>
            </w:r>
            <w:r w:rsidR="00B83C15">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16 tys</w:t>
            </w:r>
            <w:r w:rsidR="00B0388C"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spraw rocznie. W Oddziałach</w:t>
            </w:r>
            <w:r w:rsidR="002F5F3C" w:rsidRPr="005751C4">
              <w:rPr>
                <w:rFonts w:ascii="Times New Roman" w:eastAsia="Times New Roman" w:hAnsi="Times New Roman" w:cs="Times New Roman"/>
                <w:color w:val="000000"/>
                <w:sz w:val="22"/>
                <w:szCs w:val="22"/>
              </w:rPr>
              <w:t xml:space="preserve"> PFRON</w:t>
            </w:r>
            <w:r w:rsidRPr="005751C4">
              <w:rPr>
                <w:rFonts w:ascii="Times New Roman" w:eastAsia="Times New Roman" w:hAnsi="Times New Roman" w:cs="Times New Roman"/>
                <w:color w:val="000000"/>
                <w:sz w:val="22"/>
                <w:szCs w:val="22"/>
              </w:rPr>
              <w:t>, zgodnie z dotychczasowymi doświadczeniami Funduszu, przewiduje się bieżące rozpatrywanie spraw. Natomiast w</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przypadku spraw bardziej złożonych, obejmujących wnioski o ponowne rozpatrzenie sprawy, konieczność nakładania i egzekucji administracyjnych</w:t>
            </w:r>
            <w:r w:rsidR="00084425">
              <w:rPr>
                <w:rFonts w:ascii="Times New Roman" w:eastAsia="Times New Roman" w:hAnsi="Times New Roman" w:cs="Times New Roman"/>
                <w:color w:val="000000"/>
                <w:sz w:val="22"/>
                <w:szCs w:val="22"/>
              </w:rPr>
              <w:t xml:space="preserve"> kar pieniężnych</w:t>
            </w:r>
            <w:r w:rsidR="00D74406"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a także koordynację całego systemu rozpatrywania oraz współpracy na poziomie krajowym z organami nadzoru</w:t>
            </w:r>
            <w:r w:rsidR="00084425">
              <w:rPr>
                <w:rFonts w:ascii="Times New Roman" w:eastAsia="Times New Roman" w:hAnsi="Times New Roman" w:cs="Times New Roman"/>
                <w:color w:val="000000"/>
                <w:sz w:val="22"/>
                <w:szCs w:val="22"/>
              </w:rPr>
              <w:t xml:space="preserve"> rynku</w:t>
            </w:r>
            <w:r w:rsidRPr="005751C4">
              <w:rPr>
                <w:rFonts w:ascii="Times New Roman" w:eastAsia="Times New Roman" w:hAnsi="Times New Roman" w:cs="Times New Roman"/>
                <w:color w:val="000000"/>
                <w:sz w:val="22"/>
                <w:szCs w:val="22"/>
              </w:rPr>
              <w:t>, sprawy te będą realizowane w Biurze Funduszu.</w:t>
            </w:r>
          </w:p>
          <w:p w14:paraId="415DB3F8" w14:textId="77777777" w:rsidR="003C29BA"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Oprócz działań związanych z wnioskami, skargami, zawiadomieniami i opiniami</w:t>
            </w:r>
            <w:r w:rsidR="00D74406"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do zadań Prezesa Zarządu PFRON</w:t>
            </w:r>
            <w:r w:rsidR="002F5F3C"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zgodnie z projektem ustawy</w:t>
            </w:r>
            <w:r w:rsidR="002F5F3C"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będzie należało monitorowanie funkcjonowania systemu nadzoru rynku w zakresie zapewniania spełniania wym</w:t>
            </w:r>
            <w:r w:rsidR="006574C1">
              <w:rPr>
                <w:rFonts w:ascii="Times New Roman" w:eastAsia="Times New Roman" w:hAnsi="Times New Roman" w:cs="Times New Roman"/>
                <w:color w:val="000000"/>
                <w:sz w:val="22"/>
                <w:szCs w:val="22"/>
              </w:rPr>
              <w:t>agań</w:t>
            </w:r>
            <w:r w:rsidRPr="005751C4">
              <w:rPr>
                <w:rFonts w:ascii="Times New Roman" w:eastAsia="Times New Roman" w:hAnsi="Times New Roman" w:cs="Times New Roman"/>
                <w:color w:val="000000"/>
                <w:sz w:val="22"/>
                <w:szCs w:val="22"/>
              </w:rPr>
              <w:t xml:space="preserve"> dostępności produktów i usług. Oznacza to konieczność prowadzenia współpracy w charakterze organu monitorującego z innymi </w:t>
            </w:r>
            <w:r w:rsidR="002F5F3C" w:rsidRPr="005751C4">
              <w:rPr>
                <w:rFonts w:ascii="Times New Roman" w:eastAsia="Times New Roman" w:hAnsi="Times New Roman" w:cs="Times New Roman"/>
                <w:color w:val="000000"/>
                <w:sz w:val="22"/>
                <w:szCs w:val="22"/>
              </w:rPr>
              <w:t xml:space="preserve">organami </w:t>
            </w:r>
            <w:r w:rsidRPr="005751C4">
              <w:rPr>
                <w:rFonts w:ascii="Times New Roman" w:eastAsia="Times New Roman" w:hAnsi="Times New Roman" w:cs="Times New Roman"/>
                <w:color w:val="000000"/>
                <w:sz w:val="22"/>
                <w:szCs w:val="22"/>
              </w:rPr>
              <w:t>zaangażowanymi w proces nadzoru rynku.</w:t>
            </w:r>
          </w:p>
          <w:p w14:paraId="42CE0D08" w14:textId="5CFAF42E" w:rsidR="00240A9C" w:rsidRPr="005751C4" w:rsidRDefault="00240A9C" w:rsidP="003C29BA">
            <w:pPr>
              <w:pBdr>
                <w:top w:val="nil"/>
                <w:left w:val="nil"/>
                <w:bottom w:val="nil"/>
                <w:right w:val="nil"/>
                <w:between w:val="nil"/>
              </w:pBdr>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Ponadto niezbędne będzie prowadzenie współpracy międzynarodowej z organami nadzoru rynku w innych krajach</w:t>
            </w:r>
            <w:r w:rsidR="003C29BA" w:rsidRPr="005751C4">
              <w:rPr>
                <w:rFonts w:ascii="Times New Roman" w:eastAsia="Times New Roman" w:hAnsi="Times New Roman" w:cs="Times New Roman"/>
                <w:color w:val="000000"/>
                <w:sz w:val="22"/>
                <w:szCs w:val="22"/>
              </w:rPr>
              <w:t xml:space="preserve"> UE</w:t>
            </w:r>
            <w:r w:rsidR="00270E97" w:rsidRPr="00270E97">
              <w:rPr>
                <w:rFonts w:ascii="Times New Roman" w:hAnsi="Times New Roman" w:cs="Times New Roman"/>
                <w:sz w:val="22"/>
                <w:szCs w:val="22"/>
              </w:rPr>
              <w:t>, państwach członkowskich Europejskiego Stowarzyszenia Wolnego Handlu (EFTA) – stronach umowy o Europejskim Obszarze Gospodarczym</w:t>
            </w:r>
            <w:r w:rsidRPr="005751C4">
              <w:rPr>
                <w:rFonts w:ascii="Times New Roman" w:eastAsia="Times New Roman" w:hAnsi="Times New Roman" w:cs="Times New Roman"/>
                <w:color w:val="000000"/>
                <w:sz w:val="22"/>
                <w:szCs w:val="22"/>
              </w:rPr>
              <w:t xml:space="preserve"> oraz </w:t>
            </w:r>
            <w:r w:rsidR="002348BD" w:rsidRPr="005751C4">
              <w:rPr>
                <w:rFonts w:ascii="Times New Roman" w:eastAsia="Times New Roman" w:hAnsi="Times New Roman" w:cs="Times New Roman"/>
                <w:color w:val="000000"/>
                <w:sz w:val="22"/>
                <w:szCs w:val="22"/>
              </w:rPr>
              <w:t xml:space="preserve">z </w:t>
            </w:r>
            <w:r w:rsidRPr="005751C4">
              <w:rPr>
                <w:rFonts w:ascii="Times New Roman" w:eastAsia="Times New Roman" w:hAnsi="Times New Roman" w:cs="Times New Roman"/>
                <w:color w:val="000000"/>
                <w:sz w:val="22"/>
                <w:szCs w:val="22"/>
              </w:rPr>
              <w:t xml:space="preserve">Komisją Europejską, w tym przekazywanie informacji wskazanych w </w:t>
            </w:r>
            <w:r w:rsidR="003B63A5">
              <w:rPr>
                <w:rFonts w:ascii="Times New Roman" w:hAnsi="Times New Roman" w:cs="Times New Roman"/>
                <w:sz w:val="22"/>
                <w:szCs w:val="22"/>
              </w:rPr>
              <w:t xml:space="preserve">projektowanej </w:t>
            </w:r>
            <w:r w:rsidRPr="005751C4">
              <w:rPr>
                <w:rFonts w:ascii="Times New Roman" w:eastAsia="Times New Roman" w:hAnsi="Times New Roman" w:cs="Times New Roman"/>
                <w:color w:val="000000"/>
                <w:sz w:val="22"/>
                <w:szCs w:val="22"/>
              </w:rPr>
              <w:t>ustawie, w szczególności o</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wynikach oceny zgodności produktu z wym</w:t>
            </w:r>
            <w:r w:rsidR="006574C1">
              <w:rPr>
                <w:rFonts w:ascii="Times New Roman" w:eastAsia="Times New Roman" w:hAnsi="Times New Roman" w:cs="Times New Roman"/>
                <w:color w:val="000000"/>
                <w:sz w:val="22"/>
                <w:szCs w:val="22"/>
              </w:rPr>
              <w:t>aganiami</w:t>
            </w:r>
            <w:r w:rsidRPr="005751C4">
              <w:rPr>
                <w:rFonts w:ascii="Times New Roman" w:eastAsia="Times New Roman" w:hAnsi="Times New Roman" w:cs="Times New Roman"/>
                <w:color w:val="000000"/>
                <w:sz w:val="22"/>
                <w:szCs w:val="22"/>
              </w:rPr>
              <w:t xml:space="preserve"> dostępności oraz o działaniach naprawczych, do których </w:t>
            </w:r>
            <w:r w:rsidR="00000EAB">
              <w:rPr>
                <w:rFonts w:ascii="Times New Roman" w:eastAsia="Times New Roman" w:hAnsi="Times New Roman" w:cs="Times New Roman"/>
                <w:color w:val="000000"/>
                <w:sz w:val="22"/>
                <w:szCs w:val="22"/>
              </w:rPr>
              <w:t xml:space="preserve">podjęcia </w:t>
            </w:r>
            <w:r w:rsidRPr="005751C4">
              <w:rPr>
                <w:rFonts w:ascii="Times New Roman" w:eastAsia="Times New Roman" w:hAnsi="Times New Roman" w:cs="Times New Roman"/>
                <w:color w:val="000000"/>
                <w:sz w:val="22"/>
                <w:szCs w:val="22"/>
              </w:rPr>
              <w:t>będzie zobowiązany podmiot gospodarczy w przypadku braku dostępności produktu</w:t>
            </w:r>
            <w:r w:rsidR="00D74406"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a także zgłaszanie przez Prezesa Zarządu PFRON zastrzeżeń co do zasadności przyjętych przez </w:t>
            </w:r>
            <w:r w:rsidR="00270E97">
              <w:rPr>
                <w:rFonts w:ascii="Times New Roman" w:eastAsia="Times New Roman" w:hAnsi="Times New Roman" w:cs="Times New Roman"/>
                <w:color w:val="000000"/>
                <w:sz w:val="22"/>
                <w:szCs w:val="22"/>
              </w:rPr>
              <w:t>ww.</w:t>
            </w:r>
            <w:r w:rsidR="00712B50">
              <w:rPr>
                <w:rFonts w:ascii="Times New Roman" w:eastAsia="Times New Roman" w:hAnsi="Times New Roman" w:cs="Times New Roman"/>
                <w:color w:val="000000"/>
                <w:sz w:val="22"/>
                <w:szCs w:val="22"/>
              </w:rPr>
              <w:t xml:space="preserve"> </w:t>
            </w:r>
            <w:r w:rsidRPr="005751C4">
              <w:rPr>
                <w:rFonts w:ascii="Times New Roman" w:eastAsia="Times New Roman" w:hAnsi="Times New Roman" w:cs="Times New Roman"/>
                <w:color w:val="000000"/>
                <w:sz w:val="22"/>
                <w:szCs w:val="22"/>
              </w:rPr>
              <w:t xml:space="preserve">państwo środków, o których informacje zostały wprowadzone do systemu </w:t>
            </w:r>
            <w:r w:rsidR="002348BD" w:rsidRPr="005751C4">
              <w:rPr>
                <w:rFonts w:ascii="Times New Roman" w:hAnsi="Times New Roman" w:cs="Times New Roman"/>
                <w:sz w:val="22"/>
                <w:szCs w:val="22"/>
              </w:rPr>
              <w:t>informacyjnego i komunikacyjnego do celów nadzoru rynku</w:t>
            </w:r>
            <w:r w:rsidR="00D30B5E" w:rsidRPr="005751C4">
              <w:rPr>
                <w:rFonts w:ascii="Times New Roman" w:hAnsi="Times New Roman" w:cs="Times New Roman"/>
                <w:sz w:val="22"/>
                <w:szCs w:val="22"/>
              </w:rPr>
              <w:t xml:space="preserve"> (</w:t>
            </w:r>
            <w:r w:rsidRPr="005751C4">
              <w:rPr>
                <w:rFonts w:ascii="Times New Roman" w:eastAsia="Times New Roman" w:hAnsi="Times New Roman" w:cs="Times New Roman"/>
                <w:color w:val="000000"/>
                <w:sz w:val="22"/>
                <w:szCs w:val="22"/>
              </w:rPr>
              <w:t>ICSMS</w:t>
            </w:r>
            <w:r w:rsidR="00D30B5E"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w:t>
            </w:r>
          </w:p>
          <w:p w14:paraId="75D6C0DF" w14:textId="04FDEAD8"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Zgodnie z </w:t>
            </w:r>
            <w:r w:rsidR="00D74406" w:rsidRPr="005751C4">
              <w:rPr>
                <w:rFonts w:ascii="Times New Roman" w:eastAsia="Times New Roman" w:hAnsi="Times New Roman" w:cs="Times New Roman"/>
                <w:color w:val="000000"/>
                <w:sz w:val="22"/>
                <w:szCs w:val="22"/>
              </w:rPr>
              <w:t>projektem ustawy</w:t>
            </w:r>
            <w:r w:rsidR="00607AF4" w:rsidRPr="005751C4">
              <w:rPr>
                <w:rFonts w:ascii="Times New Roman" w:eastAsia="Times New Roman" w:hAnsi="Times New Roman" w:cs="Times New Roman"/>
                <w:color w:val="000000"/>
                <w:sz w:val="22"/>
                <w:szCs w:val="22"/>
              </w:rPr>
              <w:t xml:space="preserve">, </w:t>
            </w:r>
            <w:r w:rsidRPr="005751C4">
              <w:rPr>
                <w:rFonts w:ascii="Times New Roman" w:eastAsia="Times New Roman" w:hAnsi="Times New Roman" w:cs="Times New Roman"/>
                <w:color w:val="000000"/>
                <w:sz w:val="22"/>
                <w:szCs w:val="22"/>
              </w:rPr>
              <w:t>w ramach monitorowania funkcjonowania systemu nadzoru rynku</w:t>
            </w:r>
            <w:r w:rsidR="00300765">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Prezes Zarządu PFRON sprawuje nadzór nad stosowaniem przepisów</w:t>
            </w:r>
            <w:r w:rsidR="003B63A5">
              <w:rPr>
                <w:rFonts w:ascii="Times New Roman" w:eastAsia="Times New Roman" w:hAnsi="Times New Roman" w:cs="Times New Roman"/>
                <w:color w:val="000000"/>
                <w:sz w:val="22"/>
                <w:szCs w:val="22"/>
              </w:rPr>
              <w:t xml:space="preserve"> projektowanej</w:t>
            </w:r>
            <w:r w:rsidRPr="005751C4">
              <w:rPr>
                <w:rFonts w:ascii="Times New Roman" w:eastAsia="Times New Roman" w:hAnsi="Times New Roman" w:cs="Times New Roman"/>
                <w:color w:val="000000"/>
                <w:sz w:val="22"/>
                <w:szCs w:val="22"/>
              </w:rPr>
              <w:t xml:space="preserve"> ustawy przez organy nadzoru</w:t>
            </w:r>
            <w:r w:rsidR="00084425">
              <w:rPr>
                <w:rFonts w:ascii="Times New Roman" w:eastAsia="Times New Roman" w:hAnsi="Times New Roman" w:cs="Times New Roman"/>
                <w:color w:val="000000"/>
                <w:sz w:val="22"/>
                <w:szCs w:val="22"/>
              </w:rPr>
              <w:t xml:space="preserve"> rynku</w:t>
            </w:r>
            <w:r w:rsidRPr="005751C4">
              <w:rPr>
                <w:rFonts w:ascii="Times New Roman" w:eastAsia="Times New Roman" w:hAnsi="Times New Roman" w:cs="Times New Roman"/>
                <w:color w:val="000000"/>
                <w:sz w:val="22"/>
                <w:szCs w:val="22"/>
              </w:rPr>
              <w:t>. Oznacza to konieczność zabezpieczenia wykwalifikowanej kadry prawniczej wyspecjalizowanej w obszarze nadzoru rynku</w:t>
            </w:r>
            <w:r w:rsidR="00270E97">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prawa międzynarodowego</w:t>
            </w:r>
            <w:r w:rsidR="00270E97">
              <w:rPr>
                <w:rFonts w:ascii="Times New Roman" w:eastAsia="Times New Roman" w:hAnsi="Times New Roman" w:cs="Times New Roman"/>
                <w:color w:val="000000"/>
                <w:sz w:val="22"/>
                <w:szCs w:val="22"/>
              </w:rPr>
              <w:t xml:space="preserve"> i</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w</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szczególności</w:t>
            </w:r>
            <w:r w:rsidR="0089493E" w:rsidRPr="005751C4">
              <w:rPr>
                <w:rFonts w:ascii="Times New Roman" w:eastAsia="Times New Roman" w:hAnsi="Times New Roman" w:cs="Times New Roman"/>
                <w:color w:val="000000"/>
                <w:sz w:val="22"/>
                <w:szCs w:val="22"/>
              </w:rPr>
              <w:t xml:space="preserve"> </w:t>
            </w:r>
            <w:r w:rsidR="00270E97">
              <w:rPr>
                <w:rFonts w:ascii="Times New Roman" w:eastAsia="Times New Roman" w:hAnsi="Times New Roman" w:cs="Times New Roman"/>
                <w:color w:val="000000"/>
                <w:sz w:val="22"/>
                <w:szCs w:val="22"/>
              </w:rPr>
              <w:t xml:space="preserve">prawa </w:t>
            </w:r>
            <w:r w:rsidR="003C29BA" w:rsidRPr="005751C4">
              <w:rPr>
                <w:rFonts w:ascii="Times New Roman" w:eastAsia="Times New Roman" w:hAnsi="Times New Roman" w:cs="Times New Roman"/>
                <w:color w:val="000000"/>
                <w:sz w:val="22"/>
                <w:szCs w:val="22"/>
              </w:rPr>
              <w:t>UE</w:t>
            </w:r>
            <w:r w:rsidRPr="005751C4">
              <w:rPr>
                <w:rFonts w:ascii="Times New Roman" w:eastAsia="Times New Roman" w:hAnsi="Times New Roman" w:cs="Times New Roman"/>
                <w:color w:val="000000"/>
                <w:sz w:val="22"/>
                <w:szCs w:val="22"/>
              </w:rPr>
              <w:t xml:space="preserve">. </w:t>
            </w:r>
          </w:p>
          <w:p w14:paraId="4AB22A77" w14:textId="6C9EFC51"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Ponadto, zgodnie z projektowanymi przepisami</w:t>
            </w:r>
            <w:r w:rsidR="00300765">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Prezes Zarządu PFRON monitoruje i dokonuje oceny stanu dostępu osób ze szczególnymi potrzebami do produktów i usług spełniających wym</w:t>
            </w:r>
            <w:r w:rsidR="00911586">
              <w:rPr>
                <w:rFonts w:ascii="Times New Roman" w:eastAsia="Times New Roman" w:hAnsi="Times New Roman" w:cs="Times New Roman"/>
                <w:color w:val="000000"/>
                <w:sz w:val="22"/>
                <w:szCs w:val="22"/>
              </w:rPr>
              <w:t>agania</w:t>
            </w:r>
            <w:r w:rsidRPr="005751C4">
              <w:rPr>
                <w:rFonts w:ascii="Times New Roman" w:eastAsia="Times New Roman" w:hAnsi="Times New Roman" w:cs="Times New Roman"/>
                <w:color w:val="000000"/>
                <w:sz w:val="22"/>
                <w:szCs w:val="22"/>
              </w:rPr>
              <w:t xml:space="preserve"> dostępności, sporządza okresowe plany i sprawozdania dotyczące funkcjonowania systemu kontroli produktów i usług</w:t>
            </w:r>
            <w:r w:rsidR="003C29BA"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a także opracowuje krajową strategię</w:t>
            </w:r>
            <w:r w:rsidR="00084425">
              <w:rPr>
                <w:rFonts w:ascii="Times New Roman" w:eastAsia="Times New Roman" w:hAnsi="Times New Roman" w:cs="Times New Roman"/>
                <w:color w:val="000000"/>
                <w:sz w:val="22"/>
                <w:szCs w:val="22"/>
              </w:rPr>
              <w:t xml:space="preserve"> systemu </w:t>
            </w:r>
            <w:r w:rsidR="006D67CE">
              <w:rPr>
                <w:rFonts w:ascii="Times New Roman" w:eastAsia="Times New Roman" w:hAnsi="Times New Roman" w:cs="Times New Roman"/>
                <w:color w:val="000000"/>
                <w:sz w:val="22"/>
                <w:szCs w:val="22"/>
              </w:rPr>
              <w:t>nadzoru rynku</w:t>
            </w:r>
            <w:r w:rsidR="00084425">
              <w:rPr>
                <w:rFonts w:ascii="Times New Roman" w:eastAsia="Times New Roman" w:hAnsi="Times New Roman" w:cs="Times New Roman"/>
                <w:color w:val="000000"/>
                <w:sz w:val="22"/>
                <w:szCs w:val="22"/>
              </w:rPr>
              <w:t xml:space="preserve"> w zakresie </w:t>
            </w:r>
            <w:r w:rsidR="005930EE">
              <w:rPr>
                <w:rFonts w:ascii="Times New Roman" w:eastAsia="Times New Roman" w:hAnsi="Times New Roman" w:cs="Times New Roman"/>
                <w:color w:val="000000"/>
                <w:sz w:val="22"/>
                <w:szCs w:val="22"/>
              </w:rPr>
              <w:t xml:space="preserve">zapewniania </w:t>
            </w:r>
            <w:r w:rsidR="00084425">
              <w:rPr>
                <w:rFonts w:ascii="Times New Roman" w:eastAsia="Times New Roman" w:hAnsi="Times New Roman" w:cs="Times New Roman"/>
                <w:color w:val="000000"/>
                <w:sz w:val="22"/>
                <w:szCs w:val="22"/>
              </w:rPr>
              <w:t>spełniania wym</w:t>
            </w:r>
            <w:r w:rsidR="00911586">
              <w:rPr>
                <w:rFonts w:ascii="Times New Roman" w:eastAsia="Times New Roman" w:hAnsi="Times New Roman" w:cs="Times New Roman"/>
                <w:color w:val="000000"/>
                <w:sz w:val="22"/>
                <w:szCs w:val="22"/>
              </w:rPr>
              <w:t>agań</w:t>
            </w:r>
            <w:r w:rsidR="00084425">
              <w:rPr>
                <w:rFonts w:ascii="Times New Roman" w:eastAsia="Times New Roman" w:hAnsi="Times New Roman" w:cs="Times New Roman"/>
                <w:color w:val="000000"/>
                <w:sz w:val="22"/>
                <w:szCs w:val="22"/>
              </w:rPr>
              <w:t xml:space="preserve"> dostępności</w:t>
            </w:r>
            <w:r w:rsidR="005930EE">
              <w:rPr>
                <w:rFonts w:ascii="Times New Roman" w:eastAsia="Times New Roman" w:hAnsi="Times New Roman" w:cs="Times New Roman"/>
                <w:color w:val="000000"/>
                <w:sz w:val="22"/>
                <w:szCs w:val="22"/>
              </w:rPr>
              <w:t xml:space="preserve"> produktów</w:t>
            </w:r>
            <w:r w:rsidRPr="005751C4">
              <w:rPr>
                <w:rFonts w:ascii="Times New Roman" w:eastAsia="Times New Roman" w:hAnsi="Times New Roman" w:cs="Times New Roman"/>
                <w:color w:val="000000"/>
                <w:sz w:val="22"/>
                <w:szCs w:val="22"/>
              </w:rPr>
              <w:t>. Powyższe zadania wymagają zarówno zapewnienia niezbędnej infrastruktury teleinformatycznej, technicznej</w:t>
            </w:r>
            <w:r w:rsidR="003C29BA"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jak i</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kadrowej</w:t>
            </w:r>
            <w:r w:rsidR="003C29BA"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na potrzeby zbierania danych, ich agregowania i analizy.</w:t>
            </w:r>
          </w:p>
          <w:p w14:paraId="3013F006" w14:textId="77777777"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W ramach zadania obejmującego monitorowanie funkcjonowania systemu nadzoru rynku Prezes Zarządu PFRON, zgodnie z projektowanymi przepisami</w:t>
            </w:r>
            <w:r w:rsidR="003C29BA"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będzie miał również za zadanie inicjowanie i organizowanie działalności edukacyjnej i informacyjnej w dziedzinie ochrony interesów konsumentów będących osobami ze szczególnymi potrzebami. </w:t>
            </w:r>
          </w:p>
          <w:p w14:paraId="07EBD306" w14:textId="41F2CE26"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Należy również zauważyć, że w ramach realizacji zadań </w:t>
            </w:r>
            <w:r w:rsidR="00607AF4" w:rsidRPr="005751C4">
              <w:rPr>
                <w:rFonts w:ascii="Times New Roman" w:eastAsia="Times New Roman" w:hAnsi="Times New Roman" w:cs="Times New Roman"/>
                <w:color w:val="000000"/>
                <w:sz w:val="22"/>
                <w:szCs w:val="22"/>
              </w:rPr>
              <w:t>określonych</w:t>
            </w:r>
            <w:r w:rsidRPr="005751C4">
              <w:rPr>
                <w:rFonts w:ascii="Times New Roman" w:eastAsia="Times New Roman" w:hAnsi="Times New Roman" w:cs="Times New Roman"/>
                <w:color w:val="000000"/>
                <w:sz w:val="22"/>
                <w:szCs w:val="22"/>
              </w:rPr>
              <w:t xml:space="preserve"> w projekcie ustawy</w:t>
            </w:r>
            <w:r w:rsidR="00607AF4" w:rsidRPr="005751C4">
              <w:rPr>
                <w:rFonts w:ascii="Times New Roman" w:eastAsia="Times New Roman" w:hAnsi="Times New Roman" w:cs="Times New Roman"/>
                <w:color w:val="000000"/>
                <w:sz w:val="22"/>
                <w:szCs w:val="22"/>
              </w:rPr>
              <w:t xml:space="preserve"> </w:t>
            </w:r>
            <w:r w:rsidR="00D128F1" w:rsidRPr="005751C4">
              <w:rPr>
                <w:rFonts w:ascii="Times New Roman" w:eastAsia="Times New Roman" w:hAnsi="Times New Roman" w:cs="Times New Roman"/>
                <w:color w:val="000000"/>
                <w:sz w:val="22"/>
                <w:szCs w:val="22"/>
              </w:rPr>
              <w:br/>
            </w:r>
            <w:r w:rsidR="00607AF4" w:rsidRPr="005751C4">
              <w:rPr>
                <w:rFonts w:ascii="Times New Roman" w:eastAsia="Times New Roman" w:hAnsi="Times New Roman" w:cs="Times New Roman"/>
                <w:color w:val="000000"/>
                <w:sz w:val="22"/>
                <w:szCs w:val="22"/>
              </w:rPr>
              <w:t>i</w:t>
            </w:r>
            <w:r w:rsidRPr="005751C4">
              <w:rPr>
                <w:rFonts w:ascii="Times New Roman" w:eastAsia="Times New Roman" w:hAnsi="Times New Roman" w:cs="Times New Roman"/>
                <w:color w:val="000000"/>
                <w:sz w:val="22"/>
                <w:szCs w:val="22"/>
              </w:rPr>
              <w:t xml:space="preserve"> planowanych do powierzenia Prezesowi Zarządu PFRON konieczne będzie zapewnienie przygotowania i obsługi zamówień publicznych wynikających z działań realizowanych </w:t>
            </w:r>
            <w:r w:rsidR="00D128F1" w:rsidRPr="005751C4">
              <w:rPr>
                <w:rFonts w:ascii="Times New Roman" w:eastAsia="Times New Roman" w:hAnsi="Times New Roman" w:cs="Times New Roman"/>
                <w:color w:val="000000"/>
                <w:sz w:val="22"/>
                <w:szCs w:val="22"/>
              </w:rPr>
              <w:br/>
            </w:r>
            <w:r w:rsidRPr="005751C4">
              <w:rPr>
                <w:rFonts w:ascii="Times New Roman" w:eastAsia="Times New Roman" w:hAnsi="Times New Roman" w:cs="Times New Roman"/>
                <w:color w:val="000000"/>
                <w:sz w:val="22"/>
                <w:szCs w:val="22"/>
              </w:rPr>
              <w:t xml:space="preserve">w ramach </w:t>
            </w:r>
            <w:r w:rsidR="003B63A5">
              <w:rPr>
                <w:rFonts w:ascii="Times New Roman" w:eastAsia="Times New Roman" w:hAnsi="Times New Roman" w:cs="Times New Roman"/>
                <w:color w:val="000000"/>
                <w:sz w:val="22"/>
                <w:szCs w:val="22"/>
              </w:rPr>
              <w:t xml:space="preserve">projektowanej </w:t>
            </w:r>
            <w:r w:rsidRPr="005751C4">
              <w:rPr>
                <w:rFonts w:ascii="Times New Roman" w:eastAsia="Times New Roman" w:hAnsi="Times New Roman" w:cs="Times New Roman"/>
                <w:color w:val="000000"/>
                <w:sz w:val="22"/>
                <w:szCs w:val="22"/>
              </w:rPr>
              <w:t>ustawy, zapewnienie planowania, obsługi i sprawozdawczości budżetowej</w:t>
            </w:r>
            <w:r w:rsidR="00607AF4" w:rsidRPr="005751C4">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a także zagwarantowanie funkcjonowania kontroli i audytu wewnętrznego w ramach nowo powierzonych zadań. </w:t>
            </w:r>
          </w:p>
          <w:p w14:paraId="7D0B5389" w14:textId="77777777" w:rsidR="00240A9C" w:rsidRPr="005751C4" w:rsidRDefault="00607AF4"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P</w:t>
            </w:r>
            <w:r w:rsidR="00240A9C" w:rsidRPr="005751C4">
              <w:rPr>
                <w:rFonts w:ascii="Times New Roman" w:eastAsia="Times New Roman" w:hAnsi="Times New Roman" w:cs="Times New Roman"/>
                <w:color w:val="000000"/>
                <w:sz w:val="22"/>
                <w:szCs w:val="22"/>
              </w:rPr>
              <w:t>roponowana rola</w:t>
            </w:r>
            <w:r w:rsidR="00D128F1" w:rsidRPr="005751C4">
              <w:rPr>
                <w:rFonts w:ascii="Times New Roman" w:eastAsia="Times New Roman" w:hAnsi="Times New Roman" w:cs="Times New Roman"/>
                <w:color w:val="000000"/>
                <w:sz w:val="22"/>
                <w:szCs w:val="22"/>
              </w:rPr>
              <w:t xml:space="preserve"> Prezesa Zarządu</w:t>
            </w:r>
            <w:r w:rsidR="00240A9C" w:rsidRPr="005751C4">
              <w:rPr>
                <w:rFonts w:ascii="Times New Roman" w:eastAsia="Times New Roman" w:hAnsi="Times New Roman" w:cs="Times New Roman"/>
                <w:color w:val="000000"/>
                <w:sz w:val="22"/>
                <w:szCs w:val="22"/>
              </w:rPr>
              <w:t xml:space="preserve"> PFRON jako organu monitorującego funkcjonowanie systemu nadzoru rynku</w:t>
            </w:r>
            <w:r w:rsidRPr="005751C4">
              <w:rPr>
                <w:rFonts w:ascii="Times New Roman" w:eastAsia="Times New Roman" w:hAnsi="Times New Roman" w:cs="Times New Roman"/>
                <w:color w:val="000000"/>
                <w:sz w:val="22"/>
                <w:szCs w:val="22"/>
              </w:rPr>
              <w:t xml:space="preserve"> </w:t>
            </w:r>
            <w:r w:rsidR="00240A9C" w:rsidRPr="005751C4">
              <w:rPr>
                <w:rFonts w:ascii="Times New Roman" w:eastAsia="Times New Roman" w:hAnsi="Times New Roman" w:cs="Times New Roman"/>
                <w:color w:val="000000"/>
                <w:sz w:val="22"/>
                <w:szCs w:val="22"/>
              </w:rPr>
              <w:t>w zakresie zapewniania spełniania wym</w:t>
            </w:r>
            <w:r w:rsidR="002F07E6">
              <w:rPr>
                <w:rFonts w:ascii="Times New Roman" w:eastAsia="Times New Roman" w:hAnsi="Times New Roman" w:cs="Times New Roman"/>
                <w:color w:val="000000"/>
                <w:sz w:val="22"/>
                <w:szCs w:val="22"/>
              </w:rPr>
              <w:t>agań</w:t>
            </w:r>
            <w:r w:rsidR="00240A9C" w:rsidRPr="005751C4">
              <w:rPr>
                <w:rFonts w:ascii="Times New Roman" w:eastAsia="Times New Roman" w:hAnsi="Times New Roman" w:cs="Times New Roman"/>
                <w:color w:val="000000"/>
                <w:sz w:val="22"/>
                <w:szCs w:val="22"/>
              </w:rPr>
              <w:t xml:space="preserve"> dostępności produktów </w:t>
            </w:r>
            <w:r w:rsidR="007A0862" w:rsidRPr="005751C4">
              <w:rPr>
                <w:rFonts w:ascii="Times New Roman" w:eastAsia="Times New Roman" w:hAnsi="Times New Roman" w:cs="Times New Roman"/>
                <w:color w:val="000000"/>
                <w:sz w:val="22"/>
                <w:szCs w:val="22"/>
              </w:rPr>
              <w:br/>
            </w:r>
            <w:r w:rsidR="00240A9C" w:rsidRPr="005751C4">
              <w:rPr>
                <w:rFonts w:ascii="Times New Roman" w:eastAsia="Times New Roman" w:hAnsi="Times New Roman" w:cs="Times New Roman"/>
                <w:color w:val="000000"/>
                <w:sz w:val="22"/>
                <w:szCs w:val="22"/>
              </w:rPr>
              <w:t>i usług wykracza poza zadania dotychczas realizowane przez</w:t>
            </w:r>
            <w:r w:rsidR="007A0862" w:rsidRPr="005751C4">
              <w:rPr>
                <w:rFonts w:ascii="Times New Roman" w:eastAsia="Times New Roman" w:hAnsi="Times New Roman" w:cs="Times New Roman"/>
                <w:color w:val="000000"/>
                <w:sz w:val="22"/>
                <w:szCs w:val="22"/>
              </w:rPr>
              <w:t xml:space="preserve"> PFRON</w:t>
            </w:r>
            <w:r w:rsidR="00240A9C" w:rsidRPr="005751C4">
              <w:rPr>
                <w:rFonts w:ascii="Times New Roman" w:eastAsia="Times New Roman" w:hAnsi="Times New Roman" w:cs="Times New Roman"/>
                <w:color w:val="000000"/>
                <w:sz w:val="22"/>
                <w:szCs w:val="22"/>
              </w:rPr>
              <w:t xml:space="preserve">, dlatego też </w:t>
            </w:r>
            <w:r w:rsidR="007A0862" w:rsidRPr="005751C4">
              <w:rPr>
                <w:rFonts w:ascii="Times New Roman" w:eastAsia="Times New Roman" w:hAnsi="Times New Roman" w:cs="Times New Roman"/>
                <w:color w:val="000000"/>
                <w:sz w:val="22"/>
                <w:szCs w:val="22"/>
              </w:rPr>
              <w:br/>
            </w:r>
            <w:r w:rsidR="00240A9C" w:rsidRPr="005751C4">
              <w:rPr>
                <w:rFonts w:ascii="Times New Roman" w:eastAsia="Times New Roman" w:hAnsi="Times New Roman" w:cs="Times New Roman"/>
                <w:color w:val="000000"/>
                <w:sz w:val="22"/>
                <w:szCs w:val="22"/>
              </w:rPr>
              <w:t xml:space="preserve">z perspektywy skuteczności nowo podejmowanych działań kontrolnych kluczowe jest zaangażowanie specjalistów i ekspertów w zakresie dostępności </w:t>
            </w:r>
            <w:r w:rsidRPr="005751C4">
              <w:rPr>
                <w:rFonts w:ascii="Times New Roman" w:eastAsia="Times New Roman" w:hAnsi="Times New Roman" w:cs="Times New Roman"/>
                <w:color w:val="000000"/>
                <w:sz w:val="22"/>
                <w:szCs w:val="22"/>
              </w:rPr>
              <w:t>produktów</w:t>
            </w:r>
            <w:r w:rsidR="00240A9C" w:rsidRPr="005751C4">
              <w:rPr>
                <w:rFonts w:ascii="Times New Roman" w:eastAsia="Times New Roman" w:hAnsi="Times New Roman" w:cs="Times New Roman"/>
                <w:color w:val="000000"/>
                <w:sz w:val="22"/>
                <w:szCs w:val="22"/>
              </w:rPr>
              <w:t xml:space="preserve"> i usług dla osób </w:t>
            </w:r>
            <w:r w:rsidR="007A0862" w:rsidRPr="005751C4">
              <w:rPr>
                <w:rFonts w:ascii="Times New Roman" w:eastAsia="Times New Roman" w:hAnsi="Times New Roman" w:cs="Times New Roman"/>
                <w:color w:val="000000"/>
                <w:sz w:val="22"/>
                <w:szCs w:val="22"/>
              </w:rPr>
              <w:br/>
            </w:r>
            <w:r w:rsidR="00240A9C" w:rsidRPr="005751C4">
              <w:rPr>
                <w:rFonts w:ascii="Times New Roman" w:eastAsia="Times New Roman" w:hAnsi="Times New Roman" w:cs="Times New Roman"/>
                <w:color w:val="000000"/>
                <w:sz w:val="22"/>
                <w:szCs w:val="22"/>
              </w:rPr>
              <w:t>ze szczególnymi potrzebami.</w:t>
            </w:r>
          </w:p>
          <w:p w14:paraId="36909E1D" w14:textId="04046B3C" w:rsidR="00240A9C" w:rsidRPr="005751C4" w:rsidRDefault="00240A9C"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Troska o dostępność obejmuje wiele obszarów i wymaga różnych regulacji i zmian w szeregu przepisów. Według różnych stanowisk kwestie dostępności są rozproszone i aby skutecznie je wdrożyć i monitorować </w:t>
            </w:r>
            <w:r w:rsidR="00300765" w:rsidRPr="005751C4">
              <w:rPr>
                <w:rFonts w:ascii="Times New Roman" w:eastAsia="Times New Roman" w:hAnsi="Times New Roman" w:cs="Times New Roman"/>
                <w:color w:val="000000"/>
                <w:sz w:val="22"/>
                <w:szCs w:val="22"/>
              </w:rPr>
              <w:t xml:space="preserve">będą </w:t>
            </w:r>
            <w:r w:rsidRPr="005751C4">
              <w:rPr>
                <w:rFonts w:ascii="Times New Roman" w:eastAsia="Times New Roman" w:hAnsi="Times New Roman" w:cs="Times New Roman"/>
                <w:color w:val="000000"/>
                <w:sz w:val="22"/>
                <w:szCs w:val="22"/>
              </w:rPr>
              <w:t>potrzebn</w:t>
            </w:r>
            <w:r w:rsidR="00186B98" w:rsidRPr="005751C4">
              <w:rPr>
                <w:rFonts w:ascii="Times New Roman" w:eastAsia="Times New Roman" w:hAnsi="Times New Roman" w:cs="Times New Roman"/>
                <w:color w:val="000000"/>
                <w:sz w:val="22"/>
                <w:szCs w:val="22"/>
              </w:rPr>
              <w:t>i specjaliści mający wiedzę</w:t>
            </w:r>
            <w:r w:rsidRPr="005751C4">
              <w:rPr>
                <w:rFonts w:ascii="Times New Roman" w:eastAsia="Times New Roman" w:hAnsi="Times New Roman" w:cs="Times New Roman"/>
                <w:color w:val="000000"/>
                <w:sz w:val="22"/>
                <w:szCs w:val="22"/>
              </w:rPr>
              <w:t xml:space="preserve"> ekspercką z zakresu nie tylko zapewniania dostępności osobom ze szczególnymi potrzebami</w:t>
            </w:r>
            <w:r w:rsidR="00607AF4" w:rsidRPr="005751C4">
              <w:rPr>
                <w:rFonts w:ascii="Times New Roman" w:eastAsia="Times New Roman" w:hAnsi="Times New Roman" w:cs="Times New Roman"/>
                <w:color w:val="000000"/>
                <w:sz w:val="22"/>
                <w:szCs w:val="22"/>
              </w:rPr>
              <w:t xml:space="preserve">, </w:t>
            </w:r>
            <w:r w:rsidRPr="005751C4">
              <w:rPr>
                <w:rFonts w:ascii="Times New Roman" w:eastAsia="Times New Roman" w:hAnsi="Times New Roman" w:cs="Times New Roman"/>
                <w:color w:val="000000"/>
                <w:sz w:val="22"/>
                <w:szCs w:val="22"/>
              </w:rPr>
              <w:t>ale również prawa budowlanego, zamówień publicznych, transportu kolejowego, drogowego</w:t>
            </w:r>
            <w:r w:rsidR="00300765">
              <w:rPr>
                <w:rFonts w:ascii="Times New Roman" w:eastAsia="Times New Roman" w:hAnsi="Times New Roman" w:cs="Times New Roman"/>
                <w:color w:val="000000"/>
                <w:sz w:val="22"/>
                <w:szCs w:val="22"/>
              </w:rPr>
              <w:t xml:space="preserve"> czy</w:t>
            </w:r>
            <w:r w:rsidRPr="005751C4">
              <w:rPr>
                <w:rFonts w:ascii="Times New Roman" w:eastAsia="Times New Roman" w:hAnsi="Times New Roman" w:cs="Times New Roman"/>
                <w:color w:val="000000"/>
                <w:sz w:val="22"/>
                <w:szCs w:val="22"/>
              </w:rPr>
              <w:t xml:space="preserve"> publicznego transportu zbiorowego.</w:t>
            </w:r>
          </w:p>
          <w:p w14:paraId="650E9560" w14:textId="7D99513B" w:rsidR="00240A9C" w:rsidRPr="005751C4" w:rsidRDefault="00C523AA" w:rsidP="00240A9C">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lastRenderedPageBreak/>
              <w:t>O</w:t>
            </w:r>
            <w:r w:rsidR="003C29BA" w:rsidRPr="005751C4">
              <w:rPr>
                <w:rFonts w:ascii="Times New Roman" w:eastAsia="Times New Roman" w:hAnsi="Times New Roman" w:cs="Times New Roman"/>
                <w:color w:val="000000"/>
                <w:sz w:val="22"/>
                <w:szCs w:val="22"/>
              </w:rPr>
              <w:t>soby ze szczególnymi potrzebami są coraz bardziej świadome swoich praw w zakresie zapewniania dostępności,</w:t>
            </w:r>
            <w:r w:rsidR="00300765">
              <w:rPr>
                <w:rFonts w:ascii="Times New Roman" w:eastAsia="Times New Roman" w:hAnsi="Times New Roman" w:cs="Times New Roman"/>
                <w:color w:val="000000"/>
                <w:sz w:val="22"/>
                <w:szCs w:val="22"/>
              </w:rPr>
              <w:t xml:space="preserve"> w związku z tym</w:t>
            </w:r>
            <w:r w:rsidR="003C29BA" w:rsidRPr="005751C4" w:rsidDel="003C29BA">
              <w:rPr>
                <w:rFonts w:ascii="Times New Roman" w:eastAsia="Times New Roman" w:hAnsi="Times New Roman" w:cs="Times New Roman"/>
                <w:color w:val="000000"/>
                <w:sz w:val="22"/>
                <w:szCs w:val="22"/>
              </w:rPr>
              <w:t xml:space="preserve"> </w:t>
            </w:r>
            <w:r w:rsidR="003C29BA" w:rsidRPr="005751C4">
              <w:rPr>
                <w:rFonts w:ascii="Times New Roman" w:eastAsia="Times New Roman" w:hAnsi="Times New Roman" w:cs="Times New Roman"/>
                <w:color w:val="000000"/>
                <w:sz w:val="22"/>
                <w:szCs w:val="22"/>
              </w:rPr>
              <w:t>i</w:t>
            </w:r>
            <w:r w:rsidR="00240A9C" w:rsidRPr="005751C4">
              <w:rPr>
                <w:rFonts w:ascii="Times New Roman" w:eastAsia="Times New Roman" w:hAnsi="Times New Roman" w:cs="Times New Roman"/>
                <w:color w:val="000000"/>
                <w:sz w:val="22"/>
                <w:szCs w:val="22"/>
              </w:rPr>
              <w:t xml:space="preserve">stnieje potrzeba poszerzania zakresu rozwiązań prawnych w zakresie zapewniania dostępności, w tym przez przyjęcie </w:t>
            </w:r>
            <w:r w:rsidR="00160D38">
              <w:rPr>
                <w:rFonts w:ascii="Times New Roman" w:eastAsia="Times New Roman" w:hAnsi="Times New Roman" w:cs="Times New Roman"/>
                <w:color w:val="000000"/>
                <w:sz w:val="22"/>
                <w:szCs w:val="22"/>
              </w:rPr>
              <w:t>projektowanej</w:t>
            </w:r>
            <w:r w:rsidR="003B63A5">
              <w:rPr>
                <w:rFonts w:ascii="Times New Roman" w:eastAsia="Times New Roman" w:hAnsi="Times New Roman" w:cs="Times New Roman"/>
                <w:color w:val="000000"/>
                <w:sz w:val="22"/>
                <w:szCs w:val="22"/>
              </w:rPr>
              <w:t xml:space="preserve"> </w:t>
            </w:r>
            <w:r w:rsidR="00240A9C" w:rsidRPr="005751C4">
              <w:rPr>
                <w:rFonts w:ascii="Times New Roman" w:eastAsia="Times New Roman" w:hAnsi="Times New Roman" w:cs="Times New Roman"/>
                <w:color w:val="000000"/>
                <w:sz w:val="22"/>
                <w:szCs w:val="22"/>
              </w:rPr>
              <w:t>ustawy o</w:t>
            </w:r>
            <w:r w:rsidR="00A05EC1">
              <w:rPr>
                <w:rFonts w:ascii="Times New Roman" w:eastAsia="Times New Roman" w:hAnsi="Times New Roman" w:cs="Times New Roman"/>
                <w:color w:val="000000"/>
                <w:sz w:val="22"/>
                <w:szCs w:val="22"/>
              </w:rPr>
              <w:t> </w:t>
            </w:r>
            <w:r w:rsidR="0089110F">
              <w:rPr>
                <w:rFonts w:ascii="Times New Roman" w:eastAsia="Times New Roman" w:hAnsi="Times New Roman" w:cs="Times New Roman"/>
                <w:color w:val="000000"/>
                <w:sz w:val="22"/>
                <w:szCs w:val="22"/>
              </w:rPr>
              <w:t xml:space="preserve">zapewnianiu </w:t>
            </w:r>
            <w:r w:rsidR="00C27CBB">
              <w:rPr>
                <w:rFonts w:ascii="Times New Roman" w:eastAsia="Times New Roman" w:hAnsi="Times New Roman" w:cs="Times New Roman"/>
                <w:color w:val="000000"/>
                <w:sz w:val="22"/>
                <w:szCs w:val="22"/>
              </w:rPr>
              <w:t>spełniania wymagań</w:t>
            </w:r>
            <w:r w:rsidR="0038321C">
              <w:rPr>
                <w:rFonts w:ascii="Times New Roman" w:eastAsia="Times New Roman" w:hAnsi="Times New Roman" w:cs="Times New Roman"/>
                <w:color w:val="000000"/>
                <w:sz w:val="22"/>
                <w:szCs w:val="22"/>
              </w:rPr>
              <w:t xml:space="preserve"> </w:t>
            </w:r>
            <w:r w:rsidR="00240A9C" w:rsidRPr="005751C4">
              <w:rPr>
                <w:rFonts w:ascii="Times New Roman" w:eastAsia="Times New Roman" w:hAnsi="Times New Roman" w:cs="Times New Roman"/>
                <w:color w:val="000000"/>
                <w:sz w:val="22"/>
                <w:szCs w:val="22"/>
              </w:rPr>
              <w:t xml:space="preserve">dostępności </w:t>
            </w:r>
            <w:r w:rsidR="003C29BA" w:rsidRPr="005751C4">
              <w:rPr>
                <w:rFonts w:ascii="Times New Roman" w:eastAsia="Times New Roman" w:hAnsi="Times New Roman" w:cs="Times New Roman"/>
                <w:color w:val="000000"/>
                <w:sz w:val="22"/>
                <w:szCs w:val="22"/>
              </w:rPr>
              <w:t xml:space="preserve">niektórych </w:t>
            </w:r>
            <w:r w:rsidR="00240A9C" w:rsidRPr="005751C4">
              <w:rPr>
                <w:rFonts w:ascii="Times New Roman" w:eastAsia="Times New Roman" w:hAnsi="Times New Roman" w:cs="Times New Roman"/>
                <w:color w:val="000000"/>
                <w:sz w:val="22"/>
                <w:szCs w:val="22"/>
              </w:rPr>
              <w:t>produktów i usług</w:t>
            </w:r>
            <w:r w:rsidR="00C27CBB">
              <w:rPr>
                <w:rFonts w:ascii="Times New Roman" w:eastAsia="Times New Roman" w:hAnsi="Times New Roman" w:cs="Times New Roman"/>
                <w:color w:val="000000"/>
                <w:sz w:val="22"/>
                <w:szCs w:val="22"/>
              </w:rPr>
              <w:t xml:space="preserve"> przez podmioty gospodarcze</w:t>
            </w:r>
            <w:r w:rsidR="00915C33">
              <w:rPr>
                <w:rFonts w:ascii="Times New Roman" w:eastAsia="Times New Roman" w:hAnsi="Times New Roman" w:cs="Times New Roman"/>
                <w:color w:val="000000"/>
                <w:sz w:val="22"/>
                <w:szCs w:val="22"/>
              </w:rPr>
              <w:t>.</w:t>
            </w:r>
          </w:p>
          <w:p w14:paraId="7B8571B7" w14:textId="712E996D" w:rsidR="00183962" w:rsidRPr="005751C4" w:rsidRDefault="00342DDC" w:rsidP="00773C46">
            <w:pPr>
              <w:pStyle w:val="Akapitzlist"/>
              <w:pBdr>
                <w:top w:val="nil"/>
                <w:left w:val="nil"/>
                <w:bottom w:val="nil"/>
                <w:right w:val="nil"/>
                <w:between w:val="nil"/>
              </w:pBdr>
              <w:shd w:val="clear" w:color="auto" w:fill="FFFFFF"/>
              <w:spacing w:before="120" w:after="120" w:line="240" w:lineRule="atLeast"/>
              <w:ind w:left="0"/>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Przewiduje się wdrożenie w systemie powiadamiania ratunkowego </w:t>
            </w:r>
            <w:r w:rsidR="00183962" w:rsidRPr="005751C4">
              <w:rPr>
                <w:rFonts w:ascii="Times New Roman" w:hAnsi="Times New Roman" w:cs="Times New Roman"/>
                <w:sz w:val="22"/>
                <w:szCs w:val="22"/>
              </w:rPr>
              <w:t xml:space="preserve">usługi konwersacji w czasie rzeczywistym, która zapewnia dwukierunkowy synchroniczny </w:t>
            </w:r>
            <w:proofErr w:type="spellStart"/>
            <w:r w:rsidR="00183962" w:rsidRPr="005751C4">
              <w:rPr>
                <w:rFonts w:ascii="Times New Roman" w:hAnsi="Times New Roman" w:cs="Times New Roman"/>
                <w:sz w:val="22"/>
                <w:szCs w:val="22"/>
              </w:rPr>
              <w:t>przesył</w:t>
            </w:r>
            <w:proofErr w:type="spellEnd"/>
            <w:r w:rsidR="00183962" w:rsidRPr="005751C4">
              <w:rPr>
                <w:rFonts w:ascii="Times New Roman" w:hAnsi="Times New Roman" w:cs="Times New Roman"/>
                <w:sz w:val="22"/>
                <w:szCs w:val="22"/>
              </w:rPr>
              <w:t xml:space="preserve"> tekstu i głosu w czasie rzeczywistym, a w </w:t>
            </w:r>
            <w:r w:rsidR="005F3A29" w:rsidRPr="005751C4">
              <w:rPr>
                <w:rFonts w:ascii="Times New Roman" w:hAnsi="Times New Roman" w:cs="Times New Roman"/>
                <w:sz w:val="22"/>
                <w:szCs w:val="22"/>
              </w:rPr>
              <w:t>przypadku</w:t>
            </w:r>
            <w:r w:rsidR="00183962" w:rsidRPr="005751C4">
              <w:rPr>
                <w:rFonts w:ascii="Times New Roman" w:hAnsi="Times New Roman" w:cs="Times New Roman"/>
                <w:sz w:val="22"/>
                <w:szCs w:val="22"/>
              </w:rPr>
              <w:t xml:space="preserve"> gdy dostępny jest </w:t>
            </w:r>
            <w:proofErr w:type="spellStart"/>
            <w:r w:rsidR="00183962" w:rsidRPr="005751C4">
              <w:rPr>
                <w:rFonts w:ascii="Times New Roman" w:hAnsi="Times New Roman" w:cs="Times New Roman"/>
                <w:sz w:val="22"/>
                <w:szCs w:val="22"/>
              </w:rPr>
              <w:t>przesył</w:t>
            </w:r>
            <w:proofErr w:type="spellEnd"/>
            <w:r w:rsidR="00183962" w:rsidRPr="005751C4">
              <w:rPr>
                <w:rFonts w:ascii="Times New Roman" w:hAnsi="Times New Roman" w:cs="Times New Roman"/>
                <w:sz w:val="22"/>
                <w:szCs w:val="22"/>
              </w:rPr>
              <w:t xml:space="preserve"> wideo</w:t>
            </w:r>
            <w:r w:rsidR="00300765">
              <w:rPr>
                <w:rFonts w:ascii="Times New Roman" w:hAnsi="Times New Roman" w:cs="Times New Roman"/>
                <w:sz w:val="22"/>
                <w:szCs w:val="22"/>
              </w:rPr>
              <w:t xml:space="preserve"> −</w:t>
            </w:r>
            <w:r w:rsidR="00183962" w:rsidRPr="005751C4">
              <w:rPr>
                <w:rFonts w:ascii="Times New Roman" w:hAnsi="Times New Roman" w:cs="Times New Roman"/>
                <w:sz w:val="22"/>
                <w:szCs w:val="22"/>
              </w:rPr>
              <w:t xml:space="preserve"> pełną konwersację</w:t>
            </w:r>
            <w:r w:rsidR="00E57D15">
              <w:rPr>
                <w:rFonts w:ascii="Times New Roman" w:hAnsi="Times New Roman" w:cs="Times New Roman"/>
                <w:sz w:val="22"/>
                <w:szCs w:val="22"/>
              </w:rPr>
              <w:t>.</w:t>
            </w:r>
          </w:p>
          <w:p w14:paraId="4968849F" w14:textId="77777777" w:rsidR="00773C46" w:rsidRDefault="00342DDC" w:rsidP="00773C46">
            <w:pPr>
              <w:shd w:val="clear" w:color="auto" w:fill="FFFFFF"/>
              <w:spacing w:before="120" w:after="120" w:line="240" w:lineRule="atLeast"/>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 xml:space="preserve">Usługi wymagają modernizacji i rozbudowy centralnego punktu systemu powiadamiania ratunkowego, </w:t>
            </w:r>
            <w:bookmarkStart w:id="7" w:name="_Hlk127344805"/>
            <w:r w:rsidRPr="005751C4">
              <w:rPr>
                <w:rFonts w:ascii="Times New Roman" w:eastAsia="Times New Roman" w:hAnsi="Times New Roman" w:cs="Times New Roman"/>
                <w:color w:val="000000"/>
                <w:sz w:val="22"/>
                <w:szCs w:val="22"/>
              </w:rPr>
              <w:t xml:space="preserve">o którym mowa w </w:t>
            </w:r>
            <w:r w:rsidR="00421D5E">
              <w:rPr>
                <w:rFonts w:ascii="Times New Roman" w:eastAsia="Times New Roman" w:hAnsi="Times New Roman" w:cs="Times New Roman"/>
                <w:color w:val="000000"/>
                <w:sz w:val="22"/>
                <w:szCs w:val="22"/>
              </w:rPr>
              <w:t xml:space="preserve">art. </w:t>
            </w:r>
            <w:r w:rsidRPr="005751C4">
              <w:rPr>
                <w:rFonts w:ascii="Times New Roman" w:eastAsia="Times New Roman" w:hAnsi="Times New Roman" w:cs="Times New Roman"/>
                <w:color w:val="000000"/>
                <w:sz w:val="22"/>
                <w:szCs w:val="22"/>
              </w:rPr>
              <w:t xml:space="preserve">78 ust. 4 pkt 1 ustawy </w:t>
            </w:r>
            <w:bookmarkEnd w:id="7"/>
            <w:r w:rsidRPr="005751C4">
              <w:rPr>
                <w:rFonts w:ascii="Times New Roman" w:eastAsia="Times New Roman" w:hAnsi="Times New Roman" w:cs="Times New Roman"/>
                <w:color w:val="000000"/>
                <w:sz w:val="22"/>
                <w:szCs w:val="22"/>
              </w:rPr>
              <w:t>z dnia 16 lipca 2004</w:t>
            </w:r>
            <w:r w:rsidR="009709DB">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 xml:space="preserve">r. </w:t>
            </w:r>
            <w:r w:rsidR="00084425">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Prawo telekomunikacyjne (Dz. U. z 202</w:t>
            </w:r>
            <w:r w:rsidR="00084425">
              <w:rPr>
                <w:rFonts w:ascii="Times New Roman" w:eastAsia="Times New Roman" w:hAnsi="Times New Roman" w:cs="Times New Roman"/>
                <w:color w:val="000000"/>
                <w:sz w:val="22"/>
                <w:szCs w:val="22"/>
              </w:rPr>
              <w:t>2</w:t>
            </w:r>
            <w:r w:rsidRPr="005751C4">
              <w:rPr>
                <w:rFonts w:ascii="Times New Roman" w:eastAsia="Times New Roman" w:hAnsi="Times New Roman" w:cs="Times New Roman"/>
                <w:color w:val="000000"/>
                <w:sz w:val="22"/>
                <w:szCs w:val="22"/>
              </w:rPr>
              <w:t xml:space="preserve"> r. poz. </w:t>
            </w:r>
            <w:r w:rsidR="00084425">
              <w:rPr>
                <w:rFonts w:ascii="Times New Roman" w:eastAsia="Times New Roman" w:hAnsi="Times New Roman" w:cs="Times New Roman"/>
                <w:color w:val="000000"/>
                <w:sz w:val="22"/>
                <w:szCs w:val="22"/>
              </w:rPr>
              <w:t xml:space="preserve">1648, z </w:t>
            </w:r>
            <w:proofErr w:type="spellStart"/>
            <w:r w:rsidR="00084425">
              <w:rPr>
                <w:rFonts w:ascii="Times New Roman" w:eastAsia="Times New Roman" w:hAnsi="Times New Roman" w:cs="Times New Roman"/>
                <w:color w:val="000000"/>
                <w:sz w:val="22"/>
                <w:szCs w:val="22"/>
              </w:rPr>
              <w:t>późn</w:t>
            </w:r>
            <w:proofErr w:type="spellEnd"/>
            <w:r w:rsidR="00084425">
              <w:rPr>
                <w:rFonts w:ascii="Times New Roman" w:eastAsia="Times New Roman" w:hAnsi="Times New Roman" w:cs="Times New Roman"/>
                <w:color w:val="000000"/>
                <w:sz w:val="22"/>
                <w:szCs w:val="22"/>
              </w:rPr>
              <w:t>. zm</w:t>
            </w:r>
            <w:r w:rsidR="003B13FD">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w:t>
            </w:r>
          </w:p>
          <w:p w14:paraId="49B4AD70" w14:textId="2FA3D6BE" w:rsidR="00342DDC" w:rsidRDefault="00342DDC" w:rsidP="00773C46">
            <w:pPr>
              <w:shd w:val="clear" w:color="auto" w:fill="FFFFFF"/>
              <w:spacing w:before="120" w:after="120" w:line="240" w:lineRule="atLeast"/>
              <w:jc w:val="both"/>
              <w:rPr>
                <w:rFonts w:ascii="Times New Roman" w:eastAsia="Times New Roman" w:hAnsi="Times New Roman" w:cs="Times New Roman"/>
                <w:color w:val="000000"/>
                <w:sz w:val="22"/>
                <w:szCs w:val="22"/>
              </w:rPr>
            </w:pPr>
            <w:r w:rsidRPr="005751C4">
              <w:rPr>
                <w:rFonts w:ascii="Times New Roman" w:eastAsia="Times New Roman" w:hAnsi="Times New Roman" w:cs="Times New Roman"/>
                <w:color w:val="000000"/>
                <w:sz w:val="22"/>
                <w:szCs w:val="22"/>
              </w:rPr>
              <w:t>Konieczne będzie podjęcie prac mających na celu budowę nowego Podsystemu Komunikacji i</w:t>
            </w:r>
            <w:r w:rsidR="00A05EC1">
              <w:rPr>
                <w:rFonts w:ascii="Times New Roman" w:eastAsia="Times New Roman" w:hAnsi="Times New Roman" w:cs="Times New Roman"/>
                <w:color w:val="000000"/>
                <w:sz w:val="22"/>
                <w:szCs w:val="22"/>
              </w:rPr>
              <w:t> </w:t>
            </w:r>
            <w:r w:rsidRPr="005751C4">
              <w:rPr>
                <w:rFonts w:ascii="Times New Roman" w:eastAsia="Times New Roman" w:hAnsi="Times New Roman" w:cs="Times New Roman"/>
                <w:color w:val="000000"/>
                <w:sz w:val="22"/>
                <w:szCs w:val="22"/>
              </w:rPr>
              <w:t xml:space="preserve">Danych oraz niezbędnych prac dostosowawczych po stronie aplikacji Alarm 112 i Systemu Teleinformatycznego Centrów Powiadamiania Ratunkowego. Prace dostosowawcze należy podjąć w </w:t>
            </w:r>
            <w:r w:rsidR="009B1BAE">
              <w:rPr>
                <w:rFonts w:ascii="Times New Roman" w:eastAsia="Times New Roman" w:hAnsi="Times New Roman" w:cs="Times New Roman"/>
                <w:color w:val="000000"/>
                <w:sz w:val="22"/>
                <w:szCs w:val="22"/>
              </w:rPr>
              <w:t>latach</w:t>
            </w:r>
            <w:r w:rsidRPr="005751C4">
              <w:rPr>
                <w:rFonts w:ascii="Times New Roman" w:eastAsia="Times New Roman" w:hAnsi="Times New Roman" w:cs="Times New Roman"/>
                <w:color w:val="000000"/>
                <w:sz w:val="22"/>
                <w:szCs w:val="22"/>
              </w:rPr>
              <w:t xml:space="preserve"> 2023</w:t>
            </w:r>
            <w:r w:rsidR="009B1BAE">
              <w:rPr>
                <w:rFonts w:ascii="Times New Roman" w:eastAsia="Times New Roman" w:hAnsi="Times New Roman" w:cs="Times New Roman"/>
                <w:color w:val="000000"/>
                <w:sz w:val="22"/>
                <w:szCs w:val="22"/>
              </w:rPr>
              <w:t xml:space="preserve"> i </w:t>
            </w:r>
            <w:r w:rsidRPr="005751C4">
              <w:rPr>
                <w:rFonts w:ascii="Times New Roman" w:eastAsia="Times New Roman" w:hAnsi="Times New Roman" w:cs="Times New Roman"/>
                <w:color w:val="000000"/>
                <w:sz w:val="22"/>
                <w:szCs w:val="22"/>
              </w:rPr>
              <w:t>2024</w:t>
            </w:r>
            <w:r w:rsidR="009B1BAE">
              <w:rPr>
                <w:rFonts w:ascii="Times New Roman" w:eastAsia="Times New Roman" w:hAnsi="Times New Roman" w:cs="Times New Roman"/>
                <w:color w:val="000000"/>
                <w:sz w:val="22"/>
                <w:szCs w:val="22"/>
              </w:rPr>
              <w:t>,</w:t>
            </w:r>
            <w:r w:rsidRPr="005751C4">
              <w:rPr>
                <w:rFonts w:ascii="Times New Roman" w:eastAsia="Times New Roman" w:hAnsi="Times New Roman" w:cs="Times New Roman"/>
                <w:color w:val="000000"/>
                <w:sz w:val="22"/>
                <w:szCs w:val="22"/>
              </w:rPr>
              <w:t xml:space="preserve"> tak aby </w:t>
            </w:r>
            <w:r w:rsidR="00ED3193" w:rsidRPr="005751C4">
              <w:rPr>
                <w:rFonts w:ascii="Times New Roman" w:eastAsia="Times New Roman" w:hAnsi="Times New Roman" w:cs="Times New Roman"/>
                <w:color w:val="000000"/>
                <w:sz w:val="22"/>
                <w:szCs w:val="22"/>
              </w:rPr>
              <w:t xml:space="preserve">było </w:t>
            </w:r>
            <w:r w:rsidRPr="005751C4">
              <w:rPr>
                <w:rFonts w:ascii="Times New Roman" w:eastAsia="Times New Roman" w:hAnsi="Times New Roman" w:cs="Times New Roman"/>
                <w:color w:val="000000"/>
                <w:sz w:val="22"/>
                <w:szCs w:val="22"/>
              </w:rPr>
              <w:t xml:space="preserve">możliwe wdrożenie ww. usług w pierwszej połowie 2025 </w:t>
            </w:r>
            <w:r w:rsidR="005F3A29" w:rsidRPr="005751C4">
              <w:rPr>
                <w:rFonts w:ascii="Times New Roman" w:eastAsia="Times New Roman" w:hAnsi="Times New Roman" w:cs="Times New Roman"/>
                <w:color w:val="000000"/>
                <w:sz w:val="22"/>
                <w:szCs w:val="22"/>
              </w:rPr>
              <w:t>r. Na</w:t>
            </w:r>
            <w:r w:rsidRPr="005751C4">
              <w:rPr>
                <w:rFonts w:ascii="Times New Roman" w:eastAsia="Times New Roman" w:hAnsi="Times New Roman" w:cs="Times New Roman"/>
                <w:color w:val="000000"/>
                <w:sz w:val="22"/>
                <w:szCs w:val="22"/>
              </w:rPr>
              <w:t xml:space="preserve"> obecnym etapie nie jest możliwe oszacowanie kosztów przedsięwzięcia</w:t>
            </w:r>
            <w:r w:rsidR="00E01148" w:rsidRPr="005751C4">
              <w:rPr>
                <w:rFonts w:ascii="Times New Roman" w:eastAsia="Times New Roman" w:hAnsi="Times New Roman" w:cs="Times New Roman"/>
                <w:color w:val="000000"/>
                <w:sz w:val="22"/>
                <w:szCs w:val="22"/>
              </w:rPr>
              <w:t>.</w:t>
            </w:r>
          </w:p>
          <w:p w14:paraId="336E8E2F" w14:textId="77777777" w:rsidR="009945FE" w:rsidRPr="005751C4" w:rsidRDefault="009945FE" w:rsidP="00773C46">
            <w:pPr>
              <w:shd w:val="clear" w:color="auto" w:fill="FFFFFF"/>
              <w:spacing w:before="120" w:after="120" w:line="240"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9945FE">
              <w:rPr>
                <w:rFonts w:ascii="Times New Roman" w:eastAsia="Times New Roman" w:hAnsi="Times New Roman" w:cs="Times New Roman"/>
                <w:color w:val="000000"/>
                <w:sz w:val="22"/>
                <w:szCs w:val="22"/>
              </w:rPr>
              <w:t>ealizacja zadań wynikających z projektowanej ustawy będzie finansowana w ramach limitów wydatków dla poszczególnych dysponentów oraz planu finansowego PFRON</w:t>
            </w:r>
            <w:r>
              <w:rPr>
                <w:rFonts w:ascii="Times New Roman" w:eastAsia="Times New Roman" w:hAnsi="Times New Roman" w:cs="Times New Roman"/>
                <w:color w:val="000000"/>
                <w:sz w:val="22"/>
                <w:szCs w:val="22"/>
              </w:rPr>
              <w:t>.</w:t>
            </w:r>
          </w:p>
          <w:p w14:paraId="33517B84" w14:textId="01FE0FFE" w:rsidR="009945FE" w:rsidRPr="009945FE" w:rsidRDefault="00BC706E" w:rsidP="00A05EC1">
            <w:pPr>
              <w:pBdr>
                <w:top w:val="nil"/>
                <w:left w:val="nil"/>
                <w:bottom w:val="nil"/>
                <w:right w:val="nil"/>
                <w:between w:val="nil"/>
              </w:pBdr>
              <w:spacing w:before="120" w:after="120" w:line="240" w:lineRule="atLeast"/>
              <w:jc w:val="both"/>
              <w:rPr>
                <w:rFonts w:ascii="Times New Roman" w:eastAsia="Times New Roman" w:hAnsi="Times New Roman" w:cs="Times New Roman"/>
                <w:color w:val="000000"/>
                <w:sz w:val="22"/>
                <w:szCs w:val="22"/>
              </w:rPr>
            </w:pPr>
            <w:r w:rsidRPr="00BC706E">
              <w:rPr>
                <w:rFonts w:ascii="Times New Roman" w:eastAsia="Times New Roman" w:hAnsi="Times New Roman" w:cs="Times New Roman"/>
                <w:color w:val="000000"/>
                <w:sz w:val="22"/>
                <w:szCs w:val="22"/>
              </w:rPr>
              <w:t>Finansowanie szkoleń dla organów nadzoru rynku planowane jest w ramach programu Fundusze Europejskie dla Rozwoju Społecznego na lata 2021–2027</w:t>
            </w:r>
            <w:r w:rsidR="00AB1F61">
              <w:rPr>
                <w:rFonts w:ascii="Times New Roman" w:eastAsia="Times New Roman" w:hAnsi="Times New Roman" w:cs="Times New Roman"/>
                <w:color w:val="000000"/>
                <w:sz w:val="22"/>
                <w:szCs w:val="22"/>
              </w:rPr>
              <w:t xml:space="preserve"> (FERS)</w:t>
            </w:r>
            <w:r w:rsidRPr="00BC706E">
              <w:rPr>
                <w:rFonts w:ascii="Times New Roman" w:eastAsia="Times New Roman" w:hAnsi="Times New Roman" w:cs="Times New Roman"/>
                <w:color w:val="000000"/>
                <w:sz w:val="22"/>
                <w:szCs w:val="22"/>
              </w:rPr>
              <w:t>. Obok szkoleń przewiduje się możliwość ponoszenia innych wydatków wzmacniających potencjał instytucji nadzorczych</w:t>
            </w:r>
            <w:r w:rsidR="009B1BAE">
              <w:rPr>
                <w:rFonts w:ascii="Times New Roman" w:eastAsia="Times New Roman" w:hAnsi="Times New Roman" w:cs="Times New Roman"/>
                <w:color w:val="000000"/>
                <w:sz w:val="22"/>
                <w:szCs w:val="22"/>
              </w:rPr>
              <w:t>,</w:t>
            </w:r>
            <w:r w:rsidRPr="00BC706E">
              <w:rPr>
                <w:rFonts w:ascii="Times New Roman" w:eastAsia="Times New Roman" w:hAnsi="Times New Roman" w:cs="Times New Roman"/>
                <w:color w:val="000000"/>
                <w:sz w:val="22"/>
                <w:szCs w:val="22"/>
              </w:rPr>
              <w:t xml:space="preserve"> np.  kosztów tworzenia narzędzi niezbędnych do wykonywania zadań z zakresu nadzoru rynku (np. wytyczne, wzory dokumentów). Planowany budżet projektu/projektów FERS to ok</w:t>
            </w:r>
            <w:r w:rsidR="0051634A">
              <w:rPr>
                <w:rFonts w:ascii="Times New Roman" w:eastAsia="Times New Roman" w:hAnsi="Times New Roman" w:cs="Times New Roman"/>
                <w:color w:val="000000"/>
                <w:sz w:val="22"/>
                <w:szCs w:val="22"/>
              </w:rPr>
              <w:t>.</w:t>
            </w:r>
            <w:r w:rsidRPr="00BC706E">
              <w:rPr>
                <w:rFonts w:ascii="Times New Roman" w:eastAsia="Times New Roman" w:hAnsi="Times New Roman" w:cs="Times New Roman"/>
                <w:color w:val="000000"/>
                <w:sz w:val="22"/>
                <w:szCs w:val="22"/>
              </w:rPr>
              <w:t xml:space="preserve"> 25 m</w:t>
            </w:r>
            <w:r w:rsidR="00037C44">
              <w:rPr>
                <w:rFonts w:ascii="Times New Roman" w:eastAsia="Times New Roman" w:hAnsi="Times New Roman" w:cs="Times New Roman"/>
                <w:color w:val="000000"/>
                <w:sz w:val="22"/>
                <w:szCs w:val="22"/>
              </w:rPr>
              <w:t>ln zł</w:t>
            </w:r>
            <w:r w:rsidRPr="00BC706E">
              <w:rPr>
                <w:rFonts w:ascii="Times New Roman" w:eastAsia="Times New Roman" w:hAnsi="Times New Roman" w:cs="Times New Roman"/>
                <w:color w:val="000000"/>
                <w:sz w:val="22"/>
                <w:szCs w:val="22"/>
              </w:rPr>
              <w:t>, w</w:t>
            </w:r>
            <w:r w:rsidR="00A05EC1">
              <w:rPr>
                <w:rFonts w:ascii="Times New Roman" w:eastAsia="Times New Roman" w:hAnsi="Times New Roman" w:cs="Times New Roman"/>
                <w:color w:val="000000"/>
                <w:sz w:val="22"/>
                <w:szCs w:val="22"/>
              </w:rPr>
              <w:t> </w:t>
            </w:r>
            <w:r w:rsidRPr="00BC706E">
              <w:rPr>
                <w:rFonts w:ascii="Times New Roman" w:eastAsia="Times New Roman" w:hAnsi="Times New Roman" w:cs="Times New Roman"/>
                <w:color w:val="000000"/>
                <w:sz w:val="22"/>
                <w:szCs w:val="22"/>
              </w:rPr>
              <w:t>tym 17,48% stanowi współfinansowanie krajowe. Podział alokacji na lata zależy od tego, kiedy projekty zostaną przedstawione KM FERS i przyjęte do realizacji przez IZ FERS. Planuje się, że wydatkowanie w ramach projektów rozpocznie się w 2024 r.</w:t>
            </w:r>
          </w:p>
        </w:tc>
      </w:tr>
      <w:tr w:rsidR="00EC4C5C" w14:paraId="600BF3CA" w14:textId="77777777" w:rsidTr="004029E8">
        <w:trPr>
          <w:trHeight w:val="345"/>
        </w:trPr>
        <w:tc>
          <w:tcPr>
            <w:tcW w:w="10947" w:type="dxa"/>
            <w:gridSpan w:val="29"/>
            <w:shd w:val="clear" w:color="auto" w:fill="99CCFF"/>
          </w:tcPr>
          <w:p w14:paraId="01561FBB" w14:textId="045D5AEA" w:rsidR="00EC4C5C" w:rsidRDefault="00112BFC" w:rsidP="003E7A0B">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7. </w:t>
            </w:r>
            <w:r w:rsidR="00515863">
              <w:rPr>
                <w:rFonts w:ascii="Times New Roman" w:eastAsia="Times New Roman" w:hAnsi="Times New Roman" w:cs="Times New Roman"/>
                <w:b/>
                <w:color w:val="000000"/>
                <w:sz w:val="22"/>
                <w:szCs w:val="22"/>
              </w:rPr>
              <w:t>Wpływ na konkurencyjność gospodarki i przedsiębiorczość, w tym funkcjonowanie przedsiębiorców</w:t>
            </w:r>
            <w:r w:rsidR="00ED3193">
              <w:rPr>
                <w:rFonts w:ascii="Times New Roman" w:eastAsia="Times New Roman" w:hAnsi="Times New Roman" w:cs="Times New Roman"/>
                <w:b/>
                <w:color w:val="000000"/>
                <w:sz w:val="22"/>
                <w:szCs w:val="22"/>
              </w:rPr>
              <w:t>,</w:t>
            </w:r>
            <w:r w:rsidR="00515863">
              <w:rPr>
                <w:rFonts w:ascii="Times New Roman" w:eastAsia="Times New Roman" w:hAnsi="Times New Roman" w:cs="Times New Roman"/>
                <w:b/>
                <w:color w:val="000000"/>
                <w:sz w:val="22"/>
                <w:szCs w:val="22"/>
              </w:rPr>
              <w:t xml:space="preserve"> oraz na rodzinę, obywateli i gospodarstwa domowe </w:t>
            </w:r>
          </w:p>
        </w:tc>
      </w:tr>
      <w:tr w:rsidR="00EC4C5C" w14:paraId="6E4CBA5A" w14:textId="77777777" w:rsidTr="004029E8">
        <w:trPr>
          <w:trHeight w:val="142"/>
        </w:trPr>
        <w:tc>
          <w:tcPr>
            <w:tcW w:w="10947" w:type="dxa"/>
            <w:gridSpan w:val="29"/>
            <w:shd w:val="clear" w:color="auto" w:fill="FFFFFF"/>
          </w:tcPr>
          <w:p w14:paraId="459488B1" w14:textId="77777777" w:rsidR="00EC4C5C" w:rsidRDefault="00515863" w:rsidP="00950391">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Skutki</w:t>
            </w:r>
            <w:r w:rsidR="0073688D">
              <w:rPr>
                <w:rFonts w:ascii="Times New Roman" w:eastAsia="Times New Roman" w:hAnsi="Times New Roman" w:cs="Times New Roman"/>
                <w:color w:val="000000"/>
                <w:sz w:val="21"/>
                <w:szCs w:val="21"/>
              </w:rPr>
              <w:t xml:space="preserve"> </w:t>
            </w:r>
          </w:p>
        </w:tc>
      </w:tr>
      <w:tr w:rsidR="00EB79F1" w14:paraId="2921D0A0" w14:textId="77777777">
        <w:trPr>
          <w:trHeight w:val="142"/>
        </w:trPr>
        <w:tc>
          <w:tcPr>
            <w:tcW w:w="3889" w:type="dxa"/>
            <w:gridSpan w:val="7"/>
            <w:shd w:val="clear" w:color="auto" w:fill="FFFFFF"/>
          </w:tcPr>
          <w:p w14:paraId="1095F68D"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Czas w latach od wejścia w życie zmian</w:t>
            </w:r>
          </w:p>
        </w:tc>
        <w:tc>
          <w:tcPr>
            <w:tcW w:w="937" w:type="dxa"/>
            <w:gridSpan w:val="2"/>
            <w:shd w:val="clear" w:color="auto" w:fill="FFFFFF"/>
          </w:tcPr>
          <w:p w14:paraId="64202968"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w:t>
            </w:r>
          </w:p>
        </w:tc>
        <w:tc>
          <w:tcPr>
            <w:tcW w:w="938" w:type="dxa"/>
            <w:gridSpan w:val="5"/>
            <w:shd w:val="clear" w:color="auto" w:fill="FFFFFF"/>
          </w:tcPr>
          <w:p w14:paraId="40E15EBC"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938" w:type="dxa"/>
            <w:gridSpan w:val="4"/>
            <w:shd w:val="clear" w:color="auto" w:fill="FFFFFF"/>
          </w:tcPr>
          <w:p w14:paraId="20FC37FA"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937" w:type="dxa"/>
            <w:gridSpan w:val="3"/>
            <w:shd w:val="clear" w:color="auto" w:fill="FFFFFF"/>
          </w:tcPr>
          <w:p w14:paraId="06FC37F5"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938" w:type="dxa"/>
            <w:gridSpan w:val="4"/>
            <w:shd w:val="clear" w:color="auto" w:fill="FFFFFF"/>
          </w:tcPr>
          <w:p w14:paraId="14FB6615"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938" w:type="dxa"/>
            <w:gridSpan w:val="3"/>
            <w:shd w:val="clear" w:color="auto" w:fill="FFFFFF"/>
          </w:tcPr>
          <w:p w14:paraId="0B87F053"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1432" w:type="dxa"/>
            <w:shd w:val="clear" w:color="auto" w:fill="FFFFFF"/>
          </w:tcPr>
          <w:p w14:paraId="791B5892" w14:textId="77777777" w:rsidR="00EC4C5C" w:rsidRDefault="00515863">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i/>
                <w:color w:val="000000"/>
                <w:sz w:val="21"/>
                <w:szCs w:val="21"/>
              </w:rPr>
              <w:t>Łącznie (0-10)</w:t>
            </w:r>
          </w:p>
        </w:tc>
      </w:tr>
      <w:tr w:rsidR="00EB79F1" w14:paraId="59BCAFFA" w14:textId="77777777">
        <w:trPr>
          <w:trHeight w:val="142"/>
        </w:trPr>
        <w:tc>
          <w:tcPr>
            <w:tcW w:w="1596" w:type="dxa"/>
            <w:vMerge w:val="restart"/>
            <w:shd w:val="clear" w:color="auto" w:fill="FFFFFF"/>
          </w:tcPr>
          <w:p w14:paraId="114D6012" w14:textId="77777777" w:rsidR="00EC4C5C" w:rsidRDefault="00515863">
            <w:p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 ujęciu pieniężnym</w:t>
            </w:r>
          </w:p>
          <w:p w14:paraId="606B5320" w14:textId="77777777" w:rsidR="00EC4C5C" w:rsidRDefault="00515863">
            <w:pPr>
              <w:pBdr>
                <w:top w:val="nil"/>
                <w:left w:val="nil"/>
                <w:bottom w:val="nil"/>
                <w:right w:val="nil"/>
                <w:between w:val="nil"/>
              </w:pBdr>
              <w:spacing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 mln zł, </w:t>
            </w:r>
          </w:p>
          <w:p w14:paraId="1060E27F" w14:textId="36B104C0" w:rsidR="00EC4C5C" w:rsidRDefault="00515863" w:rsidP="00A05EC1">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ceny stałe z</w:t>
            </w:r>
            <w:r w:rsidR="00A05EC1">
              <w:rPr>
                <w:rFonts w:ascii="Times New Roman" w:eastAsia="Times New Roman" w:hAnsi="Times New Roman" w:cs="Times New Roman"/>
                <w:color w:val="000000"/>
                <w:sz w:val="21"/>
                <w:szCs w:val="21"/>
              </w:rPr>
              <w:t> </w:t>
            </w:r>
            <w:r w:rsidR="005F3A29">
              <w:rPr>
                <w:rFonts w:ascii="Times New Roman" w:eastAsia="Times New Roman" w:hAnsi="Times New Roman" w:cs="Times New Roman"/>
                <w:color w:val="000000"/>
                <w:sz w:val="21"/>
                <w:szCs w:val="21"/>
              </w:rPr>
              <w:t>2020 r.</w:t>
            </w:r>
            <w:r>
              <w:rPr>
                <w:rFonts w:ascii="Times New Roman" w:eastAsia="Times New Roman" w:hAnsi="Times New Roman" w:cs="Times New Roman"/>
                <w:color w:val="000000"/>
                <w:sz w:val="21"/>
                <w:szCs w:val="21"/>
              </w:rPr>
              <w:t>)</w:t>
            </w:r>
          </w:p>
        </w:tc>
        <w:tc>
          <w:tcPr>
            <w:tcW w:w="2293" w:type="dxa"/>
            <w:gridSpan w:val="6"/>
            <w:shd w:val="clear" w:color="auto" w:fill="FFFFFF"/>
          </w:tcPr>
          <w:p w14:paraId="6FDDDCE1"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duże przedsiębiorstwa</w:t>
            </w:r>
          </w:p>
        </w:tc>
        <w:tc>
          <w:tcPr>
            <w:tcW w:w="937" w:type="dxa"/>
            <w:gridSpan w:val="2"/>
            <w:shd w:val="clear" w:color="auto" w:fill="FFFFFF"/>
          </w:tcPr>
          <w:p w14:paraId="2D6F8D2A" w14:textId="77777777" w:rsidR="00EC4C5C" w:rsidRDefault="00EC4C5C" w:rsidP="00B35F55">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5"/>
            <w:shd w:val="clear" w:color="auto" w:fill="FFFFFF"/>
          </w:tcPr>
          <w:p w14:paraId="2B874D9D" w14:textId="77777777" w:rsidR="00EC4C5C" w:rsidRDefault="00EC4C5C" w:rsidP="007B5A59">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00B95336"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7" w:type="dxa"/>
            <w:gridSpan w:val="3"/>
            <w:shd w:val="clear" w:color="auto" w:fill="FFFFFF"/>
          </w:tcPr>
          <w:p w14:paraId="60B9E38E" w14:textId="77777777" w:rsidR="00EC4C5C" w:rsidRDefault="00EC4C5C" w:rsidP="007B5A59">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565BAD7B"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3"/>
            <w:shd w:val="clear" w:color="auto" w:fill="FFFFFF"/>
          </w:tcPr>
          <w:p w14:paraId="161B2665"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432" w:type="dxa"/>
            <w:shd w:val="clear" w:color="auto" w:fill="FFFFFF"/>
          </w:tcPr>
          <w:p w14:paraId="2A9CBAF2" w14:textId="77777777" w:rsidR="00EC4C5C" w:rsidRDefault="00EC4C5C" w:rsidP="007B5A59">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1DDA24D5" w14:textId="77777777">
        <w:trPr>
          <w:trHeight w:val="142"/>
        </w:trPr>
        <w:tc>
          <w:tcPr>
            <w:tcW w:w="1596" w:type="dxa"/>
            <w:vMerge/>
            <w:shd w:val="clear" w:color="auto" w:fill="FFFFFF"/>
          </w:tcPr>
          <w:p w14:paraId="36B7F066"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498E4615" w14:textId="79024502" w:rsidR="00EC4C5C" w:rsidRDefault="00515863" w:rsidP="00A05EC1">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sektor mikro-, małych i</w:t>
            </w:r>
            <w:r w:rsidR="00A05EC1">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t>średnich przedsiębiorstw</w:t>
            </w:r>
          </w:p>
        </w:tc>
        <w:tc>
          <w:tcPr>
            <w:tcW w:w="937" w:type="dxa"/>
            <w:gridSpan w:val="2"/>
            <w:shd w:val="clear" w:color="auto" w:fill="FFFFFF"/>
          </w:tcPr>
          <w:p w14:paraId="722362FA" w14:textId="77777777" w:rsidR="00EC4C5C" w:rsidRDefault="00EC4C5C" w:rsidP="000560F7">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5"/>
            <w:shd w:val="clear" w:color="auto" w:fill="FFFFFF"/>
          </w:tcPr>
          <w:p w14:paraId="5298F85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517D2F8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7" w:type="dxa"/>
            <w:gridSpan w:val="3"/>
            <w:shd w:val="clear" w:color="auto" w:fill="FFFFFF"/>
          </w:tcPr>
          <w:p w14:paraId="4A96024C"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77E301C9"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3"/>
            <w:shd w:val="clear" w:color="auto" w:fill="FFFFFF"/>
          </w:tcPr>
          <w:p w14:paraId="5AC8769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432" w:type="dxa"/>
            <w:shd w:val="clear" w:color="auto" w:fill="FFFFFF"/>
          </w:tcPr>
          <w:p w14:paraId="577AD214" w14:textId="77777777" w:rsidR="00EC4C5C" w:rsidRDefault="00EC4C5C" w:rsidP="000560F7">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5028115B" w14:textId="77777777">
        <w:trPr>
          <w:trHeight w:val="142"/>
        </w:trPr>
        <w:tc>
          <w:tcPr>
            <w:tcW w:w="1596" w:type="dxa"/>
            <w:vMerge/>
            <w:shd w:val="clear" w:color="auto" w:fill="FFFFFF"/>
          </w:tcPr>
          <w:p w14:paraId="54C3B181"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727D8F8E"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rodzina, obywatele oraz gospodarstwa domowe</w:t>
            </w:r>
          </w:p>
        </w:tc>
        <w:tc>
          <w:tcPr>
            <w:tcW w:w="937" w:type="dxa"/>
            <w:gridSpan w:val="2"/>
            <w:shd w:val="clear" w:color="auto" w:fill="FFFFFF"/>
          </w:tcPr>
          <w:p w14:paraId="55F937C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5"/>
            <w:shd w:val="clear" w:color="auto" w:fill="FFFFFF"/>
          </w:tcPr>
          <w:p w14:paraId="54DE2E4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6AA32BB8"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7" w:type="dxa"/>
            <w:gridSpan w:val="3"/>
            <w:shd w:val="clear" w:color="auto" w:fill="FFFFFF"/>
          </w:tcPr>
          <w:p w14:paraId="10D1135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3FDF3D0E"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3"/>
            <w:shd w:val="clear" w:color="auto" w:fill="FFFFFF"/>
          </w:tcPr>
          <w:p w14:paraId="72361D1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432" w:type="dxa"/>
            <w:shd w:val="clear" w:color="auto" w:fill="FFFFFF"/>
          </w:tcPr>
          <w:p w14:paraId="210822B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B79F1" w14:paraId="717782C0" w14:textId="77777777">
        <w:trPr>
          <w:trHeight w:val="142"/>
        </w:trPr>
        <w:tc>
          <w:tcPr>
            <w:tcW w:w="1596" w:type="dxa"/>
            <w:vMerge/>
            <w:shd w:val="clear" w:color="auto" w:fill="FFFFFF"/>
          </w:tcPr>
          <w:p w14:paraId="2C2EB237"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1677BFE0" w14:textId="77777777" w:rsidR="00EC4C5C" w:rsidRDefault="00515863">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(dodaj/usuń)</w:t>
            </w:r>
          </w:p>
        </w:tc>
        <w:tc>
          <w:tcPr>
            <w:tcW w:w="937" w:type="dxa"/>
            <w:gridSpan w:val="2"/>
            <w:shd w:val="clear" w:color="auto" w:fill="FFFFFF"/>
          </w:tcPr>
          <w:p w14:paraId="0B08AA54"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5"/>
            <w:shd w:val="clear" w:color="auto" w:fill="FFFFFF"/>
          </w:tcPr>
          <w:p w14:paraId="667B0399"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1845EF6F"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7" w:type="dxa"/>
            <w:gridSpan w:val="3"/>
            <w:shd w:val="clear" w:color="auto" w:fill="FFFFFF"/>
          </w:tcPr>
          <w:p w14:paraId="4DFF298C"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4"/>
            <w:shd w:val="clear" w:color="auto" w:fill="FFFFFF"/>
          </w:tcPr>
          <w:p w14:paraId="50E9D0DA"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938" w:type="dxa"/>
            <w:gridSpan w:val="3"/>
            <w:shd w:val="clear" w:color="auto" w:fill="FFFFFF"/>
          </w:tcPr>
          <w:p w14:paraId="34FE11BD"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c>
          <w:tcPr>
            <w:tcW w:w="1432" w:type="dxa"/>
            <w:shd w:val="clear" w:color="auto" w:fill="FFFFFF"/>
          </w:tcPr>
          <w:p w14:paraId="11FB51A3" w14:textId="77777777" w:rsidR="00EC4C5C" w:rsidRDefault="00EC4C5C">
            <w:pPr>
              <w:pBdr>
                <w:top w:val="nil"/>
                <w:left w:val="nil"/>
                <w:bottom w:val="nil"/>
                <w:right w:val="nil"/>
                <w:between w:val="nil"/>
              </w:pBdr>
              <w:rPr>
                <w:rFonts w:ascii="Times New Roman" w:eastAsia="Times New Roman" w:hAnsi="Times New Roman" w:cs="Times New Roman"/>
                <w:color w:val="000000"/>
                <w:sz w:val="21"/>
                <w:szCs w:val="21"/>
              </w:rPr>
            </w:pPr>
          </w:p>
        </w:tc>
      </w:tr>
      <w:tr w:rsidR="00EC4C5C" w14:paraId="56D8D51D" w14:textId="77777777" w:rsidTr="000A0DBF">
        <w:trPr>
          <w:trHeight w:val="142"/>
        </w:trPr>
        <w:tc>
          <w:tcPr>
            <w:tcW w:w="1596" w:type="dxa"/>
            <w:vMerge w:val="restart"/>
            <w:shd w:val="clear" w:color="auto" w:fill="FFFFFF"/>
          </w:tcPr>
          <w:p w14:paraId="10DFE3DB" w14:textId="77777777" w:rsidR="00EC4C5C" w:rsidRPr="00FE2ECE"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sidRPr="00FE2ECE">
              <w:rPr>
                <w:rFonts w:ascii="Times New Roman" w:eastAsia="Times New Roman" w:hAnsi="Times New Roman" w:cs="Times New Roman"/>
                <w:color w:val="000000"/>
                <w:sz w:val="22"/>
                <w:szCs w:val="22"/>
              </w:rPr>
              <w:t>W ujęciu niepieniężnym</w:t>
            </w:r>
          </w:p>
        </w:tc>
        <w:tc>
          <w:tcPr>
            <w:tcW w:w="2293" w:type="dxa"/>
            <w:gridSpan w:val="6"/>
            <w:shd w:val="clear" w:color="auto" w:fill="FFFFFF"/>
          </w:tcPr>
          <w:p w14:paraId="783515CE" w14:textId="77777777" w:rsidR="00EC4C5C" w:rsidRPr="00FE2ECE"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sidRPr="00FE2ECE">
              <w:rPr>
                <w:rFonts w:ascii="Times New Roman" w:eastAsia="Times New Roman" w:hAnsi="Times New Roman" w:cs="Times New Roman"/>
                <w:color w:val="000000"/>
                <w:sz w:val="22"/>
                <w:szCs w:val="22"/>
              </w:rPr>
              <w:t>duże przedsiębiorstwa</w:t>
            </w:r>
          </w:p>
        </w:tc>
        <w:tc>
          <w:tcPr>
            <w:tcW w:w="7058" w:type="dxa"/>
            <w:gridSpan w:val="22"/>
            <w:shd w:val="clear" w:color="auto" w:fill="FFFFFF"/>
          </w:tcPr>
          <w:p w14:paraId="27928A75" w14:textId="1AE77A55" w:rsidR="00590999" w:rsidRPr="00590999" w:rsidRDefault="00590999" w:rsidP="00590999">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90999">
              <w:rPr>
                <w:rFonts w:ascii="Times New Roman" w:eastAsia="Times New Roman" w:hAnsi="Times New Roman" w:cs="Times New Roman"/>
                <w:color w:val="000000"/>
                <w:sz w:val="22"/>
                <w:szCs w:val="22"/>
              </w:rPr>
              <w:t xml:space="preserve">Zgodnie z </w:t>
            </w:r>
            <w:r w:rsidR="00CF246D">
              <w:rPr>
                <w:rFonts w:ascii="Times New Roman" w:eastAsia="Times New Roman" w:hAnsi="Times New Roman" w:cs="Times New Roman"/>
                <w:color w:val="000000"/>
                <w:sz w:val="22"/>
                <w:szCs w:val="22"/>
              </w:rPr>
              <w:t>analizą</w:t>
            </w:r>
            <w:r w:rsidRPr="00590999">
              <w:rPr>
                <w:rFonts w:ascii="Times New Roman" w:eastAsia="Times New Roman" w:hAnsi="Times New Roman" w:cs="Times New Roman"/>
                <w:color w:val="000000"/>
                <w:sz w:val="22"/>
                <w:szCs w:val="22"/>
              </w:rPr>
              <w:t xml:space="preserve"> zlecon</w:t>
            </w:r>
            <w:r w:rsidR="00CF246D">
              <w:rPr>
                <w:rFonts w:ascii="Times New Roman" w:eastAsia="Times New Roman" w:hAnsi="Times New Roman" w:cs="Times New Roman"/>
                <w:color w:val="000000"/>
                <w:sz w:val="22"/>
                <w:szCs w:val="22"/>
              </w:rPr>
              <w:t>ą</w:t>
            </w:r>
            <w:r w:rsidRPr="00590999">
              <w:rPr>
                <w:rFonts w:ascii="Times New Roman" w:eastAsia="Times New Roman" w:hAnsi="Times New Roman" w:cs="Times New Roman"/>
                <w:color w:val="000000"/>
                <w:sz w:val="22"/>
                <w:szCs w:val="22"/>
              </w:rPr>
              <w:t xml:space="preserve"> przez </w:t>
            </w:r>
            <w:proofErr w:type="spellStart"/>
            <w:r w:rsidRPr="00590999">
              <w:rPr>
                <w:rFonts w:ascii="Times New Roman" w:eastAsia="Times New Roman" w:hAnsi="Times New Roman" w:cs="Times New Roman"/>
                <w:color w:val="000000"/>
                <w:sz w:val="22"/>
                <w:szCs w:val="22"/>
              </w:rPr>
              <w:t>MFiPR</w:t>
            </w:r>
            <w:proofErr w:type="spellEnd"/>
            <w:r w:rsidRPr="00590999">
              <w:rPr>
                <w:rFonts w:ascii="Times New Roman" w:eastAsia="Times New Roman" w:hAnsi="Times New Roman" w:cs="Times New Roman"/>
                <w:color w:val="000000"/>
                <w:sz w:val="22"/>
                <w:szCs w:val="22"/>
              </w:rPr>
              <w:t xml:space="preserve"> spodziewany jest wzrost liczby klientów w wyniku poprawy dostępności produktów i usług oraz wzrost korzyści finansowych (np. wzrost obrotów, marży zysku, zwiększeni</w:t>
            </w:r>
            <w:r w:rsidR="002B0CB5">
              <w:rPr>
                <w:rFonts w:ascii="Times New Roman" w:eastAsia="Times New Roman" w:hAnsi="Times New Roman" w:cs="Times New Roman"/>
                <w:color w:val="000000"/>
                <w:sz w:val="22"/>
                <w:szCs w:val="22"/>
              </w:rPr>
              <w:t>e</w:t>
            </w:r>
            <w:r w:rsidRPr="00590999">
              <w:rPr>
                <w:rFonts w:ascii="Times New Roman" w:eastAsia="Times New Roman" w:hAnsi="Times New Roman" w:cs="Times New Roman"/>
                <w:color w:val="000000"/>
                <w:sz w:val="22"/>
                <w:szCs w:val="22"/>
              </w:rPr>
              <w:t xml:space="preserve"> udziału w rynku itp.). Szkolenie personelu w zakresie obowiązujących wym</w:t>
            </w:r>
            <w:r w:rsidR="00493908">
              <w:rPr>
                <w:rFonts w:ascii="Times New Roman" w:eastAsia="Times New Roman" w:hAnsi="Times New Roman" w:cs="Times New Roman"/>
                <w:color w:val="000000"/>
                <w:sz w:val="22"/>
                <w:szCs w:val="22"/>
              </w:rPr>
              <w:t>agań</w:t>
            </w:r>
            <w:r w:rsidRPr="00590999">
              <w:rPr>
                <w:rFonts w:ascii="Times New Roman" w:eastAsia="Times New Roman" w:hAnsi="Times New Roman" w:cs="Times New Roman"/>
                <w:color w:val="000000"/>
                <w:sz w:val="22"/>
                <w:szCs w:val="22"/>
              </w:rPr>
              <w:t xml:space="preserve"> dotyczących dostępności i umiejętności ich stosowania będzie znaczącym czynnikiem działalności </w:t>
            </w:r>
            <w:r w:rsidR="000D3F1C">
              <w:rPr>
                <w:rFonts w:ascii="Times New Roman" w:eastAsia="Times New Roman" w:hAnsi="Times New Roman" w:cs="Times New Roman"/>
                <w:color w:val="000000"/>
                <w:sz w:val="22"/>
                <w:szCs w:val="22"/>
              </w:rPr>
              <w:t>przedsiębiorstw</w:t>
            </w:r>
            <w:r w:rsidRPr="00590999">
              <w:rPr>
                <w:rFonts w:ascii="Times New Roman" w:eastAsia="Times New Roman" w:hAnsi="Times New Roman" w:cs="Times New Roman"/>
                <w:color w:val="000000"/>
                <w:sz w:val="22"/>
                <w:szCs w:val="22"/>
              </w:rPr>
              <w:t xml:space="preserve">. </w:t>
            </w:r>
            <w:r w:rsidR="000D3F1C">
              <w:rPr>
                <w:rFonts w:ascii="Times New Roman" w:eastAsia="Times New Roman" w:hAnsi="Times New Roman" w:cs="Times New Roman"/>
                <w:sz w:val="22"/>
                <w:szCs w:val="22"/>
              </w:rPr>
              <w:t>Możliwy jest wzrost poziomu zatrudnienia w przedsiębiorstwach</w:t>
            </w:r>
            <w:r w:rsidR="00ED3193">
              <w:rPr>
                <w:rFonts w:ascii="Times New Roman" w:eastAsia="Times New Roman" w:hAnsi="Times New Roman" w:cs="Times New Roman"/>
                <w:sz w:val="22"/>
                <w:szCs w:val="22"/>
              </w:rPr>
              <w:t>,</w:t>
            </w:r>
            <w:r w:rsidR="000D3F1C" w:rsidRPr="00300D62">
              <w:rPr>
                <w:rFonts w:ascii="Times New Roman" w:eastAsia="Times New Roman" w:hAnsi="Times New Roman" w:cs="Times New Roman"/>
                <w:sz w:val="22"/>
                <w:szCs w:val="22"/>
              </w:rPr>
              <w:t xml:space="preserve"> </w:t>
            </w:r>
            <w:r w:rsidR="000D3F1C">
              <w:rPr>
                <w:rFonts w:ascii="Times New Roman" w:eastAsia="Times New Roman" w:hAnsi="Times New Roman" w:cs="Times New Roman"/>
                <w:sz w:val="22"/>
                <w:szCs w:val="22"/>
              </w:rPr>
              <w:t xml:space="preserve">w związku z koniecznością </w:t>
            </w:r>
            <w:r w:rsidR="00E237C1">
              <w:rPr>
                <w:rFonts w:ascii="Times New Roman" w:eastAsia="Times New Roman" w:hAnsi="Times New Roman" w:cs="Times New Roman"/>
                <w:sz w:val="22"/>
                <w:szCs w:val="22"/>
              </w:rPr>
              <w:t xml:space="preserve">ich </w:t>
            </w:r>
            <w:r w:rsidR="000D3F1C" w:rsidRPr="00300D62">
              <w:rPr>
                <w:rFonts w:ascii="Times New Roman" w:eastAsia="Times New Roman" w:hAnsi="Times New Roman" w:cs="Times New Roman"/>
                <w:sz w:val="22"/>
                <w:szCs w:val="22"/>
              </w:rPr>
              <w:t>przygotowa</w:t>
            </w:r>
            <w:r w:rsidR="00E237C1">
              <w:rPr>
                <w:rFonts w:ascii="Times New Roman" w:eastAsia="Times New Roman" w:hAnsi="Times New Roman" w:cs="Times New Roman"/>
                <w:sz w:val="22"/>
                <w:szCs w:val="22"/>
              </w:rPr>
              <w:t>nia się</w:t>
            </w:r>
            <w:r w:rsidR="000D3F1C" w:rsidRPr="00300D62">
              <w:rPr>
                <w:rFonts w:ascii="Times New Roman" w:eastAsia="Times New Roman" w:hAnsi="Times New Roman" w:cs="Times New Roman"/>
                <w:sz w:val="22"/>
                <w:szCs w:val="22"/>
              </w:rPr>
              <w:t xml:space="preserve"> do nowych obowiązków wynikających z </w:t>
            </w:r>
            <w:r w:rsidR="00160D38">
              <w:rPr>
                <w:rFonts w:ascii="Times New Roman" w:hAnsi="Times New Roman" w:cs="Times New Roman"/>
                <w:sz w:val="22"/>
                <w:szCs w:val="22"/>
              </w:rPr>
              <w:t xml:space="preserve">projektowanej </w:t>
            </w:r>
            <w:r w:rsidR="000D3F1C" w:rsidRPr="00300D62">
              <w:rPr>
                <w:rFonts w:ascii="Times New Roman" w:eastAsia="Times New Roman" w:hAnsi="Times New Roman" w:cs="Times New Roman"/>
                <w:sz w:val="22"/>
                <w:szCs w:val="22"/>
              </w:rPr>
              <w:t>ustawy.</w:t>
            </w:r>
            <w:r w:rsidRPr="00590999">
              <w:rPr>
                <w:rFonts w:ascii="Times New Roman" w:eastAsia="Times New Roman" w:hAnsi="Times New Roman" w:cs="Times New Roman"/>
                <w:color w:val="000000"/>
                <w:sz w:val="22"/>
                <w:szCs w:val="22"/>
              </w:rPr>
              <w:t xml:space="preserve"> Koszty regulacji wpłyną szczególnie na następujące branże: handel elektroniczny (wymogi dyrektywy mają zastosowanie do internetowej sprzedaży wszelkich produktów lub usług, nie tylko tych objętych zakresem przedmiotowym dyrektywy), produkcja systemów sprzętu komputerowego wraz z systemami operacyjnymi do nich (np. komputery osobiste, komputery stacjonarne, laptopy, smartfony i tablety, bez specjalistycznych komputerów wbudowanych w </w:t>
            </w:r>
            <w:r>
              <w:rPr>
                <w:rFonts w:ascii="Times New Roman" w:eastAsia="Times New Roman" w:hAnsi="Times New Roman" w:cs="Times New Roman"/>
                <w:color w:val="000000"/>
                <w:sz w:val="22"/>
                <w:szCs w:val="22"/>
              </w:rPr>
              <w:t>produkty elektroniki użytkowej),</w:t>
            </w:r>
            <w:r w:rsidRPr="00590999">
              <w:rPr>
                <w:rFonts w:ascii="Times New Roman" w:eastAsia="Times New Roman" w:hAnsi="Times New Roman" w:cs="Times New Roman"/>
                <w:color w:val="000000"/>
                <w:sz w:val="22"/>
                <w:szCs w:val="22"/>
              </w:rPr>
              <w:t xml:space="preserve"> świadczenie wybranych usług bankowości detalicznej (</w:t>
            </w:r>
            <w:r w:rsidR="00842F96">
              <w:rPr>
                <w:rFonts w:ascii="Times New Roman" w:eastAsia="Times New Roman" w:hAnsi="Times New Roman" w:cs="Times New Roman"/>
                <w:color w:val="000000"/>
                <w:sz w:val="22"/>
                <w:szCs w:val="22"/>
              </w:rPr>
              <w:t xml:space="preserve">w tym dostępność </w:t>
            </w:r>
            <w:r w:rsidRPr="00590999">
              <w:rPr>
                <w:rFonts w:ascii="Times New Roman" w:eastAsia="Times New Roman" w:hAnsi="Times New Roman" w:cs="Times New Roman"/>
                <w:color w:val="000000"/>
                <w:sz w:val="22"/>
                <w:szCs w:val="22"/>
              </w:rPr>
              <w:t xml:space="preserve">metod identyfikacji, podpisu elektronicznego i usług płatniczych, ponieważ są to elementy niezbędne do zawarcia transakcji w bankowości detalicznej). </w:t>
            </w:r>
          </w:p>
          <w:p w14:paraId="3BD65F7B" w14:textId="3BBF6E7C"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lastRenderedPageBreak/>
              <w:t xml:space="preserve">Na podstawie wyników badania opinii przedsiębiorców w analizie zleconej przez </w:t>
            </w:r>
            <w:proofErr w:type="spellStart"/>
            <w:r w:rsidRPr="00474B94">
              <w:rPr>
                <w:rFonts w:ascii="Times New Roman" w:eastAsia="Times New Roman" w:hAnsi="Times New Roman" w:cs="Times New Roman"/>
                <w:color w:val="000000"/>
                <w:sz w:val="22"/>
                <w:szCs w:val="22"/>
              </w:rPr>
              <w:t>MFiPR</w:t>
            </w:r>
            <w:proofErr w:type="spellEnd"/>
            <w:r w:rsidR="00FD6FE7">
              <w:rPr>
                <w:rFonts w:ascii="Times New Roman" w:eastAsia="Times New Roman" w:hAnsi="Times New Roman" w:cs="Times New Roman"/>
                <w:color w:val="000000"/>
                <w:sz w:val="22"/>
                <w:szCs w:val="22"/>
              </w:rPr>
              <w:t xml:space="preserve"> </w:t>
            </w:r>
            <w:r w:rsidR="00FD6FE7" w:rsidRPr="00FD6FE7">
              <w:rPr>
                <w:rFonts w:ascii="Times New Roman" w:eastAsia="Times New Roman" w:hAnsi="Times New Roman" w:cs="Times New Roman"/>
                <w:color w:val="000000"/>
                <w:sz w:val="22"/>
                <w:szCs w:val="22"/>
              </w:rPr>
              <w:t xml:space="preserve">pt. „Analiza wpływu transpozycji Dyrektywy nr 2019/882 </w:t>
            </w:r>
            <w:r w:rsidR="000E38F7">
              <w:rPr>
                <w:rFonts w:ascii="Times New Roman" w:eastAsia="Times New Roman" w:hAnsi="Times New Roman" w:cs="Times New Roman"/>
                <w:color w:val="000000"/>
                <w:sz w:val="22"/>
                <w:szCs w:val="22"/>
              </w:rPr>
              <w:br/>
            </w:r>
            <w:r w:rsidR="00FD6FE7" w:rsidRPr="00FD6FE7">
              <w:rPr>
                <w:rFonts w:ascii="Times New Roman" w:eastAsia="Times New Roman" w:hAnsi="Times New Roman" w:cs="Times New Roman"/>
                <w:color w:val="000000"/>
                <w:sz w:val="22"/>
                <w:szCs w:val="22"/>
              </w:rPr>
              <w:t xml:space="preserve">w sprawie wymogów dostępności produktów i usług na konkurencyjność gospodarki i przedsiębiorczość, w tym funkcjonowanie przedsiębiorstw (wyniki analizy </w:t>
            </w:r>
            <w:r w:rsidR="00FD6FE7">
              <w:rPr>
                <w:rFonts w:ascii="Times New Roman" w:eastAsia="Times New Roman" w:hAnsi="Times New Roman" w:cs="Times New Roman"/>
                <w:color w:val="000000"/>
                <w:sz w:val="22"/>
                <w:szCs w:val="22"/>
              </w:rPr>
              <w:t>MFIPR otrzymało</w:t>
            </w:r>
            <w:r w:rsidR="00FD6FE7" w:rsidRPr="00FD6FE7">
              <w:rPr>
                <w:rFonts w:ascii="Times New Roman" w:eastAsia="Times New Roman" w:hAnsi="Times New Roman" w:cs="Times New Roman"/>
                <w:color w:val="000000"/>
                <w:sz w:val="22"/>
                <w:szCs w:val="22"/>
              </w:rPr>
              <w:t xml:space="preserve"> w kwietniu 2021</w:t>
            </w:r>
            <w:r w:rsidR="009709DB">
              <w:rPr>
                <w:rFonts w:ascii="Times New Roman" w:eastAsia="Times New Roman" w:hAnsi="Times New Roman" w:cs="Times New Roman"/>
                <w:color w:val="000000"/>
                <w:sz w:val="22"/>
                <w:szCs w:val="22"/>
              </w:rPr>
              <w:t> </w:t>
            </w:r>
            <w:r w:rsidR="00FD6FE7" w:rsidRPr="00FD6FE7">
              <w:rPr>
                <w:rFonts w:ascii="Times New Roman" w:eastAsia="Times New Roman" w:hAnsi="Times New Roman" w:cs="Times New Roman"/>
                <w:color w:val="000000"/>
                <w:sz w:val="22"/>
                <w:szCs w:val="22"/>
              </w:rPr>
              <w:t>r.</w:t>
            </w:r>
            <w:r w:rsidR="00CA4FB5">
              <w:rPr>
                <w:rFonts w:ascii="Times New Roman" w:eastAsia="Times New Roman" w:hAnsi="Times New Roman" w:cs="Times New Roman"/>
                <w:color w:val="000000"/>
                <w:sz w:val="22"/>
                <w:szCs w:val="22"/>
              </w:rPr>
              <w:t>,</w:t>
            </w:r>
            <w:r w:rsidR="00FD6FE7">
              <w:rPr>
                <w:rFonts w:ascii="Times New Roman" w:eastAsia="Times New Roman" w:hAnsi="Times New Roman" w:cs="Times New Roman"/>
                <w:color w:val="000000"/>
                <w:sz w:val="22"/>
                <w:szCs w:val="22"/>
              </w:rPr>
              <w:t xml:space="preserve"> stąd respondenci odnosili się do </w:t>
            </w:r>
            <w:r w:rsidR="007E03B6">
              <w:rPr>
                <w:rFonts w:ascii="Times New Roman" w:eastAsia="Times New Roman" w:hAnsi="Times New Roman" w:cs="Times New Roman"/>
                <w:color w:val="000000"/>
                <w:sz w:val="22"/>
                <w:szCs w:val="22"/>
              </w:rPr>
              <w:t xml:space="preserve">potencjalnego </w:t>
            </w:r>
            <w:r w:rsidR="00FD6FE7">
              <w:rPr>
                <w:rFonts w:ascii="Times New Roman" w:eastAsia="Times New Roman" w:hAnsi="Times New Roman" w:cs="Times New Roman"/>
                <w:color w:val="000000"/>
                <w:sz w:val="22"/>
                <w:szCs w:val="22"/>
              </w:rPr>
              <w:t>wypływu dyrektywy</w:t>
            </w:r>
            <w:r w:rsidR="003D43B5">
              <w:rPr>
                <w:rFonts w:ascii="Times New Roman" w:eastAsia="Times New Roman" w:hAnsi="Times New Roman" w:cs="Times New Roman"/>
                <w:color w:val="000000"/>
                <w:sz w:val="22"/>
                <w:szCs w:val="22"/>
              </w:rPr>
              <w:t xml:space="preserve"> 2019/882,</w:t>
            </w:r>
            <w:r w:rsidR="00FD6FE7">
              <w:rPr>
                <w:rFonts w:ascii="Times New Roman" w:eastAsia="Times New Roman" w:hAnsi="Times New Roman" w:cs="Times New Roman"/>
                <w:color w:val="000000"/>
                <w:sz w:val="22"/>
                <w:szCs w:val="22"/>
              </w:rPr>
              <w:t xml:space="preserve"> a nie </w:t>
            </w:r>
            <w:r w:rsidR="003B63A5">
              <w:rPr>
                <w:rFonts w:ascii="Times New Roman" w:hAnsi="Times New Roman" w:cs="Times New Roman"/>
                <w:sz w:val="22"/>
                <w:szCs w:val="22"/>
              </w:rPr>
              <w:t>projektu</w:t>
            </w:r>
            <w:r w:rsidR="003B63A5" w:rsidRPr="00DC0626">
              <w:rPr>
                <w:rFonts w:ascii="Times New Roman" w:hAnsi="Times New Roman" w:cs="Times New Roman"/>
                <w:sz w:val="22"/>
                <w:szCs w:val="22"/>
              </w:rPr>
              <w:t xml:space="preserve"> </w:t>
            </w:r>
            <w:r w:rsidR="00FD6FE7">
              <w:rPr>
                <w:rFonts w:ascii="Times New Roman" w:eastAsia="Times New Roman" w:hAnsi="Times New Roman" w:cs="Times New Roman"/>
                <w:color w:val="000000"/>
                <w:sz w:val="22"/>
                <w:szCs w:val="22"/>
              </w:rPr>
              <w:t>ustawy</w:t>
            </w:r>
            <w:r w:rsidR="00FD6FE7" w:rsidRPr="00FD6FE7">
              <w:rPr>
                <w:rFonts w:ascii="Times New Roman" w:eastAsia="Times New Roman" w:hAnsi="Times New Roman" w:cs="Times New Roman"/>
                <w:color w:val="000000"/>
                <w:sz w:val="22"/>
                <w:szCs w:val="22"/>
              </w:rPr>
              <w:t>)</w:t>
            </w:r>
            <w:r w:rsidR="00C1619A">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 xml:space="preserve">najwięcej korzyści z wdrożenia dyrektywy </w:t>
            </w:r>
            <w:r w:rsidR="00ED3193">
              <w:rPr>
                <w:rFonts w:ascii="Times New Roman" w:eastAsia="Times New Roman" w:hAnsi="Times New Roman" w:cs="Times New Roman"/>
                <w:color w:val="000000"/>
                <w:sz w:val="22"/>
                <w:szCs w:val="22"/>
              </w:rPr>
              <w:t xml:space="preserve">2019/882 </w:t>
            </w:r>
            <w:r w:rsidRPr="00474B94">
              <w:rPr>
                <w:rFonts w:ascii="Times New Roman" w:eastAsia="Times New Roman" w:hAnsi="Times New Roman" w:cs="Times New Roman"/>
                <w:color w:val="000000"/>
                <w:sz w:val="22"/>
                <w:szCs w:val="22"/>
              </w:rPr>
              <w:t xml:space="preserve">powinni odnieść sektor handlu elektronicznego, dostawcy stron internetowych oraz twórcy aplikacji mobilnych. Przedstawiciele wszystkich głównych branż uważają, </w:t>
            </w:r>
            <w:r w:rsidR="00C1619A">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iż w największym stopniu dodatkowe koszty zostaną poniesione na szkolenie personelu.</w:t>
            </w:r>
          </w:p>
          <w:p w14:paraId="2A19B545" w14:textId="77777777" w:rsidR="00474B94" w:rsidRPr="00474B94" w:rsidRDefault="004D7361"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Branża s</w:t>
            </w:r>
            <w:r w:rsidR="00474B94" w:rsidRPr="00474B94">
              <w:rPr>
                <w:rFonts w:ascii="Times New Roman" w:eastAsia="Times New Roman" w:hAnsi="Times New Roman" w:cs="Times New Roman"/>
                <w:color w:val="000000"/>
                <w:sz w:val="22"/>
                <w:szCs w:val="22"/>
              </w:rPr>
              <w:t>ystem</w:t>
            </w:r>
            <w:r>
              <w:rPr>
                <w:rFonts w:ascii="Times New Roman" w:eastAsia="Times New Roman" w:hAnsi="Times New Roman" w:cs="Times New Roman"/>
                <w:color w:val="000000"/>
                <w:sz w:val="22"/>
                <w:szCs w:val="22"/>
              </w:rPr>
              <w:t>ów</w:t>
            </w:r>
            <w:r w:rsidR="00474B94" w:rsidRPr="00474B94">
              <w:rPr>
                <w:rFonts w:ascii="Times New Roman" w:eastAsia="Times New Roman" w:hAnsi="Times New Roman" w:cs="Times New Roman"/>
                <w:color w:val="000000"/>
                <w:sz w:val="22"/>
                <w:szCs w:val="22"/>
              </w:rPr>
              <w:t xml:space="preserve"> sprzętu komputerowego wraz z systemami operacyjnymi do nich</w:t>
            </w:r>
            <w:r>
              <w:rPr>
                <w:rFonts w:ascii="Times New Roman" w:eastAsia="Times New Roman" w:hAnsi="Times New Roman" w:cs="Times New Roman"/>
                <w:color w:val="000000"/>
                <w:sz w:val="22"/>
                <w:szCs w:val="22"/>
              </w:rPr>
              <w:t xml:space="preserve"> </w:t>
            </w:r>
            <w:r w:rsidR="00075AF0">
              <w:rPr>
                <w:rFonts w:ascii="Times New Roman" w:eastAsia="Times New Roman" w:hAnsi="Times New Roman" w:cs="Times New Roman"/>
                <w:color w:val="000000"/>
                <w:sz w:val="22"/>
                <w:szCs w:val="22"/>
              </w:rPr>
              <w:t>spodziewa się</w:t>
            </w:r>
            <w:r w:rsidR="00075AF0" w:rsidRPr="00474B94">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 xml:space="preserve">największych korzyści finansowych oraz wykazuje największy optymizm związany ze wzrostem liczby klientów i wzrostem przychodów. Firmy związane ze sprzętem komputerowym zgadzały się </w:t>
            </w:r>
            <w:r w:rsidR="00C1619A">
              <w:rPr>
                <w:rFonts w:ascii="Times New Roman" w:eastAsia="Times New Roman" w:hAnsi="Times New Roman" w:cs="Times New Roman"/>
                <w:color w:val="000000"/>
                <w:sz w:val="22"/>
                <w:szCs w:val="22"/>
              </w:rPr>
              <w:br/>
            </w:r>
            <w:r w:rsidR="00474B94" w:rsidRPr="00474B94">
              <w:rPr>
                <w:rFonts w:ascii="Times New Roman" w:eastAsia="Times New Roman" w:hAnsi="Times New Roman" w:cs="Times New Roman"/>
                <w:color w:val="000000"/>
                <w:sz w:val="22"/>
                <w:szCs w:val="22"/>
              </w:rPr>
              <w:t xml:space="preserve">ze stwierdzeniem, że nowa dyrektywa </w:t>
            </w:r>
            <w:r w:rsidR="0045297B">
              <w:rPr>
                <w:rFonts w:ascii="Times New Roman" w:eastAsia="Times New Roman" w:hAnsi="Times New Roman" w:cs="Times New Roman"/>
                <w:color w:val="000000"/>
                <w:sz w:val="22"/>
                <w:szCs w:val="22"/>
              </w:rPr>
              <w:t xml:space="preserve">2019/882 </w:t>
            </w:r>
            <w:r w:rsidR="00474B94" w:rsidRPr="00474B94">
              <w:rPr>
                <w:rFonts w:ascii="Times New Roman" w:eastAsia="Times New Roman" w:hAnsi="Times New Roman" w:cs="Times New Roman"/>
                <w:color w:val="000000"/>
                <w:sz w:val="22"/>
                <w:szCs w:val="22"/>
              </w:rPr>
              <w:t xml:space="preserve">utrudni funkcjonowanie ich firm, ale jednocześnie dostrzegali, że będzie miała pozytywny wpływ </w:t>
            </w:r>
            <w:r w:rsidR="0045297B">
              <w:rPr>
                <w:rFonts w:ascii="Times New Roman" w:eastAsia="Times New Roman" w:hAnsi="Times New Roman" w:cs="Times New Roman"/>
                <w:color w:val="000000"/>
                <w:sz w:val="22"/>
                <w:szCs w:val="22"/>
              </w:rPr>
              <w:br/>
            </w:r>
            <w:r w:rsidR="00474B94" w:rsidRPr="00474B94">
              <w:rPr>
                <w:rFonts w:ascii="Times New Roman" w:eastAsia="Times New Roman" w:hAnsi="Times New Roman" w:cs="Times New Roman"/>
                <w:color w:val="000000"/>
                <w:sz w:val="22"/>
                <w:szCs w:val="22"/>
              </w:rPr>
              <w:t>na funkcjonowanie gospodarki.</w:t>
            </w:r>
          </w:p>
          <w:p w14:paraId="374BEBC3" w14:textId="77777777" w:rsidR="00474B94" w:rsidRPr="00474B94" w:rsidRDefault="004D7361"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Branża h</w:t>
            </w:r>
            <w:r w:rsidR="00474B94" w:rsidRPr="00474B94">
              <w:rPr>
                <w:rFonts w:ascii="Times New Roman" w:eastAsia="Times New Roman" w:hAnsi="Times New Roman" w:cs="Times New Roman"/>
                <w:color w:val="000000"/>
                <w:sz w:val="22"/>
                <w:szCs w:val="22"/>
              </w:rPr>
              <w:t>andl</w:t>
            </w:r>
            <w:r>
              <w:rPr>
                <w:rFonts w:ascii="Times New Roman" w:eastAsia="Times New Roman" w:hAnsi="Times New Roman" w:cs="Times New Roman"/>
                <w:color w:val="000000"/>
                <w:sz w:val="22"/>
                <w:szCs w:val="22"/>
              </w:rPr>
              <w:t>u</w:t>
            </w:r>
            <w:r w:rsidR="00474B94" w:rsidRPr="00474B94">
              <w:rPr>
                <w:rFonts w:ascii="Times New Roman" w:eastAsia="Times New Roman" w:hAnsi="Times New Roman" w:cs="Times New Roman"/>
                <w:color w:val="000000"/>
                <w:sz w:val="22"/>
                <w:szCs w:val="22"/>
              </w:rPr>
              <w:t xml:space="preserve"> elektroniczn</w:t>
            </w:r>
            <w:r>
              <w:rPr>
                <w:rFonts w:ascii="Times New Roman" w:eastAsia="Times New Roman" w:hAnsi="Times New Roman" w:cs="Times New Roman"/>
                <w:color w:val="000000"/>
                <w:sz w:val="22"/>
                <w:szCs w:val="22"/>
              </w:rPr>
              <w:t>ego</w:t>
            </w:r>
            <w:r w:rsidR="00474B94" w:rsidRPr="00474B94">
              <w:rPr>
                <w:rFonts w:ascii="Times New Roman" w:eastAsia="Times New Roman" w:hAnsi="Times New Roman" w:cs="Times New Roman"/>
                <w:color w:val="000000"/>
                <w:sz w:val="22"/>
                <w:szCs w:val="22"/>
              </w:rPr>
              <w:t xml:space="preserve"> w niewielkim stopniu </w:t>
            </w:r>
            <w:r w:rsidR="003D43B5">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 xml:space="preserve">w porównaniu </w:t>
            </w:r>
            <w:r w:rsidR="0045297B">
              <w:rPr>
                <w:rFonts w:ascii="Times New Roman" w:eastAsia="Times New Roman" w:hAnsi="Times New Roman" w:cs="Times New Roman"/>
                <w:color w:val="000000"/>
                <w:sz w:val="22"/>
                <w:szCs w:val="22"/>
              </w:rPr>
              <w:br/>
            </w:r>
            <w:r w:rsidR="00474B94" w:rsidRPr="00474B94">
              <w:rPr>
                <w:rFonts w:ascii="Times New Roman" w:eastAsia="Times New Roman" w:hAnsi="Times New Roman" w:cs="Times New Roman"/>
                <w:color w:val="000000"/>
                <w:sz w:val="22"/>
                <w:szCs w:val="22"/>
              </w:rPr>
              <w:t xml:space="preserve">do pozostałych branż </w:t>
            </w:r>
            <w:r w:rsidR="003D43B5">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widz</w:t>
            </w:r>
            <w:r>
              <w:rPr>
                <w:rFonts w:ascii="Times New Roman" w:eastAsia="Times New Roman" w:hAnsi="Times New Roman" w:cs="Times New Roman"/>
                <w:color w:val="000000"/>
                <w:sz w:val="22"/>
                <w:szCs w:val="22"/>
              </w:rPr>
              <w:t>i</w:t>
            </w:r>
            <w:r w:rsidR="00474B94" w:rsidRPr="00474B94">
              <w:rPr>
                <w:rFonts w:ascii="Times New Roman" w:eastAsia="Times New Roman" w:hAnsi="Times New Roman" w:cs="Times New Roman"/>
                <w:color w:val="000000"/>
                <w:sz w:val="22"/>
                <w:szCs w:val="22"/>
              </w:rPr>
              <w:t xml:space="preserve"> potencjalny wpływ dyrektywy</w:t>
            </w:r>
            <w:r w:rsidR="0045297B">
              <w:rPr>
                <w:rFonts w:ascii="Times New Roman" w:eastAsia="Times New Roman" w:hAnsi="Times New Roman" w:cs="Times New Roman"/>
                <w:color w:val="000000"/>
                <w:sz w:val="22"/>
                <w:szCs w:val="22"/>
              </w:rPr>
              <w:t xml:space="preserve"> 2019/882</w:t>
            </w:r>
            <w:r w:rsidR="00474B94" w:rsidRPr="00474B94">
              <w:rPr>
                <w:rFonts w:ascii="Times New Roman" w:eastAsia="Times New Roman" w:hAnsi="Times New Roman" w:cs="Times New Roman"/>
                <w:color w:val="000000"/>
                <w:sz w:val="22"/>
                <w:szCs w:val="22"/>
              </w:rPr>
              <w:t xml:space="preserve"> </w:t>
            </w:r>
            <w:r w:rsidR="0045297B">
              <w:rPr>
                <w:rFonts w:ascii="Times New Roman" w:eastAsia="Times New Roman" w:hAnsi="Times New Roman" w:cs="Times New Roman"/>
                <w:color w:val="000000"/>
                <w:sz w:val="22"/>
                <w:szCs w:val="22"/>
              </w:rPr>
              <w:br/>
            </w:r>
            <w:r w:rsidR="00474B94" w:rsidRPr="00474B94">
              <w:rPr>
                <w:rFonts w:ascii="Times New Roman" w:eastAsia="Times New Roman" w:hAnsi="Times New Roman" w:cs="Times New Roman"/>
                <w:color w:val="000000"/>
                <w:sz w:val="22"/>
                <w:szCs w:val="22"/>
              </w:rPr>
              <w:t>na powstawanie nowych kosztów.</w:t>
            </w:r>
          </w:p>
          <w:p w14:paraId="76A06D8E" w14:textId="77777777" w:rsidR="00474B94" w:rsidRPr="00474B94" w:rsidRDefault="004D7361"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Branża u</w:t>
            </w:r>
            <w:r w:rsidR="00474B94" w:rsidRPr="00474B94">
              <w:rPr>
                <w:rFonts w:ascii="Times New Roman" w:eastAsia="Times New Roman" w:hAnsi="Times New Roman" w:cs="Times New Roman"/>
                <w:color w:val="000000"/>
                <w:sz w:val="22"/>
                <w:szCs w:val="22"/>
              </w:rPr>
              <w:t>sług bankowości detalicznej</w:t>
            </w:r>
            <w:r>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w mniejszym stopniu do pozostałych branż widz</w:t>
            </w:r>
            <w:r>
              <w:rPr>
                <w:rFonts w:ascii="Times New Roman" w:eastAsia="Times New Roman" w:hAnsi="Times New Roman" w:cs="Times New Roman"/>
                <w:color w:val="000000"/>
                <w:sz w:val="22"/>
                <w:szCs w:val="22"/>
              </w:rPr>
              <w:t>i</w:t>
            </w:r>
            <w:r w:rsidR="00474B94" w:rsidRPr="00474B94">
              <w:rPr>
                <w:rFonts w:ascii="Times New Roman" w:eastAsia="Times New Roman" w:hAnsi="Times New Roman" w:cs="Times New Roman"/>
                <w:color w:val="000000"/>
                <w:sz w:val="22"/>
                <w:szCs w:val="22"/>
              </w:rPr>
              <w:t xml:space="preserve"> potencjalny wpływ dyrektywy na powstawanie nowych kosztów. </w:t>
            </w:r>
            <w:r w:rsidR="00CC6B5B">
              <w:rPr>
                <w:rFonts w:ascii="Times New Roman" w:eastAsia="Times New Roman" w:hAnsi="Times New Roman" w:cs="Times New Roman"/>
                <w:color w:val="000000"/>
                <w:sz w:val="22"/>
                <w:szCs w:val="22"/>
              </w:rPr>
              <w:t>Ta b</w:t>
            </w:r>
            <w:r w:rsidR="00474B94" w:rsidRPr="00474B94">
              <w:rPr>
                <w:rFonts w:ascii="Times New Roman" w:eastAsia="Times New Roman" w:hAnsi="Times New Roman" w:cs="Times New Roman"/>
                <w:color w:val="000000"/>
                <w:sz w:val="22"/>
                <w:szCs w:val="22"/>
              </w:rPr>
              <w:t>ranża</w:t>
            </w:r>
            <w:r w:rsidR="00CC6B5B">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dodatkowo uwzględniła w grupie najważniejszych dodatkowych kosztów koszty marketingowe. Przedstawiciele tej branży w najmniejszym stopniu dostrzegali zarówno pozytywny, jak i negatywny wpływ na ich działalność kwestii związanych z dyrektywą</w:t>
            </w:r>
            <w:r w:rsidR="00196653">
              <w:rPr>
                <w:rFonts w:ascii="Times New Roman" w:eastAsia="Times New Roman" w:hAnsi="Times New Roman" w:cs="Times New Roman"/>
                <w:color w:val="000000"/>
                <w:sz w:val="22"/>
                <w:szCs w:val="22"/>
              </w:rPr>
              <w:t xml:space="preserve"> 2019/882</w:t>
            </w:r>
            <w:r w:rsidR="00474B94" w:rsidRPr="00474B94">
              <w:rPr>
                <w:rFonts w:ascii="Times New Roman" w:eastAsia="Times New Roman" w:hAnsi="Times New Roman" w:cs="Times New Roman"/>
                <w:color w:val="000000"/>
                <w:sz w:val="22"/>
                <w:szCs w:val="22"/>
              </w:rPr>
              <w:t>.</w:t>
            </w:r>
          </w:p>
          <w:p w14:paraId="0397D900" w14:textId="697C7F0C"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Przedsiębiorcy, którzy prowadzili działalność usługową</w:t>
            </w:r>
            <w:r w:rsidR="00ED319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dostrzegali korzyści wynikające z dostosowania swojej oferty do przepisów dyrektywy</w:t>
            </w:r>
            <w:r w:rsidR="00196653">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xml:space="preserve">, </w:t>
            </w:r>
            <w:r w:rsidR="00ED3193">
              <w:rPr>
                <w:rFonts w:ascii="Times New Roman" w:eastAsia="Times New Roman" w:hAnsi="Times New Roman" w:cs="Times New Roman"/>
                <w:color w:val="000000"/>
                <w:sz w:val="22"/>
                <w:szCs w:val="22"/>
              </w:rPr>
              <w:t>natomiast</w:t>
            </w:r>
            <w:r w:rsidR="00ED3193" w:rsidRPr="00474B94">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najmniej potencjalne korzyści dostrzegali importerzy. Może to wynikać z tego, iż w branżach o wysokiej konkurencyjności, których grupą docelową są klienci indywidualni</w:t>
            </w:r>
            <w:r w:rsidR="00ED319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szczególnego znaczenia nabierają wszelkie modyfikacje stwarzające możliwość pokazania wartości dodanej, dostarczanej klientom.</w:t>
            </w:r>
          </w:p>
          <w:p w14:paraId="736C8494" w14:textId="6822E991"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Firmy będące upoważnionymi przedstawicielami dostrzegały dodatkowe koszty związane z wdrożeniem dyrektywy</w:t>
            </w:r>
            <w:r w:rsidR="00FD0418">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xml:space="preserve">, takie jak koszty marketingu i reklamy (w tym także działań marketingowych związanych </w:t>
            </w:r>
            <w:r w:rsidR="00FD0418">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z handlem transgranicznym), szkoleń personelu oraz zatrudnienia dodatkowego personelu. Producenci stanowili drugą grupę silnie dostrzegającą dodatkowe koszty wdrożenia dyrektywy</w:t>
            </w:r>
            <w:r w:rsidR="00196653">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głównie związane z projektowaniem nowych towarów i usług i ich produkcją. Importerzy to grupa przedsiębiorców najmniej dostrzegająca prawdopodobieństwo dodatkowych kosztów.</w:t>
            </w:r>
          </w:p>
          <w:p w14:paraId="252708B8" w14:textId="77777777" w:rsidR="00053EB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Największe przedsiębiorstwa w dużym stopniu dostrzegały pozytywne strony implementacji dyrektywy</w:t>
            </w:r>
            <w:r w:rsidR="00196653">
              <w:rPr>
                <w:rFonts w:ascii="Times New Roman" w:eastAsia="Times New Roman" w:hAnsi="Times New Roman" w:cs="Times New Roman"/>
                <w:color w:val="000000"/>
                <w:sz w:val="22"/>
                <w:szCs w:val="22"/>
              </w:rPr>
              <w:t xml:space="preserve"> 2019/882</w:t>
            </w:r>
            <w:r w:rsidR="00053EB4">
              <w:rPr>
                <w:rFonts w:ascii="Times New Roman" w:eastAsia="Times New Roman" w:hAnsi="Times New Roman" w:cs="Times New Roman"/>
                <w:color w:val="000000"/>
                <w:sz w:val="22"/>
                <w:szCs w:val="22"/>
              </w:rPr>
              <w:t>.</w:t>
            </w:r>
          </w:p>
          <w:p w14:paraId="6586447F" w14:textId="007EC9A8" w:rsidR="00EB782B"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Respondenci z dużych przedsiębiorstw w porównaniu do pozostałych przedsiębiorstw w największym stopniu dostrzegali prawdopodobieństwo pojawienia się dodatkowych kosztów wynikających z wdrożenia dyrektywy</w:t>
            </w:r>
            <w:r w:rsidR="00196653">
              <w:rPr>
                <w:rFonts w:ascii="Times New Roman" w:eastAsia="Times New Roman" w:hAnsi="Times New Roman" w:cs="Times New Roman"/>
                <w:color w:val="000000"/>
                <w:sz w:val="22"/>
                <w:szCs w:val="22"/>
              </w:rPr>
              <w:t xml:space="preserve"> 2019/882</w:t>
            </w:r>
            <w:r w:rsidR="00053EB4">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Można zauważyć zależność, iż podmioty, które w największym stopniu będą zobowiązane do stosowania</w:t>
            </w:r>
            <w:r w:rsidR="003B63A5">
              <w:rPr>
                <w:rFonts w:ascii="Times New Roman" w:hAnsi="Times New Roman" w:cs="Times New Roman"/>
                <w:sz w:val="22"/>
                <w:szCs w:val="22"/>
              </w:rPr>
              <w:t xml:space="preserve"> projektowanej</w:t>
            </w:r>
            <w:r w:rsidRPr="00474B94">
              <w:rPr>
                <w:rFonts w:ascii="Times New Roman" w:eastAsia="Times New Roman" w:hAnsi="Times New Roman" w:cs="Times New Roman"/>
                <w:color w:val="000000"/>
                <w:sz w:val="22"/>
                <w:szCs w:val="22"/>
              </w:rPr>
              <w:t xml:space="preserve"> </w:t>
            </w:r>
            <w:r w:rsidR="00196653">
              <w:rPr>
                <w:rFonts w:ascii="Times New Roman" w:eastAsia="Times New Roman" w:hAnsi="Times New Roman" w:cs="Times New Roman"/>
                <w:color w:val="000000"/>
                <w:sz w:val="22"/>
                <w:szCs w:val="22"/>
              </w:rPr>
              <w:t>ustawy</w:t>
            </w:r>
            <w:r w:rsidR="00FD0418">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ze względu na wielkość swoich przedsiębiorstw</w:t>
            </w:r>
            <w:r w:rsidR="00ED319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z jednej strony są najbardziej optymistycznie nastawione do potencjalnych korzyści z jej </w:t>
            </w:r>
            <w:r w:rsidR="00196653">
              <w:rPr>
                <w:rFonts w:ascii="Times New Roman" w:eastAsia="Times New Roman" w:hAnsi="Times New Roman" w:cs="Times New Roman"/>
                <w:color w:val="000000"/>
                <w:sz w:val="22"/>
                <w:szCs w:val="22"/>
              </w:rPr>
              <w:t xml:space="preserve">wprowadzenia, </w:t>
            </w:r>
            <w:r w:rsidR="00CA4FB5">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 xml:space="preserve">z drugiej strony najbardziej dostrzegają skalę potencjalnych kosztów. </w:t>
            </w:r>
            <w:r w:rsidR="00CA4FB5">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W aspekcie spodziewanych korzyści zarówno w zakresie wzrostu liczby klientów, jak i przypływów finansowych najbardziej optymistyczni byli respondenci z dużych przedsiębiorstw</w:t>
            </w:r>
            <w:r w:rsidR="00053EB4">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 xml:space="preserve">Rozbieżności w krajowych </w:t>
            </w:r>
            <w:r w:rsidRPr="00474B94">
              <w:rPr>
                <w:rFonts w:ascii="Times New Roman" w:eastAsia="Times New Roman" w:hAnsi="Times New Roman" w:cs="Times New Roman"/>
                <w:color w:val="000000"/>
                <w:sz w:val="22"/>
                <w:szCs w:val="22"/>
              </w:rPr>
              <w:lastRenderedPageBreak/>
              <w:t>wym</w:t>
            </w:r>
            <w:r w:rsidR="00493908">
              <w:rPr>
                <w:rFonts w:ascii="Times New Roman" w:eastAsia="Times New Roman" w:hAnsi="Times New Roman" w:cs="Times New Roman"/>
                <w:color w:val="000000"/>
                <w:sz w:val="22"/>
                <w:szCs w:val="22"/>
              </w:rPr>
              <w:t>aganiach</w:t>
            </w:r>
            <w:r w:rsidRPr="00474B94">
              <w:rPr>
                <w:rFonts w:ascii="Times New Roman" w:eastAsia="Times New Roman" w:hAnsi="Times New Roman" w:cs="Times New Roman"/>
                <w:color w:val="000000"/>
                <w:sz w:val="22"/>
                <w:szCs w:val="22"/>
              </w:rPr>
              <w:t xml:space="preserve"> dostępności aktualnie generują wyższe koszty dla wszystkich typów podmiotów gospodarczych</w:t>
            </w:r>
          </w:p>
          <w:p w14:paraId="6AFEAB2E" w14:textId="66293DC2"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Te rozbieżności, dzięki implementacji dyrektywy</w:t>
            </w:r>
            <w:r w:rsidR="00196653">
              <w:rPr>
                <w:rFonts w:ascii="Times New Roman" w:eastAsia="Times New Roman" w:hAnsi="Times New Roman" w:cs="Times New Roman"/>
                <w:color w:val="000000"/>
                <w:sz w:val="22"/>
                <w:szCs w:val="22"/>
              </w:rPr>
              <w:t xml:space="preserve"> 2019/882</w:t>
            </w:r>
            <w:r w:rsidR="00ED319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zostaną wyeliminowane i przyniosą pozytywne skutki dla wszystkich typów podmiotów gospodarczych. </w:t>
            </w:r>
          </w:p>
          <w:p w14:paraId="46F9E4E5" w14:textId="1E674355"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 xml:space="preserve">Jedną z kluczowych korzyści wynikających dla dostawców produktów </w:t>
            </w:r>
            <w:r w:rsidR="007E2A31">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i usług związanych z wdrożeni</w:t>
            </w:r>
            <w:r w:rsidR="00ED3193">
              <w:rPr>
                <w:rFonts w:ascii="Times New Roman" w:eastAsia="Times New Roman" w:hAnsi="Times New Roman" w:cs="Times New Roman"/>
                <w:color w:val="000000"/>
                <w:sz w:val="22"/>
                <w:szCs w:val="22"/>
              </w:rPr>
              <w:t>em</w:t>
            </w:r>
            <w:r w:rsidRPr="00474B94">
              <w:rPr>
                <w:rFonts w:ascii="Times New Roman" w:eastAsia="Times New Roman" w:hAnsi="Times New Roman" w:cs="Times New Roman"/>
                <w:color w:val="000000"/>
                <w:sz w:val="22"/>
                <w:szCs w:val="22"/>
              </w:rPr>
              <w:t xml:space="preserve"> </w:t>
            </w:r>
            <w:r w:rsidR="00196653">
              <w:rPr>
                <w:rFonts w:ascii="Times New Roman" w:eastAsia="Times New Roman" w:hAnsi="Times New Roman" w:cs="Times New Roman"/>
                <w:color w:val="000000"/>
                <w:sz w:val="22"/>
                <w:szCs w:val="22"/>
              </w:rPr>
              <w:t>dyrektywy 2019/882</w:t>
            </w:r>
            <w:r w:rsidR="007E2A31">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 xml:space="preserve">jest </w:t>
            </w:r>
            <w:proofErr w:type="spellStart"/>
            <w:r w:rsidRPr="00474B94">
              <w:rPr>
                <w:rFonts w:ascii="Times New Roman" w:eastAsia="Times New Roman" w:hAnsi="Times New Roman" w:cs="Times New Roman"/>
                <w:color w:val="000000"/>
                <w:sz w:val="22"/>
                <w:szCs w:val="22"/>
              </w:rPr>
              <w:t>transgraniczność</w:t>
            </w:r>
            <w:proofErr w:type="spellEnd"/>
            <w:r w:rsidR="00596E06">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w:t>
            </w:r>
            <w:r w:rsidR="00596E06">
              <w:rPr>
                <w:rFonts w:ascii="Times New Roman" w:eastAsia="Times New Roman" w:hAnsi="Times New Roman" w:cs="Times New Roman"/>
                <w:color w:val="000000"/>
                <w:sz w:val="22"/>
                <w:szCs w:val="22"/>
              </w:rPr>
              <w:t>U</w:t>
            </w:r>
            <w:r w:rsidRPr="00474B94">
              <w:rPr>
                <w:rFonts w:ascii="Times New Roman" w:eastAsia="Times New Roman" w:hAnsi="Times New Roman" w:cs="Times New Roman"/>
                <w:color w:val="000000"/>
                <w:sz w:val="22"/>
                <w:szCs w:val="22"/>
              </w:rPr>
              <w:t>możliwi to otwarcie nowych rynków konsumentów. Jednak może pojawić się także ryzyko konkurencji ze strony innych organizacji.</w:t>
            </w:r>
          </w:p>
          <w:p w14:paraId="7BCEEF4B" w14:textId="77663417"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Za opracowanie rozwiązań umożliwiających dostosowanie produktów i usług do wym</w:t>
            </w:r>
            <w:r w:rsidR="00493908">
              <w:rPr>
                <w:rFonts w:ascii="Times New Roman" w:eastAsia="Times New Roman" w:hAnsi="Times New Roman" w:cs="Times New Roman"/>
                <w:color w:val="000000"/>
                <w:sz w:val="22"/>
                <w:szCs w:val="22"/>
              </w:rPr>
              <w:t>agań</w:t>
            </w:r>
            <w:r w:rsidRPr="00474B94">
              <w:rPr>
                <w:rFonts w:ascii="Times New Roman" w:eastAsia="Times New Roman" w:hAnsi="Times New Roman" w:cs="Times New Roman"/>
                <w:color w:val="000000"/>
                <w:sz w:val="22"/>
                <w:szCs w:val="22"/>
              </w:rPr>
              <w:t xml:space="preserve"> dostępności będą odpowiedzialni liderzy rynku, którzy zaproponują usługi i produkty dla małych i średnich przedsiębiorstw w celu spełnienia wym</w:t>
            </w:r>
            <w:r w:rsidR="00493908">
              <w:rPr>
                <w:rFonts w:ascii="Times New Roman" w:eastAsia="Times New Roman" w:hAnsi="Times New Roman" w:cs="Times New Roman"/>
                <w:color w:val="000000"/>
                <w:sz w:val="22"/>
                <w:szCs w:val="22"/>
              </w:rPr>
              <w:t>agań</w:t>
            </w:r>
            <w:r w:rsidR="003B63A5">
              <w:rPr>
                <w:rFonts w:ascii="Times New Roman" w:eastAsia="Times New Roman" w:hAnsi="Times New Roman" w:cs="Times New Roman"/>
                <w:color w:val="000000"/>
                <w:sz w:val="22"/>
                <w:szCs w:val="22"/>
              </w:rPr>
              <w:t xml:space="preserve"> </w:t>
            </w:r>
            <w:r w:rsidR="003B63A5">
              <w:rPr>
                <w:rFonts w:ascii="Times New Roman" w:hAnsi="Times New Roman" w:cs="Times New Roman"/>
                <w:sz w:val="22"/>
                <w:szCs w:val="22"/>
              </w:rPr>
              <w:t>projektowanej</w:t>
            </w:r>
            <w:r w:rsidRPr="00474B94">
              <w:rPr>
                <w:rFonts w:ascii="Times New Roman" w:eastAsia="Times New Roman" w:hAnsi="Times New Roman" w:cs="Times New Roman"/>
                <w:color w:val="000000"/>
                <w:sz w:val="22"/>
                <w:szCs w:val="22"/>
              </w:rPr>
              <w:t xml:space="preserve"> ustawy. Co istotne największe koszty prac badawczo</w:t>
            </w:r>
            <w:r w:rsidR="0019665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rozwojowych związanych z opracowaniem nowych rozwiązań będą w głównej mierze poniesione przez duże przedsiębiorstwa.</w:t>
            </w:r>
          </w:p>
          <w:p w14:paraId="4CBF02BC" w14:textId="5B9E6000" w:rsidR="00EC4C5C" w:rsidRPr="00FE2ECE" w:rsidRDefault="00474B94" w:rsidP="00CA4FB5">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 xml:space="preserve">Oczekuje się, że wdrożenie dyrektywy </w:t>
            </w:r>
            <w:r w:rsidR="00196653">
              <w:rPr>
                <w:rFonts w:ascii="Times New Roman" w:eastAsia="Times New Roman" w:hAnsi="Times New Roman" w:cs="Times New Roman"/>
                <w:color w:val="000000"/>
                <w:sz w:val="22"/>
                <w:szCs w:val="22"/>
              </w:rPr>
              <w:t xml:space="preserve">2019/882 </w:t>
            </w:r>
            <w:r w:rsidRPr="00474B94">
              <w:rPr>
                <w:rFonts w:ascii="Times New Roman" w:eastAsia="Times New Roman" w:hAnsi="Times New Roman" w:cs="Times New Roman"/>
                <w:color w:val="000000"/>
                <w:sz w:val="22"/>
                <w:szCs w:val="22"/>
              </w:rPr>
              <w:t>będzie sprzyjało stymulowani</w:t>
            </w:r>
            <w:r w:rsidR="00E17821">
              <w:rPr>
                <w:rFonts w:ascii="Times New Roman" w:eastAsia="Times New Roman" w:hAnsi="Times New Roman" w:cs="Times New Roman"/>
                <w:color w:val="000000"/>
                <w:sz w:val="22"/>
                <w:szCs w:val="22"/>
              </w:rPr>
              <w:t>u</w:t>
            </w:r>
            <w:r w:rsidRPr="00474B94">
              <w:rPr>
                <w:rFonts w:ascii="Times New Roman" w:eastAsia="Times New Roman" w:hAnsi="Times New Roman" w:cs="Times New Roman"/>
                <w:color w:val="000000"/>
                <w:sz w:val="22"/>
                <w:szCs w:val="22"/>
              </w:rPr>
              <w:t xml:space="preserve"> popytu na nowe usługi i produkty oraz upowszechnieni</w:t>
            </w:r>
            <w:r w:rsidR="00E17821">
              <w:rPr>
                <w:rFonts w:ascii="Times New Roman" w:eastAsia="Times New Roman" w:hAnsi="Times New Roman" w:cs="Times New Roman"/>
                <w:color w:val="000000"/>
                <w:sz w:val="22"/>
                <w:szCs w:val="22"/>
              </w:rPr>
              <w:t>u</w:t>
            </w:r>
            <w:r w:rsidRPr="00474B94">
              <w:rPr>
                <w:rFonts w:ascii="Times New Roman" w:eastAsia="Times New Roman" w:hAnsi="Times New Roman" w:cs="Times New Roman"/>
                <w:color w:val="000000"/>
                <w:sz w:val="22"/>
                <w:szCs w:val="22"/>
              </w:rPr>
              <w:t xml:space="preserve"> zakupów przez Internet. Badani przypuszczają, iż wdrożenie dyrektywy</w:t>
            </w:r>
            <w:r w:rsidR="00196653">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xml:space="preserve"> może stanowić impuls do powstawania nowych instytucji. Ważne będzie też pogłębienie się współpracy między sektorem prywatnym </w:t>
            </w:r>
            <w:r w:rsidR="00C034AD">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 xml:space="preserve">i publicznym. Uczestnicy badania przypuszczają, iż dyrektywa </w:t>
            </w:r>
            <w:r w:rsidR="00196653">
              <w:rPr>
                <w:rFonts w:ascii="Times New Roman" w:eastAsia="Times New Roman" w:hAnsi="Times New Roman" w:cs="Times New Roman"/>
                <w:color w:val="000000"/>
                <w:sz w:val="22"/>
                <w:szCs w:val="22"/>
              </w:rPr>
              <w:t xml:space="preserve">2019/882 </w:t>
            </w:r>
            <w:r w:rsidRPr="00474B94">
              <w:rPr>
                <w:rFonts w:ascii="Times New Roman" w:eastAsia="Times New Roman" w:hAnsi="Times New Roman" w:cs="Times New Roman"/>
                <w:color w:val="000000"/>
                <w:sz w:val="22"/>
                <w:szCs w:val="22"/>
              </w:rPr>
              <w:t>może stanowić impuls do powstania nowych produktów i nowych przedsiębiorstw, które będą dedykowan</w:t>
            </w:r>
            <w:r w:rsidR="0024487E">
              <w:rPr>
                <w:rFonts w:ascii="Times New Roman" w:eastAsia="Times New Roman" w:hAnsi="Times New Roman" w:cs="Times New Roman"/>
                <w:color w:val="000000"/>
                <w:sz w:val="22"/>
                <w:szCs w:val="22"/>
              </w:rPr>
              <w:t>e</w:t>
            </w:r>
            <w:r w:rsidRPr="00474B94">
              <w:rPr>
                <w:rFonts w:ascii="Times New Roman" w:eastAsia="Times New Roman" w:hAnsi="Times New Roman" w:cs="Times New Roman"/>
                <w:color w:val="000000"/>
                <w:sz w:val="22"/>
                <w:szCs w:val="22"/>
              </w:rPr>
              <w:t xml:space="preserve"> dla klientów indywidualnych oraz dla klientów biznesowych (planujących dostosować swoje biznesy do nowych przepisów). Można też się spodziewać, iż pojawią się certyfikaty dla produktów, usług, przedsiębiorstw świadczące o stosowaniu dobrych praktyk w zakresie dostępności dla o</w:t>
            </w:r>
            <w:r w:rsidR="00BF35EA">
              <w:rPr>
                <w:rFonts w:ascii="Times New Roman" w:eastAsia="Times New Roman" w:hAnsi="Times New Roman" w:cs="Times New Roman"/>
                <w:color w:val="000000"/>
                <w:sz w:val="22"/>
                <w:szCs w:val="22"/>
              </w:rPr>
              <w:t>sób ze szczególnymi potrzebami.</w:t>
            </w:r>
          </w:p>
        </w:tc>
      </w:tr>
      <w:tr w:rsidR="00EC4C5C" w14:paraId="6BA5A391" w14:textId="77777777" w:rsidTr="000A0DBF">
        <w:trPr>
          <w:trHeight w:val="142"/>
        </w:trPr>
        <w:tc>
          <w:tcPr>
            <w:tcW w:w="1596" w:type="dxa"/>
            <w:vMerge/>
            <w:shd w:val="clear" w:color="auto" w:fill="FFFFFF"/>
          </w:tcPr>
          <w:p w14:paraId="5774AC2D"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31FE10BE" w14:textId="05DA1BA8" w:rsidR="00EC4C5C" w:rsidRPr="00FE2ECE" w:rsidRDefault="00515863" w:rsidP="00A05EC1">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sidRPr="00FE2ECE">
              <w:rPr>
                <w:rFonts w:ascii="Times New Roman" w:eastAsia="Times New Roman" w:hAnsi="Times New Roman" w:cs="Times New Roman"/>
                <w:color w:val="000000"/>
                <w:sz w:val="22"/>
                <w:szCs w:val="22"/>
              </w:rPr>
              <w:t>sektor mikro-, małych i</w:t>
            </w:r>
            <w:r w:rsidR="00A05EC1">
              <w:rPr>
                <w:rFonts w:ascii="Times New Roman" w:eastAsia="Times New Roman" w:hAnsi="Times New Roman" w:cs="Times New Roman"/>
                <w:color w:val="000000"/>
                <w:sz w:val="22"/>
                <w:szCs w:val="22"/>
              </w:rPr>
              <w:t> </w:t>
            </w:r>
            <w:r w:rsidRPr="00FE2ECE">
              <w:rPr>
                <w:rFonts w:ascii="Times New Roman" w:eastAsia="Times New Roman" w:hAnsi="Times New Roman" w:cs="Times New Roman"/>
                <w:color w:val="000000"/>
                <w:sz w:val="22"/>
                <w:szCs w:val="22"/>
              </w:rPr>
              <w:t>średnich przedsiębiorstw</w:t>
            </w:r>
          </w:p>
        </w:tc>
        <w:tc>
          <w:tcPr>
            <w:tcW w:w="7058" w:type="dxa"/>
            <w:gridSpan w:val="22"/>
            <w:shd w:val="clear" w:color="auto" w:fill="FFFFFF"/>
          </w:tcPr>
          <w:p w14:paraId="7AD50D0E" w14:textId="448FA6CB" w:rsidR="00842F96" w:rsidRPr="00590999" w:rsidRDefault="00842F96" w:rsidP="00842F96">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590999">
              <w:rPr>
                <w:rFonts w:ascii="Times New Roman" w:eastAsia="Times New Roman" w:hAnsi="Times New Roman" w:cs="Times New Roman"/>
                <w:color w:val="000000"/>
                <w:sz w:val="22"/>
                <w:szCs w:val="22"/>
              </w:rPr>
              <w:t xml:space="preserve">Zgodnie z </w:t>
            </w:r>
            <w:r w:rsidR="00CF246D">
              <w:rPr>
                <w:rFonts w:ascii="Times New Roman" w:eastAsia="Times New Roman" w:hAnsi="Times New Roman" w:cs="Times New Roman"/>
                <w:color w:val="000000"/>
                <w:sz w:val="22"/>
                <w:szCs w:val="22"/>
              </w:rPr>
              <w:t>analizą</w:t>
            </w:r>
            <w:r w:rsidRPr="00590999">
              <w:rPr>
                <w:rFonts w:ascii="Times New Roman" w:eastAsia="Times New Roman" w:hAnsi="Times New Roman" w:cs="Times New Roman"/>
                <w:color w:val="000000"/>
                <w:sz w:val="22"/>
                <w:szCs w:val="22"/>
              </w:rPr>
              <w:t xml:space="preserve"> zlecon</w:t>
            </w:r>
            <w:r w:rsidR="00CF246D">
              <w:rPr>
                <w:rFonts w:ascii="Times New Roman" w:eastAsia="Times New Roman" w:hAnsi="Times New Roman" w:cs="Times New Roman"/>
                <w:color w:val="000000"/>
                <w:sz w:val="22"/>
                <w:szCs w:val="22"/>
              </w:rPr>
              <w:t>ą</w:t>
            </w:r>
            <w:r w:rsidRPr="00590999">
              <w:rPr>
                <w:rFonts w:ascii="Times New Roman" w:eastAsia="Times New Roman" w:hAnsi="Times New Roman" w:cs="Times New Roman"/>
                <w:color w:val="000000"/>
                <w:sz w:val="22"/>
                <w:szCs w:val="22"/>
              </w:rPr>
              <w:t xml:space="preserve"> przez </w:t>
            </w:r>
            <w:proofErr w:type="spellStart"/>
            <w:r w:rsidRPr="00590999">
              <w:rPr>
                <w:rFonts w:ascii="Times New Roman" w:eastAsia="Times New Roman" w:hAnsi="Times New Roman" w:cs="Times New Roman"/>
                <w:color w:val="000000"/>
                <w:sz w:val="22"/>
                <w:szCs w:val="22"/>
              </w:rPr>
              <w:t>MFiPR</w:t>
            </w:r>
            <w:proofErr w:type="spellEnd"/>
            <w:r w:rsidR="00CA22F7">
              <w:rPr>
                <w:rFonts w:ascii="Times New Roman" w:eastAsia="Times New Roman" w:hAnsi="Times New Roman" w:cs="Times New Roman"/>
                <w:color w:val="000000"/>
                <w:sz w:val="22"/>
                <w:szCs w:val="22"/>
              </w:rPr>
              <w:t>,</w:t>
            </w:r>
            <w:r w:rsidRPr="00590999">
              <w:rPr>
                <w:rFonts w:ascii="Times New Roman" w:eastAsia="Times New Roman" w:hAnsi="Times New Roman" w:cs="Times New Roman"/>
                <w:color w:val="000000"/>
                <w:sz w:val="22"/>
                <w:szCs w:val="22"/>
              </w:rPr>
              <w:t xml:space="preserve"> spodziewany jest wzrost liczby klientów w wyniku poprawy dostępności produktów i usług oraz wzrost korzyści finansowych (np. wzrost obrotów, marży zysku, zwiększeni</w:t>
            </w:r>
            <w:r w:rsidR="000F0CDB">
              <w:rPr>
                <w:rFonts w:ascii="Times New Roman" w:eastAsia="Times New Roman" w:hAnsi="Times New Roman" w:cs="Times New Roman"/>
                <w:color w:val="000000"/>
                <w:sz w:val="22"/>
                <w:szCs w:val="22"/>
              </w:rPr>
              <w:t>e</w:t>
            </w:r>
            <w:r w:rsidRPr="00590999">
              <w:rPr>
                <w:rFonts w:ascii="Times New Roman" w:eastAsia="Times New Roman" w:hAnsi="Times New Roman" w:cs="Times New Roman"/>
                <w:color w:val="000000"/>
                <w:sz w:val="22"/>
                <w:szCs w:val="22"/>
              </w:rPr>
              <w:t xml:space="preserve"> udziału w rynku itp.). Szkolenie personelu w zakresie obowiązujących wym</w:t>
            </w:r>
            <w:r w:rsidR="00493908">
              <w:rPr>
                <w:rFonts w:ascii="Times New Roman" w:eastAsia="Times New Roman" w:hAnsi="Times New Roman" w:cs="Times New Roman"/>
                <w:color w:val="000000"/>
                <w:sz w:val="22"/>
                <w:szCs w:val="22"/>
              </w:rPr>
              <w:t>agań</w:t>
            </w:r>
            <w:r w:rsidRPr="00590999">
              <w:rPr>
                <w:rFonts w:ascii="Times New Roman" w:eastAsia="Times New Roman" w:hAnsi="Times New Roman" w:cs="Times New Roman"/>
                <w:color w:val="000000"/>
                <w:sz w:val="22"/>
                <w:szCs w:val="22"/>
              </w:rPr>
              <w:t xml:space="preserve"> dotyczących dostępności i umiejętności ich stosowania będzie znaczącym czynnikiem działalności </w:t>
            </w:r>
            <w:r w:rsidR="000F0CDB">
              <w:rPr>
                <w:rFonts w:ascii="Times New Roman" w:eastAsia="Times New Roman" w:hAnsi="Times New Roman" w:cs="Times New Roman"/>
                <w:color w:val="000000"/>
                <w:sz w:val="22"/>
                <w:szCs w:val="22"/>
              </w:rPr>
              <w:t>przedsiębiorstw</w:t>
            </w:r>
            <w:r w:rsidRPr="00590999">
              <w:rPr>
                <w:rFonts w:ascii="Times New Roman" w:eastAsia="Times New Roman" w:hAnsi="Times New Roman" w:cs="Times New Roman"/>
                <w:color w:val="000000"/>
                <w:sz w:val="22"/>
                <w:szCs w:val="22"/>
              </w:rPr>
              <w:t xml:space="preserve">. </w:t>
            </w:r>
            <w:r w:rsidR="000F0CDB">
              <w:rPr>
                <w:rFonts w:ascii="Times New Roman" w:eastAsia="Times New Roman" w:hAnsi="Times New Roman" w:cs="Times New Roman"/>
                <w:sz w:val="22"/>
                <w:szCs w:val="22"/>
              </w:rPr>
              <w:t>Możliwy jest wzrost poziomu zatrudnienia w przedsiębiorstwach</w:t>
            </w:r>
            <w:r w:rsidR="000F0CDB" w:rsidRPr="00300D62">
              <w:rPr>
                <w:rFonts w:ascii="Times New Roman" w:eastAsia="Times New Roman" w:hAnsi="Times New Roman" w:cs="Times New Roman"/>
                <w:sz w:val="22"/>
                <w:szCs w:val="22"/>
              </w:rPr>
              <w:t xml:space="preserve"> </w:t>
            </w:r>
            <w:r w:rsidR="000F0CDB">
              <w:rPr>
                <w:rFonts w:ascii="Times New Roman" w:eastAsia="Times New Roman" w:hAnsi="Times New Roman" w:cs="Times New Roman"/>
                <w:sz w:val="22"/>
                <w:szCs w:val="22"/>
              </w:rPr>
              <w:t xml:space="preserve">w związku z koniecznością ich </w:t>
            </w:r>
            <w:r w:rsidR="000F0CDB" w:rsidRPr="00300D62">
              <w:rPr>
                <w:rFonts w:ascii="Times New Roman" w:eastAsia="Times New Roman" w:hAnsi="Times New Roman" w:cs="Times New Roman"/>
                <w:sz w:val="22"/>
                <w:szCs w:val="22"/>
              </w:rPr>
              <w:t>przygotowa</w:t>
            </w:r>
            <w:r w:rsidR="000F0CDB">
              <w:rPr>
                <w:rFonts w:ascii="Times New Roman" w:eastAsia="Times New Roman" w:hAnsi="Times New Roman" w:cs="Times New Roman"/>
                <w:sz w:val="22"/>
                <w:szCs w:val="22"/>
              </w:rPr>
              <w:t>nia się</w:t>
            </w:r>
            <w:r w:rsidR="000F0CDB" w:rsidRPr="00300D62">
              <w:rPr>
                <w:rFonts w:ascii="Times New Roman" w:eastAsia="Times New Roman" w:hAnsi="Times New Roman" w:cs="Times New Roman"/>
                <w:sz w:val="22"/>
                <w:szCs w:val="22"/>
              </w:rPr>
              <w:t xml:space="preserve"> do nowych obowiązków wynikających z </w:t>
            </w:r>
            <w:r w:rsidR="003B63A5">
              <w:rPr>
                <w:rFonts w:ascii="Times New Roman" w:hAnsi="Times New Roman" w:cs="Times New Roman"/>
                <w:sz w:val="22"/>
                <w:szCs w:val="22"/>
              </w:rPr>
              <w:t>projektowanej</w:t>
            </w:r>
            <w:r w:rsidR="003B63A5" w:rsidRPr="00474B94">
              <w:rPr>
                <w:rFonts w:ascii="Times New Roman" w:eastAsia="Times New Roman" w:hAnsi="Times New Roman" w:cs="Times New Roman"/>
                <w:color w:val="000000"/>
                <w:sz w:val="22"/>
                <w:szCs w:val="22"/>
              </w:rPr>
              <w:t xml:space="preserve"> </w:t>
            </w:r>
            <w:r w:rsidR="000F0CDB" w:rsidRPr="00300D62">
              <w:rPr>
                <w:rFonts w:ascii="Times New Roman" w:eastAsia="Times New Roman" w:hAnsi="Times New Roman" w:cs="Times New Roman"/>
                <w:sz w:val="22"/>
                <w:szCs w:val="22"/>
              </w:rPr>
              <w:t>ustawy.</w:t>
            </w:r>
            <w:r w:rsidRPr="00590999">
              <w:rPr>
                <w:rFonts w:ascii="Times New Roman" w:eastAsia="Times New Roman" w:hAnsi="Times New Roman" w:cs="Times New Roman"/>
                <w:color w:val="000000"/>
                <w:sz w:val="22"/>
                <w:szCs w:val="22"/>
              </w:rPr>
              <w:t xml:space="preserve"> Koszty regulacji wpłyną szczególnie na następujące branże: handel elektroniczny (wym</w:t>
            </w:r>
            <w:r w:rsidR="00493908">
              <w:rPr>
                <w:rFonts w:ascii="Times New Roman" w:eastAsia="Times New Roman" w:hAnsi="Times New Roman" w:cs="Times New Roman"/>
                <w:color w:val="000000"/>
                <w:sz w:val="22"/>
                <w:szCs w:val="22"/>
              </w:rPr>
              <w:t>agania</w:t>
            </w:r>
            <w:r w:rsidRPr="00590999">
              <w:rPr>
                <w:rFonts w:ascii="Times New Roman" w:eastAsia="Times New Roman" w:hAnsi="Times New Roman" w:cs="Times New Roman"/>
                <w:color w:val="000000"/>
                <w:sz w:val="22"/>
                <w:szCs w:val="22"/>
              </w:rPr>
              <w:t xml:space="preserve"> dyrektywy mają zastosowanie do internetowej sprzedaży wszelkich produktów lub usług, nie tylko tych objętych zakresem przedmiotowym dyrektywy</w:t>
            </w:r>
            <w:r w:rsidR="00C034AD">
              <w:rPr>
                <w:rFonts w:ascii="Times New Roman" w:eastAsia="Times New Roman" w:hAnsi="Times New Roman" w:cs="Times New Roman"/>
                <w:color w:val="000000"/>
                <w:sz w:val="22"/>
                <w:szCs w:val="22"/>
              </w:rPr>
              <w:t xml:space="preserve"> 2019/882</w:t>
            </w:r>
            <w:r w:rsidRPr="00590999">
              <w:rPr>
                <w:rFonts w:ascii="Times New Roman" w:eastAsia="Times New Roman" w:hAnsi="Times New Roman" w:cs="Times New Roman"/>
                <w:color w:val="000000"/>
                <w:sz w:val="22"/>
                <w:szCs w:val="22"/>
              </w:rPr>
              <w:t xml:space="preserve">), produkcja systemów sprzętu komputerowego wraz z systemami operacyjnymi do nich (np. komputery osobiste, komputery stacjonarne, laptopy, smartfony i tablety, bez specjalistycznych komputerów wbudowanych w </w:t>
            </w:r>
            <w:r>
              <w:rPr>
                <w:rFonts w:ascii="Times New Roman" w:eastAsia="Times New Roman" w:hAnsi="Times New Roman" w:cs="Times New Roman"/>
                <w:color w:val="000000"/>
                <w:sz w:val="22"/>
                <w:szCs w:val="22"/>
              </w:rPr>
              <w:t>produkty elektroniki użytkowej),</w:t>
            </w:r>
            <w:r w:rsidRPr="00590999">
              <w:rPr>
                <w:rFonts w:ascii="Times New Roman" w:eastAsia="Times New Roman" w:hAnsi="Times New Roman" w:cs="Times New Roman"/>
                <w:color w:val="000000"/>
                <w:sz w:val="22"/>
                <w:szCs w:val="22"/>
              </w:rPr>
              <w:t xml:space="preserve"> świadczenie wybranych usług bankowości detalicznej (</w:t>
            </w:r>
            <w:r>
              <w:rPr>
                <w:rFonts w:ascii="Times New Roman" w:eastAsia="Times New Roman" w:hAnsi="Times New Roman" w:cs="Times New Roman"/>
                <w:color w:val="000000"/>
                <w:sz w:val="22"/>
                <w:szCs w:val="22"/>
              </w:rPr>
              <w:t xml:space="preserve">w tym dostępność </w:t>
            </w:r>
            <w:r w:rsidRPr="00590999">
              <w:rPr>
                <w:rFonts w:ascii="Times New Roman" w:eastAsia="Times New Roman" w:hAnsi="Times New Roman" w:cs="Times New Roman"/>
                <w:color w:val="000000"/>
                <w:sz w:val="22"/>
                <w:szCs w:val="22"/>
              </w:rPr>
              <w:t xml:space="preserve">metod identyfikacji, podpisu elektronicznego i usług płatniczych, ponieważ są to elementy niezbędne do zawarcia transakcji w bankowości detalicznej). </w:t>
            </w:r>
          </w:p>
          <w:p w14:paraId="5A62CF97" w14:textId="793560F3"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 xml:space="preserve">Na podstawie wyników badania opinii przedsiębiorców w analizie zleconej przez </w:t>
            </w:r>
            <w:proofErr w:type="spellStart"/>
            <w:r w:rsidRPr="00474B94">
              <w:rPr>
                <w:rFonts w:ascii="Times New Roman" w:eastAsia="Times New Roman" w:hAnsi="Times New Roman" w:cs="Times New Roman"/>
                <w:color w:val="000000"/>
                <w:sz w:val="22"/>
                <w:szCs w:val="22"/>
              </w:rPr>
              <w:t>MFiPR</w:t>
            </w:r>
            <w:proofErr w:type="spellEnd"/>
            <w:r w:rsidRPr="00474B94">
              <w:rPr>
                <w:rFonts w:ascii="Times New Roman" w:eastAsia="Times New Roman" w:hAnsi="Times New Roman" w:cs="Times New Roman"/>
                <w:color w:val="000000"/>
                <w:sz w:val="22"/>
                <w:szCs w:val="22"/>
              </w:rPr>
              <w:t xml:space="preserve"> najwięcej korzyści z wdrożenia dyrektywy</w:t>
            </w:r>
            <w:r w:rsidR="00C034AD">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xml:space="preserve"> powinni odnieść sektor handlu elektronicznego, dostawcy stron internetowych oraz twórcy aplikacji mobilnych. Przedstawiciele wszystkich głównych branż uważają, iż w największym stopniu dodatkowe koszty zostaną poniesione </w:t>
            </w:r>
            <w:r w:rsidR="00216A1C">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na szkolenie personelu.</w:t>
            </w:r>
          </w:p>
          <w:p w14:paraId="1BC2B74A" w14:textId="0FD53A60" w:rsidR="00250D1A" w:rsidRPr="00250D1A" w:rsidRDefault="00250D1A" w:rsidP="00250D1A">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250D1A">
              <w:rPr>
                <w:rFonts w:ascii="Times New Roman" w:eastAsia="Times New Roman" w:hAnsi="Times New Roman" w:cs="Times New Roman"/>
                <w:color w:val="000000"/>
                <w:sz w:val="22"/>
                <w:szCs w:val="22"/>
              </w:rPr>
              <w:t xml:space="preserve">Branża systemów sprzętu komputerowego wraz z systemami operacyjnymi do nich oczekuje największych korzyści finansowych oraz wykazuje największy optymizm związany ze wzrostem liczby klientów i wzrostem przychodów. Firmy związane ze sprzętem komputerowym zgadzały się </w:t>
            </w:r>
            <w:r w:rsidR="00216A1C">
              <w:rPr>
                <w:rFonts w:ascii="Times New Roman" w:eastAsia="Times New Roman" w:hAnsi="Times New Roman" w:cs="Times New Roman"/>
                <w:color w:val="000000"/>
                <w:sz w:val="22"/>
                <w:szCs w:val="22"/>
              </w:rPr>
              <w:br/>
            </w:r>
            <w:r w:rsidRPr="00250D1A">
              <w:rPr>
                <w:rFonts w:ascii="Times New Roman" w:eastAsia="Times New Roman" w:hAnsi="Times New Roman" w:cs="Times New Roman"/>
                <w:color w:val="000000"/>
                <w:sz w:val="22"/>
                <w:szCs w:val="22"/>
              </w:rPr>
              <w:t xml:space="preserve">ze stwierdzeniem, że </w:t>
            </w:r>
            <w:r w:rsidR="003B63A5">
              <w:rPr>
                <w:rFonts w:ascii="Times New Roman" w:hAnsi="Times New Roman" w:cs="Times New Roman"/>
                <w:sz w:val="22"/>
                <w:szCs w:val="22"/>
              </w:rPr>
              <w:t>projektowana</w:t>
            </w:r>
            <w:r w:rsidR="003B63A5" w:rsidRPr="00474B94">
              <w:rPr>
                <w:rFonts w:ascii="Times New Roman" w:eastAsia="Times New Roman" w:hAnsi="Times New Roman" w:cs="Times New Roman"/>
                <w:color w:val="000000"/>
                <w:sz w:val="22"/>
                <w:szCs w:val="22"/>
              </w:rPr>
              <w:t xml:space="preserve"> </w:t>
            </w:r>
            <w:r w:rsidR="004A1F2C">
              <w:rPr>
                <w:rFonts w:ascii="Times New Roman" w:eastAsia="Times New Roman" w:hAnsi="Times New Roman" w:cs="Times New Roman"/>
                <w:color w:val="000000"/>
                <w:sz w:val="22"/>
                <w:szCs w:val="22"/>
              </w:rPr>
              <w:t>ustawa</w:t>
            </w:r>
            <w:r w:rsidR="00216A1C">
              <w:rPr>
                <w:rFonts w:ascii="Times New Roman" w:eastAsia="Times New Roman" w:hAnsi="Times New Roman" w:cs="Times New Roman"/>
                <w:color w:val="000000"/>
                <w:sz w:val="22"/>
                <w:szCs w:val="22"/>
              </w:rPr>
              <w:t xml:space="preserve"> </w:t>
            </w:r>
            <w:r w:rsidRPr="00250D1A">
              <w:rPr>
                <w:rFonts w:ascii="Times New Roman" w:eastAsia="Times New Roman" w:hAnsi="Times New Roman" w:cs="Times New Roman"/>
                <w:color w:val="000000"/>
                <w:sz w:val="22"/>
                <w:szCs w:val="22"/>
              </w:rPr>
              <w:t xml:space="preserve">utrudni funkcjonowanie ich firm, </w:t>
            </w:r>
            <w:r w:rsidR="00216A1C">
              <w:rPr>
                <w:rFonts w:ascii="Times New Roman" w:eastAsia="Times New Roman" w:hAnsi="Times New Roman" w:cs="Times New Roman"/>
                <w:color w:val="000000"/>
                <w:sz w:val="22"/>
                <w:szCs w:val="22"/>
              </w:rPr>
              <w:br/>
            </w:r>
            <w:r w:rsidRPr="00250D1A">
              <w:rPr>
                <w:rFonts w:ascii="Times New Roman" w:eastAsia="Times New Roman" w:hAnsi="Times New Roman" w:cs="Times New Roman"/>
                <w:color w:val="000000"/>
                <w:sz w:val="22"/>
                <w:szCs w:val="22"/>
              </w:rPr>
              <w:lastRenderedPageBreak/>
              <w:t xml:space="preserve">ale jednocześnie dostrzegali, że będzie miała pozytywny wpływ </w:t>
            </w:r>
            <w:r w:rsidR="00216A1C">
              <w:rPr>
                <w:rFonts w:ascii="Times New Roman" w:eastAsia="Times New Roman" w:hAnsi="Times New Roman" w:cs="Times New Roman"/>
                <w:color w:val="000000"/>
                <w:sz w:val="22"/>
                <w:szCs w:val="22"/>
              </w:rPr>
              <w:br/>
            </w:r>
            <w:r w:rsidRPr="00250D1A">
              <w:rPr>
                <w:rFonts w:ascii="Times New Roman" w:eastAsia="Times New Roman" w:hAnsi="Times New Roman" w:cs="Times New Roman"/>
                <w:color w:val="000000"/>
                <w:sz w:val="22"/>
                <w:szCs w:val="22"/>
              </w:rPr>
              <w:t>na funkcjonowanie gospodarki.</w:t>
            </w:r>
          </w:p>
          <w:p w14:paraId="17FE46C9" w14:textId="7DE945A8" w:rsidR="00250D1A" w:rsidRPr="00250D1A" w:rsidRDefault="00250D1A" w:rsidP="00250D1A">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250D1A">
              <w:rPr>
                <w:rFonts w:ascii="Times New Roman" w:eastAsia="Times New Roman" w:hAnsi="Times New Roman" w:cs="Times New Roman"/>
                <w:color w:val="000000"/>
                <w:sz w:val="22"/>
                <w:szCs w:val="22"/>
              </w:rPr>
              <w:t xml:space="preserve">Branża handlu elektronicznego w niewielkim stopniu w porównaniu </w:t>
            </w:r>
            <w:r w:rsidR="00216A1C">
              <w:rPr>
                <w:rFonts w:ascii="Times New Roman" w:eastAsia="Times New Roman" w:hAnsi="Times New Roman" w:cs="Times New Roman"/>
                <w:color w:val="000000"/>
                <w:sz w:val="22"/>
                <w:szCs w:val="22"/>
              </w:rPr>
              <w:br/>
            </w:r>
            <w:r w:rsidRPr="00250D1A">
              <w:rPr>
                <w:rFonts w:ascii="Times New Roman" w:eastAsia="Times New Roman" w:hAnsi="Times New Roman" w:cs="Times New Roman"/>
                <w:color w:val="000000"/>
                <w:sz w:val="22"/>
                <w:szCs w:val="22"/>
              </w:rPr>
              <w:t xml:space="preserve">do pozostałych branż widzi potencjalny wpływ </w:t>
            </w:r>
            <w:r w:rsidR="003B63A5">
              <w:rPr>
                <w:rFonts w:ascii="Times New Roman" w:eastAsia="Times New Roman" w:hAnsi="Times New Roman" w:cs="Times New Roman"/>
                <w:color w:val="000000"/>
                <w:sz w:val="22"/>
                <w:szCs w:val="22"/>
              </w:rPr>
              <w:t xml:space="preserve">projektu </w:t>
            </w:r>
            <w:r w:rsidR="004A1F2C">
              <w:rPr>
                <w:rFonts w:ascii="Times New Roman" w:eastAsia="Times New Roman" w:hAnsi="Times New Roman" w:cs="Times New Roman"/>
                <w:color w:val="000000"/>
                <w:sz w:val="22"/>
                <w:szCs w:val="22"/>
              </w:rPr>
              <w:t>ustawy</w:t>
            </w:r>
            <w:r w:rsidR="00216A1C">
              <w:rPr>
                <w:rFonts w:ascii="Times New Roman" w:eastAsia="Times New Roman" w:hAnsi="Times New Roman" w:cs="Times New Roman"/>
                <w:color w:val="000000"/>
                <w:sz w:val="22"/>
                <w:szCs w:val="22"/>
              </w:rPr>
              <w:t xml:space="preserve"> </w:t>
            </w:r>
            <w:r w:rsidRPr="00250D1A">
              <w:rPr>
                <w:rFonts w:ascii="Times New Roman" w:eastAsia="Times New Roman" w:hAnsi="Times New Roman" w:cs="Times New Roman"/>
                <w:color w:val="000000"/>
                <w:sz w:val="22"/>
                <w:szCs w:val="22"/>
              </w:rPr>
              <w:t>na powstawanie nowych kosztów.</w:t>
            </w:r>
          </w:p>
          <w:p w14:paraId="10EE49A4" w14:textId="363D2A3E" w:rsidR="00474B94" w:rsidRPr="00474B94" w:rsidRDefault="00250D1A" w:rsidP="00250D1A">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250D1A">
              <w:rPr>
                <w:rFonts w:ascii="Times New Roman" w:eastAsia="Times New Roman" w:hAnsi="Times New Roman" w:cs="Times New Roman"/>
                <w:color w:val="000000"/>
                <w:sz w:val="22"/>
                <w:szCs w:val="22"/>
              </w:rPr>
              <w:t>Branża usług bankowości detalicznej w mniejszym stopniu do pozostałych branż widzi potencjalny wpływ dyrektywy</w:t>
            </w:r>
            <w:r w:rsidR="00216A1C">
              <w:rPr>
                <w:rFonts w:ascii="Times New Roman" w:eastAsia="Times New Roman" w:hAnsi="Times New Roman" w:cs="Times New Roman"/>
                <w:color w:val="000000"/>
                <w:sz w:val="22"/>
                <w:szCs w:val="22"/>
              </w:rPr>
              <w:t xml:space="preserve"> 2019/882</w:t>
            </w:r>
            <w:r w:rsidRPr="00250D1A">
              <w:rPr>
                <w:rFonts w:ascii="Times New Roman" w:eastAsia="Times New Roman" w:hAnsi="Times New Roman" w:cs="Times New Roman"/>
                <w:color w:val="000000"/>
                <w:sz w:val="22"/>
                <w:szCs w:val="22"/>
              </w:rPr>
              <w:t xml:space="preserve"> na powstawanie nowych kosztów. Ta branża dodatkowo uwzględniła w grupie najważniejszych dodatkowych kosztów koszty marketingowe. Przedstawiciele tej branży w</w:t>
            </w:r>
            <w:r w:rsidR="00A05EC1">
              <w:rPr>
                <w:rFonts w:ascii="Times New Roman" w:eastAsia="Times New Roman" w:hAnsi="Times New Roman" w:cs="Times New Roman"/>
                <w:color w:val="000000"/>
                <w:sz w:val="22"/>
                <w:szCs w:val="22"/>
              </w:rPr>
              <w:t> </w:t>
            </w:r>
            <w:r w:rsidRPr="00250D1A">
              <w:rPr>
                <w:rFonts w:ascii="Times New Roman" w:eastAsia="Times New Roman" w:hAnsi="Times New Roman" w:cs="Times New Roman"/>
                <w:color w:val="000000"/>
                <w:sz w:val="22"/>
                <w:szCs w:val="22"/>
              </w:rPr>
              <w:t>najmniejszym stopniu dostrzegali zarówno pozytywny, jak i negatywny wpływ na ich działalność kwestii związanych z dyrektywą</w:t>
            </w:r>
            <w:r w:rsidR="00216A1C">
              <w:rPr>
                <w:rFonts w:ascii="Times New Roman" w:eastAsia="Times New Roman" w:hAnsi="Times New Roman" w:cs="Times New Roman"/>
                <w:color w:val="000000"/>
                <w:sz w:val="22"/>
                <w:szCs w:val="22"/>
              </w:rPr>
              <w:t xml:space="preserve"> 2019/882</w:t>
            </w:r>
            <w:r w:rsidRPr="00250D1A">
              <w:rPr>
                <w:rFonts w:ascii="Times New Roman" w:eastAsia="Times New Roman" w:hAnsi="Times New Roman" w:cs="Times New Roman"/>
                <w:color w:val="000000"/>
                <w:sz w:val="22"/>
                <w:szCs w:val="22"/>
              </w:rPr>
              <w:t>.</w:t>
            </w:r>
            <w:r w:rsidR="004A1F2C">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Przedsiębiorcy, którzy prowadzili działalność usługową</w:t>
            </w:r>
            <w:r w:rsidR="00160D38">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dostrzegali korzyści wynikające z dostosowania swojej oferty do przepisów dyrektywy</w:t>
            </w:r>
            <w:r w:rsidR="00160D38">
              <w:rPr>
                <w:rFonts w:ascii="Times New Roman" w:eastAsia="Times New Roman" w:hAnsi="Times New Roman" w:cs="Times New Roman"/>
                <w:color w:val="000000"/>
                <w:sz w:val="22"/>
                <w:szCs w:val="22"/>
              </w:rPr>
              <w:t xml:space="preserve"> </w:t>
            </w:r>
            <w:r w:rsidR="00ED3193">
              <w:rPr>
                <w:rFonts w:ascii="Times New Roman" w:eastAsia="Times New Roman" w:hAnsi="Times New Roman" w:cs="Times New Roman"/>
                <w:color w:val="000000"/>
                <w:sz w:val="22"/>
                <w:szCs w:val="22"/>
              </w:rPr>
              <w:t>2019/882</w:t>
            </w:r>
            <w:r w:rsidR="00474B94" w:rsidRPr="00474B94">
              <w:rPr>
                <w:rFonts w:ascii="Times New Roman" w:eastAsia="Times New Roman" w:hAnsi="Times New Roman" w:cs="Times New Roman"/>
                <w:color w:val="000000"/>
                <w:sz w:val="22"/>
                <w:szCs w:val="22"/>
              </w:rPr>
              <w:t xml:space="preserve">, </w:t>
            </w:r>
            <w:r w:rsidR="00ED3193">
              <w:rPr>
                <w:rFonts w:ascii="Times New Roman" w:eastAsia="Times New Roman" w:hAnsi="Times New Roman" w:cs="Times New Roman"/>
                <w:color w:val="000000"/>
                <w:sz w:val="22"/>
                <w:szCs w:val="22"/>
              </w:rPr>
              <w:t>natomiast</w:t>
            </w:r>
            <w:r w:rsidR="00ED3193" w:rsidRPr="00474B94">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najmniej potencjalne korzyści dostrzegali importerzy. Może to wynikać z tego, iż w branżach o wysokiej konkurencyjności, których grupą docelową są klienci indywidualni</w:t>
            </w:r>
            <w:r w:rsidR="004A1F2C">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szczególnego znaczenia nabierają wszelkie modyfikacje stwarzające możliwość pokazania wartości dodanej dostarczanej klientom.</w:t>
            </w:r>
          </w:p>
          <w:p w14:paraId="208BCA08" w14:textId="1D0A5F52"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Firmy będące upoważnionymi przedstawicielami dostrzegały dodatkowe koszty związane z wdrożeniem dyrektywy, takie jak</w:t>
            </w:r>
            <w:r w:rsidR="009608A7">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koszty marketingu </w:t>
            </w:r>
            <w:r w:rsidR="00216A1C">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i reklamy (w tym także działań marketingowych związanych z handlem transgranicznym), szkoleń personelu oraz zatrudnienia dodatkowego personelu. Producenci stanowili drugą grupę silnie dostrzegającą dodatkowe koszty wdrożenia dyrektywy</w:t>
            </w:r>
            <w:r w:rsidR="00216A1C">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głównie związane z projektowaniem nowych towarów i usług i ich produkcją. Importerzy to grupa przedsiębiorców najmniej dostrzegająca prawdopodobieństwo dodatkowych kosztów.</w:t>
            </w:r>
          </w:p>
          <w:p w14:paraId="2DD26A40" w14:textId="1DE22E63" w:rsidR="00474B94" w:rsidRPr="00474B94" w:rsidRDefault="00E742D5"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w:t>
            </w:r>
            <w:r w:rsidRPr="00E742D5">
              <w:rPr>
                <w:rFonts w:ascii="Times New Roman" w:eastAsia="Times New Roman" w:hAnsi="Times New Roman" w:cs="Times New Roman"/>
                <w:color w:val="000000"/>
                <w:sz w:val="22"/>
                <w:szCs w:val="22"/>
              </w:rPr>
              <w:t>ikro</w:t>
            </w:r>
            <w:r w:rsidR="005B62FE">
              <w:rPr>
                <w:rFonts w:ascii="Times New Roman" w:eastAsia="Times New Roman" w:hAnsi="Times New Roman" w:cs="Times New Roman"/>
                <w:color w:val="000000"/>
                <w:sz w:val="22"/>
                <w:szCs w:val="22"/>
              </w:rPr>
              <w:t>-</w:t>
            </w:r>
            <w:r w:rsidRPr="00E742D5">
              <w:rPr>
                <w:rFonts w:ascii="Times New Roman" w:eastAsia="Times New Roman" w:hAnsi="Times New Roman" w:cs="Times New Roman"/>
                <w:color w:val="000000"/>
                <w:sz w:val="22"/>
                <w:szCs w:val="22"/>
              </w:rPr>
              <w:t xml:space="preserve"> i mali przedsiębiorcy</w:t>
            </w:r>
            <w:r w:rsidR="00474B94" w:rsidRPr="00474B94">
              <w:rPr>
                <w:rFonts w:ascii="Times New Roman" w:eastAsia="Times New Roman" w:hAnsi="Times New Roman" w:cs="Times New Roman"/>
                <w:color w:val="000000"/>
                <w:sz w:val="22"/>
                <w:szCs w:val="22"/>
              </w:rPr>
              <w:t xml:space="preserve"> w </w:t>
            </w:r>
            <w:r>
              <w:rPr>
                <w:rFonts w:ascii="Times New Roman" w:eastAsia="Times New Roman" w:hAnsi="Times New Roman" w:cs="Times New Roman"/>
                <w:color w:val="000000"/>
                <w:sz w:val="22"/>
                <w:szCs w:val="22"/>
              </w:rPr>
              <w:t>małym</w:t>
            </w:r>
            <w:r w:rsidR="00474B94" w:rsidRPr="00474B94">
              <w:rPr>
                <w:rFonts w:ascii="Times New Roman" w:eastAsia="Times New Roman" w:hAnsi="Times New Roman" w:cs="Times New Roman"/>
                <w:color w:val="000000"/>
                <w:sz w:val="22"/>
                <w:szCs w:val="22"/>
              </w:rPr>
              <w:t xml:space="preserve"> stopniu dostrzega</w:t>
            </w:r>
            <w:r>
              <w:rPr>
                <w:rFonts w:ascii="Times New Roman" w:eastAsia="Times New Roman" w:hAnsi="Times New Roman" w:cs="Times New Roman"/>
                <w:color w:val="000000"/>
                <w:sz w:val="22"/>
                <w:szCs w:val="22"/>
              </w:rPr>
              <w:t>li</w:t>
            </w:r>
            <w:r w:rsidR="00474B94" w:rsidRPr="00474B94">
              <w:rPr>
                <w:rFonts w:ascii="Times New Roman" w:eastAsia="Times New Roman" w:hAnsi="Times New Roman" w:cs="Times New Roman"/>
                <w:color w:val="000000"/>
                <w:sz w:val="22"/>
                <w:szCs w:val="22"/>
              </w:rPr>
              <w:t xml:space="preserve"> pozytywne</w:t>
            </w:r>
            <w:r>
              <w:rPr>
                <w:rFonts w:ascii="Times New Roman" w:eastAsia="Times New Roman" w:hAnsi="Times New Roman" w:cs="Times New Roman"/>
                <w:color w:val="000000"/>
                <w:sz w:val="22"/>
                <w:szCs w:val="22"/>
              </w:rPr>
              <w:t xml:space="preserve"> strony implementacji dyrektywy</w:t>
            </w:r>
            <w:r w:rsidR="00AF5DB5">
              <w:rPr>
                <w:rFonts w:ascii="Times New Roman" w:eastAsia="Times New Roman" w:hAnsi="Times New Roman" w:cs="Times New Roman"/>
                <w:color w:val="000000"/>
                <w:sz w:val="22"/>
                <w:szCs w:val="22"/>
              </w:rPr>
              <w:t xml:space="preserve"> 2019/882</w:t>
            </w:r>
            <w:r>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w:t>
            </w:r>
            <w:r w:rsidRPr="00E742D5">
              <w:rPr>
                <w:rFonts w:ascii="Times New Roman" w:eastAsia="Times New Roman" w:hAnsi="Times New Roman" w:cs="Times New Roman"/>
                <w:color w:val="000000"/>
                <w:sz w:val="22"/>
                <w:szCs w:val="22"/>
              </w:rPr>
              <w:t>ikroprzedsiębiorcy</w:t>
            </w:r>
            <w:proofErr w:type="spellEnd"/>
            <w:r w:rsidR="00474B94" w:rsidRPr="00474B94">
              <w:rPr>
                <w:rFonts w:ascii="Times New Roman" w:eastAsia="Times New Roman" w:hAnsi="Times New Roman" w:cs="Times New Roman"/>
                <w:color w:val="000000"/>
                <w:sz w:val="22"/>
                <w:szCs w:val="22"/>
              </w:rPr>
              <w:t xml:space="preserve"> w </w:t>
            </w:r>
            <w:r>
              <w:rPr>
                <w:rFonts w:ascii="Times New Roman" w:eastAsia="Times New Roman" w:hAnsi="Times New Roman" w:cs="Times New Roman"/>
                <w:color w:val="000000"/>
                <w:sz w:val="22"/>
                <w:szCs w:val="22"/>
              </w:rPr>
              <w:t>najmniejszym</w:t>
            </w:r>
            <w:r w:rsidR="00474B94" w:rsidRPr="00474B94">
              <w:rPr>
                <w:rFonts w:ascii="Times New Roman" w:eastAsia="Times New Roman" w:hAnsi="Times New Roman" w:cs="Times New Roman"/>
                <w:color w:val="000000"/>
                <w:sz w:val="22"/>
                <w:szCs w:val="22"/>
              </w:rPr>
              <w:t xml:space="preserve"> stopniu dostrzegali prawdopodobieństwo pojawienia się dodatkowych kosztów wyn</w:t>
            </w:r>
            <w:r>
              <w:rPr>
                <w:rFonts w:ascii="Times New Roman" w:eastAsia="Times New Roman" w:hAnsi="Times New Roman" w:cs="Times New Roman"/>
                <w:color w:val="000000"/>
                <w:sz w:val="22"/>
                <w:szCs w:val="22"/>
              </w:rPr>
              <w:t>ikających z wdrożenia dyrektywy</w:t>
            </w:r>
            <w:r w:rsidR="00ED3193">
              <w:rPr>
                <w:rFonts w:ascii="Times New Roman" w:eastAsia="Times New Roman" w:hAnsi="Times New Roman" w:cs="Times New Roman"/>
                <w:color w:val="000000"/>
                <w:sz w:val="22"/>
                <w:szCs w:val="22"/>
              </w:rPr>
              <w:t xml:space="preserve"> 2019/882</w:t>
            </w:r>
            <w:r>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Można zauważyć zależność, iż podmioty, które w największym stopniu będą zobowiązane do stosowania dyrektywy ze względu na wielkość swoich przedsiębiorstw</w:t>
            </w:r>
            <w:r w:rsidR="009608A7">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z</w:t>
            </w:r>
            <w:r w:rsidR="00A05EC1">
              <w:rPr>
                <w:rFonts w:ascii="Times New Roman" w:eastAsia="Times New Roman" w:hAnsi="Times New Roman" w:cs="Times New Roman"/>
                <w:color w:val="000000"/>
                <w:sz w:val="22"/>
                <w:szCs w:val="22"/>
              </w:rPr>
              <w:t> </w:t>
            </w:r>
            <w:r w:rsidR="00474B94" w:rsidRPr="00474B94">
              <w:rPr>
                <w:rFonts w:ascii="Times New Roman" w:eastAsia="Times New Roman" w:hAnsi="Times New Roman" w:cs="Times New Roman"/>
                <w:color w:val="000000"/>
                <w:sz w:val="22"/>
                <w:szCs w:val="22"/>
              </w:rPr>
              <w:t>jednej strony są najbardziej optymistycznie nastawione do potencjalnych korzyści z jej wdrożenia</w:t>
            </w:r>
            <w:r w:rsidR="00AF5DB5">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z drugiej strony najbardziej dostrzegają skalę potencjalnych kosztów. Można też zauważyć, iż </w:t>
            </w:r>
            <w:proofErr w:type="spellStart"/>
            <w:r w:rsidR="00474B94" w:rsidRPr="00474B94">
              <w:rPr>
                <w:rFonts w:ascii="Times New Roman" w:eastAsia="Times New Roman" w:hAnsi="Times New Roman" w:cs="Times New Roman"/>
                <w:color w:val="000000"/>
                <w:sz w:val="22"/>
                <w:szCs w:val="22"/>
              </w:rPr>
              <w:t>mikroprzedsiębiorcy</w:t>
            </w:r>
            <w:proofErr w:type="spellEnd"/>
            <w:r w:rsidR="00474B94" w:rsidRPr="00474B94">
              <w:rPr>
                <w:rFonts w:ascii="Times New Roman" w:eastAsia="Times New Roman" w:hAnsi="Times New Roman" w:cs="Times New Roman"/>
                <w:color w:val="000000"/>
                <w:sz w:val="22"/>
                <w:szCs w:val="22"/>
              </w:rPr>
              <w:t xml:space="preserve"> (dostawcy usług), którzy nie będą musieli stosować dyrektywy</w:t>
            </w:r>
            <w:r w:rsidR="00AF5DB5">
              <w:rPr>
                <w:rFonts w:ascii="Times New Roman" w:eastAsia="Times New Roman" w:hAnsi="Times New Roman" w:cs="Times New Roman"/>
                <w:color w:val="000000"/>
                <w:sz w:val="22"/>
                <w:szCs w:val="22"/>
              </w:rPr>
              <w:t xml:space="preserve"> 2019/882</w:t>
            </w:r>
            <w:r w:rsidR="005B62FE">
              <w:rPr>
                <w:rFonts w:ascii="Times New Roman" w:eastAsia="Times New Roman" w:hAnsi="Times New Roman" w:cs="Times New Roman"/>
                <w:color w:val="000000"/>
                <w:sz w:val="22"/>
                <w:szCs w:val="22"/>
              </w:rPr>
              <w:t>,</w:t>
            </w:r>
            <w:r w:rsidR="00474B94" w:rsidRPr="00474B94">
              <w:rPr>
                <w:rFonts w:ascii="Times New Roman" w:eastAsia="Times New Roman" w:hAnsi="Times New Roman" w:cs="Times New Roman"/>
                <w:color w:val="000000"/>
                <w:sz w:val="22"/>
                <w:szCs w:val="22"/>
              </w:rPr>
              <w:t xml:space="preserve"> najmniej dostrzegają zarówno korzyści, jak</w:t>
            </w:r>
            <w:r w:rsidR="00ED3193">
              <w:rPr>
                <w:rFonts w:ascii="Times New Roman" w:eastAsia="Times New Roman" w:hAnsi="Times New Roman" w:cs="Times New Roman"/>
                <w:color w:val="000000"/>
                <w:sz w:val="22"/>
                <w:szCs w:val="22"/>
              </w:rPr>
              <w:t xml:space="preserve"> </w:t>
            </w:r>
            <w:r w:rsidR="00474B94" w:rsidRPr="00474B94">
              <w:rPr>
                <w:rFonts w:ascii="Times New Roman" w:eastAsia="Times New Roman" w:hAnsi="Times New Roman" w:cs="Times New Roman"/>
                <w:color w:val="000000"/>
                <w:sz w:val="22"/>
                <w:szCs w:val="22"/>
              </w:rPr>
              <w:t>i potencjalne koszty.</w:t>
            </w:r>
          </w:p>
          <w:p w14:paraId="7C42EED1" w14:textId="77777777"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 xml:space="preserve">W aspekcie spodziewanych korzyści zarówno w zakresie wzrostu liczby klientów, jak i przypływów finansowych najmniej optymistyczni </w:t>
            </w:r>
            <w:r w:rsidR="00D650A9">
              <w:rPr>
                <w:rFonts w:ascii="Times New Roman" w:eastAsia="Times New Roman" w:hAnsi="Times New Roman" w:cs="Times New Roman"/>
                <w:color w:val="000000"/>
                <w:sz w:val="22"/>
                <w:szCs w:val="22"/>
              </w:rPr>
              <w:t xml:space="preserve">byli </w:t>
            </w:r>
            <w:proofErr w:type="spellStart"/>
            <w:r w:rsidRPr="00474B94">
              <w:rPr>
                <w:rFonts w:ascii="Times New Roman" w:eastAsia="Times New Roman" w:hAnsi="Times New Roman" w:cs="Times New Roman"/>
                <w:color w:val="000000"/>
                <w:sz w:val="22"/>
                <w:szCs w:val="22"/>
              </w:rPr>
              <w:t>mikroprzedsiębiorcy</w:t>
            </w:r>
            <w:proofErr w:type="spellEnd"/>
            <w:r w:rsidRPr="00474B94">
              <w:rPr>
                <w:rFonts w:ascii="Times New Roman" w:eastAsia="Times New Roman" w:hAnsi="Times New Roman" w:cs="Times New Roman"/>
                <w:color w:val="000000"/>
                <w:sz w:val="22"/>
                <w:szCs w:val="22"/>
              </w:rPr>
              <w:t xml:space="preserve">. </w:t>
            </w:r>
            <w:r w:rsidR="0092162C">
              <w:rPr>
                <w:rFonts w:ascii="Times New Roman" w:eastAsia="Times New Roman" w:hAnsi="Times New Roman" w:cs="Times New Roman"/>
                <w:color w:val="000000"/>
                <w:sz w:val="22"/>
                <w:szCs w:val="22"/>
              </w:rPr>
              <w:t>W</w:t>
            </w:r>
            <w:r w:rsidRPr="00474B94">
              <w:rPr>
                <w:rFonts w:ascii="Times New Roman" w:eastAsia="Times New Roman" w:hAnsi="Times New Roman" w:cs="Times New Roman"/>
                <w:color w:val="000000"/>
                <w:sz w:val="22"/>
                <w:szCs w:val="22"/>
              </w:rPr>
              <w:t xml:space="preserve">skaźnik optymizmu będący pochodną oczekiwanych wzrostów i wcześniejszych doświadczeń respondentów uzyskał największą wartość w przypadku </w:t>
            </w:r>
            <w:proofErr w:type="spellStart"/>
            <w:r w:rsidRPr="00474B94">
              <w:rPr>
                <w:rFonts w:ascii="Times New Roman" w:eastAsia="Times New Roman" w:hAnsi="Times New Roman" w:cs="Times New Roman"/>
                <w:color w:val="000000"/>
                <w:sz w:val="22"/>
                <w:szCs w:val="22"/>
              </w:rPr>
              <w:t>mikroprzedsiębiorców</w:t>
            </w:r>
            <w:proofErr w:type="spellEnd"/>
            <w:r w:rsidRPr="00474B94">
              <w:rPr>
                <w:rFonts w:ascii="Times New Roman" w:eastAsia="Times New Roman" w:hAnsi="Times New Roman" w:cs="Times New Roman"/>
                <w:color w:val="000000"/>
                <w:sz w:val="22"/>
                <w:szCs w:val="22"/>
              </w:rPr>
              <w:t>.</w:t>
            </w:r>
          </w:p>
          <w:p w14:paraId="2ED0B266" w14:textId="0754CC9E"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Rozbieżności w krajowych wym</w:t>
            </w:r>
            <w:r w:rsidR="00493908">
              <w:rPr>
                <w:rFonts w:ascii="Times New Roman" w:eastAsia="Times New Roman" w:hAnsi="Times New Roman" w:cs="Times New Roman"/>
                <w:color w:val="000000"/>
                <w:sz w:val="22"/>
                <w:szCs w:val="22"/>
              </w:rPr>
              <w:t>aganiach</w:t>
            </w:r>
            <w:r w:rsidRPr="00474B94">
              <w:rPr>
                <w:rFonts w:ascii="Times New Roman" w:eastAsia="Times New Roman" w:hAnsi="Times New Roman" w:cs="Times New Roman"/>
                <w:color w:val="000000"/>
                <w:sz w:val="22"/>
                <w:szCs w:val="22"/>
              </w:rPr>
              <w:t xml:space="preserve"> dostępności aktualnie generują wyższe koszty dla wszystkich typów podmiotów gospodarczych, ale dla mikroprzedsiębiorstw i MŚP stanowią one relatywnie wyższe koszty niż dla dużych podmiotów gospodarczych. MŚP będzie dysponować mniejszymi zasobami w celu uzyskania wiedzy specjalistycznej w zakresie obowiązujących przepisów lub norm technicznych niż duży podmiot gospodarczy, a także będzie mniej przygotowane do przeprowadzania testów i przeprowadzania kontroli oraz analizy ryzyka w zakresie swoich towarów </w:t>
            </w:r>
            <w:r w:rsidR="00AF5DB5">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 xml:space="preserve">i usług. Te rozbieżności, dzięki implementacji dyrektywy </w:t>
            </w:r>
            <w:r w:rsidR="0027415B">
              <w:rPr>
                <w:rFonts w:ascii="Times New Roman" w:eastAsia="Times New Roman" w:hAnsi="Times New Roman" w:cs="Times New Roman"/>
                <w:color w:val="000000"/>
                <w:sz w:val="22"/>
                <w:szCs w:val="22"/>
              </w:rPr>
              <w:t>2019/882</w:t>
            </w:r>
            <w:r w:rsidR="00ED3193">
              <w:rPr>
                <w:rFonts w:ascii="Times New Roman" w:eastAsia="Times New Roman" w:hAnsi="Times New Roman" w:cs="Times New Roman"/>
                <w:color w:val="000000"/>
                <w:sz w:val="22"/>
                <w:szCs w:val="22"/>
              </w:rPr>
              <w:t>,</w:t>
            </w:r>
            <w:r w:rsidR="0027415B">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 xml:space="preserve">zostaną wyeliminowane i przyniosą pozytywne skutki dla wszystkich typów podmiotów gospodarczych. </w:t>
            </w:r>
          </w:p>
          <w:p w14:paraId="1758D13E" w14:textId="0C0873A9"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 xml:space="preserve">Należy podkreślić, że obowiązywanie wspólnych, jasnych zasad w UE ułatwi MŚP wejście na nowe rynki w innych państwach członkowskich </w:t>
            </w:r>
            <w:r w:rsidR="00ED3193">
              <w:rPr>
                <w:rFonts w:ascii="Times New Roman" w:eastAsia="Times New Roman" w:hAnsi="Times New Roman" w:cs="Times New Roman"/>
                <w:color w:val="000000"/>
                <w:sz w:val="22"/>
                <w:szCs w:val="22"/>
              </w:rPr>
              <w:t xml:space="preserve">UE </w:t>
            </w:r>
            <w:r w:rsidRPr="00474B94">
              <w:rPr>
                <w:rFonts w:ascii="Times New Roman" w:eastAsia="Times New Roman" w:hAnsi="Times New Roman" w:cs="Times New Roman"/>
                <w:color w:val="000000"/>
                <w:sz w:val="22"/>
                <w:szCs w:val="22"/>
              </w:rPr>
              <w:t xml:space="preserve">bez konieczności dostosowania zgodności ich produktów i przeznaczania dodatkowych środków finansowych na porady techniczne i prawne. </w:t>
            </w:r>
          </w:p>
          <w:p w14:paraId="455FF75D" w14:textId="77777777"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lastRenderedPageBreak/>
              <w:t>Jedną z kluczowych korzyści wynikających z dyrektywy</w:t>
            </w:r>
            <w:r w:rsidR="00D554E0">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xml:space="preserve"> </w:t>
            </w:r>
            <w:r w:rsidR="00D554E0">
              <w:rPr>
                <w:rFonts w:ascii="Times New Roman" w:eastAsia="Times New Roman" w:hAnsi="Times New Roman" w:cs="Times New Roman"/>
                <w:color w:val="000000"/>
                <w:sz w:val="22"/>
                <w:szCs w:val="22"/>
              </w:rPr>
              <w:br/>
            </w:r>
            <w:r w:rsidRPr="00474B94">
              <w:rPr>
                <w:rFonts w:ascii="Times New Roman" w:eastAsia="Times New Roman" w:hAnsi="Times New Roman" w:cs="Times New Roman"/>
                <w:color w:val="000000"/>
                <w:sz w:val="22"/>
                <w:szCs w:val="22"/>
              </w:rPr>
              <w:t xml:space="preserve">dla dostawców produktów i usług związanych z wdrożeniem regulacji jest </w:t>
            </w:r>
            <w:proofErr w:type="spellStart"/>
            <w:r w:rsidRPr="00474B94">
              <w:rPr>
                <w:rFonts w:ascii="Times New Roman" w:eastAsia="Times New Roman" w:hAnsi="Times New Roman" w:cs="Times New Roman"/>
                <w:color w:val="000000"/>
                <w:sz w:val="22"/>
                <w:szCs w:val="22"/>
              </w:rPr>
              <w:t>transgraniczność</w:t>
            </w:r>
            <w:proofErr w:type="spellEnd"/>
            <w:r w:rsidR="00596E06">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w:t>
            </w:r>
            <w:r w:rsidR="00596E06">
              <w:rPr>
                <w:rFonts w:ascii="Times New Roman" w:eastAsia="Times New Roman" w:hAnsi="Times New Roman" w:cs="Times New Roman"/>
                <w:color w:val="000000"/>
                <w:sz w:val="22"/>
                <w:szCs w:val="22"/>
              </w:rPr>
              <w:t>U</w:t>
            </w:r>
            <w:r w:rsidRPr="00474B94">
              <w:rPr>
                <w:rFonts w:ascii="Times New Roman" w:eastAsia="Times New Roman" w:hAnsi="Times New Roman" w:cs="Times New Roman"/>
                <w:color w:val="000000"/>
                <w:sz w:val="22"/>
                <w:szCs w:val="22"/>
              </w:rPr>
              <w:t>możliwi to otwarcie nowych rynków konsumentów. Jednak może pojawić się także ryzyko konkurencji ze strony innych organizacji.</w:t>
            </w:r>
          </w:p>
          <w:p w14:paraId="0DA17B56" w14:textId="65D5D70F"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Za opracowanie rozwiązań umożliwiających dostosowanie produktów i usług do wym</w:t>
            </w:r>
            <w:r w:rsidR="00493908">
              <w:rPr>
                <w:rFonts w:ascii="Times New Roman" w:eastAsia="Times New Roman" w:hAnsi="Times New Roman" w:cs="Times New Roman"/>
                <w:color w:val="000000"/>
                <w:sz w:val="22"/>
                <w:szCs w:val="22"/>
              </w:rPr>
              <w:t>agań</w:t>
            </w:r>
            <w:r w:rsidRPr="00474B94">
              <w:rPr>
                <w:rFonts w:ascii="Times New Roman" w:eastAsia="Times New Roman" w:hAnsi="Times New Roman" w:cs="Times New Roman"/>
                <w:color w:val="000000"/>
                <w:sz w:val="22"/>
                <w:szCs w:val="22"/>
              </w:rPr>
              <w:t xml:space="preserve"> dostępności będą odpowiedzialni liderzy rynku, którzy zaproponują usługi i produkty dla małych i średnich przedsiębiorstw w celu spełnienia wym</w:t>
            </w:r>
            <w:r w:rsidR="00493908">
              <w:rPr>
                <w:rFonts w:ascii="Times New Roman" w:eastAsia="Times New Roman" w:hAnsi="Times New Roman" w:cs="Times New Roman"/>
                <w:color w:val="000000"/>
                <w:sz w:val="22"/>
                <w:szCs w:val="22"/>
              </w:rPr>
              <w:t>agań</w:t>
            </w:r>
            <w:r w:rsidRPr="00474B94">
              <w:rPr>
                <w:rFonts w:ascii="Times New Roman" w:eastAsia="Times New Roman" w:hAnsi="Times New Roman" w:cs="Times New Roman"/>
                <w:color w:val="000000"/>
                <w:sz w:val="22"/>
                <w:szCs w:val="22"/>
              </w:rPr>
              <w:t xml:space="preserve"> </w:t>
            </w:r>
            <w:r w:rsidR="003B63A5">
              <w:rPr>
                <w:rFonts w:ascii="Times New Roman" w:hAnsi="Times New Roman" w:cs="Times New Roman"/>
                <w:sz w:val="22"/>
                <w:szCs w:val="22"/>
              </w:rPr>
              <w:t>projektowanej</w:t>
            </w:r>
            <w:r w:rsidR="003B63A5" w:rsidRPr="00474B94">
              <w:rPr>
                <w:rFonts w:ascii="Times New Roman" w:eastAsia="Times New Roman" w:hAnsi="Times New Roman" w:cs="Times New Roman"/>
                <w:color w:val="000000"/>
                <w:sz w:val="22"/>
                <w:szCs w:val="22"/>
              </w:rPr>
              <w:t xml:space="preserve"> </w:t>
            </w:r>
            <w:r w:rsidRPr="00474B94">
              <w:rPr>
                <w:rFonts w:ascii="Times New Roman" w:eastAsia="Times New Roman" w:hAnsi="Times New Roman" w:cs="Times New Roman"/>
                <w:color w:val="000000"/>
                <w:sz w:val="22"/>
                <w:szCs w:val="22"/>
              </w:rPr>
              <w:t>ustawy. Co istotne</w:t>
            </w:r>
            <w:r w:rsidR="008962B8">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największe koszty prac badawczo</w:t>
            </w:r>
            <w:r w:rsidR="004A1F2C">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rozwojowych, związanych z opracowaniem nowych rozwiązań, będą w głównej mierze poniesione przez duże przedsiębiorstwa.</w:t>
            </w:r>
          </w:p>
          <w:p w14:paraId="07054FD6" w14:textId="0C63F7C6"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Małe przedsiębiorstwa mogą okazać się bardzo innowacyjne w zakresie opracowywania dostępnej oferty dla osób z</w:t>
            </w:r>
            <w:r w:rsidR="00D554E0">
              <w:rPr>
                <w:rFonts w:ascii="Times New Roman" w:eastAsia="Times New Roman" w:hAnsi="Times New Roman" w:cs="Times New Roman"/>
                <w:color w:val="000000"/>
                <w:sz w:val="22"/>
                <w:szCs w:val="22"/>
              </w:rPr>
              <w:t>e szczególnymi potrzebami</w:t>
            </w:r>
            <w:r w:rsidRPr="00474B94">
              <w:rPr>
                <w:rFonts w:ascii="Times New Roman" w:eastAsia="Times New Roman" w:hAnsi="Times New Roman" w:cs="Times New Roman"/>
                <w:color w:val="000000"/>
                <w:sz w:val="22"/>
                <w:szCs w:val="22"/>
              </w:rPr>
              <w:t>. Mogą też powstać nowe podmioty</w:t>
            </w:r>
            <w:r w:rsidR="00AC275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które będą się specjalizować w rozwiązaniach oferowanych dla innych klientów biznesowych</w:t>
            </w:r>
            <w:r w:rsidR="00AC275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pozwalających na uzyskanie zgodności z dyrektywą</w:t>
            </w:r>
            <w:r w:rsidR="00AC2753">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w:t>
            </w:r>
          </w:p>
          <w:p w14:paraId="71D4840E" w14:textId="1910CAA2" w:rsidR="00474B94" w:rsidRPr="00474B94" w:rsidRDefault="00474B94" w:rsidP="00474B9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Oczekuje się, że wdrożenie dyrekty</w:t>
            </w:r>
            <w:r w:rsidR="00B507D2">
              <w:rPr>
                <w:rFonts w:ascii="Times New Roman" w:eastAsia="Times New Roman" w:hAnsi="Times New Roman" w:cs="Times New Roman"/>
                <w:color w:val="000000"/>
                <w:sz w:val="22"/>
                <w:szCs w:val="22"/>
              </w:rPr>
              <w:t>wy</w:t>
            </w:r>
            <w:r w:rsidR="00CA1FD0">
              <w:rPr>
                <w:rFonts w:ascii="Times New Roman" w:eastAsia="Times New Roman" w:hAnsi="Times New Roman" w:cs="Times New Roman"/>
                <w:color w:val="000000"/>
                <w:sz w:val="22"/>
                <w:szCs w:val="22"/>
              </w:rPr>
              <w:t xml:space="preserve"> 2019/882</w:t>
            </w:r>
            <w:r w:rsidR="00B507D2">
              <w:rPr>
                <w:rFonts w:ascii="Times New Roman" w:eastAsia="Times New Roman" w:hAnsi="Times New Roman" w:cs="Times New Roman"/>
                <w:color w:val="000000"/>
                <w:sz w:val="22"/>
                <w:szCs w:val="22"/>
              </w:rPr>
              <w:t xml:space="preserve"> będzie sprzyjało stymulowaniu</w:t>
            </w:r>
            <w:r w:rsidRPr="00474B94">
              <w:rPr>
                <w:rFonts w:ascii="Times New Roman" w:eastAsia="Times New Roman" w:hAnsi="Times New Roman" w:cs="Times New Roman"/>
                <w:color w:val="000000"/>
                <w:sz w:val="22"/>
                <w:szCs w:val="22"/>
              </w:rPr>
              <w:t xml:space="preserve"> popytu na nowe usługi i produkty oraz upowszechnieni</w:t>
            </w:r>
            <w:r w:rsidR="004046D2">
              <w:rPr>
                <w:rFonts w:ascii="Times New Roman" w:eastAsia="Times New Roman" w:hAnsi="Times New Roman" w:cs="Times New Roman"/>
                <w:color w:val="000000"/>
                <w:sz w:val="22"/>
                <w:szCs w:val="22"/>
              </w:rPr>
              <w:t>u</w:t>
            </w:r>
            <w:r w:rsidRPr="00474B94">
              <w:rPr>
                <w:rFonts w:ascii="Times New Roman" w:eastAsia="Times New Roman" w:hAnsi="Times New Roman" w:cs="Times New Roman"/>
                <w:color w:val="000000"/>
                <w:sz w:val="22"/>
                <w:szCs w:val="22"/>
              </w:rPr>
              <w:t xml:space="preserve"> się zakupów przez Internet. Badani przypuszczają, iż wdrożenie dyrektywy </w:t>
            </w:r>
            <w:r w:rsidR="00AC2753">
              <w:rPr>
                <w:rFonts w:ascii="Times New Roman" w:eastAsia="Times New Roman" w:hAnsi="Times New Roman" w:cs="Times New Roman"/>
                <w:color w:val="000000"/>
                <w:sz w:val="22"/>
                <w:szCs w:val="22"/>
              </w:rPr>
              <w:t xml:space="preserve">2019/882 </w:t>
            </w:r>
            <w:r w:rsidRPr="00474B94">
              <w:rPr>
                <w:rFonts w:ascii="Times New Roman" w:eastAsia="Times New Roman" w:hAnsi="Times New Roman" w:cs="Times New Roman"/>
                <w:color w:val="000000"/>
                <w:sz w:val="22"/>
                <w:szCs w:val="22"/>
              </w:rPr>
              <w:t>może stanowić impuls do powstawania nowych instytucji. Ważne będzie też pogłębienie się współpracy między sektorem prywatnym i</w:t>
            </w:r>
            <w:r w:rsidR="00A05EC1">
              <w:rPr>
                <w:rFonts w:ascii="Times New Roman" w:eastAsia="Times New Roman" w:hAnsi="Times New Roman" w:cs="Times New Roman"/>
                <w:color w:val="000000"/>
                <w:sz w:val="22"/>
                <w:szCs w:val="22"/>
              </w:rPr>
              <w:t> </w:t>
            </w:r>
            <w:r w:rsidRPr="00474B94">
              <w:rPr>
                <w:rFonts w:ascii="Times New Roman" w:eastAsia="Times New Roman" w:hAnsi="Times New Roman" w:cs="Times New Roman"/>
                <w:color w:val="000000"/>
                <w:sz w:val="22"/>
                <w:szCs w:val="22"/>
              </w:rPr>
              <w:t xml:space="preserve">publicznym. Uczestnicy badania przypuszczają, iż dyrektywa </w:t>
            </w:r>
            <w:r w:rsidR="00AC2753">
              <w:rPr>
                <w:rFonts w:ascii="Times New Roman" w:eastAsia="Times New Roman" w:hAnsi="Times New Roman" w:cs="Times New Roman"/>
                <w:color w:val="000000"/>
                <w:sz w:val="22"/>
                <w:szCs w:val="22"/>
              </w:rPr>
              <w:t xml:space="preserve">2019/882 </w:t>
            </w:r>
            <w:r w:rsidRPr="00474B94">
              <w:rPr>
                <w:rFonts w:ascii="Times New Roman" w:eastAsia="Times New Roman" w:hAnsi="Times New Roman" w:cs="Times New Roman"/>
                <w:color w:val="000000"/>
                <w:sz w:val="22"/>
                <w:szCs w:val="22"/>
              </w:rPr>
              <w:t>może stanowić impuls do powstania nowych produktów i nowych przedsiębiorstw, które będą dedykowan</w:t>
            </w:r>
            <w:r w:rsidR="00000793">
              <w:rPr>
                <w:rFonts w:ascii="Times New Roman" w:eastAsia="Times New Roman" w:hAnsi="Times New Roman" w:cs="Times New Roman"/>
                <w:color w:val="000000"/>
                <w:sz w:val="22"/>
                <w:szCs w:val="22"/>
              </w:rPr>
              <w:t>e</w:t>
            </w:r>
            <w:r w:rsidRPr="00474B94">
              <w:rPr>
                <w:rFonts w:ascii="Times New Roman" w:eastAsia="Times New Roman" w:hAnsi="Times New Roman" w:cs="Times New Roman"/>
                <w:color w:val="000000"/>
                <w:sz w:val="22"/>
                <w:szCs w:val="22"/>
              </w:rPr>
              <w:t xml:space="preserve"> zarówno dla klientów indywidualnych</w:t>
            </w:r>
            <w:r w:rsidR="00AC2753">
              <w:rPr>
                <w:rFonts w:ascii="Times New Roman" w:eastAsia="Times New Roman" w:hAnsi="Times New Roman" w:cs="Times New Roman"/>
                <w:color w:val="000000"/>
                <w:sz w:val="22"/>
                <w:szCs w:val="22"/>
              </w:rPr>
              <w:t>, jak i</w:t>
            </w:r>
            <w:r w:rsidRPr="00474B94">
              <w:rPr>
                <w:rFonts w:ascii="Times New Roman" w:eastAsia="Times New Roman" w:hAnsi="Times New Roman" w:cs="Times New Roman"/>
                <w:color w:val="000000"/>
                <w:sz w:val="22"/>
                <w:szCs w:val="22"/>
              </w:rPr>
              <w:t xml:space="preserve"> dla klientów biznesowych (planujących dostosować swoje biznesy do nowych przepisów). Można też się spodziewać, iż pojawią się certyfikaty dla produktów, usług</w:t>
            </w:r>
            <w:r w:rsidR="00AC2753">
              <w:rPr>
                <w:rFonts w:ascii="Times New Roman" w:eastAsia="Times New Roman" w:hAnsi="Times New Roman" w:cs="Times New Roman"/>
                <w:color w:val="000000"/>
                <w:sz w:val="22"/>
                <w:szCs w:val="22"/>
              </w:rPr>
              <w:t xml:space="preserve"> i</w:t>
            </w:r>
            <w:r w:rsidRPr="00474B94">
              <w:rPr>
                <w:rFonts w:ascii="Times New Roman" w:eastAsia="Times New Roman" w:hAnsi="Times New Roman" w:cs="Times New Roman"/>
                <w:color w:val="000000"/>
                <w:sz w:val="22"/>
                <w:szCs w:val="22"/>
              </w:rPr>
              <w:t xml:space="preserve"> przedsiębiorstw</w:t>
            </w:r>
            <w:r w:rsidR="00AC2753">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xml:space="preserve"> świadczące o</w:t>
            </w:r>
            <w:r w:rsidR="00A05EC1">
              <w:rPr>
                <w:rFonts w:ascii="Times New Roman" w:eastAsia="Times New Roman" w:hAnsi="Times New Roman" w:cs="Times New Roman"/>
                <w:color w:val="000000"/>
                <w:sz w:val="22"/>
                <w:szCs w:val="22"/>
              </w:rPr>
              <w:t> </w:t>
            </w:r>
            <w:r w:rsidRPr="00474B94">
              <w:rPr>
                <w:rFonts w:ascii="Times New Roman" w:eastAsia="Times New Roman" w:hAnsi="Times New Roman" w:cs="Times New Roman"/>
                <w:color w:val="000000"/>
                <w:sz w:val="22"/>
                <w:szCs w:val="22"/>
              </w:rPr>
              <w:t>stosowaniu dobrych praktyk w zakresie dostępności dla osób ze szczególnymi potrzebami.</w:t>
            </w:r>
          </w:p>
          <w:p w14:paraId="00DAF996" w14:textId="2B1B079B" w:rsidR="00EC4C5C" w:rsidRPr="00FE2ECE" w:rsidRDefault="00474B94" w:rsidP="00A05EC1">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474B94">
              <w:rPr>
                <w:rFonts w:ascii="Times New Roman" w:eastAsia="Times New Roman" w:hAnsi="Times New Roman" w:cs="Times New Roman"/>
                <w:color w:val="000000"/>
                <w:sz w:val="22"/>
                <w:szCs w:val="22"/>
              </w:rPr>
              <w:t xml:space="preserve">Analiza potwierdziła, że wdrożenie </w:t>
            </w:r>
            <w:r w:rsidR="004A1F2C">
              <w:rPr>
                <w:rFonts w:ascii="Times New Roman" w:eastAsia="Times New Roman" w:hAnsi="Times New Roman" w:cs="Times New Roman"/>
                <w:color w:val="000000"/>
                <w:sz w:val="22"/>
                <w:szCs w:val="22"/>
              </w:rPr>
              <w:t>d</w:t>
            </w:r>
            <w:r w:rsidRPr="00474B94">
              <w:rPr>
                <w:rFonts w:ascii="Times New Roman" w:eastAsia="Times New Roman" w:hAnsi="Times New Roman" w:cs="Times New Roman"/>
                <w:color w:val="000000"/>
                <w:sz w:val="22"/>
                <w:szCs w:val="22"/>
              </w:rPr>
              <w:t>yrektywy</w:t>
            </w:r>
            <w:r w:rsidR="004A1F2C">
              <w:rPr>
                <w:rFonts w:ascii="Times New Roman" w:eastAsia="Times New Roman" w:hAnsi="Times New Roman" w:cs="Times New Roman"/>
                <w:color w:val="000000"/>
                <w:sz w:val="22"/>
                <w:szCs w:val="22"/>
              </w:rPr>
              <w:t xml:space="preserve"> 2019/882</w:t>
            </w:r>
            <w:r w:rsidRPr="00474B94">
              <w:rPr>
                <w:rFonts w:ascii="Times New Roman" w:eastAsia="Times New Roman" w:hAnsi="Times New Roman" w:cs="Times New Roman"/>
                <w:color w:val="000000"/>
                <w:sz w:val="22"/>
                <w:szCs w:val="22"/>
              </w:rPr>
              <w:t xml:space="preserve"> będzie pozytywnie bezpośrednio i pośrednio wpływać na rynek pracy oraz na rozwój konkurencyjności gospodarki i przedsiębiorczości, w tym spowoduje rozwój i</w:t>
            </w:r>
            <w:r w:rsidR="00A05EC1">
              <w:rPr>
                <w:rFonts w:ascii="Times New Roman" w:eastAsia="Times New Roman" w:hAnsi="Times New Roman" w:cs="Times New Roman"/>
                <w:color w:val="000000"/>
                <w:sz w:val="22"/>
                <w:szCs w:val="22"/>
              </w:rPr>
              <w:t> </w:t>
            </w:r>
            <w:r w:rsidRPr="00474B94">
              <w:rPr>
                <w:rFonts w:ascii="Times New Roman" w:eastAsia="Times New Roman" w:hAnsi="Times New Roman" w:cs="Times New Roman"/>
                <w:color w:val="000000"/>
                <w:sz w:val="22"/>
                <w:szCs w:val="22"/>
              </w:rPr>
              <w:t>funkcjonowanie przedsiębiorstw, z uwzględnieniem sektora mikro</w:t>
            </w:r>
            <w:r w:rsidR="00667735">
              <w:rPr>
                <w:rFonts w:ascii="Times New Roman" w:eastAsia="Times New Roman" w:hAnsi="Times New Roman" w:cs="Times New Roman"/>
                <w:color w:val="000000"/>
                <w:sz w:val="22"/>
                <w:szCs w:val="22"/>
              </w:rPr>
              <w:t>-</w:t>
            </w:r>
            <w:r w:rsidRPr="00474B94">
              <w:rPr>
                <w:rFonts w:ascii="Times New Roman" w:eastAsia="Times New Roman" w:hAnsi="Times New Roman" w:cs="Times New Roman"/>
                <w:color w:val="000000"/>
                <w:sz w:val="22"/>
                <w:szCs w:val="22"/>
              </w:rPr>
              <w:t>, małych i średnich przedsiębiorstw</w:t>
            </w:r>
            <w:r w:rsidR="004A1F2C">
              <w:rPr>
                <w:rFonts w:ascii="Times New Roman" w:eastAsia="Times New Roman" w:hAnsi="Times New Roman" w:cs="Times New Roman"/>
                <w:color w:val="000000"/>
                <w:sz w:val="22"/>
                <w:szCs w:val="22"/>
              </w:rPr>
              <w:t>.</w:t>
            </w:r>
          </w:p>
        </w:tc>
      </w:tr>
      <w:tr w:rsidR="00EC4C5C" w14:paraId="4D829148" w14:textId="77777777" w:rsidTr="000A0DBF">
        <w:trPr>
          <w:trHeight w:val="596"/>
        </w:trPr>
        <w:tc>
          <w:tcPr>
            <w:tcW w:w="1596" w:type="dxa"/>
            <w:vMerge/>
            <w:shd w:val="clear" w:color="auto" w:fill="FFFFFF"/>
          </w:tcPr>
          <w:p w14:paraId="4C80D4BB"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056DF443" w14:textId="77777777" w:rsidR="00EC4C5C" w:rsidRPr="00DC2BE7" w:rsidRDefault="00515863" w:rsidP="00FE2ECE">
            <w:pPr>
              <w:pBdr>
                <w:top w:val="nil"/>
                <w:left w:val="nil"/>
                <w:bottom w:val="nil"/>
                <w:right w:val="nil"/>
                <w:between w:val="nil"/>
              </w:pBdr>
              <w:tabs>
                <w:tab w:val="right" w:pos="1936"/>
              </w:tabs>
              <w:spacing w:before="120" w:after="120"/>
              <w:rPr>
                <w:rFonts w:ascii="Times New Roman" w:eastAsia="Times New Roman" w:hAnsi="Times New Roman" w:cs="Times New Roman"/>
                <w:color w:val="000000"/>
                <w:sz w:val="22"/>
                <w:szCs w:val="22"/>
              </w:rPr>
            </w:pPr>
            <w:r w:rsidRPr="00DC2BE7">
              <w:rPr>
                <w:rFonts w:ascii="Times New Roman" w:eastAsia="Times New Roman" w:hAnsi="Times New Roman" w:cs="Times New Roman"/>
                <w:color w:val="000000"/>
                <w:sz w:val="22"/>
                <w:szCs w:val="22"/>
              </w:rPr>
              <w:t xml:space="preserve">rodzina, obywatele oraz gospodarstwa domowe </w:t>
            </w:r>
          </w:p>
        </w:tc>
        <w:tc>
          <w:tcPr>
            <w:tcW w:w="7058" w:type="dxa"/>
            <w:gridSpan w:val="22"/>
            <w:shd w:val="clear" w:color="auto" w:fill="FFFFFF"/>
          </w:tcPr>
          <w:p w14:paraId="66405826" w14:textId="77777777" w:rsidR="00EC4C5C" w:rsidRPr="00DC2BE7" w:rsidRDefault="0023044D" w:rsidP="00667735">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DC2BE7">
              <w:rPr>
                <w:rFonts w:ascii="Times New Roman" w:eastAsia="Times New Roman" w:hAnsi="Times New Roman" w:cs="Times New Roman"/>
                <w:color w:val="000000"/>
                <w:sz w:val="22"/>
                <w:szCs w:val="22"/>
              </w:rPr>
              <w:t xml:space="preserve">Przewiduje się, że </w:t>
            </w:r>
            <w:r w:rsidR="007D17B7" w:rsidRPr="00DC2BE7">
              <w:rPr>
                <w:rFonts w:ascii="Times New Roman" w:eastAsia="Times New Roman" w:hAnsi="Times New Roman" w:cs="Times New Roman"/>
                <w:color w:val="000000"/>
                <w:sz w:val="22"/>
                <w:szCs w:val="22"/>
              </w:rPr>
              <w:t>ceny produktów i usług objętych wym</w:t>
            </w:r>
            <w:r w:rsidR="00493908">
              <w:rPr>
                <w:rFonts w:ascii="Times New Roman" w:eastAsia="Times New Roman" w:hAnsi="Times New Roman" w:cs="Times New Roman"/>
                <w:color w:val="000000"/>
                <w:sz w:val="22"/>
                <w:szCs w:val="22"/>
              </w:rPr>
              <w:t>aganiami</w:t>
            </w:r>
            <w:r w:rsidR="007D17B7" w:rsidRPr="00DC2BE7">
              <w:rPr>
                <w:rFonts w:ascii="Times New Roman" w:eastAsia="Times New Roman" w:hAnsi="Times New Roman" w:cs="Times New Roman"/>
                <w:color w:val="000000"/>
                <w:sz w:val="22"/>
                <w:szCs w:val="22"/>
              </w:rPr>
              <w:t xml:space="preserve"> dostępności </w:t>
            </w:r>
            <w:r w:rsidRPr="00DC2BE7">
              <w:rPr>
                <w:rFonts w:ascii="Times New Roman" w:eastAsia="Times New Roman" w:hAnsi="Times New Roman" w:cs="Times New Roman"/>
                <w:color w:val="000000"/>
                <w:sz w:val="22"/>
                <w:szCs w:val="22"/>
              </w:rPr>
              <w:t>nie wzrosną</w:t>
            </w:r>
            <w:r w:rsidR="005E18C8" w:rsidRPr="00DC2BE7">
              <w:rPr>
                <w:rFonts w:ascii="Times New Roman" w:eastAsia="Times New Roman" w:hAnsi="Times New Roman" w:cs="Times New Roman"/>
                <w:color w:val="000000"/>
                <w:sz w:val="22"/>
                <w:szCs w:val="22"/>
              </w:rPr>
              <w:t xml:space="preserve"> </w:t>
            </w:r>
            <w:r w:rsidR="007D17B7" w:rsidRPr="00DC2BE7">
              <w:rPr>
                <w:rFonts w:ascii="Times New Roman" w:eastAsia="Times New Roman" w:hAnsi="Times New Roman" w:cs="Times New Roman"/>
                <w:color w:val="000000"/>
                <w:sz w:val="22"/>
                <w:szCs w:val="22"/>
              </w:rPr>
              <w:t xml:space="preserve">albo </w:t>
            </w:r>
            <w:r w:rsidR="005E18C8" w:rsidRPr="00DC2BE7">
              <w:rPr>
                <w:rFonts w:ascii="Times New Roman" w:eastAsia="Times New Roman" w:hAnsi="Times New Roman" w:cs="Times New Roman"/>
                <w:color w:val="000000"/>
                <w:sz w:val="22"/>
                <w:szCs w:val="22"/>
              </w:rPr>
              <w:t>wzros</w:t>
            </w:r>
            <w:r w:rsidR="002C163B" w:rsidRPr="00DC2BE7">
              <w:rPr>
                <w:rFonts w:ascii="Times New Roman" w:eastAsia="Times New Roman" w:hAnsi="Times New Roman" w:cs="Times New Roman"/>
                <w:color w:val="000000"/>
                <w:sz w:val="22"/>
                <w:szCs w:val="22"/>
              </w:rPr>
              <w:t>ną</w:t>
            </w:r>
            <w:r w:rsidR="005E18C8" w:rsidRPr="00DC2BE7">
              <w:rPr>
                <w:rFonts w:ascii="Times New Roman" w:eastAsia="Times New Roman" w:hAnsi="Times New Roman" w:cs="Times New Roman"/>
                <w:color w:val="000000"/>
                <w:sz w:val="22"/>
                <w:szCs w:val="22"/>
              </w:rPr>
              <w:t xml:space="preserve"> tylko nieznacznie</w:t>
            </w:r>
            <w:r w:rsidR="007D17B7" w:rsidRPr="00DC2BE7">
              <w:rPr>
                <w:rFonts w:ascii="Times New Roman" w:eastAsia="Times New Roman" w:hAnsi="Times New Roman" w:cs="Times New Roman"/>
                <w:color w:val="000000"/>
                <w:sz w:val="22"/>
                <w:szCs w:val="22"/>
              </w:rPr>
              <w:t>.</w:t>
            </w:r>
            <w:r w:rsidR="005E18C8" w:rsidRPr="00DC2BE7">
              <w:rPr>
                <w:rFonts w:ascii="Times New Roman" w:eastAsia="Times New Roman" w:hAnsi="Times New Roman" w:cs="Times New Roman"/>
                <w:color w:val="000000"/>
                <w:sz w:val="22"/>
                <w:szCs w:val="22"/>
              </w:rPr>
              <w:t xml:space="preserve"> </w:t>
            </w:r>
            <w:r w:rsidRPr="00DC2BE7">
              <w:rPr>
                <w:rFonts w:ascii="Times New Roman" w:eastAsia="Times New Roman" w:hAnsi="Times New Roman" w:cs="Times New Roman"/>
                <w:color w:val="000000"/>
                <w:sz w:val="22"/>
                <w:szCs w:val="22"/>
              </w:rPr>
              <w:t xml:space="preserve"> </w:t>
            </w:r>
          </w:p>
        </w:tc>
      </w:tr>
      <w:tr w:rsidR="00EC4C5C" w14:paraId="6052488F" w14:textId="77777777" w:rsidTr="000A0DBF">
        <w:trPr>
          <w:trHeight w:val="240"/>
        </w:trPr>
        <w:tc>
          <w:tcPr>
            <w:tcW w:w="1596" w:type="dxa"/>
            <w:vMerge/>
            <w:shd w:val="clear" w:color="auto" w:fill="FFFFFF"/>
          </w:tcPr>
          <w:p w14:paraId="250C4B14"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63A90286" w14:textId="77777777" w:rsidR="00EC4C5C" w:rsidRDefault="002C33DB" w:rsidP="00FE2ECE">
            <w:pPr>
              <w:pBdr>
                <w:top w:val="nil"/>
                <w:left w:val="nil"/>
                <w:bottom w:val="nil"/>
                <w:right w:val="nil"/>
                <w:between w:val="nil"/>
              </w:pBdr>
              <w:tabs>
                <w:tab w:val="right" w:pos="1936"/>
              </w:tabs>
              <w:spacing w:before="120" w:after="120" w:line="276" w:lineRule="auto"/>
              <w:rPr>
                <w:rFonts w:ascii="Times New Roman" w:eastAsia="Times New Roman" w:hAnsi="Times New Roman" w:cs="Times New Roman"/>
                <w:color w:val="000000"/>
                <w:sz w:val="21"/>
                <w:szCs w:val="21"/>
              </w:rPr>
            </w:pPr>
            <w:r w:rsidRPr="002C33DB">
              <w:rPr>
                <w:rFonts w:ascii="Times New Roman" w:hAnsi="Times New Roman"/>
                <w:sz w:val="22"/>
                <w:szCs w:val="22"/>
              </w:rPr>
              <w:t xml:space="preserve">osoby niepełnosprawne </w:t>
            </w:r>
            <w:r w:rsidR="00CA1FD0">
              <w:rPr>
                <w:rFonts w:ascii="Times New Roman" w:hAnsi="Times New Roman"/>
                <w:sz w:val="22"/>
                <w:szCs w:val="22"/>
              </w:rPr>
              <w:br/>
            </w:r>
            <w:r w:rsidRPr="002C33DB">
              <w:rPr>
                <w:rFonts w:ascii="Times New Roman" w:hAnsi="Times New Roman"/>
                <w:sz w:val="22"/>
                <w:szCs w:val="22"/>
              </w:rPr>
              <w:t>i osoby starsze</w:t>
            </w:r>
          </w:p>
        </w:tc>
        <w:tc>
          <w:tcPr>
            <w:tcW w:w="7058" w:type="dxa"/>
            <w:gridSpan w:val="22"/>
            <w:shd w:val="clear" w:color="auto" w:fill="FFFFFF"/>
          </w:tcPr>
          <w:p w14:paraId="65D2BAB9" w14:textId="77777777" w:rsidR="00EC4C5C" w:rsidRPr="002C33DB" w:rsidRDefault="002C33DB" w:rsidP="00FE2ECE">
            <w:pPr>
              <w:pBdr>
                <w:top w:val="nil"/>
                <w:left w:val="nil"/>
                <w:bottom w:val="nil"/>
                <w:right w:val="nil"/>
                <w:between w:val="nil"/>
              </w:pBdr>
              <w:tabs>
                <w:tab w:val="left" w:pos="3000"/>
              </w:tabs>
              <w:spacing w:before="120" w:after="120" w:line="276" w:lineRule="auto"/>
              <w:rPr>
                <w:rFonts w:ascii="Times New Roman" w:eastAsia="Times New Roman" w:hAnsi="Times New Roman" w:cs="Times New Roman"/>
                <w:color w:val="000000"/>
                <w:sz w:val="22"/>
                <w:szCs w:val="22"/>
              </w:rPr>
            </w:pPr>
            <w:r w:rsidRPr="002C33DB">
              <w:rPr>
                <w:rFonts w:ascii="Times New Roman" w:hAnsi="Times New Roman"/>
                <w:color w:val="000000"/>
                <w:sz w:val="22"/>
                <w:szCs w:val="22"/>
              </w:rPr>
              <w:t xml:space="preserve">Projekt wpłynie pozytywnie </w:t>
            </w:r>
            <w:r w:rsidRPr="002C33DB">
              <w:rPr>
                <w:rFonts w:ascii="Times New Roman" w:hAnsi="Times New Roman"/>
                <w:sz w:val="22"/>
                <w:szCs w:val="22"/>
              </w:rPr>
              <w:t>na sytuację osób niepełnosprawnych i starszych.</w:t>
            </w:r>
            <w:r>
              <w:rPr>
                <w:rFonts w:ascii="Times New Roman" w:hAnsi="Times New Roman"/>
                <w:sz w:val="22"/>
                <w:szCs w:val="22"/>
              </w:rPr>
              <w:t xml:space="preserve"> Wpływ ten został wskazany w </w:t>
            </w:r>
            <w:r w:rsidR="0027046B">
              <w:rPr>
                <w:rFonts w:ascii="Times New Roman" w:hAnsi="Times New Roman"/>
                <w:sz w:val="22"/>
                <w:szCs w:val="22"/>
              </w:rPr>
              <w:t>poszczególnych fragmentach OSR.</w:t>
            </w:r>
          </w:p>
        </w:tc>
      </w:tr>
      <w:tr w:rsidR="00EC4C5C" w14:paraId="5D9B2666" w14:textId="77777777" w:rsidTr="000A0DBF">
        <w:trPr>
          <w:trHeight w:val="142"/>
        </w:trPr>
        <w:tc>
          <w:tcPr>
            <w:tcW w:w="1596" w:type="dxa"/>
            <w:vMerge w:val="restart"/>
            <w:shd w:val="clear" w:color="auto" w:fill="FFFFFF"/>
          </w:tcPr>
          <w:p w14:paraId="4FB691BB" w14:textId="77777777" w:rsidR="00EC4C5C"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Niemierzalne</w:t>
            </w:r>
          </w:p>
        </w:tc>
        <w:tc>
          <w:tcPr>
            <w:tcW w:w="2293" w:type="dxa"/>
            <w:gridSpan w:val="6"/>
            <w:shd w:val="clear" w:color="auto" w:fill="FFFFFF"/>
          </w:tcPr>
          <w:p w14:paraId="2A018F79" w14:textId="77777777" w:rsidR="00EC4C5C"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(dodaj/usuń)</w:t>
            </w:r>
          </w:p>
        </w:tc>
        <w:tc>
          <w:tcPr>
            <w:tcW w:w="7058" w:type="dxa"/>
            <w:gridSpan w:val="22"/>
            <w:shd w:val="clear" w:color="auto" w:fill="FFFFFF"/>
          </w:tcPr>
          <w:p w14:paraId="18E9D4F3" w14:textId="77777777" w:rsidR="00EC4C5C" w:rsidRDefault="00EC4C5C" w:rsidP="00FE2ECE">
            <w:pPr>
              <w:pBdr>
                <w:top w:val="nil"/>
                <w:left w:val="nil"/>
                <w:bottom w:val="nil"/>
                <w:right w:val="nil"/>
                <w:between w:val="nil"/>
              </w:pBdr>
              <w:spacing w:before="120" w:after="120"/>
              <w:rPr>
                <w:rFonts w:ascii="Times New Roman" w:eastAsia="Times New Roman" w:hAnsi="Times New Roman" w:cs="Times New Roman"/>
                <w:color w:val="000000"/>
                <w:sz w:val="21"/>
                <w:szCs w:val="21"/>
              </w:rPr>
            </w:pPr>
          </w:p>
        </w:tc>
      </w:tr>
      <w:tr w:rsidR="00EC4C5C" w14:paraId="4223AD24" w14:textId="77777777" w:rsidTr="000A0DBF">
        <w:trPr>
          <w:trHeight w:val="142"/>
        </w:trPr>
        <w:tc>
          <w:tcPr>
            <w:tcW w:w="1596" w:type="dxa"/>
            <w:vMerge/>
            <w:shd w:val="clear" w:color="auto" w:fill="FFFFFF"/>
          </w:tcPr>
          <w:p w14:paraId="241CF2C5" w14:textId="77777777" w:rsidR="00EC4C5C" w:rsidRDefault="00EC4C5C">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3" w:type="dxa"/>
            <w:gridSpan w:val="6"/>
            <w:shd w:val="clear" w:color="auto" w:fill="FFFFFF"/>
          </w:tcPr>
          <w:p w14:paraId="059A2FA2" w14:textId="77777777" w:rsidR="00EC4C5C"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(dodaj/usuń)</w:t>
            </w:r>
          </w:p>
        </w:tc>
        <w:tc>
          <w:tcPr>
            <w:tcW w:w="7058" w:type="dxa"/>
            <w:gridSpan w:val="22"/>
            <w:shd w:val="clear" w:color="auto" w:fill="FFFFFF"/>
          </w:tcPr>
          <w:p w14:paraId="072218F2" w14:textId="77777777" w:rsidR="00EC4C5C" w:rsidRDefault="00EC4C5C" w:rsidP="00FE2ECE">
            <w:pPr>
              <w:pBdr>
                <w:top w:val="nil"/>
                <w:left w:val="nil"/>
                <w:bottom w:val="nil"/>
                <w:right w:val="nil"/>
                <w:between w:val="nil"/>
              </w:pBdr>
              <w:spacing w:before="120" w:after="120"/>
              <w:rPr>
                <w:rFonts w:ascii="Times New Roman" w:eastAsia="Times New Roman" w:hAnsi="Times New Roman" w:cs="Times New Roman"/>
                <w:color w:val="000000"/>
                <w:sz w:val="21"/>
                <w:szCs w:val="21"/>
              </w:rPr>
            </w:pPr>
          </w:p>
        </w:tc>
      </w:tr>
      <w:tr w:rsidR="00EC4C5C" w14:paraId="319EBB17" w14:textId="77777777" w:rsidTr="008F3DA0">
        <w:trPr>
          <w:trHeight w:val="594"/>
        </w:trPr>
        <w:tc>
          <w:tcPr>
            <w:tcW w:w="2243" w:type="dxa"/>
            <w:gridSpan w:val="2"/>
            <w:shd w:val="clear" w:color="auto" w:fill="FFFFFF"/>
          </w:tcPr>
          <w:p w14:paraId="6DB624E1" w14:textId="77777777" w:rsidR="00EC4C5C" w:rsidRPr="00FE2ECE"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sidRPr="00FE2ECE">
              <w:rPr>
                <w:rFonts w:ascii="Times New Roman" w:eastAsia="Times New Roman" w:hAnsi="Times New Roman" w:cs="Times New Roman"/>
                <w:color w:val="000000"/>
                <w:sz w:val="22"/>
                <w:szCs w:val="22"/>
              </w:rPr>
              <w:t xml:space="preserve">Dodatkowe informacje, w tym wskazanie źródeł danych i przyjętych </w:t>
            </w:r>
            <w:r w:rsidR="00CA1FD0">
              <w:rPr>
                <w:rFonts w:ascii="Times New Roman" w:eastAsia="Times New Roman" w:hAnsi="Times New Roman" w:cs="Times New Roman"/>
                <w:color w:val="000000"/>
                <w:sz w:val="22"/>
                <w:szCs w:val="22"/>
              </w:rPr>
              <w:br/>
            </w:r>
            <w:r w:rsidRPr="00FE2ECE">
              <w:rPr>
                <w:rFonts w:ascii="Times New Roman" w:eastAsia="Times New Roman" w:hAnsi="Times New Roman" w:cs="Times New Roman"/>
                <w:color w:val="000000"/>
                <w:sz w:val="22"/>
                <w:szCs w:val="22"/>
              </w:rPr>
              <w:t xml:space="preserve">do obliczeń założeń </w:t>
            </w:r>
          </w:p>
        </w:tc>
        <w:tc>
          <w:tcPr>
            <w:tcW w:w="8704" w:type="dxa"/>
            <w:gridSpan w:val="27"/>
            <w:shd w:val="clear" w:color="auto" w:fill="FFFFFF"/>
            <w:vAlign w:val="center"/>
          </w:tcPr>
          <w:p w14:paraId="7FB1ADAA" w14:textId="77777777" w:rsidR="00DC2BE7" w:rsidRDefault="005E18C8"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E2ECE">
              <w:rPr>
                <w:rFonts w:ascii="Times New Roman" w:eastAsia="Times New Roman" w:hAnsi="Times New Roman" w:cs="Times New Roman"/>
                <w:sz w:val="22"/>
                <w:szCs w:val="22"/>
              </w:rPr>
              <w:t>Obliczenia kosztów zosta</w:t>
            </w:r>
            <w:r w:rsidR="000A0DBF">
              <w:rPr>
                <w:rFonts w:ascii="Times New Roman" w:eastAsia="Times New Roman" w:hAnsi="Times New Roman" w:cs="Times New Roman"/>
                <w:sz w:val="22"/>
                <w:szCs w:val="22"/>
              </w:rPr>
              <w:t>ły</w:t>
            </w:r>
            <w:r w:rsidRPr="00FE2ECE">
              <w:rPr>
                <w:rFonts w:ascii="Times New Roman" w:eastAsia="Times New Roman" w:hAnsi="Times New Roman" w:cs="Times New Roman"/>
                <w:sz w:val="22"/>
                <w:szCs w:val="22"/>
              </w:rPr>
              <w:t xml:space="preserve"> wykonane </w:t>
            </w:r>
            <w:r w:rsidR="00DC22D8" w:rsidRPr="00FE2ECE">
              <w:rPr>
                <w:rFonts w:ascii="Times New Roman" w:eastAsia="Times New Roman" w:hAnsi="Times New Roman" w:cs="Times New Roman"/>
                <w:sz w:val="22"/>
                <w:szCs w:val="22"/>
              </w:rPr>
              <w:t xml:space="preserve">na podstawie następujących danych: </w:t>
            </w:r>
          </w:p>
          <w:p w14:paraId="53745923" w14:textId="1AAF2006" w:rsidR="00AC2753" w:rsidRPr="00AE2DC1" w:rsidRDefault="00DC22D8" w:rsidP="00AE2DC1">
            <w:pPr>
              <w:pStyle w:val="Akapitzlist"/>
              <w:numPr>
                <w:ilvl w:val="0"/>
                <w:numId w:val="54"/>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E2DC1">
              <w:rPr>
                <w:rFonts w:ascii="Times New Roman" w:eastAsia="Times New Roman" w:hAnsi="Times New Roman" w:cs="Times New Roman"/>
                <w:sz w:val="22"/>
                <w:szCs w:val="22"/>
              </w:rPr>
              <w:t xml:space="preserve">zawartych </w:t>
            </w:r>
            <w:r w:rsidR="005E18C8" w:rsidRPr="00AE2DC1">
              <w:rPr>
                <w:rFonts w:ascii="Times New Roman" w:eastAsia="Times New Roman" w:hAnsi="Times New Roman" w:cs="Times New Roman"/>
                <w:sz w:val="22"/>
                <w:szCs w:val="22"/>
              </w:rPr>
              <w:t xml:space="preserve">w </w:t>
            </w:r>
            <w:r w:rsidR="00720B50" w:rsidRPr="00AE2DC1">
              <w:rPr>
                <w:rFonts w:ascii="Times New Roman" w:eastAsia="Times New Roman" w:hAnsi="Times New Roman" w:cs="Times New Roman"/>
                <w:sz w:val="22"/>
                <w:szCs w:val="22"/>
              </w:rPr>
              <w:t>analizie</w:t>
            </w:r>
            <w:r w:rsidR="00A057DB" w:rsidRPr="00AE2DC1">
              <w:rPr>
                <w:rFonts w:ascii="Times New Roman" w:eastAsia="Times New Roman" w:hAnsi="Times New Roman" w:cs="Times New Roman"/>
                <w:sz w:val="22"/>
                <w:szCs w:val="22"/>
              </w:rPr>
              <w:t xml:space="preserve"> przygotowan</w:t>
            </w:r>
            <w:r w:rsidR="00720B50" w:rsidRPr="00AE2DC1">
              <w:rPr>
                <w:rFonts w:ascii="Times New Roman" w:eastAsia="Times New Roman" w:hAnsi="Times New Roman" w:cs="Times New Roman"/>
                <w:sz w:val="22"/>
                <w:szCs w:val="22"/>
              </w:rPr>
              <w:t>ej</w:t>
            </w:r>
            <w:r w:rsidR="00A057DB" w:rsidRPr="00AE2DC1">
              <w:rPr>
                <w:rFonts w:ascii="Times New Roman" w:eastAsia="Times New Roman" w:hAnsi="Times New Roman" w:cs="Times New Roman"/>
                <w:sz w:val="22"/>
                <w:szCs w:val="22"/>
              </w:rPr>
              <w:t xml:space="preserve"> na zlecenie </w:t>
            </w:r>
            <w:proofErr w:type="spellStart"/>
            <w:r w:rsidR="00A057DB" w:rsidRPr="00AE2DC1">
              <w:rPr>
                <w:rFonts w:ascii="Times New Roman" w:eastAsia="Times New Roman" w:hAnsi="Times New Roman" w:cs="Times New Roman"/>
                <w:sz w:val="22"/>
                <w:szCs w:val="22"/>
              </w:rPr>
              <w:t>MFiPR</w:t>
            </w:r>
            <w:proofErr w:type="spellEnd"/>
            <w:r w:rsidR="00A057DB" w:rsidRPr="00AE2DC1">
              <w:rPr>
                <w:rFonts w:ascii="Times New Roman" w:eastAsia="Times New Roman" w:hAnsi="Times New Roman" w:cs="Times New Roman"/>
                <w:sz w:val="22"/>
                <w:szCs w:val="22"/>
              </w:rPr>
              <w:t xml:space="preserve"> pt. </w:t>
            </w:r>
            <w:r w:rsidR="00DC2BE7" w:rsidRPr="00AE2DC1">
              <w:rPr>
                <w:rFonts w:ascii="Times New Roman" w:eastAsia="Times New Roman" w:hAnsi="Times New Roman" w:cs="Times New Roman"/>
                <w:sz w:val="22"/>
                <w:szCs w:val="22"/>
              </w:rPr>
              <w:t>„</w:t>
            </w:r>
            <w:r w:rsidR="00A057DB" w:rsidRPr="00AE2DC1">
              <w:rPr>
                <w:rFonts w:ascii="Times New Roman" w:eastAsia="Times New Roman" w:hAnsi="Times New Roman" w:cs="Times New Roman"/>
                <w:sz w:val="22"/>
                <w:szCs w:val="22"/>
              </w:rPr>
              <w:t>Analiza wpływu transpozycji Dyrektywy nr 2019/882 w sprawie wymogów dostępności produktów i</w:t>
            </w:r>
            <w:r w:rsidR="00A05EC1">
              <w:rPr>
                <w:rFonts w:ascii="Times New Roman" w:eastAsia="Times New Roman" w:hAnsi="Times New Roman" w:cs="Times New Roman"/>
                <w:sz w:val="22"/>
                <w:szCs w:val="22"/>
              </w:rPr>
              <w:t> </w:t>
            </w:r>
            <w:r w:rsidR="00A057DB" w:rsidRPr="00AE2DC1">
              <w:rPr>
                <w:rFonts w:ascii="Times New Roman" w:eastAsia="Times New Roman" w:hAnsi="Times New Roman" w:cs="Times New Roman"/>
                <w:sz w:val="22"/>
                <w:szCs w:val="22"/>
              </w:rPr>
              <w:t>usług na konkurencyjność gospodarki i przedsiębiorczość, w tym funkcjonowanie przedsiębiorstw</w:t>
            </w:r>
            <w:r w:rsidR="00DC2BE7" w:rsidRPr="00AE2DC1">
              <w:rPr>
                <w:rFonts w:ascii="Times New Roman" w:eastAsia="Times New Roman" w:hAnsi="Times New Roman" w:cs="Times New Roman"/>
                <w:sz w:val="22"/>
                <w:szCs w:val="22"/>
              </w:rPr>
              <w:t xml:space="preserve"> (wyniki </w:t>
            </w:r>
            <w:r w:rsidR="00720B50" w:rsidRPr="00AE2DC1">
              <w:rPr>
                <w:rFonts w:ascii="Times New Roman" w:eastAsia="Times New Roman" w:hAnsi="Times New Roman" w:cs="Times New Roman"/>
                <w:sz w:val="22"/>
                <w:szCs w:val="22"/>
              </w:rPr>
              <w:t>analizy</w:t>
            </w:r>
            <w:r w:rsidR="00DC2BE7" w:rsidRPr="00AE2DC1">
              <w:rPr>
                <w:rFonts w:ascii="Times New Roman" w:eastAsia="Times New Roman" w:hAnsi="Times New Roman" w:cs="Times New Roman"/>
                <w:sz w:val="22"/>
                <w:szCs w:val="22"/>
              </w:rPr>
              <w:t xml:space="preserve"> otrzymane</w:t>
            </w:r>
            <w:r w:rsidR="00251A04" w:rsidRPr="00AE2DC1">
              <w:rPr>
                <w:rFonts w:ascii="Times New Roman" w:eastAsia="Times New Roman" w:hAnsi="Times New Roman" w:cs="Times New Roman"/>
                <w:sz w:val="22"/>
                <w:szCs w:val="22"/>
              </w:rPr>
              <w:t>j</w:t>
            </w:r>
            <w:r w:rsidR="00DC2BE7" w:rsidRPr="00AE2DC1">
              <w:rPr>
                <w:rFonts w:ascii="Times New Roman" w:eastAsia="Times New Roman" w:hAnsi="Times New Roman" w:cs="Times New Roman"/>
                <w:sz w:val="22"/>
                <w:szCs w:val="22"/>
              </w:rPr>
              <w:t xml:space="preserve"> w </w:t>
            </w:r>
            <w:r w:rsidR="00A057DB" w:rsidRPr="00AE2DC1">
              <w:rPr>
                <w:rFonts w:ascii="Times New Roman" w:eastAsia="Times New Roman" w:hAnsi="Times New Roman" w:cs="Times New Roman"/>
                <w:sz w:val="22"/>
                <w:szCs w:val="22"/>
              </w:rPr>
              <w:t>kwie</w:t>
            </w:r>
            <w:r w:rsidR="00DC2BE7" w:rsidRPr="00AE2DC1">
              <w:rPr>
                <w:rFonts w:ascii="Times New Roman" w:eastAsia="Times New Roman" w:hAnsi="Times New Roman" w:cs="Times New Roman"/>
                <w:sz w:val="22"/>
                <w:szCs w:val="22"/>
              </w:rPr>
              <w:t>tniu</w:t>
            </w:r>
            <w:r w:rsidR="00A057DB" w:rsidRPr="00AE2DC1">
              <w:rPr>
                <w:rFonts w:ascii="Times New Roman" w:eastAsia="Times New Roman" w:hAnsi="Times New Roman" w:cs="Times New Roman"/>
                <w:sz w:val="22"/>
                <w:szCs w:val="22"/>
              </w:rPr>
              <w:t xml:space="preserve"> 2021 r.</w:t>
            </w:r>
            <w:r w:rsidR="00842F96" w:rsidRPr="00AE2DC1">
              <w:rPr>
                <w:rFonts w:ascii="Times New Roman" w:eastAsia="Times New Roman" w:hAnsi="Times New Roman" w:cs="Times New Roman"/>
                <w:sz w:val="22"/>
                <w:szCs w:val="22"/>
              </w:rPr>
              <w:t>)</w:t>
            </w:r>
            <w:r w:rsidR="00AC2753">
              <w:rPr>
                <w:rFonts w:ascii="Times New Roman" w:eastAsia="Times New Roman" w:hAnsi="Times New Roman" w:cs="Times New Roman"/>
                <w:sz w:val="22"/>
                <w:szCs w:val="22"/>
              </w:rPr>
              <w:t>;</w:t>
            </w:r>
          </w:p>
          <w:p w14:paraId="4C34EA95" w14:textId="13FE3FDE" w:rsidR="00AC2753" w:rsidRPr="00AE2DC1" w:rsidRDefault="008F69D7" w:rsidP="00AE2DC1">
            <w:pPr>
              <w:pStyle w:val="Akapitzlist"/>
              <w:numPr>
                <w:ilvl w:val="0"/>
                <w:numId w:val="54"/>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E2DC1">
              <w:rPr>
                <w:rFonts w:ascii="Times New Roman" w:eastAsia="Times New Roman" w:hAnsi="Times New Roman" w:cs="Times New Roman"/>
                <w:sz w:val="22"/>
                <w:szCs w:val="22"/>
              </w:rPr>
              <w:t xml:space="preserve">danych własnych </w:t>
            </w:r>
            <w:proofErr w:type="spellStart"/>
            <w:r w:rsidRPr="00AE2DC1">
              <w:rPr>
                <w:rFonts w:ascii="Times New Roman" w:eastAsia="Times New Roman" w:hAnsi="Times New Roman" w:cs="Times New Roman"/>
                <w:sz w:val="22"/>
                <w:szCs w:val="22"/>
              </w:rPr>
              <w:t>MFiPR</w:t>
            </w:r>
            <w:proofErr w:type="spellEnd"/>
            <w:r w:rsidRPr="00AE2DC1">
              <w:rPr>
                <w:rFonts w:ascii="Times New Roman" w:eastAsia="Times New Roman" w:hAnsi="Times New Roman" w:cs="Times New Roman"/>
                <w:sz w:val="22"/>
                <w:szCs w:val="22"/>
              </w:rPr>
              <w:t xml:space="preserve"> pozyskanych </w:t>
            </w:r>
            <w:r w:rsidR="00CB269F" w:rsidRPr="00AE2DC1">
              <w:rPr>
                <w:rFonts w:ascii="Times New Roman" w:eastAsia="Times New Roman" w:hAnsi="Times New Roman" w:cs="Times New Roman"/>
                <w:sz w:val="22"/>
                <w:szCs w:val="22"/>
              </w:rPr>
              <w:t xml:space="preserve">od interesariuszy </w:t>
            </w:r>
            <w:r w:rsidR="00DC22D8" w:rsidRPr="00AE2DC1">
              <w:rPr>
                <w:rFonts w:ascii="Times New Roman" w:eastAsia="Times New Roman" w:hAnsi="Times New Roman" w:cs="Times New Roman"/>
                <w:sz w:val="22"/>
                <w:szCs w:val="22"/>
              </w:rPr>
              <w:t xml:space="preserve">w toku </w:t>
            </w:r>
            <w:proofErr w:type="spellStart"/>
            <w:r w:rsidR="002B0E6F" w:rsidRPr="00AE2DC1">
              <w:rPr>
                <w:rFonts w:ascii="Times New Roman" w:eastAsia="Times New Roman" w:hAnsi="Times New Roman" w:cs="Times New Roman"/>
                <w:sz w:val="22"/>
                <w:szCs w:val="22"/>
              </w:rPr>
              <w:t>pre</w:t>
            </w:r>
            <w:r w:rsidR="00DC22D8" w:rsidRPr="00AE2DC1">
              <w:rPr>
                <w:rFonts w:ascii="Times New Roman" w:eastAsia="Times New Roman" w:hAnsi="Times New Roman" w:cs="Times New Roman"/>
                <w:sz w:val="22"/>
                <w:szCs w:val="22"/>
              </w:rPr>
              <w:t>konsultacji</w:t>
            </w:r>
            <w:proofErr w:type="spellEnd"/>
            <w:r w:rsidR="00DC22D8" w:rsidRPr="00AE2DC1">
              <w:rPr>
                <w:rFonts w:ascii="Times New Roman" w:eastAsia="Times New Roman" w:hAnsi="Times New Roman" w:cs="Times New Roman"/>
                <w:sz w:val="22"/>
                <w:szCs w:val="22"/>
              </w:rPr>
              <w:t xml:space="preserve"> </w:t>
            </w:r>
            <w:r w:rsidR="00CB269F" w:rsidRPr="00AE2DC1">
              <w:rPr>
                <w:rFonts w:ascii="Times New Roman" w:eastAsia="Times New Roman" w:hAnsi="Times New Roman" w:cs="Times New Roman"/>
                <w:sz w:val="22"/>
                <w:szCs w:val="22"/>
              </w:rPr>
              <w:t>oraz</w:t>
            </w:r>
          </w:p>
          <w:p w14:paraId="59783726" w14:textId="66D7B583" w:rsidR="00DC2BE7" w:rsidRPr="00AE2DC1" w:rsidRDefault="00CB269F" w:rsidP="00AE2DC1">
            <w:pPr>
              <w:pStyle w:val="Akapitzlist"/>
              <w:numPr>
                <w:ilvl w:val="0"/>
                <w:numId w:val="54"/>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E2DC1">
              <w:rPr>
                <w:rFonts w:ascii="Times New Roman" w:eastAsia="Times New Roman" w:hAnsi="Times New Roman" w:cs="Times New Roman"/>
                <w:sz w:val="22"/>
                <w:szCs w:val="22"/>
              </w:rPr>
              <w:t xml:space="preserve">analizy danych zastanych </w:t>
            </w:r>
            <w:r w:rsidR="008F69D7" w:rsidRPr="00AE2DC1">
              <w:rPr>
                <w:rFonts w:ascii="Times New Roman" w:eastAsia="Times New Roman" w:hAnsi="Times New Roman" w:cs="Times New Roman"/>
                <w:sz w:val="22"/>
                <w:szCs w:val="22"/>
              </w:rPr>
              <w:t xml:space="preserve">w </w:t>
            </w:r>
            <w:r w:rsidRPr="00AE2DC1">
              <w:rPr>
                <w:rFonts w:ascii="Times New Roman" w:eastAsia="Times New Roman" w:hAnsi="Times New Roman" w:cs="Times New Roman"/>
                <w:sz w:val="22"/>
                <w:szCs w:val="22"/>
              </w:rPr>
              <w:t xml:space="preserve">procesie </w:t>
            </w:r>
            <w:r w:rsidR="008F69D7" w:rsidRPr="00AE2DC1">
              <w:rPr>
                <w:rFonts w:ascii="Times New Roman" w:eastAsia="Times New Roman" w:hAnsi="Times New Roman" w:cs="Times New Roman"/>
                <w:sz w:val="22"/>
                <w:szCs w:val="22"/>
              </w:rPr>
              <w:t xml:space="preserve">przygotowywania </w:t>
            </w:r>
            <w:r w:rsidR="00F4168D" w:rsidRPr="00AE2DC1">
              <w:rPr>
                <w:rFonts w:ascii="Times New Roman" w:eastAsia="Times New Roman" w:hAnsi="Times New Roman" w:cs="Times New Roman"/>
                <w:sz w:val="22"/>
                <w:szCs w:val="22"/>
              </w:rPr>
              <w:t xml:space="preserve">projektu </w:t>
            </w:r>
            <w:r w:rsidR="008F69D7" w:rsidRPr="00AE2DC1">
              <w:rPr>
                <w:rFonts w:ascii="Times New Roman" w:eastAsia="Times New Roman" w:hAnsi="Times New Roman" w:cs="Times New Roman"/>
                <w:sz w:val="22"/>
                <w:szCs w:val="22"/>
              </w:rPr>
              <w:t xml:space="preserve">ustawy. </w:t>
            </w:r>
          </w:p>
          <w:p w14:paraId="73E89E78" w14:textId="7C5B4E8F" w:rsidR="009C1E58" w:rsidRDefault="000D5717"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E2ECE">
              <w:rPr>
                <w:rFonts w:ascii="Times New Roman" w:eastAsia="Times New Roman" w:hAnsi="Times New Roman" w:cs="Times New Roman"/>
                <w:sz w:val="22"/>
                <w:szCs w:val="22"/>
              </w:rPr>
              <w:t>Z</w:t>
            </w:r>
            <w:r w:rsidR="00C16005" w:rsidRPr="00FE2ECE">
              <w:rPr>
                <w:rFonts w:ascii="Times New Roman" w:eastAsia="Times New Roman" w:hAnsi="Times New Roman" w:cs="Times New Roman"/>
                <w:sz w:val="22"/>
                <w:szCs w:val="22"/>
              </w:rPr>
              <w:t xml:space="preserve"> uwagi na </w:t>
            </w:r>
            <w:r w:rsidR="00302831" w:rsidRPr="00FE2ECE">
              <w:rPr>
                <w:rFonts w:ascii="Times New Roman" w:eastAsia="Times New Roman" w:hAnsi="Times New Roman" w:cs="Times New Roman"/>
                <w:sz w:val="22"/>
                <w:szCs w:val="22"/>
              </w:rPr>
              <w:t xml:space="preserve">zaplanowanie wsparcia z funduszy europejskich w perspektywie </w:t>
            </w:r>
            <w:r w:rsidR="007D17B7" w:rsidRPr="00FE2ECE">
              <w:rPr>
                <w:rFonts w:ascii="Times New Roman" w:eastAsia="Times New Roman" w:hAnsi="Times New Roman" w:cs="Times New Roman"/>
                <w:sz w:val="22"/>
                <w:szCs w:val="22"/>
              </w:rPr>
              <w:t>20</w:t>
            </w:r>
            <w:r w:rsidR="00302831" w:rsidRPr="00FE2ECE">
              <w:rPr>
                <w:rFonts w:ascii="Times New Roman" w:eastAsia="Times New Roman" w:hAnsi="Times New Roman" w:cs="Times New Roman"/>
                <w:sz w:val="22"/>
                <w:szCs w:val="22"/>
              </w:rPr>
              <w:t>21</w:t>
            </w:r>
            <w:r w:rsidR="00CE6B99">
              <w:rPr>
                <w:rFonts w:ascii="Times New Roman" w:eastAsia="Times New Roman" w:hAnsi="Times New Roman" w:cs="Times New Roman"/>
                <w:sz w:val="22"/>
                <w:szCs w:val="22"/>
              </w:rPr>
              <w:t>–</w:t>
            </w:r>
            <w:r w:rsidR="007D17B7" w:rsidRPr="00FE2ECE">
              <w:rPr>
                <w:rFonts w:ascii="Times New Roman" w:eastAsia="Times New Roman" w:hAnsi="Times New Roman" w:cs="Times New Roman"/>
                <w:sz w:val="22"/>
                <w:szCs w:val="22"/>
              </w:rPr>
              <w:t>20</w:t>
            </w:r>
            <w:r w:rsidR="00302831" w:rsidRPr="00FE2ECE">
              <w:rPr>
                <w:rFonts w:ascii="Times New Roman" w:eastAsia="Times New Roman" w:hAnsi="Times New Roman" w:cs="Times New Roman"/>
                <w:sz w:val="22"/>
                <w:szCs w:val="22"/>
              </w:rPr>
              <w:t xml:space="preserve">27 </w:t>
            </w:r>
            <w:r w:rsidR="002B0E6F">
              <w:rPr>
                <w:rFonts w:ascii="Times New Roman" w:eastAsia="Times New Roman" w:hAnsi="Times New Roman" w:cs="Times New Roman"/>
                <w:sz w:val="22"/>
                <w:szCs w:val="22"/>
              </w:rPr>
              <w:br/>
            </w:r>
            <w:r w:rsidR="00302831" w:rsidRPr="00FE2ECE">
              <w:rPr>
                <w:rFonts w:ascii="Times New Roman" w:eastAsia="Times New Roman" w:hAnsi="Times New Roman" w:cs="Times New Roman"/>
                <w:sz w:val="22"/>
                <w:szCs w:val="22"/>
              </w:rPr>
              <w:t>na działania</w:t>
            </w:r>
            <w:r w:rsidR="00C16005" w:rsidRPr="00FE2ECE">
              <w:rPr>
                <w:rFonts w:ascii="Times New Roman" w:eastAsia="Times New Roman" w:hAnsi="Times New Roman" w:cs="Times New Roman"/>
                <w:sz w:val="22"/>
                <w:szCs w:val="22"/>
              </w:rPr>
              <w:t xml:space="preserve"> szkoleniowo-doradcze dla przedsiębiorstw związane z wdrożeniem wym</w:t>
            </w:r>
            <w:r w:rsidR="00A33342">
              <w:rPr>
                <w:rFonts w:ascii="Times New Roman" w:eastAsia="Times New Roman" w:hAnsi="Times New Roman" w:cs="Times New Roman"/>
                <w:sz w:val="22"/>
                <w:szCs w:val="22"/>
              </w:rPr>
              <w:t>agań</w:t>
            </w:r>
            <w:r w:rsidR="00251A04">
              <w:rPr>
                <w:rFonts w:ascii="Times New Roman" w:eastAsia="Times New Roman" w:hAnsi="Times New Roman" w:cs="Times New Roman"/>
                <w:sz w:val="22"/>
                <w:szCs w:val="22"/>
              </w:rPr>
              <w:t xml:space="preserve"> </w:t>
            </w:r>
            <w:r w:rsidR="00007CEF">
              <w:rPr>
                <w:rFonts w:ascii="Times New Roman" w:eastAsia="Times New Roman" w:hAnsi="Times New Roman" w:cs="Times New Roman"/>
                <w:sz w:val="22"/>
                <w:szCs w:val="22"/>
              </w:rPr>
              <w:t>wynikających z projektowanej ustawy</w:t>
            </w:r>
            <w:r w:rsidR="00C16005" w:rsidRPr="00FE2ECE">
              <w:rPr>
                <w:rFonts w:ascii="Times New Roman" w:eastAsia="Times New Roman" w:hAnsi="Times New Roman" w:cs="Times New Roman"/>
                <w:sz w:val="22"/>
                <w:szCs w:val="22"/>
              </w:rPr>
              <w:t>, koszty zosta</w:t>
            </w:r>
            <w:r w:rsidR="00950391" w:rsidRPr="00FE2ECE">
              <w:rPr>
                <w:rFonts w:ascii="Times New Roman" w:eastAsia="Times New Roman" w:hAnsi="Times New Roman" w:cs="Times New Roman"/>
                <w:sz w:val="22"/>
                <w:szCs w:val="22"/>
              </w:rPr>
              <w:t>ną</w:t>
            </w:r>
            <w:r w:rsidR="00C16005" w:rsidRPr="00FE2ECE">
              <w:rPr>
                <w:rFonts w:ascii="Times New Roman" w:eastAsia="Times New Roman" w:hAnsi="Times New Roman" w:cs="Times New Roman"/>
                <w:sz w:val="22"/>
                <w:szCs w:val="22"/>
              </w:rPr>
              <w:t xml:space="preserve"> pomniejszone o</w:t>
            </w:r>
            <w:r w:rsidR="009C1E58" w:rsidRPr="00FE2ECE">
              <w:rPr>
                <w:rFonts w:ascii="Times New Roman" w:eastAsia="Times New Roman" w:hAnsi="Times New Roman" w:cs="Times New Roman"/>
                <w:sz w:val="22"/>
                <w:szCs w:val="22"/>
              </w:rPr>
              <w:t xml:space="preserve"> koszty szkoleń </w:t>
            </w:r>
            <w:r w:rsidR="002B0E6F">
              <w:rPr>
                <w:rFonts w:ascii="Times New Roman" w:eastAsia="Times New Roman" w:hAnsi="Times New Roman" w:cs="Times New Roman"/>
                <w:sz w:val="22"/>
                <w:szCs w:val="22"/>
              </w:rPr>
              <w:br/>
            </w:r>
            <w:r w:rsidR="009C1E58" w:rsidRPr="00FE2ECE">
              <w:rPr>
                <w:rFonts w:ascii="Times New Roman" w:eastAsia="Times New Roman" w:hAnsi="Times New Roman" w:cs="Times New Roman"/>
                <w:sz w:val="22"/>
                <w:szCs w:val="22"/>
              </w:rPr>
              <w:t xml:space="preserve">i doradztwa </w:t>
            </w:r>
            <w:r w:rsidR="0092693A" w:rsidRPr="00FE2ECE">
              <w:rPr>
                <w:rFonts w:ascii="Times New Roman" w:eastAsia="Times New Roman" w:hAnsi="Times New Roman" w:cs="Times New Roman"/>
                <w:sz w:val="22"/>
                <w:szCs w:val="22"/>
              </w:rPr>
              <w:t>z zakresu</w:t>
            </w:r>
            <w:r w:rsidR="009C1E58" w:rsidRPr="00FE2ECE">
              <w:rPr>
                <w:rFonts w:ascii="Times New Roman" w:eastAsia="Times New Roman" w:hAnsi="Times New Roman" w:cs="Times New Roman"/>
                <w:sz w:val="22"/>
                <w:szCs w:val="22"/>
              </w:rPr>
              <w:t xml:space="preserve"> wym</w:t>
            </w:r>
            <w:r w:rsidR="00622E4D">
              <w:rPr>
                <w:rFonts w:ascii="Times New Roman" w:eastAsia="Times New Roman" w:hAnsi="Times New Roman" w:cs="Times New Roman"/>
                <w:sz w:val="22"/>
                <w:szCs w:val="22"/>
              </w:rPr>
              <w:t>agań</w:t>
            </w:r>
            <w:r w:rsidR="009C1E58" w:rsidRPr="00FE2ECE">
              <w:rPr>
                <w:rFonts w:ascii="Times New Roman" w:eastAsia="Times New Roman" w:hAnsi="Times New Roman" w:cs="Times New Roman"/>
                <w:sz w:val="22"/>
                <w:szCs w:val="22"/>
              </w:rPr>
              <w:t xml:space="preserve"> zgodnie z przepisami</w:t>
            </w:r>
            <w:r w:rsidR="003B63A5">
              <w:rPr>
                <w:rFonts w:ascii="Times New Roman" w:eastAsia="Times New Roman" w:hAnsi="Times New Roman" w:cs="Times New Roman"/>
                <w:sz w:val="22"/>
                <w:szCs w:val="22"/>
              </w:rPr>
              <w:t xml:space="preserve"> tej</w:t>
            </w:r>
            <w:r w:rsidR="009C1E58" w:rsidRPr="00FE2ECE">
              <w:rPr>
                <w:rFonts w:ascii="Times New Roman" w:eastAsia="Times New Roman" w:hAnsi="Times New Roman" w:cs="Times New Roman"/>
                <w:sz w:val="22"/>
                <w:szCs w:val="22"/>
              </w:rPr>
              <w:t xml:space="preserve"> ustawy.</w:t>
            </w:r>
          </w:p>
          <w:p w14:paraId="3E14507D" w14:textId="77777777" w:rsidR="000A0DBF" w:rsidRDefault="000A0DBF" w:rsidP="000A0DBF">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E2ECE">
              <w:rPr>
                <w:rFonts w:ascii="Times New Roman" w:eastAsia="Times New Roman" w:hAnsi="Times New Roman" w:cs="Times New Roman"/>
                <w:sz w:val="22"/>
                <w:szCs w:val="22"/>
              </w:rPr>
              <w:lastRenderedPageBreak/>
              <w:t xml:space="preserve">Przedsiębiorstwa </w:t>
            </w:r>
            <w:r>
              <w:rPr>
                <w:rFonts w:ascii="Times New Roman" w:eastAsia="Times New Roman" w:hAnsi="Times New Roman" w:cs="Times New Roman"/>
                <w:sz w:val="22"/>
                <w:szCs w:val="22"/>
              </w:rPr>
              <w:t>–</w:t>
            </w:r>
            <w:r w:rsidRPr="00FE2ECE">
              <w:rPr>
                <w:rFonts w:ascii="Times New Roman" w:eastAsia="Times New Roman" w:hAnsi="Times New Roman" w:cs="Times New Roman"/>
                <w:sz w:val="22"/>
                <w:szCs w:val="22"/>
              </w:rPr>
              <w:t xml:space="preserve"> w szczególności MŚP </w:t>
            </w:r>
            <w:r>
              <w:rPr>
                <w:rFonts w:ascii="Times New Roman" w:eastAsia="Times New Roman" w:hAnsi="Times New Roman" w:cs="Times New Roman"/>
                <w:sz w:val="22"/>
                <w:szCs w:val="22"/>
              </w:rPr>
              <w:t>–</w:t>
            </w:r>
            <w:r w:rsidRPr="00FE2ECE">
              <w:rPr>
                <w:rFonts w:ascii="Times New Roman" w:eastAsia="Times New Roman" w:hAnsi="Times New Roman" w:cs="Times New Roman"/>
                <w:sz w:val="22"/>
                <w:szCs w:val="22"/>
              </w:rPr>
              <w:t xml:space="preserve"> </w:t>
            </w:r>
            <w:r w:rsidRPr="00EE3FAF">
              <w:rPr>
                <w:rFonts w:ascii="Times New Roman" w:eastAsia="Times New Roman" w:hAnsi="Times New Roman" w:cs="Times New Roman"/>
                <w:sz w:val="22"/>
                <w:szCs w:val="22"/>
              </w:rPr>
              <w:t xml:space="preserve">skorzystają na eliminacji barier </w:t>
            </w:r>
            <w:r w:rsidRPr="00FE2ECE">
              <w:rPr>
                <w:rFonts w:ascii="Times New Roman" w:eastAsia="Times New Roman" w:hAnsi="Times New Roman" w:cs="Times New Roman"/>
                <w:sz w:val="22"/>
                <w:szCs w:val="22"/>
              </w:rPr>
              <w:t>dzięki stworzeniu jednego zestawu wym</w:t>
            </w:r>
            <w:r w:rsidR="00A63AD9">
              <w:rPr>
                <w:rFonts w:ascii="Times New Roman" w:eastAsia="Times New Roman" w:hAnsi="Times New Roman" w:cs="Times New Roman"/>
                <w:sz w:val="22"/>
                <w:szCs w:val="22"/>
              </w:rPr>
              <w:t>agań</w:t>
            </w:r>
            <w:r>
              <w:rPr>
                <w:rFonts w:ascii="Times New Roman" w:eastAsia="Times New Roman" w:hAnsi="Times New Roman" w:cs="Times New Roman"/>
                <w:sz w:val="22"/>
                <w:szCs w:val="22"/>
              </w:rPr>
              <w:t xml:space="preserve"> dla dostępności produktów i usług. Obecnie na rynku istnieją bariery</w:t>
            </w:r>
            <w:r w:rsidRPr="00FE2ECE">
              <w:rPr>
                <w:rFonts w:ascii="Times New Roman" w:eastAsia="Times New Roman" w:hAnsi="Times New Roman" w:cs="Times New Roman"/>
                <w:sz w:val="22"/>
                <w:szCs w:val="22"/>
              </w:rPr>
              <w:t xml:space="preserve"> tworzon</w:t>
            </w:r>
            <w:r>
              <w:rPr>
                <w:rFonts w:ascii="Times New Roman" w:eastAsia="Times New Roman" w:hAnsi="Times New Roman" w:cs="Times New Roman"/>
                <w:sz w:val="22"/>
                <w:szCs w:val="22"/>
              </w:rPr>
              <w:t>e</w:t>
            </w:r>
            <w:r w:rsidRPr="00FE2ECE">
              <w:rPr>
                <w:rFonts w:ascii="Times New Roman" w:eastAsia="Times New Roman" w:hAnsi="Times New Roman" w:cs="Times New Roman"/>
                <w:sz w:val="22"/>
                <w:szCs w:val="22"/>
              </w:rPr>
              <w:t xml:space="preserve"> przez rozdrobniony rynek poddany różnym regulacjom lub niepoddany żadnym standardom w zakresie dostępno</w:t>
            </w:r>
            <w:r>
              <w:rPr>
                <w:rFonts w:ascii="Times New Roman" w:eastAsia="Times New Roman" w:hAnsi="Times New Roman" w:cs="Times New Roman"/>
                <w:sz w:val="22"/>
                <w:szCs w:val="22"/>
              </w:rPr>
              <w:t>ści produktów i usług.</w:t>
            </w:r>
          </w:p>
          <w:p w14:paraId="2C609EA8" w14:textId="651CFB03" w:rsidR="00916A43" w:rsidRDefault="00FC239B"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proofErr w:type="spellStart"/>
            <w:r w:rsidRPr="00FE2ECE">
              <w:rPr>
                <w:rFonts w:ascii="Times New Roman" w:eastAsia="Times New Roman" w:hAnsi="Times New Roman" w:cs="Times New Roman"/>
                <w:sz w:val="22"/>
                <w:szCs w:val="22"/>
              </w:rPr>
              <w:t>MFiPR</w:t>
            </w:r>
            <w:proofErr w:type="spellEnd"/>
            <w:r w:rsidRPr="00FE2ECE">
              <w:rPr>
                <w:rFonts w:ascii="Times New Roman" w:eastAsia="Times New Roman" w:hAnsi="Times New Roman" w:cs="Times New Roman"/>
                <w:sz w:val="22"/>
                <w:szCs w:val="22"/>
              </w:rPr>
              <w:t xml:space="preserve"> </w:t>
            </w:r>
            <w:r w:rsidR="00920967" w:rsidRPr="00FE2ECE">
              <w:rPr>
                <w:rFonts w:ascii="Times New Roman" w:eastAsia="Times New Roman" w:hAnsi="Times New Roman" w:cs="Times New Roman"/>
                <w:sz w:val="22"/>
                <w:szCs w:val="22"/>
              </w:rPr>
              <w:t xml:space="preserve">(na podstawie </w:t>
            </w:r>
            <w:r w:rsidR="00DC2BE7">
              <w:rPr>
                <w:rFonts w:ascii="Times New Roman" w:eastAsia="Times New Roman" w:hAnsi="Times New Roman" w:cs="Times New Roman"/>
                <w:sz w:val="22"/>
                <w:szCs w:val="22"/>
              </w:rPr>
              <w:t>zlecone</w:t>
            </w:r>
            <w:r w:rsidR="008D6EF2">
              <w:rPr>
                <w:rFonts w:ascii="Times New Roman" w:eastAsia="Times New Roman" w:hAnsi="Times New Roman" w:cs="Times New Roman"/>
                <w:sz w:val="22"/>
                <w:szCs w:val="22"/>
              </w:rPr>
              <w:t>j analizy</w:t>
            </w:r>
            <w:r w:rsidR="00DC2BE7">
              <w:rPr>
                <w:rFonts w:ascii="Times New Roman" w:eastAsia="Times New Roman" w:hAnsi="Times New Roman" w:cs="Times New Roman"/>
                <w:sz w:val="22"/>
                <w:szCs w:val="22"/>
              </w:rPr>
              <w:t xml:space="preserve"> </w:t>
            </w:r>
            <w:r w:rsidR="00920967" w:rsidRPr="00FE2ECE">
              <w:rPr>
                <w:rFonts w:ascii="Times New Roman" w:eastAsia="Times New Roman" w:hAnsi="Times New Roman" w:cs="Times New Roman"/>
                <w:sz w:val="22"/>
                <w:szCs w:val="22"/>
              </w:rPr>
              <w:t xml:space="preserve">oraz danych własnych) </w:t>
            </w:r>
            <w:r w:rsidRPr="00FE2ECE">
              <w:rPr>
                <w:rFonts w:ascii="Times New Roman" w:eastAsia="Times New Roman" w:hAnsi="Times New Roman" w:cs="Times New Roman"/>
                <w:sz w:val="22"/>
                <w:szCs w:val="22"/>
              </w:rPr>
              <w:t xml:space="preserve">identyfikuje następujące </w:t>
            </w:r>
            <w:r w:rsidR="006A084C">
              <w:rPr>
                <w:rFonts w:ascii="Times New Roman" w:eastAsia="Times New Roman" w:hAnsi="Times New Roman" w:cs="Times New Roman"/>
                <w:sz w:val="22"/>
                <w:szCs w:val="22"/>
              </w:rPr>
              <w:br/>
            </w:r>
            <w:r w:rsidR="008944C1" w:rsidRPr="00FE2ECE">
              <w:rPr>
                <w:rFonts w:ascii="Times New Roman" w:eastAsia="Times New Roman" w:hAnsi="Times New Roman" w:cs="Times New Roman"/>
                <w:sz w:val="22"/>
                <w:szCs w:val="22"/>
              </w:rPr>
              <w:t xml:space="preserve">2 </w:t>
            </w:r>
            <w:r w:rsidRPr="00FE2ECE">
              <w:rPr>
                <w:rFonts w:ascii="Times New Roman" w:eastAsia="Times New Roman" w:hAnsi="Times New Roman" w:cs="Times New Roman"/>
                <w:sz w:val="22"/>
                <w:szCs w:val="22"/>
              </w:rPr>
              <w:t xml:space="preserve">kategorie możliwych kosztów dla sektora </w:t>
            </w:r>
            <w:r w:rsidR="00B448E3" w:rsidRPr="00FE2ECE">
              <w:rPr>
                <w:rFonts w:ascii="Times New Roman" w:eastAsia="Times New Roman" w:hAnsi="Times New Roman" w:cs="Times New Roman"/>
                <w:sz w:val="22"/>
                <w:szCs w:val="22"/>
              </w:rPr>
              <w:t xml:space="preserve">MŚP </w:t>
            </w:r>
            <w:r w:rsidRPr="00FE2ECE">
              <w:rPr>
                <w:rFonts w:ascii="Times New Roman" w:eastAsia="Times New Roman" w:hAnsi="Times New Roman" w:cs="Times New Roman"/>
                <w:sz w:val="22"/>
                <w:szCs w:val="22"/>
              </w:rPr>
              <w:t>i</w:t>
            </w:r>
            <w:r w:rsidR="00DC2BE7">
              <w:rPr>
                <w:rFonts w:ascii="Times New Roman" w:eastAsia="Times New Roman" w:hAnsi="Times New Roman" w:cs="Times New Roman"/>
                <w:sz w:val="22"/>
                <w:szCs w:val="22"/>
              </w:rPr>
              <w:t> </w:t>
            </w:r>
            <w:r w:rsidRPr="00FE2ECE">
              <w:rPr>
                <w:rFonts w:ascii="Times New Roman" w:eastAsia="Times New Roman" w:hAnsi="Times New Roman" w:cs="Times New Roman"/>
                <w:sz w:val="22"/>
                <w:szCs w:val="22"/>
              </w:rPr>
              <w:t>dla dużych firm</w:t>
            </w:r>
            <w:r w:rsidR="00920967" w:rsidRPr="00FE2ECE">
              <w:rPr>
                <w:rFonts w:ascii="Times New Roman" w:eastAsia="Times New Roman" w:hAnsi="Times New Roman" w:cs="Times New Roman"/>
                <w:sz w:val="22"/>
                <w:szCs w:val="22"/>
              </w:rPr>
              <w:t>:</w:t>
            </w:r>
          </w:p>
          <w:p w14:paraId="11B3654E" w14:textId="30CD6879" w:rsidR="00916A43" w:rsidRDefault="008944C1" w:rsidP="00116AE1">
            <w:pPr>
              <w:numPr>
                <w:ilvl w:val="0"/>
                <w:numId w:val="38"/>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E2ECE">
              <w:rPr>
                <w:rFonts w:ascii="Times New Roman" w:eastAsia="Times New Roman" w:hAnsi="Times New Roman" w:cs="Times New Roman"/>
                <w:sz w:val="22"/>
                <w:szCs w:val="22"/>
              </w:rPr>
              <w:t>jednorazowe koszty organizacyjne, w tym dostosowania strony internetowej, szkolenia personelu i nabywania kompetencji w zakresie dostępności, aktualizacji lub zakupu nowego oprogramowania, wypracowania standardów wewnętrznych, opracowania nowych procesów w celu uwzględnienia kwestii dostępności w rozwoju produktu albo w</w:t>
            </w:r>
            <w:r w:rsidR="00A05EC1">
              <w:rPr>
                <w:rFonts w:ascii="Times New Roman" w:eastAsia="Times New Roman" w:hAnsi="Times New Roman" w:cs="Times New Roman"/>
                <w:sz w:val="22"/>
                <w:szCs w:val="22"/>
              </w:rPr>
              <w:t> </w:t>
            </w:r>
            <w:r w:rsidRPr="00FE2ECE">
              <w:rPr>
                <w:rFonts w:ascii="Times New Roman" w:eastAsia="Times New Roman" w:hAnsi="Times New Roman" w:cs="Times New Roman"/>
                <w:sz w:val="22"/>
                <w:szCs w:val="22"/>
              </w:rPr>
              <w:t>świadczeniu usługi, zatrudnienia dodatkowego personelu dysponującego wiedzą fachową w</w:t>
            </w:r>
            <w:r w:rsidR="00F6142B">
              <w:rPr>
                <w:rFonts w:ascii="Times New Roman" w:eastAsia="Times New Roman" w:hAnsi="Times New Roman" w:cs="Times New Roman"/>
                <w:sz w:val="22"/>
                <w:szCs w:val="22"/>
              </w:rPr>
              <w:t xml:space="preserve"> </w:t>
            </w:r>
            <w:r w:rsidRPr="00FE2ECE">
              <w:rPr>
                <w:rFonts w:ascii="Times New Roman" w:eastAsia="Times New Roman" w:hAnsi="Times New Roman" w:cs="Times New Roman"/>
                <w:sz w:val="22"/>
                <w:szCs w:val="22"/>
              </w:rPr>
              <w:t xml:space="preserve">zakresie dostępności </w:t>
            </w:r>
            <w:r w:rsidR="00AC2753">
              <w:rPr>
                <w:rFonts w:ascii="Times New Roman" w:eastAsia="Times New Roman" w:hAnsi="Times New Roman" w:cs="Times New Roman"/>
                <w:sz w:val="22"/>
                <w:szCs w:val="22"/>
              </w:rPr>
              <w:t>oraz</w:t>
            </w:r>
            <w:r w:rsidR="00AC2753" w:rsidRPr="00FE2ECE">
              <w:rPr>
                <w:rFonts w:ascii="Times New Roman" w:eastAsia="Times New Roman" w:hAnsi="Times New Roman" w:cs="Times New Roman"/>
                <w:sz w:val="22"/>
                <w:szCs w:val="22"/>
              </w:rPr>
              <w:t xml:space="preserve"> </w:t>
            </w:r>
            <w:r w:rsidRPr="00FE2ECE">
              <w:rPr>
                <w:rFonts w:ascii="Times New Roman" w:eastAsia="Times New Roman" w:hAnsi="Times New Roman" w:cs="Times New Roman"/>
                <w:sz w:val="22"/>
                <w:szCs w:val="22"/>
              </w:rPr>
              <w:t>zapoznania się z przepisani w zakresie dostępności</w:t>
            </w:r>
            <w:r w:rsidR="00007CEF">
              <w:rPr>
                <w:rFonts w:ascii="Times New Roman" w:eastAsia="Times New Roman" w:hAnsi="Times New Roman" w:cs="Times New Roman"/>
                <w:sz w:val="22"/>
                <w:szCs w:val="22"/>
              </w:rPr>
              <w:t>;</w:t>
            </w:r>
            <w:r w:rsidRPr="00FE2ECE">
              <w:rPr>
                <w:rFonts w:ascii="Times New Roman" w:eastAsia="Times New Roman" w:hAnsi="Times New Roman" w:cs="Times New Roman"/>
                <w:sz w:val="22"/>
                <w:szCs w:val="22"/>
              </w:rPr>
              <w:t xml:space="preserve"> </w:t>
            </w:r>
          </w:p>
          <w:p w14:paraId="2A4225BF" w14:textId="4A954D31" w:rsidR="00A05539" w:rsidRPr="00A05539" w:rsidRDefault="008944C1" w:rsidP="00116AE1">
            <w:pPr>
              <w:numPr>
                <w:ilvl w:val="0"/>
                <w:numId w:val="38"/>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E2ECE">
              <w:rPr>
                <w:rFonts w:ascii="Times New Roman" w:eastAsia="Times New Roman" w:hAnsi="Times New Roman" w:cs="Times New Roman"/>
                <w:sz w:val="22"/>
                <w:szCs w:val="22"/>
              </w:rPr>
              <w:t>bieżące koszty produkcji i rozwoju</w:t>
            </w:r>
            <w:r w:rsidR="00E407E0" w:rsidRPr="00FE2ECE">
              <w:rPr>
                <w:rFonts w:ascii="Times New Roman" w:eastAsia="Times New Roman" w:hAnsi="Times New Roman" w:cs="Times New Roman"/>
                <w:sz w:val="22"/>
                <w:szCs w:val="22"/>
              </w:rPr>
              <w:t>, w tym</w:t>
            </w:r>
            <w:r w:rsidRPr="00FE2ECE">
              <w:rPr>
                <w:rFonts w:ascii="Times New Roman" w:eastAsia="Times New Roman" w:hAnsi="Times New Roman" w:cs="Times New Roman"/>
                <w:sz w:val="22"/>
                <w:szCs w:val="22"/>
              </w:rPr>
              <w:t xml:space="preserve"> audytu dostępności</w:t>
            </w:r>
            <w:r w:rsidR="00AC2753">
              <w:rPr>
                <w:rFonts w:ascii="Times New Roman" w:eastAsia="Times New Roman" w:hAnsi="Times New Roman" w:cs="Times New Roman"/>
                <w:sz w:val="22"/>
                <w:szCs w:val="22"/>
              </w:rPr>
              <w:t xml:space="preserve"> lub </w:t>
            </w:r>
            <w:r w:rsidRPr="00FE2ECE">
              <w:rPr>
                <w:rFonts w:ascii="Times New Roman" w:eastAsia="Times New Roman" w:hAnsi="Times New Roman" w:cs="Times New Roman"/>
                <w:sz w:val="22"/>
                <w:szCs w:val="22"/>
              </w:rPr>
              <w:t>przeprowadzenia oceny zgodności z wym</w:t>
            </w:r>
            <w:r w:rsidR="004043E2">
              <w:rPr>
                <w:rFonts w:ascii="Times New Roman" w:eastAsia="Times New Roman" w:hAnsi="Times New Roman" w:cs="Times New Roman"/>
                <w:sz w:val="22"/>
                <w:szCs w:val="22"/>
              </w:rPr>
              <w:t>aganiami</w:t>
            </w:r>
            <w:r w:rsidR="00F4168D">
              <w:rPr>
                <w:rFonts w:ascii="Times New Roman" w:eastAsia="Times New Roman" w:hAnsi="Times New Roman" w:cs="Times New Roman"/>
                <w:sz w:val="22"/>
                <w:szCs w:val="22"/>
              </w:rPr>
              <w:t xml:space="preserve"> dostępności</w:t>
            </w:r>
            <w:r w:rsidRPr="00FE2ECE">
              <w:rPr>
                <w:rFonts w:ascii="Times New Roman" w:eastAsia="Times New Roman" w:hAnsi="Times New Roman" w:cs="Times New Roman"/>
                <w:sz w:val="22"/>
                <w:szCs w:val="22"/>
              </w:rPr>
              <w:t>, utrzymani</w:t>
            </w:r>
            <w:r w:rsidR="00AC2753">
              <w:rPr>
                <w:rFonts w:ascii="Times New Roman" w:eastAsia="Times New Roman" w:hAnsi="Times New Roman" w:cs="Times New Roman"/>
                <w:sz w:val="22"/>
                <w:szCs w:val="22"/>
              </w:rPr>
              <w:t>a</w:t>
            </w:r>
            <w:r w:rsidR="00E407E0" w:rsidRPr="00FE2ECE">
              <w:rPr>
                <w:rFonts w:ascii="Times New Roman" w:eastAsia="Times New Roman" w:hAnsi="Times New Roman" w:cs="Times New Roman"/>
                <w:sz w:val="22"/>
                <w:szCs w:val="22"/>
              </w:rPr>
              <w:t xml:space="preserve"> strony internetowej, testowania</w:t>
            </w:r>
            <w:r w:rsidRPr="00FE2ECE">
              <w:rPr>
                <w:rFonts w:ascii="Times New Roman" w:eastAsia="Times New Roman" w:hAnsi="Times New Roman" w:cs="Times New Roman"/>
                <w:sz w:val="22"/>
                <w:szCs w:val="22"/>
              </w:rPr>
              <w:t xml:space="preserve"> produktu lub usługi pod </w:t>
            </w:r>
            <w:r w:rsidR="00383DB8">
              <w:rPr>
                <w:rFonts w:ascii="Times New Roman" w:eastAsia="Times New Roman" w:hAnsi="Times New Roman" w:cs="Times New Roman"/>
                <w:sz w:val="22"/>
                <w:szCs w:val="22"/>
              </w:rPr>
              <w:t>względem</w:t>
            </w:r>
            <w:r w:rsidR="00383DB8" w:rsidRPr="00FE2ECE">
              <w:rPr>
                <w:rFonts w:ascii="Times New Roman" w:eastAsia="Times New Roman" w:hAnsi="Times New Roman" w:cs="Times New Roman"/>
                <w:sz w:val="22"/>
                <w:szCs w:val="22"/>
              </w:rPr>
              <w:t xml:space="preserve"> </w:t>
            </w:r>
            <w:r w:rsidRPr="00FE2ECE">
              <w:rPr>
                <w:rFonts w:ascii="Times New Roman" w:eastAsia="Times New Roman" w:hAnsi="Times New Roman" w:cs="Times New Roman"/>
                <w:sz w:val="22"/>
                <w:szCs w:val="22"/>
              </w:rPr>
              <w:t>dostępności, projektowania funkcji i</w:t>
            </w:r>
            <w:r w:rsidR="00A05EC1">
              <w:rPr>
                <w:rFonts w:ascii="Times New Roman" w:eastAsia="Times New Roman" w:hAnsi="Times New Roman" w:cs="Times New Roman"/>
                <w:sz w:val="22"/>
                <w:szCs w:val="22"/>
              </w:rPr>
              <w:t> </w:t>
            </w:r>
            <w:r w:rsidRPr="00FE2ECE">
              <w:rPr>
                <w:rFonts w:ascii="Times New Roman" w:eastAsia="Times New Roman" w:hAnsi="Times New Roman" w:cs="Times New Roman"/>
                <w:sz w:val="22"/>
                <w:szCs w:val="22"/>
              </w:rPr>
              <w:t>właściwości decydujących o dostępności produktu albo usługi</w:t>
            </w:r>
            <w:r w:rsidR="003207F4" w:rsidRPr="00FE2ECE">
              <w:rPr>
                <w:rFonts w:ascii="Times New Roman" w:eastAsia="Times New Roman" w:hAnsi="Times New Roman" w:cs="Times New Roman"/>
                <w:sz w:val="22"/>
                <w:szCs w:val="22"/>
              </w:rPr>
              <w:t xml:space="preserve"> (przewiduje się, że może to być zwiększenie dotychczasowych kosztów projektowania o ok. 30%)</w:t>
            </w:r>
            <w:r w:rsidRPr="00FE2ECE">
              <w:rPr>
                <w:rFonts w:ascii="Times New Roman" w:eastAsia="Times New Roman" w:hAnsi="Times New Roman" w:cs="Times New Roman"/>
                <w:sz w:val="22"/>
                <w:szCs w:val="22"/>
              </w:rPr>
              <w:t>, zwiększone koszty ponoszone w</w:t>
            </w:r>
            <w:r w:rsidR="00DC2BE7">
              <w:rPr>
                <w:rFonts w:ascii="Times New Roman" w:eastAsia="Times New Roman" w:hAnsi="Times New Roman" w:cs="Times New Roman"/>
                <w:sz w:val="22"/>
                <w:szCs w:val="22"/>
              </w:rPr>
              <w:t> </w:t>
            </w:r>
            <w:r w:rsidRPr="00FE2ECE">
              <w:rPr>
                <w:rFonts w:ascii="Times New Roman" w:eastAsia="Times New Roman" w:hAnsi="Times New Roman" w:cs="Times New Roman"/>
                <w:sz w:val="22"/>
                <w:szCs w:val="22"/>
              </w:rPr>
              <w:t>procesach wytwórczych</w:t>
            </w:r>
            <w:r w:rsidR="00AC2753">
              <w:rPr>
                <w:rFonts w:ascii="Times New Roman" w:eastAsia="Times New Roman" w:hAnsi="Times New Roman" w:cs="Times New Roman"/>
                <w:sz w:val="22"/>
                <w:szCs w:val="22"/>
              </w:rPr>
              <w:t xml:space="preserve"> oraz</w:t>
            </w:r>
            <w:r w:rsidR="00DC2BE7">
              <w:rPr>
                <w:rFonts w:ascii="Times New Roman" w:eastAsia="Times New Roman" w:hAnsi="Times New Roman" w:cs="Times New Roman"/>
                <w:sz w:val="22"/>
                <w:szCs w:val="22"/>
              </w:rPr>
              <w:t xml:space="preserve"> </w:t>
            </w:r>
            <w:r w:rsidR="00847FF4">
              <w:rPr>
                <w:rFonts w:ascii="Times New Roman" w:eastAsia="Times New Roman" w:hAnsi="Times New Roman" w:cs="Times New Roman"/>
                <w:sz w:val="22"/>
                <w:szCs w:val="22"/>
              </w:rPr>
              <w:t xml:space="preserve">koszt </w:t>
            </w:r>
            <w:r w:rsidRPr="00FE2ECE">
              <w:rPr>
                <w:rFonts w:ascii="Times New Roman" w:eastAsia="Times New Roman" w:hAnsi="Times New Roman" w:cs="Times New Roman"/>
                <w:sz w:val="22"/>
                <w:szCs w:val="22"/>
              </w:rPr>
              <w:t>opracowania dokumentacji</w:t>
            </w:r>
            <w:r w:rsidR="00007CEF">
              <w:rPr>
                <w:rFonts w:ascii="Times New Roman" w:eastAsia="Times New Roman" w:hAnsi="Times New Roman" w:cs="Times New Roman"/>
                <w:sz w:val="22"/>
                <w:szCs w:val="22"/>
              </w:rPr>
              <w:t>.</w:t>
            </w:r>
            <w:r w:rsidR="00CF6F5E" w:rsidRPr="00FE2ECE">
              <w:rPr>
                <w:rFonts w:ascii="Times New Roman" w:eastAsia="Times New Roman" w:hAnsi="Times New Roman" w:cs="Times New Roman"/>
                <w:sz w:val="22"/>
                <w:szCs w:val="22"/>
              </w:rPr>
              <w:t xml:space="preserve"> </w:t>
            </w:r>
          </w:p>
          <w:p w14:paraId="46AEE402" w14:textId="5FC05DD3" w:rsidR="00A05539" w:rsidRPr="00A05539" w:rsidRDefault="00A05539" w:rsidP="00A05539">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05539">
              <w:rPr>
                <w:rFonts w:ascii="Times New Roman" w:eastAsia="Times New Roman" w:hAnsi="Times New Roman" w:cs="Times New Roman"/>
                <w:sz w:val="22"/>
                <w:szCs w:val="22"/>
              </w:rPr>
              <w:t xml:space="preserve">Przykładowe koszty dla branży handlu elektronicznego będą związane </w:t>
            </w:r>
            <w:r w:rsidR="00051422">
              <w:rPr>
                <w:rFonts w:ascii="Times New Roman" w:eastAsia="Times New Roman" w:hAnsi="Times New Roman" w:cs="Times New Roman"/>
                <w:sz w:val="22"/>
                <w:szCs w:val="22"/>
              </w:rPr>
              <w:t xml:space="preserve">przede wszystkim </w:t>
            </w:r>
            <w:r w:rsidRPr="00A05539">
              <w:rPr>
                <w:rFonts w:ascii="Times New Roman" w:eastAsia="Times New Roman" w:hAnsi="Times New Roman" w:cs="Times New Roman"/>
                <w:sz w:val="22"/>
                <w:szCs w:val="22"/>
              </w:rPr>
              <w:t>z</w:t>
            </w:r>
            <w:r w:rsidR="00A05EC1">
              <w:rPr>
                <w:rFonts w:ascii="Times New Roman" w:eastAsia="Times New Roman" w:hAnsi="Times New Roman" w:cs="Times New Roman"/>
                <w:sz w:val="22"/>
                <w:szCs w:val="22"/>
              </w:rPr>
              <w:t> </w:t>
            </w:r>
            <w:r w:rsidRPr="00A05539">
              <w:rPr>
                <w:rFonts w:ascii="Times New Roman" w:eastAsia="Times New Roman" w:hAnsi="Times New Roman" w:cs="Times New Roman"/>
                <w:sz w:val="22"/>
                <w:szCs w:val="22"/>
              </w:rPr>
              <w:t>przeprowadzeniem audytu dostępności istniejącej strony internetowej oraz jej dostosowaniem do standardu WCAG</w:t>
            </w:r>
            <w:r w:rsidR="009709DB">
              <w:rPr>
                <w:rFonts w:ascii="Times New Roman" w:eastAsia="Times New Roman" w:hAnsi="Times New Roman" w:cs="Times New Roman"/>
                <w:sz w:val="22"/>
                <w:szCs w:val="22"/>
              </w:rPr>
              <w:t xml:space="preserve"> (</w:t>
            </w:r>
            <w:r w:rsidR="009709DB" w:rsidRPr="00CF20B3">
              <w:rPr>
                <w:rFonts w:ascii="Times New Roman" w:eastAsia="Times New Roman" w:hAnsi="Times New Roman" w:cs="Times New Roman"/>
                <w:i/>
                <w:sz w:val="22"/>
                <w:szCs w:val="22"/>
              </w:rPr>
              <w:t xml:space="preserve">Web Content Accessibility </w:t>
            </w:r>
            <w:proofErr w:type="spellStart"/>
            <w:r w:rsidR="009709DB" w:rsidRPr="00CF20B3">
              <w:rPr>
                <w:rFonts w:ascii="Times New Roman" w:eastAsia="Times New Roman" w:hAnsi="Times New Roman" w:cs="Times New Roman"/>
                <w:i/>
                <w:sz w:val="22"/>
                <w:szCs w:val="22"/>
              </w:rPr>
              <w:t>Guidelines</w:t>
            </w:r>
            <w:proofErr w:type="spellEnd"/>
            <w:r w:rsidR="009709DB" w:rsidRPr="00CF20B3">
              <w:rPr>
                <w:rFonts w:ascii="Times New Roman" w:eastAsia="Times New Roman" w:hAnsi="Times New Roman" w:cs="Times New Roman"/>
                <w:sz w:val="22"/>
                <w:szCs w:val="22"/>
              </w:rPr>
              <w:t>)</w:t>
            </w:r>
            <w:r w:rsidRPr="00A05539">
              <w:rPr>
                <w:rFonts w:ascii="Times New Roman" w:eastAsia="Times New Roman" w:hAnsi="Times New Roman" w:cs="Times New Roman"/>
                <w:sz w:val="22"/>
                <w:szCs w:val="22"/>
              </w:rPr>
              <w:t xml:space="preserve"> zgodnie z wynikami przeprowadzonego audytu lub utworzeniem nowej strony internetowej.</w:t>
            </w:r>
          </w:p>
          <w:p w14:paraId="3E6DEF7A" w14:textId="67850978" w:rsidR="00A05539" w:rsidRPr="00A05539" w:rsidRDefault="00A05539" w:rsidP="00A05539">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05539">
              <w:rPr>
                <w:rFonts w:ascii="Times New Roman" w:eastAsia="Times New Roman" w:hAnsi="Times New Roman" w:cs="Times New Roman"/>
                <w:sz w:val="22"/>
                <w:szCs w:val="22"/>
              </w:rPr>
              <w:t>Je</w:t>
            </w:r>
            <w:r w:rsidR="006A084C">
              <w:rPr>
                <w:rFonts w:ascii="Times New Roman" w:eastAsia="Times New Roman" w:hAnsi="Times New Roman" w:cs="Times New Roman"/>
                <w:sz w:val="22"/>
                <w:szCs w:val="22"/>
              </w:rPr>
              <w:t>że</w:t>
            </w:r>
            <w:r w:rsidRPr="00A05539">
              <w:rPr>
                <w:rFonts w:ascii="Times New Roman" w:eastAsia="Times New Roman" w:hAnsi="Times New Roman" w:cs="Times New Roman"/>
                <w:sz w:val="22"/>
                <w:szCs w:val="22"/>
              </w:rPr>
              <w:t>li chodzi o koszty przeprowadzania audytu</w:t>
            </w:r>
            <w:r w:rsidR="000A0DBF">
              <w:rPr>
                <w:rFonts w:ascii="Times New Roman" w:eastAsia="Times New Roman" w:hAnsi="Times New Roman" w:cs="Times New Roman"/>
                <w:sz w:val="22"/>
                <w:szCs w:val="22"/>
              </w:rPr>
              <w:t>,</w:t>
            </w:r>
            <w:r w:rsidRPr="00A05539">
              <w:rPr>
                <w:rFonts w:ascii="Times New Roman" w:eastAsia="Times New Roman" w:hAnsi="Times New Roman" w:cs="Times New Roman"/>
                <w:sz w:val="22"/>
                <w:szCs w:val="22"/>
              </w:rPr>
              <w:t xml:space="preserve"> to w dużej mierze zależy on od zastosowanej metody. Niektóre firmy przeprowadzają audyt jedynie </w:t>
            </w:r>
            <w:r w:rsidR="006A084C">
              <w:rPr>
                <w:rFonts w:ascii="Times New Roman" w:eastAsia="Times New Roman" w:hAnsi="Times New Roman" w:cs="Times New Roman"/>
                <w:sz w:val="22"/>
                <w:szCs w:val="22"/>
              </w:rPr>
              <w:t>za</w:t>
            </w:r>
            <w:r w:rsidRPr="00A05539">
              <w:rPr>
                <w:rFonts w:ascii="Times New Roman" w:eastAsia="Times New Roman" w:hAnsi="Times New Roman" w:cs="Times New Roman"/>
                <w:sz w:val="22"/>
                <w:szCs w:val="22"/>
              </w:rPr>
              <w:t xml:space="preserve"> pomoc</w:t>
            </w:r>
            <w:r w:rsidR="006A084C">
              <w:rPr>
                <w:rFonts w:ascii="Times New Roman" w:eastAsia="Times New Roman" w:hAnsi="Times New Roman" w:cs="Times New Roman"/>
                <w:sz w:val="22"/>
                <w:szCs w:val="22"/>
              </w:rPr>
              <w:t>ą</w:t>
            </w:r>
            <w:r w:rsidRPr="00A05539">
              <w:rPr>
                <w:rFonts w:ascii="Times New Roman" w:eastAsia="Times New Roman" w:hAnsi="Times New Roman" w:cs="Times New Roman"/>
                <w:sz w:val="22"/>
                <w:szCs w:val="22"/>
              </w:rPr>
              <w:t xml:space="preserve"> listy kontrolnej WCAG</w:t>
            </w:r>
            <w:r w:rsidR="009709DB">
              <w:rPr>
                <w:rFonts w:ascii="Times New Roman" w:eastAsia="Times New Roman" w:hAnsi="Times New Roman" w:cs="Times New Roman"/>
                <w:sz w:val="22"/>
                <w:szCs w:val="22"/>
              </w:rPr>
              <w:t>,</w:t>
            </w:r>
            <w:r w:rsidR="00CF20B3">
              <w:rPr>
                <w:rFonts w:ascii="Times New Roman" w:eastAsia="Times New Roman" w:hAnsi="Times New Roman" w:cs="Times New Roman"/>
                <w:sz w:val="22"/>
                <w:szCs w:val="22"/>
              </w:rPr>
              <w:t xml:space="preserve"> </w:t>
            </w:r>
            <w:r w:rsidRPr="00A05539">
              <w:rPr>
                <w:rFonts w:ascii="Times New Roman" w:eastAsia="Times New Roman" w:hAnsi="Times New Roman" w:cs="Times New Roman"/>
                <w:sz w:val="22"/>
                <w:szCs w:val="22"/>
              </w:rPr>
              <w:t xml:space="preserve">inne opisując problemy </w:t>
            </w:r>
            <w:proofErr w:type="spellStart"/>
            <w:r w:rsidRPr="00A05539">
              <w:rPr>
                <w:rFonts w:ascii="Times New Roman" w:eastAsia="Times New Roman" w:hAnsi="Times New Roman" w:cs="Times New Roman"/>
                <w:sz w:val="22"/>
                <w:szCs w:val="22"/>
              </w:rPr>
              <w:t>dostępnościowe</w:t>
            </w:r>
            <w:proofErr w:type="spellEnd"/>
            <w:r w:rsidRPr="00A05539">
              <w:rPr>
                <w:rFonts w:ascii="Times New Roman" w:eastAsia="Times New Roman" w:hAnsi="Times New Roman" w:cs="Times New Roman"/>
                <w:sz w:val="22"/>
                <w:szCs w:val="22"/>
              </w:rPr>
              <w:t>. Inna metoda polega na badaniu eksperckim oraz testach z</w:t>
            </w:r>
            <w:r w:rsidR="00A05EC1">
              <w:rPr>
                <w:rFonts w:ascii="Times New Roman" w:eastAsia="Times New Roman" w:hAnsi="Times New Roman" w:cs="Times New Roman"/>
                <w:sz w:val="22"/>
                <w:szCs w:val="22"/>
              </w:rPr>
              <w:t> </w:t>
            </w:r>
            <w:r w:rsidRPr="00A05539">
              <w:rPr>
                <w:rFonts w:ascii="Times New Roman" w:eastAsia="Times New Roman" w:hAnsi="Times New Roman" w:cs="Times New Roman"/>
                <w:sz w:val="22"/>
                <w:szCs w:val="22"/>
              </w:rPr>
              <w:t xml:space="preserve">użytkownikami z niepełnosprawnością. Cena całego audytu zależy od </w:t>
            </w:r>
            <w:r w:rsidR="006A084C">
              <w:rPr>
                <w:rFonts w:ascii="Times New Roman" w:eastAsia="Times New Roman" w:hAnsi="Times New Roman" w:cs="Times New Roman"/>
                <w:sz w:val="22"/>
                <w:szCs w:val="22"/>
              </w:rPr>
              <w:t>liczby</w:t>
            </w:r>
            <w:r w:rsidRPr="00A05539">
              <w:rPr>
                <w:rFonts w:ascii="Times New Roman" w:eastAsia="Times New Roman" w:hAnsi="Times New Roman" w:cs="Times New Roman"/>
                <w:sz w:val="22"/>
                <w:szCs w:val="22"/>
              </w:rPr>
              <w:t xml:space="preserve"> przebadanych stron. Cena badania jednej prostej podstrony to koszt 900 zł netto. Cena podstrony z dużą </w:t>
            </w:r>
            <w:r w:rsidR="006A084C">
              <w:rPr>
                <w:rFonts w:ascii="Times New Roman" w:eastAsia="Times New Roman" w:hAnsi="Times New Roman" w:cs="Times New Roman"/>
                <w:sz w:val="22"/>
                <w:szCs w:val="22"/>
              </w:rPr>
              <w:t>liczbą</w:t>
            </w:r>
            <w:r w:rsidRPr="00A05539">
              <w:rPr>
                <w:rFonts w:ascii="Times New Roman" w:eastAsia="Times New Roman" w:hAnsi="Times New Roman" w:cs="Times New Roman"/>
                <w:sz w:val="22"/>
                <w:szCs w:val="22"/>
              </w:rPr>
              <w:t xml:space="preserve"> funkcjonalności to koszt 1800 zł netto. Uśredniając koszt badania średniej wielkości strony internetowej (10</w:t>
            </w:r>
            <w:r w:rsidR="00AC2753">
              <w:rPr>
                <w:rFonts w:ascii="Times New Roman" w:eastAsia="Times New Roman" w:hAnsi="Times New Roman" w:cs="Times New Roman"/>
                <w:sz w:val="22"/>
                <w:szCs w:val="22"/>
              </w:rPr>
              <w:t>−</w:t>
            </w:r>
            <w:r w:rsidRPr="00A05539">
              <w:rPr>
                <w:rFonts w:ascii="Times New Roman" w:eastAsia="Times New Roman" w:hAnsi="Times New Roman" w:cs="Times New Roman"/>
                <w:sz w:val="22"/>
                <w:szCs w:val="22"/>
              </w:rPr>
              <w:t>15 stron do badania)</w:t>
            </w:r>
            <w:r w:rsidR="006A084C">
              <w:rPr>
                <w:rFonts w:ascii="Times New Roman" w:eastAsia="Times New Roman" w:hAnsi="Times New Roman" w:cs="Times New Roman"/>
                <w:sz w:val="22"/>
                <w:szCs w:val="22"/>
              </w:rPr>
              <w:t>,</w:t>
            </w:r>
            <w:r w:rsidRPr="00A05539">
              <w:rPr>
                <w:rFonts w:ascii="Times New Roman" w:eastAsia="Times New Roman" w:hAnsi="Times New Roman" w:cs="Times New Roman"/>
                <w:sz w:val="22"/>
                <w:szCs w:val="22"/>
              </w:rPr>
              <w:t xml:space="preserve"> to koszty między 9</w:t>
            </w:r>
            <w:r w:rsidR="00223F64">
              <w:rPr>
                <w:rFonts w:ascii="Times New Roman" w:eastAsia="Times New Roman" w:hAnsi="Times New Roman" w:cs="Times New Roman"/>
                <w:sz w:val="22"/>
                <w:szCs w:val="22"/>
              </w:rPr>
              <w:t xml:space="preserve"> </w:t>
            </w:r>
            <w:r w:rsidRPr="00A05539">
              <w:rPr>
                <w:rFonts w:ascii="Times New Roman" w:eastAsia="Times New Roman" w:hAnsi="Times New Roman" w:cs="Times New Roman"/>
                <w:sz w:val="22"/>
                <w:szCs w:val="22"/>
              </w:rPr>
              <w:t>a 13</w:t>
            </w:r>
            <w:r w:rsidR="00223F64">
              <w:rPr>
                <w:rFonts w:ascii="Times New Roman" w:eastAsia="Times New Roman" w:hAnsi="Times New Roman" w:cs="Times New Roman"/>
                <w:sz w:val="22"/>
                <w:szCs w:val="22"/>
              </w:rPr>
              <w:t xml:space="preserve"> tys.</w:t>
            </w:r>
            <w:r w:rsidRPr="00A05539">
              <w:rPr>
                <w:rFonts w:ascii="Times New Roman" w:eastAsia="Times New Roman" w:hAnsi="Times New Roman" w:cs="Times New Roman"/>
                <w:sz w:val="22"/>
                <w:szCs w:val="22"/>
              </w:rPr>
              <w:t xml:space="preserve"> </w:t>
            </w:r>
            <w:r w:rsidR="0043721A">
              <w:rPr>
                <w:rFonts w:ascii="Times New Roman" w:eastAsia="Times New Roman" w:hAnsi="Times New Roman" w:cs="Times New Roman"/>
                <w:sz w:val="22"/>
                <w:szCs w:val="22"/>
              </w:rPr>
              <w:t xml:space="preserve">zł </w:t>
            </w:r>
            <w:r w:rsidRPr="00A05539">
              <w:rPr>
                <w:rFonts w:ascii="Times New Roman" w:eastAsia="Times New Roman" w:hAnsi="Times New Roman" w:cs="Times New Roman"/>
                <w:sz w:val="22"/>
                <w:szCs w:val="22"/>
              </w:rPr>
              <w:t xml:space="preserve">w przypadku prostego serwisu i </w:t>
            </w:r>
            <w:r w:rsidR="00F4168D">
              <w:rPr>
                <w:rFonts w:ascii="Times New Roman" w:eastAsia="Times New Roman" w:hAnsi="Times New Roman" w:cs="Times New Roman"/>
                <w:sz w:val="22"/>
                <w:szCs w:val="22"/>
              </w:rPr>
              <w:t xml:space="preserve">między </w:t>
            </w:r>
            <w:r w:rsidRPr="00A05539">
              <w:rPr>
                <w:rFonts w:ascii="Times New Roman" w:eastAsia="Times New Roman" w:hAnsi="Times New Roman" w:cs="Times New Roman"/>
                <w:sz w:val="22"/>
                <w:szCs w:val="22"/>
              </w:rPr>
              <w:t>18</w:t>
            </w:r>
            <w:r w:rsidR="00223F64">
              <w:rPr>
                <w:rFonts w:ascii="Times New Roman" w:eastAsia="Times New Roman" w:hAnsi="Times New Roman" w:cs="Times New Roman"/>
                <w:sz w:val="22"/>
                <w:szCs w:val="22"/>
              </w:rPr>
              <w:t xml:space="preserve"> </w:t>
            </w:r>
            <w:r w:rsidRPr="00A05539">
              <w:rPr>
                <w:rFonts w:ascii="Times New Roman" w:eastAsia="Times New Roman" w:hAnsi="Times New Roman" w:cs="Times New Roman"/>
                <w:sz w:val="22"/>
                <w:szCs w:val="22"/>
              </w:rPr>
              <w:t>a 27</w:t>
            </w:r>
            <w:r w:rsidR="00223F64">
              <w:rPr>
                <w:rFonts w:ascii="Times New Roman" w:eastAsia="Times New Roman" w:hAnsi="Times New Roman" w:cs="Times New Roman"/>
                <w:sz w:val="22"/>
                <w:szCs w:val="22"/>
              </w:rPr>
              <w:t xml:space="preserve"> tys.</w:t>
            </w:r>
            <w:r w:rsidRPr="00A05539">
              <w:rPr>
                <w:rFonts w:ascii="Times New Roman" w:eastAsia="Times New Roman" w:hAnsi="Times New Roman" w:cs="Times New Roman"/>
                <w:sz w:val="22"/>
                <w:szCs w:val="22"/>
              </w:rPr>
              <w:t xml:space="preserve"> </w:t>
            </w:r>
            <w:r w:rsidR="0043721A">
              <w:rPr>
                <w:rFonts w:ascii="Times New Roman" w:eastAsia="Times New Roman" w:hAnsi="Times New Roman" w:cs="Times New Roman"/>
                <w:sz w:val="22"/>
                <w:szCs w:val="22"/>
              </w:rPr>
              <w:t xml:space="preserve">zł </w:t>
            </w:r>
            <w:r w:rsidRPr="00A05539">
              <w:rPr>
                <w:rFonts w:ascii="Times New Roman" w:eastAsia="Times New Roman" w:hAnsi="Times New Roman" w:cs="Times New Roman"/>
                <w:sz w:val="22"/>
                <w:szCs w:val="22"/>
              </w:rPr>
              <w:t xml:space="preserve">w przypadku strony z dużą </w:t>
            </w:r>
            <w:r w:rsidR="007966D9">
              <w:rPr>
                <w:rFonts w:ascii="Times New Roman" w:eastAsia="Times New Roman" w:hAnsi="Times New Roman" w:cs="Times New Roman"/>
                <w:sz w:val="22"/>
                <w:szCs w:val="22"/>
              </w:rPr>
              <w:t>liczbą</w:t>
            </w:r>
            <w:r w:rsidRPr="00A05539">
              <w:rPr>
                <w:rFonts w:ascii="Times New Roman" w:eastAsia="Times New Roman" w:hAnsi="Times New Roman" w:cs="Times New Roman"/>
                <w:sz w:val="22"/>
                <w:szCs w:val="22"/>
              </w:rPr>
              <w:t xml:space="preserve"> funkcjonalności (kalkulatory, suwaki, ankiety, głosowania, wykresy </w:t>
            </w:r>
            <w:r w:rsidR="005F3A29" w:rsidRPr="00A05539">
              <w:rPr>
                <w:rFonts w:ascii="Times New Roman" w:eastAsia="Times New Roman" w:hAnsi="Times New Roman" w:cs="Times New Roman"/>
                <w:sz w:val="22"/>
                <w:szCs w:val="22"/>
              </w:rPr>
              <w:t>itd.</w:t>
            </w:r>
            <w:r w:rsidRPr="00A05539">
              <w:rPr>
                <w:rFonts w:ascii="Times New Roman" w:eastAsia="Times New Roman" w:hAnsi="Times New Roman" w:cs="Times New Roman"/>
                <w:sz w:val="22"/>
                <w:szCs w:val="22"/>
              </w:rPr>
              <w:t>). Koszty strony internetowej są trudne do oszacowania, bo zależą od wielkości strony, jej skomplikowania</w:t>
            </w:r>
            <w:r w:rsidR="00AC2753">
              <w:rPr>
                <w:rFonts w:ascii="Times New Roman" w:eastAsia="Times New Roman" w:hAnsi="Times New Roman" w:cs="Times New Roman"/>
                <w:sz w:val="22"/>
                <w:szCs w:val="22"/>
              </w:rPr>
              <w:t xml:space="preserve"> oraz</w:t>
            </w:r>
            <w:r w:rsidRPr="00A05539">
              <w:rPr>
                <w:rFonts w:ascii="Times New Roman" w:eastAsia="Times New Roman" w:hAnsi="Times New Roman" w:cs="Times New Roman"/>
                <w:sz w:val="22"/>
                <w:szCs w:val="22"/>
              </w:rPr>
              <w:t xml:space="preserve"> zastosowanego </w:t>
            </w:r>
            <w:r w:rsidR="000A0DBF">
              <w:rPr>
                <w:rFonts w:ascii="Times New Roman" w:eastAsia="Times New Roman" w:hAnsi="Times New Roman" w:cs="Times New Roman"/>
                <w:sz w:val="22"/>
                <w:szCs w:val="22"/>
              </w:rPr>
              <w:t>modelu</w:t>
            </w:r>
            <w:r w:rsidRPr="00A05539">
              <w:rPr>
                <w:rFonts w:ascii="Times New Roman" w:eastAsia="Times New Roman" w:hAnsi="Times New Roman" w:cs="Times New Roman"/>
                <w:sz w:val="22"/>
                <w:szCs w:val="22"/>
              </w:rPr>
              <w:t xml:space="preserve"> programistycznego dla wsparcia tworzenia aplikacji. Czasami może okazać się nieopłacalne dostosowanie istniejącej strony i wówczas </w:t>
            </w:r>
            <w:r w:rsidR="00A27F89">
              <w:rPr>
                <w:rFonts w:ascii="Times New Roman" w:eastAsia="Times New Roman" w:hAnsi="Times New Roman" w:cs="Times New Roman"/>
                <w:sz w:val="22"/>
                <w:szCs w:val="22"/>
              </w:rPr>
              <w:t>należy taką stronę stworzyć</w:t>
            </w:r>
            <w:r w:rsidRPr="00A05539">
              <w:rPr>
                <w:rFonts w:ascii="Times New Roman" w:eastAsia="Times New Roman" w:hAnsi="Times New Roman" w:cs="Times New Roman"/>
                <w:sz w:val="22"/>
                <w:szCs w:val="22"/>
              </w:rPr>
              <w:t xml:space="preserve"> od nowa. Jedną z metod wyceny jest oszacowanie kwoty za osobodzień pracy programisty lub zespołu programistów. Innym sposobem jest oszacowanie </w:t>
            </w:r>
            <w:r w:rsidR="000A0DBF">
              <w:rPr>
                <w:rFonts w:ascii="Times New Roman" w:eastAsia="Times New Roman" w:hAnsi="Times New Roman" w:cs="Times New Roman"/>
                <w:sz w:val="22"/>
                <w:szCs w:val="22"/>
              </w:rPr>
              <w:t>liczby</w:t>
            </w:r>
            <w:r w:rsidR="0032346E">
              <w:rPr>
                <w:rFonts w:ascii="Times New Roman" w:eastAsia="Times New Roman" w:hAnsi="Times New Roman" w:cs="Times New Roman"/>
                <w:sz w:val="22"/>
                <w:szCs w:val="22"/>
              </w:rPr>
              <w:t xml:space="preserve"> </w:t>
            </w:r>
            <w:r w:rsidRPr="00A05539">
              <w:rPr>
                <w:rFonts w:ascii="Times New Roman" w:eastAsia="Times New Roman" w:hAnsi="Times New Roman" w:cs="Times New Roman"/>
                <w:sz w:val="22"/>
                <w:szCs w:val="22"/>
              </w:rPr>
              <w:t>godzin pracy programisty lub zespołu programistów (średni koszt roboczogodziny wynosi 250</w:t>
            </w:r>
            <w:r w:rsidR="00AC2753">
              <w:rPr>
                <w:rFonts w:ascii="Times New Roman" w:eastAsia="Times New Roman" w:hAnsi="Times New Roman" w:cs="Times New Roman"/>
                <w:sz w:val="22"/>
                <w:szCs w:val="22"/>
              </w:rPr>
              <w:t>−</w:t>
            </w:r>
            <w:r w:rsidRPr="00A05539">
              <w:rPr>
                <w:rFonts w:ascii="Times New Roman" w:eastAsia="Times New Roman" w:hAnsi="Times New Roman" w:cs="Times New Roman"/>
                <w:sz w:val="22"/>
                <w:szCs w:val="22"/>
              </w:rPr>
              <w:t>350 zł netto)</w:t>
            </w:r>
            <w:r w:rsidRPr="00A05539">
              <w:rPr>
                <w:rFonts w:ascii="Times New Roman" w:eastAsia="Times New Roman" w:hAnsi="Times New Roman" w:cs="Times New Roman"/>
                <w:sz w:val="22"/>
                <w:szCs w:val="22"/>
                <w:vertAlign w:val="superscript"/>
              </w:rPr>
              <w:footnoteReference w:id="4"/>
            </w:r>
            <w:r w:rsidRPr="00A05539">
              <w:rPr>
                <w:rFonts w:ascii="Times New Roman" w:eastAsia="Times New Roman" w:hAnsi="Times New Roman" w:cs="Times New Roman"/>
                <w:sz w:val="22"/>
                <w:szCs w:val="22"/>
              </w:rPr>
              <w:t>.</w:t>
            </w:r>
          </w:p>
          <w:p w14:paraId="1A88F17E" w14:textId="71C4D168" w:rsidR="00A05539" w:rsidRDefault="00A05539" w:rsidP="00A05539">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05539">
              <w:rPr>
                <w:rFonts w:ascii="Times New Roman" w:eastAsia="Times New Roman" w:hAnsi="Times New Roman" w:cs="Times New Roman"/>
                <w:sz w:val="22"/>
                <w:szCs w:val="22"/>
              </w:rPr>
              <w:t xml:space="preserve">Ponadto branża handlu elektronicznego poniesie jednorazowe koszty szkolenia personelu </w:t>
            </w:r>
            <w:r w:rsidR="00EA2DED">
              <w:rPr>
                <w:rFonts w:ascii="Times New Roman" w:eastAsia="Times New Roman" w:hAnsi="Times New Roman" w:cs="Times New Roman"/>
                <w:sz w:val="22"/>
                <w:szCs w:val="22"/>
              </w:rPr>
              <w:br/>
            </w:r>
            <w:r w:rsidRPr="00A05539">
              <w:rPr>
                <w:rFonts w:ascii="Times New Roman" w:eastAsia="Times New Roman" w:hAnsi="Times New Roman" w:cs="Times New Roman"/>
                <w:sz w:val="22"/>
                <w:szCs w:val="22"/>
              </w:rPr>
              <w:t xml:space="preserve">i nabywania kompetencji w zakresie dostępności, aktualizacji lub zakupu nowego oprogramowania, wypracowania standardów wewnętrznych, opracowania nowych procesów </w:t>
            </w:r>
            <w:r w:rsidR="00EA2DED">
              <w:rPr>
                <w:rFonts w:ascii="Times New Roman" w:eastAsia="Times New Roman" w:hAnsi="Times New Roman" w:cs="Times New Roman"/>
                <w:sz w:val="22"/>
                <w:szCs w:val="22"/>
              </w:rPr>
              <w:br/>
            </w:r>
            <w:r w:rsidRPr="00A05539">
              <w:rPr>
                <w:rFonts w:ascii="Times New Roman" w:eastAsia="Times New Roman" w:hAnsi="Times New Roman" w:cs="Times New Roman"/>
                <w:sz w:val="22"/>
                <w:szCs w:val="22"/>
              </w:rPr>
              <w:t xml:space="preserve">w świadczeniu usługi, zatrudnienia dodatkowego personelu dysponującego wiedzą fachową </w:t>
            </w:r>
            <w:r w:rsidR="00EA2DED">
              <w:rPr>
                <w:rFonts w:ascii="Times New Roman" w:eastAsia="Times New Roman" w:hAnsi="Times New Roman" w:cs="Times New Roman"/>
                <w:sz w:val="22"/>
                <w:szCs w:val="22"/>
              </w:rPr>
              <w:br/>
            </w:r>
            <w:r w:rsidRPr="00A05539">
              <w:rPr>
                <w:rFonts w:ascii="Times New Roman" w:eastAsia="Times New Roman" w:hAnsi="Times New Roman" w:cs="Times New Roman"/>
                <w:sz w:val="22"/>
                <w:szCs w:val="22"/>
              </w:rPr>
              <w:t>w zakresie dostępności, zapoznania się z przepisa</w:t>
            </w:r>
            <w:r w:rsidR="002A0B09">
              <w:rPr>
                <w:rFonts w:ascii="Times New Roman" w:eastAsia="Times New Roman" w:hAnsi="Times New Roman" w:cs="Times New Roman"/>
                <w:sz w:val="22"/>
                <w:szCs w:val="22"/>
              </w:rPr>
              <w:t>m</w:t>
            </w:r>
            <w:r w:rsidRPr="00A05539">
              <w:rPr>
                <w:rFonts w:ascii="Times New Roman" w:eastAsia="Times New Roman" w:hAnsi="Times New Roman" w:cs="Times New Roman"/>
                <w:sz w:val="22"/>
                <w:szCs w:val="22"/>
              </w:rPr>
              <w:t xml:space="preserve">i w zakresie dostępności </w:t>
            </w:r>
            <w:r w:rsidR="0037786F">
              <w:rPr>
                <w:rFonts w:ascii="Times New Roman" w:eastAsia="Times New Roman" w:hAnsi="Times New Roman" w:cs="Times New Roman"/>
                <w:sz w:val="22"/>
                <w:szCs w:val="22"/>
              </w:rPr>
              <w:t xml:space="preserve">oraz </w:t>
            </w:r>
            <w:r w:rsidRPr="00A05539">
              <w:rPr>
                <w:rFonts w:ascii="Times New Roman" w:eastAsia="Times New Roman" w:hAnsi="Times New Roman" w:cs="Times New Roman"/>
                <w:sz w:val="22"/>
                <w:szCs w:val="22"/>
              </w:rPr>
              <w:t>bieżące koszty rozwoju, takie jak</w:t>
            </w:r>
            <w:r w:rsidR="006A084C">
              <w:rPr>
                <w:rFonts w:ascii="Times New Roman" w:eastAsia="Times New Roman" w:hAnsi="Times New Roman" w:cs="Times New Roman"/>
                <w:sz w:val="22"/>
                <w:szCs w:val="22"/>
              </w:rPr>
              <w:t>:</w:t>
            </w:r>
            <w:r w:rsidRPr="00A05539">
              <w:rPr>
                <w:rFonts w:ascii="Times New Roman" w:eastAsia="Times New Roman" w:hAnsi="Times New Roman" w:cs="Times New Roman"/>
                <w:sz w:val="22"/>
                <w:szCs w:val="22"/>
              </w:rPr>
              <w:t xml:space="preserve"> przeprowadzenie oceny zgodności z wym</w:t>
            </w:r>
            <w:r w:rsidR="005E78D5">
              <w:rPr>
                <w:rFonts w:ascii="Times New Roman" w:eastAsia="Times New Roman" w:hAnsi="Times New Roman" w:cs="Times New Roman"/>
                <w:sz w:val="22"/>
                <w:szCs w:val="22"/>
              </w:rPr>
              <w:t>aganiami</w:t>
            </w:r>
            <w:r w:rsidRPr="00A05539">
              <w:rPr>
                <w:rFonts w:ascii="Times New Roman" w:eastAsia="Times New Roman" w:hAnsi="Times New Roman" w:cs="Times New Roman"/>
                <w:sz w:val="22"/>
                <w:szCs w:val="22"/>
              </w:rPr>
              <w:t>, utrzymani</w:t>
            </w:r>
            <w:r w:rsidR="00AC2753">
              <w:rPr>
                <w:rFonts w:ascii="Times New Roman" w:eastAsia="Times New Roman" w:hAnsi="Times New Roman" w:cs="Times New Roman"/>
                <w:sz w:val="22"/>
                <w:szCs w:val="22"/>
              </w:rPr>
              <w:t>a</w:t>
            </w:r>
            <w:r w:rsidRPr="00A05539">
              <w:rPr>
                <w:rFonts w:ascii="Times New Roman" w:eastAsia="Times New Roman" w:hAnsi="Times New Roman" w:cs="Times New Roman"/>
                <w:sz w:val="22"/>
                <w:szCs w:val="22"/>
              </w:rPr>
              <w:t xml:space="preserve"> strony internetowej, testowania usługi pod względem dostępności, projektowania funkcji i właściwości decydujących o dostępności usługi (przewiduje się, że może to być zwiększenie dotychczasowych kosztów projektowania o ok. 30%)</w:t>
            </w:r>
            <w:r w:rsidR="00AC2753">
              <w:rPr>
                <w:rFonts w:ascii="Times New Roman" w:eastAsia="Times New Roman" w:hAnsi="Times New Roman" w:cs="Times New Roman"/>
                <w:sz w:val="22"/>
                <w:szCs w:val="22"/>
              </w:rPr>
              <w:t xml:space="preserve"> oraz </w:t>
            </w:r>
            <w:r w:rsidRPr="00A05539">
              <w:rPr>
                <w:rFonts w:ascii="Times New Roman" w:eastAsia="Times New Roman" w:hAnsi="Times New Roman" w:cs="Times New Roman"/>
                <w:sz w:val="22"/>
                <w:szCs w:val="22"/>
              </w:rPr>
              <w:t>koszt opracowania dokumentacji.</w:t>
            </w:r>
          </w:p>
          <w:p w14:paraId="12A51DE8" w14:textId="0F879D69" w:rsidR="00C90FB9" w:rsidRPr="00A05539" w:rsidRDefault="00C90FB9" w:rsidP="00A05539">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Przykładowe koszty dla sektora bankowego</w:t>
            </w:r>
            <w:r w:rsidR="00763B89">
              <w:rPr>
                <w:rStyle w:val="Odwoanieprzypisudolnego"/>
                <w:rFonts w:ascii="Times New Roman" w:eastAsia="Times New Roman" w:hAnsi="Times New Roman" w:cs="Times New Roman"/>
                <w:sz w:val="22"/>
                <w:szCs w:val="22"/>
              </w:rPr>
              <w:footnoteReference w:id="5"/>
            </w:r>
            <w:r w:rsidR="00CE3BD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przedstawiają się następująco</w:t>
            </w:r>
            <w:r w:rsidR="00AC275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AC2753">
              <w:rPr>
                <w:rFonts w:ascii="Times New Roman" w:eastAsia="Times New Roman" w:hAnsi="Times New Roman" w:cs="Times New Roman"/>
                <w:sz w:val="22"/>
                <w:szCs w:val="22"/>
              </w:rPr>
              <w:t>A</w:t>
            </w:r>
            <w:r w:rsidRPr="00C90FB9">
              <w:rPr>
                <w:rFonts w:ascii="Times New Roman" w:eastAsia="Times New Roman" w:hAnsi="Times New Roman" w:cs="Times New Roman"/>
                <w:sz w:val="22"/>
                <w:szCs w:val="22"/>
              </w:rPr>
              <w:t>ktualizacja oprogramowania do bankomatów (lub zakupu nowego oprogramowania), aby dostosować je do wym</w:t>
            </w:r>
            <w:r w:rsidR="00C475CC">
              <w:rPr>
                <w:rFonts w:ascii="Times New Roman" w:eastAsia="Times New Roman" w:hAnsi="Times New Roman" w:cs="Times New Roman"/>
                <w:sz w:val="22"/>
                <w:szCs w:val="22"/>
              </w:rPr>
              <w:t>agań</w:t>
            </w:r>
            <w:r w:rsidRPr="00C90FB9">
              <w:rPr>
                <w:rFonts w:ascii="Times New Roman" w:eastAsia="Times New Roman" w:hAnsi="Times New Roman" w:cs="Times New Roman"/>
                <w:sz w:val="22"/>
                <w:szCs w:val="22"/>
              </w:rPr>
              <w:t xml:space="preserve"> dostępności</w:t>
            </w:r>
            <w:r w:rsidR="006A084C">
              <w:rPr>
                <w:rFonts w:ascii="Times New Roman" w:eastAsia="Times New Roman" w:hAnsi="Times New Roman" w:cs="Times New Roman"/>
                <w:sz w:val="22"/>
                <w:szCs w:val="22"/>
              </w:rPr>
              <w:t>,</w:t>
            </w:r>
            <w:r w:rsidRPr="00C90FB9">
              <w:rPr>
                <w:rFonts w:ascii="Times New Roman" w:eastAsia="Times New Roman" w:hAnsi="Times New Roman" w:cs="Times New Roman"/>
                <w:sz w:val="22"/>
                <w:szCs w:val="22"/>
              </w:rPr>
              <w:t xml:space="preserve"> może wynieść: 20</w:t>
            </w:r>
            <w:r w:rsidR="00AC2753">
              <w:rPr>
                <w:rFonts w:ascii="Times New Roman" w:eastAsia="Times New Roman" w:hAnsi="Times New Roman" w:cs="Times New Roman"/>
                <w:sz w:val="22"/>
                <w:szCs w:val="22"/>
              </w:rPr>
              <w:t>−</w:t>
            </w:r>
            <w:r w:rsidRPr="00C90FB9">
              <w:rPr>
                <w:rFonts w:ascii="Times New Roman" w:eastAsia="Times New Roman" w:hAnsi="Times New Roman" w:cs="Times New Roman"/>
                <w:sz w:val="22"/>
                <w:szCs w:val="22"/>
              </w:rPr>
              <w:t>30 mln zł, a koszty audytu dostępności stron internetowych i dostosowania samej strony do wym</w:t>
            </w:r>
            <w:r w:rsidR="00C475CC">
              <w:rPr>
                <w:rFonts w:ascii="Times New Roman" w:eastAsia="Times New Roman" w:hAnsi="Times New Roman" w:cs="Times New Roman"/>
                <w:sz w:val="22"/>
                <w:szCs w:val="22"/>
              </w:rPr>
              <w:t>agań</w:t>
            </w:r>
            <w:r w:rsidRPr="00C90FB9">
              <w:rPr>
                <w:rFonts w:ascii="Times New Roman" w:eastAsia="Times New Roman" w:hAnsi="Times New Roman" w:cs="Times New Roman"/>
                <w:sz w:val="22"/>
                <w:szCs w:val="22"/>
              </w:rPr>
              <w:t xml:space="preserve"> dostępności mogą wynieść 250</w:t>
            </w:r>
            <w:r w:rsidR="00AC2753">
              <w:rPr>
                <w:rFonts w:ascii="Times New Roman" w:eastAsia="Times New Roman" w:hAnsi="Times New Roman" w:cs="Times New Roman"/>
                <w:sz w:val="22"/>
                <w:szCs w:val="22"/>
              </w:rPr>
              <w:t>−</w:t>
            </w:r>
            <w:r w:rsidRPr="00C90FB9">
              <w:rPr>
                <w:rFonts w:ascii="Times New Roman" w:eastAsia="Times New Roman" w:hAnsi="Times New Roman" w:cs="Times New Roman"/>
                <w:sz w:val="22"/>
                <w:szCs w:val="22"/>
              </w:rPr>
              <w:t>500 tys. zł w przypadku mniejszych banków</w:t>
            </w:r>
            <w:r w:rsidR="00AC2753">
              <w:rPr>
                <w:rFonts w:ascii="Times New Roman" w:eastAsia="Times New Roman" w:hAnsi="Times New Roman" w:cs="Times New Roman"/>
                <w:sz w:val="22"/>
                <w:szCs w:val="22"/>
              </w:rPr>
              <w:t xml:space="preserve"> oraz </w:t>
            </w:r>
            <w:r w:rsidRPr="00C90FB9">
              <w:rPr>
                <w:rFonts w:ascii="Times New Roman" w:eastAsia="Times New Roman" w:hAnsi="Times New Roman" w:cs="Times New Roman"/>
                <w:sz w:val="22"/>
                <w:szCs w:val="22"/>
              </w:rPr>
              <w:t>2</w:t>
            </w:r>
            <w:r w:rsidR="00AC2753">
              <w:rPr>
                <w:rFonts w:ascii="Times New Roman" w:eastAsia="Times New Roman" w:hAnsi="Times New Roman" w:cs="Times New Roman"/>
                <w:sz w:val="22"/>
                <w:szCs w:val="22"/>
              </w:rPr>
              <w:t>−</w:t>
            </w:r>
            <w:r w:rsidRPr="00C90FB9">
              <w:rPr>
                <w:rFonts w:ascii="Times New Roman" w:eastAsia="Times New Roman" w:hAnsi="Times New Roman" w:cs="Times New Roman"/>
                <w:sz w:val="22"/>
                <w:szCs w:val="22"/>
              </w:rPr>
              <w:t>3 mln zł w przypadku największych banków.</w:t>
            </w:r>
          </w:p>
          <w:p w14:paraId="63790A6C" w14:textId="0AEF5A8D" w:rsidR="00526AA0" w:rsidRDefault="000A0DBF" w:rsidP="00A05539">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Wdrożenie </w:t>
            </w:r>
            <w:r w:rsidR="00A05539" w:rsidRPr="00A05539">
              <w:rPr>
                <w:rFonts w:ascii="Times New Roman" w:eastAsia="Times New Roman" w:hAnsi="Times New Roman" w:cs="Times New Roman"/>
                <w:sz w:val="22"/>
                <w:szCs w:val="22"/>
              </w:rPr>
              <w:t xml:space="preserve">nowych, dostępnych rozwiązań </w:t>
            </w:r>
            <w:r w:rsidR="00AC2753" w:rsidRPr="00A05539">
              <w:rPr>
                <w:rFonts w:ascii="Times New Roman" w:eastAsia="Times New Roman" w:hAnsi="Times New Roman" w:cs="Times New Roman"/>
                <w:sz w:val="22"/>
                <w:szCs w:val="22"/>
              </w:rPr>
              <w:t xml:space="preserve">będzie się </w:t>
            </w:r>
            <w:r w:rsidR="00A05539" w:rsidRPr="00A05539">
              <w:rPr>
                <w:rFonts w:ascii="Times New Roman" w:eastAsia="Times New Roman" w:hAnsi="Times New Roman" w:cs="Times New Roman"/>
                <w:sz w:val="22"/>
                <w:szCs w:val="22"/>
              </w:rPr>
              <w:t xml:space="preserve">wiązać z dodatkowymi kosztami, </w:t>
            </w:r>
            <w:r w:rsidR="00526AA0">
              <w:rPr>
                <w:rFonts w:ascii="Times New Roman" w:eastAsia="Times New Roman" w:hAnsi="Times New Roman" w:cs="Times New Roman"/>
                <w:sz w:val="22"/>
                <w:szCs w:val="22"/>
              </w:rPr>
              <w:t xml:space="preserve">mogą one być jednak ograniczane </w:t>
            </w:r>
            <w:r w:rsidR="001E27BE">
              <w:rPr>
                <w:rFonts w:ascii="Times New Roman" w:eastAsia="Times New Roman" w:hAnsi="Times New Roman" w:cs="Times New Roman"/>
                <w:sz w:val="22"/>
                <w:szCs w:val="22"/>
              </w:rPr>
              <w:t>przez implementację</w:t>
            </w:r>
            <w:r w:rsidR="00A05539" w:rsidRPr="00A05539">
              <w:rPr>
                <w:rFonts w:ascii="Times New Roman" w:eastAsia="Times New Roman" w:hAnsi="Times New Roman" w:cs="Times New Roman"/>
                <w:sz w:val="22"/>
                <w:szCs w:val="22"/>
              </w:rPr>
              <w:t xml:space="preserve"> dostępności od początku proces</w:t>
            </w:r>
            <w:r w:rsidR="00526AA0">
              <w:rPr>
                <w:rFonts w:ascii="Times New Roman" w:eastAsia="Times New Roman" w:hAnsi="Times New Roman" w:cs="Times New Roman"/>
                <w:sz w:val="22"/>
                <w:szCs w:val="22"/>
              </w:rPr>
              <w:t>ów projektowych i</w:t>
            </w:r>
            <w:r w:rsidR="00A05EC1">
              <w:rPr>
                <w:rFonts w:ascii="Times New Roman" w:eastAsia="Times New Roman" w:hAnsi="Times New Roman" w:cs="Times New Roman"/>
                <w:sz w:val="22"/>
                <w:szCs w:val="22"/>
              </w:rPr>
              <w:t> </w:t>
            </w:r>
            <w:r w:rsidR="00526AA0">
              <w:rPr>
                <w:rFonts w:ascii="Times New Roman" w:eastAsia="Times New Roman" w:hAnsi="Times New Roman" w:cs="Times New Roman"/>
                <w:sz w:val="22"/>
                <w:szCs w:val="22"/>
              </w:rPr>
              <w:t>produkcyjnych.</w:t>
            </w:r>
          </w:p>
          <w:p w14:paraId="3591B377" w14:textId="30A330E8" w:rsidR="00A05539" w:rsidRPr="00FE2ECE" w:rsidRDefault="00526AA0" w:rsidP="00EE3FAF">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Zastosowanie powiązanego z dostępnością </w:t>
            </w:r>
            <w:r w:rsidR="002A0B09">
              <w:rPr>
                <w:rFonts w:ascii="Times New Roman" w:eastAsia="Times New Roman" w:hAnsi="Times New Roman" w:cs="Times New Roman"/>
                <w:sz w:val="22"/>
                <w:szCs w:val="22"/>
              </w:rPr>
              <w:t>u</w:t>
            </w:r>
            <w:r w:rsidR="00A05539" w:rsidRPr="00A05539">
              <w:rPr>
                <w:rFonts w:ascii="Times New Roman" w:eastAsia="Times New Roman" w:hAnsi="Times New Roman" w:cs="Times New Roman"/>
                <w:sz w:val="22"/>
                <w:szCs w:val="22"/>
              </w:rPr>
              <w:t>niwersalne</w:t>
            </w:r>
            <w:r>
              <w:rPr>
                <w:rFonts w:ascii="Times New Roman" w:eastAsia="Times New Roman" w:hAnsi="Times New Roman" w:cs="Times New Roman"/>
                <w:sz w:val="22"/>
                <w:szCs w:val="22"/>
              </w:rPr>
              <w:t>go</w:t>
            </w:r>
            <w:r w:rsidR="00A05539" w:rsidRPr="00A05539">
              <w:rPr>
                <w:rFonts w:ascii="Times New Roman" w:eastAsia="Times New Roman" w:hAnsi="Times New Roman" w:cs="Times New Roman"/>
                <w:sz w:val="22"/>
                <w:szCs w:val="22"/>
              </w:rPr>
              <w:t xml:space="preserve"> projektowani</w:t>
            </w:r>
            <w:r>
              <w:rPr>
                <w:rFonts w:ascii="Times New Roman" w:eastAsia="Times New Roman" w:hAnsi="Times New Roman" w:cs="Times New Roman"/>
                <w:sz w:val="22"/>
                <w:szCs w:val="22"/>
              </w:rPr>
              <w:t>a</w:t>
            </w:r>
            <w:r w:rsidR="0063610D">
              <w:rPr>
                <w:rFonts w:ascii="Times New Roman" w:eastAsia="Times New Roman" w:hAnsi="Times New Roman" w:cs="Times New Roman"/>
                <w:sz w:val="22"/>
                <w:szCs w:val="22"/>
              </w:rPr>
              <w:t xml:space="preserve"> </w:t>
            </w:r>
            <w:r w:rsidR="00A05539" w:rsidRPr="00A05539">
              <w:rPr>
                <w:rFonts w:ascii="Times New Roman" w:eastAsia="Times New Roman" w:hAnsi="Times New Roman" w:cs="Times New Roman"/>
                <w:sz w:val="22"/>
                <w:szCs w:val="22"/>
              </w:rPr>
              <w:t>jest dużo tańsze niż późniejsze dostosowanie do wym</w:t>
            </w:r>
            <w:r w:rsidR="008A2616">
              <w:rPr>
                <w:rFonts w:ascii="Times New Roman" w:eastAsia="Times New Roman" w:hAnsi="Times New Roman" w:cs="Times New Roman"/>
                <w:sz w:val="22"/>
                <w:szCs w:val="22"/>
              </w:rPr>
              <w:t>agań</w:t>
            </w:r>
            <w:r w:rsidR="00A05539" w:rsidRPr="00A05539">
              <w:rPr>
                <w:rFonts w:ascii="Times New Roman" w:eastAsia="Times New Roman" w:hAnsi="Times New Roman" w:cs="Times New Roman"/>
                <w:sz w:val="22"/>
                <w:szCs w:val="22"/>
              </w:rPr>
              <w:t xml:space="preserve"> dostępności </w:t>
            </w:r>
            <w:r>
              <w:rPr>
                <w:rFonts w:ascii="Times New Roman" w:eastAsia="Times New Roman" w:hAnsi="Times New Roman" w:cs="Times New Roman"/>
                <w:sz w:val="22"/>
                <w:szCs w:val="22"/>
              </w:rPr>
              <w:t xml:space="preserve">Przykładowo </w:t>
            </w:r>
            <w:r w:rsidR="00A05539" w:rsidRPr="00A05539">
              <w:rPr>
                <w:rFonts w:ascii="Times New Roman" w:eastAsia="Times New Roman" w:hAnsi="Times New Roman" w:cs="Times New Roman"/>
                <w:sz w:val="22"/>
                <w:szCs w:val="22"/>
              </w:rPr>
              <w:t xml:space="preserve">dostępny biletomat czy bankomat nie </w:t>
            </w:r>
            <w:r>
              <w:rPr>
                <w:rFonts w:ascii="Times New Roman" w:eastAsia="Times New Roman" w:hAnsi="Times New Roman" w:cs="Times New Roman"/>
                <w:sz w:val="22"/>
                <w:szCs w:val="22"/>
              </w:rPr>
              <w:t>powin</w:t>
            </w:r>
            <w:r w:rsidR="00285031">
              <w:rPr>
                <w:rFonts w:ascii="Times New Roman" w:eastAsia="Times New Roman" w:hAnsi="Times New Roman" w:cs="Times New Roman"/>
                <w:sz w:val="22"/>
                <w:szCs w:val="22"/>
              </w:rPr>
              <w:t>ny</w:t>
            </w:r>
            <w:r>
              <w:rPr>
                <w:rFonts w:ascii="Times New Roman" w:eastAsia="Times New Roman" w:hAnsi="Times New Roman" w:cs="Times New Roman"/>
                <w:sz w:val="22"/>
                <w:szCs w:val="22"/>
              </w:rPr>
              <w:t xml:space="preserve"> </w:t>
            </w:r>
            <w:r w:rsidR="00A05539" w:rsidRPr="00A05539">
              <w:rPr>
                <w:rFonts w:ascii="Times New Roman" w:eastAsia="Times New Roman" w:hAnsi="Times New Roman" w:cs="Times New Roman"/>
                <w:sz w:val="22"/>
                <w:szCs w:val="22"/>
              </w:rPr>
              <w:t>stanowi</w:t>
            </w:r>
            <w:r>
              <w:rPr>
                <w:rFonts w:ascii="Times New Roman" w:eastAsia="Times New Roman" w:hAnsi="Times New Roman" w:cs="Times New Roman"/>
                <w:sz w:val="22"/>
                <w:szCs w:val="22"/>
              </w:rPr>
              <w:t>ć</w:t>
            </w:r>
            <w:r w:rsidR="00A05539" w:rsidRPr="00A05539">
              <w:rPr>
                <w:rFonts w:ascii="Times New Roman" w:eastAsia="Times New Roman" w:hAnsi="Times New Roman" w:cs="Times New Roman"/>
                <w:sz w:val="22"/>
                <w:szCs w:val="22"/>
              </w:rPr>
              <w:t xml:space="preserve"> dodatkowego kosztu dla przedsiębiorców</w:t>
            </w:r>
            <w:r>
              <w:rPr>
                <w:rFonts w:ascii="Times New Roman" w:eastAsia="Times New Roman" w:hAnsi="Times New Roman" w:cs="Times New Roman"/>
                <w:sz w:val="22"/>
                <w:szCs w:val="22"/>
              </w:rPr>
              <w:t xml:space="preserve">, </w:t>
            </w:r>
            <w:r w:rsidR="00285031">
              <w:rPr>
                <w:rFonts w:ascii="Times New Roman" w:eastAsia="Times New Roman" w:hAnsi="Times New Roman" w:cs="Times New Roman"/>
                <w:sz w:val="22"/>
                <w:szCs w:val="22"/>
              </w:rPr>
              <w:t xml:space="preserve">jeżeli te </w:t>
            </w:r>
            <w:r>
              <w:rPr>
                <w:rFonts w:ascii="Times New Roman" w:eastAsia="Times New Roman" w:hAnsi="Times New Roman" w:cs="Times New Roman"/>
                <w:sz w:val="22"/>
                <w:szCs w:val="22"/>
              </w:rPr>
              <w:t xml:space="preserve">urządzenia będą projektowane i produkowane z myślą o dostępności dla wszystkich, przy </w:t>
            </w:r>
            <w:r w:rsidR="005F3A29">
              <w:rPr>
                <w:rFonts w:ascii="Times New Roman" w:eastAsia="Times New Roman" w:hAnsi="Times New Roman" w:cs="Times New Roman"/>
                <w:sz w:val="22"/>
                <w:szCs w:val="22"/>
              </w:rPr>
              <w:t>zastosowaniu</w:t>
            </w:r>
            <w:r>
              <w:rPr>
                <w:rFonts w:ascii="Times New Roman" w:eastAsia="Times New Roman" w:hAnsi="Times New Roman" w:cs="Times New Roman"/>
                <w:sz w:val="22"/>
                <w:szCs w:val="22"/>
              </w:rPr>
              <w:t xml:space="preserve"> projektowania uniwersalnego.</w:t>
            </w:r>
          </w:p>
        </w:tc>
      </w:tr>
      <w:tr w:rsidR="00EC4C5C" w14:paraId="05B881AF" w14:textId="77777777" w:rsidTr="000A0DBF">
        <w:trPr>
          <w:trHeight w:val="342"/>
        </w:trPr>
        <w:tc>
          <w:tcPr>
            <w:tcW w:w="10947" w:type="dxa"/>
            <w:gridSpan w:val="29"/>
            <w:shd w:val="clear" w:color="auto" w:fill="99CCFF"/>
            <w:vAlign w:val="center"/>
          </w:tcPr>
          <w:p w14:paraId="317C398C" w14:textId="77777777" w:rsidR="00EC4C5C" w:rsidRDefault="00112BFC"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8. </w:t>
            </w:r>
            <w:r w:rsidR="00515863">
              <w:rPr>
                <w:rFonts w:ascii="Times New Roman" w:eastAsia="Times New Roman" w:hAnsi="Times New Roman" w:cs="Times New Roman"/>
                <w:b/>
                <w:color w:val="000000"/>
                <w:sz w:val="22"/>
                <w:szCs w:val="22"/>
              </w:rPr>
              <w:t>Zmiana obciążeń regulacyjnych (w tym obowiązków informacyjnych) wynikających z projektu</w:t>
            </w:r>
          </w:p>
        </w:tc>
      </w:tr>
      <w:tr w:rsidR="00EC4C5C" w14:paraId="35808F1E" w14:textId="77777777" w:rsidTr="000A0DBF">
        <w:trPr>
          <w:trHeight w:val="151"/>
        </w:trPr>
        <w:tc>
          <w:tcPr>
            <w:tcW w:w="10947" w:type="dxa"/>
            <w:gridSpan w:val="29"/>
            <w:shd w:val="clear" w:color="auto" w:fill="FFFFFF"/>
          </w:tcPr>
          <w:p w14:paraId="1253D78A"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nie dotyczy</w:t>
            </w:r>
          </w:p>
        </w:tc>
      </w:tr>
      <w:tr w:rsidR="00EC4C5C" w14:paraId="69846F77" w14:textId="77777777" w:rsidTr="000A0DBF">
        <w:trPr>
          <w:trHeight w:val="946"/>
        </w:trPr>
        <w:tc>
          <w:tcPr>
            <w:tcW w:w="5111" w:type="dxa"/>
            <w:gridSpan w:val="12"/>
            <w:shd w:val="clear" w:color="auto" w:fill="FFFFFF"/>
          </w:tcPr>
          <w:p w14:paraId="1FFF3E67" w14:textId="77777777" w:rsidR="00EC4C5C" w:rsidRDefault="00515863">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Wprowadzane są obciążenia poza bezwzględnie wymaganymi przez UE (szczegóły w odwróconej tabeli zgodności).</w:t>
            </w:r>
          </w:p>
        </w:tc>
        <w:tc>
          <w:tcPr>
            <w:tcW w:w="5836" w:type="dxa"/>
            <w:gridSpan w:val="17"/>
            <w:shd w:val="clear" w:color="auto" w:fill="FFFFFF"/>
          </w:tcPr>
          <w:p w14:paraId="1E09BA5B"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tak</w:t>
            </w:r>
          </w:p>
          <w:p w14:paraId="763EECBA" w14:textId="77777777" w:rsidR="00EC4C5C" w:rsidRDefault="00A662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 </w:t>
            </w:r>
            <w:r w:rsidR="00515863">
              <w:rPr>
                <w:rFonts w:ascii="Times New Roman" w:eastAsia="Times New Roman" w:hAnsi="Times New Roman" w:cs="Times New Roman"/>
                <w:color w:val="000000"/>
                <w:sz w:val="22"/>
                <w:szCs w:val="22"/>
              </w:rPr>
              <w:t>nie</w:t>
            </w:r>
          </w:p>
          <w:p w14:paraId="670C9A32" w14:textId="77777777" w:rsidR="00EC4C5C" w:rsidRDefault="00515863">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nie dotyczy</w:t>
            </w:r>
          </w:p>
        </w:tc>
      </w:tr>
      <w:tr w:rsidR="00EC4C5C" w14:paraId="6E066F51" w14:textId="77777777" w:rsidTr="000A0DBF">
        <w:trPr>
          <w:trHeight w:val="1245"/>
        </w:trPr>
        <w:tc>
          <w:tcPr>
            <w:tcW w:w="5111" w:type="dxa"/>
            <w:gridSpan w:val="12"/>
            <w:shd w:val="clear" w:color="auto" w:fill="FFFFFF"/>
          </w:tcPr>
          <w:p w14:paraId="18B51960"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zmniejszenie liczby dokumentów </w:t>
            </w:r>
          </w:p>
          <w:p w14:paraId="769B35FD"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zmniejszenie liczby procedur</w:t>
            </w:r>
          </w:p>
          <w:p w14:paraId="3B731B01"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skrócenie czasu na załatwienie sprawy</w:t>
            </w:r>
          </w:p>
          <w:p w14:paraId="49DFC503" w14:textId="77777777" w:rsidR="00EC4C5C" w:rsidRDefault="00515863">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inne:      </w:t>
            </w:r>
          </w:p>
        </w:tc>
        <w:tc>
          <w:tcPr>
            <w:tcW w:w="5836" w:type="dxa"/>
            <w:gridSpan w:val="17"/>
            <w:shd w:val="clear" w:color="auto" w:fill="FFFFFF"/>
          </w:tcPr>
          <w:p w14:paraId="2895E127"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zwiększenie liczby dokumentów</w:t>
            </w:r>
          </w:p>
          <w:p w14:paraId="18EB5F93"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zwiększenie liczby procedur</w:t>
            </w:r>
          </w:p>
          <w:p w14:paraId="18BE4C0B"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wydłużenie czasu na załatwienie sprawy</w:t>
            </w:r>
          </w:p>
          <w:p w14:paraId="5777F9F7"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inne:      </w:t>
            </w:r>
          </w:p>
          <w:p w14:paraId="30BD6CDF" w14:textId="77777777" w:rsidR="00EC4C5C" w:rsidRDefault="00EC4C5C">
            <w:pPr>
              <w:pBdr>
                <w:top w:val="nil"/>
                <w:left w:val="nil"/>
                <w:bottom w:val="nil"/>
                <w:right w:val="nil"/>
                <w:between w:val="nil"/>
              </w:pBdr>
              <w:rPr>
                <w:rFonts w:ascii="Times New Roman" w:eastAsia="Times New Roman" w:hAnsi="Times New Roman" w:cs="Times New Roman"/>
                <w:color w:val="000000"/>
                <w:sz w:val="22"/>
                <w:szCs w:val="22"/>
              </w:rPr>
            </w:pPr>
          </w:p>
        </w:tc>
      </w:tr>
      <w:tr w:rsidR="00EC4C5C" w14:paraId="5B73F956" w14:textId="77777777" w:rsidTr="000A0DBF">
        <w:trPr>
          <w:trHeight w:val="870"/>
        </w:trPr>
        <w:tc>
          <w:tcPr>
            <w:tcW w:w="5111" w:type="dxa"/>
            <w:gridSpan w:val="12"/>
            <w:shd w:val="clear" w:color="auto" w:fill="FFFFFF"/>
          </w:tcPr>
          <w:p w14:paraId="07E95B22"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Wprowadzane obciążenia są przystosowane do ich elektronizacji. </w:t>
            </w:r>
          </w:p>
        </w:tc>
        <w:tc>
          <w:tcPr>
            <w:tcW w:w="5836" w:type="dxa"/>
            <w:gridSpan w:val="17"/>
            <w:shd w:val="clear" w:color="auto" w:fill="FFFFFF"/>
          </w:tcPr>
          <w:p w14:paraId="1E59DFA0"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tak</w:t>
            </w:r>
          </w:p>
          <w:p w14:paraId="78E4C068"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nie</w:t>
            </w:r>
          </w:p>
          <w:p w14:paraId="7AB65A53" w14:textId="77777777" w:rsidR="00EC4C5C" w:rsidRDefault="0051586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nie dotyczy</w:t>
            </w:r>
          </w:p>
          <w:p w14:paraId="40B42ECB" w14:textId="77777777" w:rsidR="00EC4C5C" w:rsidRDefault="00EC4C5C">
            <w:pPr>
              <w:pBdr>
                <w:top w:val="nil"/>
                <w:left w:val="nil"/>
                <w:bottom w:val="nil"/>
                <w:right w:val="nil"/>
                <w:between w:val="nil"/>
              </w:pBdr>
              <w:rPr>
                <w:rFonts w:ascii="Times New Roman" w:eastAsia="Times New Roman" w:hAnsi="Times New Roman" w:cs="Times New Roman"/>
                <w:color w:val="000000"/>
                <w:sz w:val="22"/>
                <w:szCs w:val="22"/>
              </w:rPr>
            </w:pPr>
          </w:p>
        </w:tc>
      </w:tr>
      <w:tr w:rsidR="00EC4C5C" w14:paraId="1001F1BA" w14:textId="77777777" w:rsidTr="000A0DBF">
        <w:trPr>
          <w:trHeight w:val="630"/>
        </w:trPr>
        <w:tc>
          <w:tcPr>
            <w:tcW w:w="10947" w:type="dxa"/>
            <w:gridSpan w:val="29"/>
            <w:shd w:val="clear" w:color="auto" w:fill="FFFFFF"/>
          </w:tcPr>
          <w:p w14:paraId="0B313F0C" w14:textId="77777777" w:rsidR="00EC4C5C" w:rsidRDefault="00BF35EA"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Komentarz</w:t>
            </w:r>
          </w:p>
          <w:p w14:paraId="7B4C6AED" w14:textId="77777777" w:rsidR="009C442A" w:rsidRPr="009C442A" w:rsidRDefault="009C442A"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Obciążenia regulacyjne dla przedsiębiorstw:</w:t>
            </w:r>
          </w:p>
          <w:p w14:paraId="3DAEEF73" w14:textId="63C09963" w:rsidR="009C442A" w:rsidRPr="009C442A" w:rsidRDefault="00200CCC"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Projekt u</w:t>
            </w:r>
            <w:r w:rsidR="009C442A" w:rsidRPr="009C442A">
              <w:rPr>
                <w:rFonts w:ascii="Times New Roman" w:eastAsia="Times New Roman" w:hAnsi="Times New Roman" w:cs="Times New Roman"/>
                <w:color w:val="000000"/>
                <w:sz w:val="22"/>
                <w:szCs w:val="22"/>
              </w:rPr>
              <w:t>staw</w:t>
            </w:r>
            <w:r>
              <w:rPr>
                <w:rFonts w:ascii="Times New Roman" w:eastAsia="Times New Roman" w:hAnsi="Times New Roman" w:cs="Times New Roman"/>
                <w:color w:val="000000"/>
                <w:sz w:val="22"/>
                <w:szCs w:val="22"/>
              </w:rPr>
              <w:t>y</w:t>
            </w:r>
            <w:r w:rsidR="009C442A" w:rsidRPr="009C442A">
              <w:rPr>
                <w:rFonts w:ascii="Times New Roman" w:eastAsia="Times New Roman" w:hAnsi="Times New Roman" w:cs="Times New Roman"/>
                <w:color w:val="000000"/>
                <w:sz w:val="22"/>
                <w:szCs w:val="22"/>
              </w:rPr>
              <w:t xml:space="preserve"> nakłada obowiązek spełnieni</w:t>
            </w:r>
            <w:r w:rsidR="001D673F">
              <w:rPr>
                <w:rFonts w:ascii="Times New Roman" w:eastAsia="Times New Roman" w:hAnsi="Times New Roman" w:cs="Times New Roman"/>
                <w:color w:val="000000"/>
                <w:sz w:val="22"/>
                <w:szCs w:val="22"/>
              </w:rPr>
              <w:t>a</w:t>
            </w:r>
            <w:r w:rsidR="009C442A" w:rsidRPr="009C442A">
              <w:rPr>
                <w:rFonts w:ascii="Times New Roman" w:eastAsia="Times New Roman" w:hAnsi="Times New Roman" w:cs="Times New Roman"/>
                <w:color w:val="000000"/>
                <w:sz w:val="22"/>
                <w:szCs w:val="22"/>
              </w:rPr>
              <w:t xml:space="preserve"> wym</w:t>
            </w:r>
            <w:r w:rsidR="009C1FB5">
              <w:rPr>
                <w:rFonts w:ascii="Times New Roman" w:eastAsia="Times New Roman" w:hAnsi="Times New Roman" w:cs="Times New Roman"/>
                <w:color w:val="000000"/>
                <w:sz w:val="22"/>
                <w:szCs w:val="22"/>
              </w:rPr>
              <w:t>agań</w:t>
            </w:r>
            <w:r w:rsidR="009C442A" w:rsidRPr="009C442A">
              <w:rPr>
                <w:rFonts w:ascii="Times New Roman" w:eastAsia="Times New Roman" w:hAnsi="Times New Roman" w:cs="Times New Roman"/>
                <w:color w:val="000000"/>
                <w:sz w:val="22"/>
                <w:szCs w:val="22"/>
              </w:rPr>
              <w:t xml:space="preserve"> dostępności dla produktów i usług. Wym</w:t>
            </w:r>
            <w:r w:rsidR="009C1FB5">
              <w:rPr>
                <w:rFonts w:ascii="Times New Roman" w:eastAsia="Times New Roman" w:hAnsi="Times New Roman" w:cs="Times New Roman"/>
                <w:color w:val="000000"/>
                <w:sz w:val="22"/>
                <w:szCs w:val="22"/>
              </w:rPr>
              <w:t>agania</w:t>
            </w:r>
            <w:r w:rsidR="009C442A" w:rsidRPr="009C442A">
              <w:rPr>
                <w:rFonts w:ascii="Times New Roman" w:eastAsia="Times New Roman" w:hAnsi="Times New Roman" w:cs="Times New Roman"/>
                <w:color w:val="000000"/>
                <w:sz w:val="22"/>
                <w:szCs w:val="22"/>
              </w:rPr>
              <w:t xml:space="preserve"> </w:t>
            </w:r>
            <w:r w:rsidR="00EA309D">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ransponowanej dyrektywy</w:t>
            </w:r>
            <w:r w:rsidR="001D673F">
              <w:rPr>
                <w:rFonts w:ascii="Times New Roman" w:eastAsia="Times New Roman" w:hAnsi="Times New Roman" w:cs="Times New Roman"/>
                <w:color w:val="000000"/>
                <w:sz w:val="22"/>
                <w:szCs w:val="22"/>
              </w:rPr>
              <w:t xml:space="preserve"> 2019/882</w:t>
            </w:r>
            <w:r w:rsidR="009C442A" w:rsidRPr="009C442A">
              <w:rPr>
                <w:rFonts w:ascii="Times New Roman" w:eastAsia="Times New Roman" w:hAnsi="Times New Roman" w:cs="Times New Roman"/>
                <w:color w:val="000000"/>
                <w:sz w:val="22"/>
                <w:szCs w:val="22"/>
              </w:rPr>
              <w:t xml:space="preserve"> określone są na poziomie funkcjonalnym, tzn. </w:t>
            </w:r>
            <w:r w:rsidR="00F1049F" w:rsidRPr="009C442A">
              <w:rPr>
                <w:rFonts w:ascii="Times New Roman" w:eastAsia="Times New Roman" w:hAnsi="Times New Roman" w:cs="Times New Roman"/>
                <w:color w:val="000000"/>
                <w:sz w:val="22"/>
                <w:szCs w:val="22"/>
              </w:rPr>
              <w:t xml:space="preserve">są </w:t>
            </w:r>
            <w:r w:rsidR="009C442A" w:rsidRPr="009C442A">
              <w:rPr>
                <w:rFonts w:ascii="Times New Roman" w:eastAsia="Times New Roman" w:hAnsi="Times New Roman" w:cs="Times New Roman"/>
                <w:color w:val="000000"/>
                <w:sz w:val="22"/>
                <w:szCs w:val="22"/>
              </w:rPr>
              <w:t>ustalane zasady ogólne</w:t>
            </w:r>
            <w:r w:rsidR="00F1049F">
              <w:rPr>
                <w:rFonts w:ascii="Times New Roman" w:eastAsia="Times New Roman" w:hAnsi="Times New Roman" w:cs="Times New Roman"/>
                <w:color w:val="000000"/>
                <w:sz w:val="22"/>
                <w:szCs w:val="22"/>
              </w:rPr>
              <w:t xml:space="preserve">, i </w:t>
            </w:r>
            <w:r w:rsidR="009C442A" w:rsidRPr="009C442A">
              <w:rPr>
                <w:rFonts w:ascii="Times New Roman" w:eastAsia="Times New Roman" w:hAnsi="Times New Roman" w:cs="Times New Roman"/>
                <w:color w:val="000000"/>
                <w:sz w:val="22"/>
                <w:szCs w:val="22"/>
              </w:rPr>
              <w:t>opierają się na koncepcji uniwersalnego projektowania</w:t>
            </w:r>
            <w:r w:rsidR="00EA309D">
              <w:rPr>
                <w:rFonts w:ascii="Times New Roman" w:eastAsia="Times New Roman" w:hAnsi="Times New Roman" w:cs="Times New Roman"/>
                <w:color w:val="000000"/>
                <w:sz w:val="22"/>
                <w:szCs w:val="22"/>
              </w:rPr>
              <w:t xml:space="preserve"> </w:t>
            </w:r>
            <w:r w:rsidR="009C442A" w:rsidRPr="009C442A">
              <w:rPr>
                <w:rFonts w:ascii="Times New Roman" w:eastAsia="Times New Roman" w:hAnsi="Times New Roman" w:cs="Times New Roman"/>
                <w:color w:val="000000"/>
                <w:sz w:val="22"/>
                <w:szCs w:val="22"/>
              </w:rPr>
              <w:t xml:space="preserve">(projektowanie produktów, środowiska, programów i usług w taki sposób, </w:t>
            </w:r>
            <w:r w:rsidR="006A084C">
              <w:rPr>
                <w:rFonts w:ascii="Times New Roman" w:eastAsia="Times New Roman" w:hAnsi="Times New Roman" w:cs="Times New Roman"/>
                <w:color w:val="000000"/>
                <w:sz w:val="22"/>
                <w:szCs w:val="22"/>
              </w:rPr>
              <w:t>a</w:t>
            </w:r>
            <w:r w:rsidR="009C442A" w:rsidRPr="009C442A">
              <w:rPr>
                <w:rFonts w:ascii="Times New Roman" w:eastAsia="Times New Roman" w:hAnsi="Times New Roman" w:cs="Times New Roman"/>
                <w:color w:val="000000"/>
                <w:sz w:val="22"/>
                <w:szCs w:val="22"/>
              </w:rPr>
              <w:t>by były użyteczne dla wszystkich w możliwie największym stopniu, bez potrzeby adaptacji lub specjalistycznego projektowania) oraz czterech zasad</w:t>
            </w:r>
            <w:r w:rsidR="00EA309D">
              <w:rPr>
                <w:rFonts w:ascii="Times New Roman" w:eastAsia="Times New Roman" w:hAnsi="Times New Roman" w:cs="Times New Roman"/>
                <w:color w:val="000000"/>
                <w:sz w:val="22"/>
                <w:szCs w:val="22"/>
              </w:rPr>
              <w:t>ach</w:t>
            </w:r>
            <w:r w:rsidR="009C442A" w:rsidRPr="009C442A">
              <w:rPr>
                <w:rFonts w:ascii="Times New Roman" w:eastAsia="Times New Roman" w:hAnsi="Times New Roman" w:cs="Times New Roman"/>
                <w:color w:val="000000"/>
                <w:sz w:val="22"/>
                <w:szCs w:val="22"/>
              </w:rPr>
              <w:t xml:space="preserve"> dostępności </w:t>
            </w:r>
            <w:r w:rsidR="001D673F">
              <w:rPr>
                <w:rFonts w:ascii="Times New Roman" w:eastAsia="Times New Roman" w:hAnsi="Times New Roman" w:cs="Times New Roman"/>
                <w:color w:val="000000"/>
                <w:sz w:val="22"/>
                <w:szCs w:val="22"/>
              </w:rPr>
              <w:t xml:space="preserve">zaczerpniętych ze standardu WCAG </w:t>
            </w:r>
            <w:r w:rsidR="001D673F" w:rsidRPr="005275DF">
              <w:rPr>
                <w:rFonts w:ascii="Times New Roman" w:eastAsia="Times New Roman" w:hAnsi="Times New Roman" w:cs="Times New Roman"/>
                <w:i/>
                <w:color w:val="000000"/>
                <w:sz w:val="22"/>
                <w:szCs w:val="22"/>
              </w:rPr>
              <w:t xml:space="preserve">(Web Content Accessibility </w:t>
            </w:r>
            <w:proofErr w:type="spellStart"/>
            <w:r w:rsidR="001D673F" w:rsidRPr="005275DF">
              <w:rPr>
                <w:rFonts w:ascii="Times New Roman" w:eastAsia="Times New Roman" w:hAnsi="Times New Roman" w:cs="Times New Roman"/>
                <w:i/>
                <w:color w:val="000000"/>
                <w:sz w:val="22"/>
                <w:szCs w:val="22"/>
              </w:rPr>
              <w:t>Guidelines</w:t>
            </w:r>
            <w:proofErr w:type="spellEnd"/>
            <w:r w:rsidR="001D673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002A0B0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w:t>
            </w:r>
            <w:r w:rsidR="009C442A" w:rsidRPr="009C442A">
              <w:rPr>
                <w:rFonts w:ascii="Times New Roman" w:eastAsia="Times New Roman" w:hAnsi="Times New Roman" w:cs="Times New Roman"/>
                <w:color w:val="000000"/>
                <w:sz w:val="22"/>
                <w:szCs w:val="22"/>
              </w:rPr>
              <w:t>rzepisy nie określają szczegółów technicznych</w:t>
            </w:r>
            <w:r w:rsidR="00EA309D">
              <w:rPr>
                <w:rFonts w:ascii="Times New Roman" w:eastAsia="Times New Roman" w:hAnsi="Times New Roman" w:cs="Times New Roman"/>
                <w:color w:val="000000"/>
                <w:sz w:val="22"/>
                <w:szCs w:val="22"/>
              </w:rPr>
              <w:t xml:space="preserve">, co wymaga </w:t>
            </w:r>
            <w:r w:rsidR="0017646E">
              <w:rPr>
                <w:rFonts w:ascii="Times New Roman" w:eastAsia="Times New Roman" w:hAnsi="Times New Roman" w:cs="Times New Roman"/>
                <w:color w:val="000000"/>
                <w:sz w:val="22"/>
                <w:szCs w:val="22"/>
              </w:rPr>
              <w:t>o</w:t>
            </w:r>
            <w:r w:rsidR="00EA309D">
              <w:rPr>
                <w:rFonts w:ascii="Times New Roman" w:eastAsia="Times New Roman" w:hAnsi="Times New Roman" w:cs="Times New Roman"/>
                <w:color w:val="000000"/>
                <w:sz w:val="22"/>
                <w:szCs w:val="22"/>
              </w:rPr>
              <w:t>d podmiotów gospodarczych poszukiwania adekwatnych rozwiązań technolog</w:t>
            </w:r>
            <w:r w:rsidR="0017646E">
              <w:rPr>
                <w:rFonts w:ascii="Times New Roman" w:eastAsia="Times New Roman" w:hAnsi="Times New Roman" w:cs="Times New Roman"/>
                <w:color w:val="000000"/>
                <w:sz w:val="22"/>
                <w:szCs w:val="22"/>
              </w:rPr>
              <w:t>icznych przy wykorz</w:t>
            </w:r>
            <w:r w:rsidR="00EA309D">
              <w:rPr>
                <w:rFonts w:ascii="Times New Roman" w:eastAsia="Times New Roman" w:hAnsi="Times New Roman" w:cs="Times New Roman"/>
                <w:color w:val="000000"/>
                <w:sz w:val="22"/>
                <w:szCs w:val="22"/>
              </w:rPr>
              <w:t xml:space="preserve">ystaniu powszechnie </w:t>
            </w:r>
            <w:r w:rsidR="0017646E">
              <w:rPr>
                <w:rFonts w:ascii="Times New Roman" w:eastAsia="Times New Roman" w:hAnsi="Times New Roman" w:cs="Times New Roman"/>
                <w:color w:val="000000"/>
                <w:sz w:val="22"/>
                <w:szCs w:val="22"/>
              </w:rPr>
              <w:t xml:space="preserve">dostępnych </w:t>
            </w:r>
            <w:r w:rsidR="00EA309D">
              <w:rPr>
                <w:rFonts w:ascii="Times New Roman" w:eastAsia="Times New Roman" w:hAnsi="Times New Roman" w:cs="Times New Roman"/>
                <w:color w:val="000000"/>
                <w:sz w:val="22"/>
                <w:szCs w:val="22"/>
              </w:rPr>
              <w:t xml:space="preserve">standardów </w:t>
            </w:r>
            <w:r w:rsidR="00F1049F">
              <w:rPr>
                <w:rFonts w:ascii="Times New Roman" w:eastAsia="Times New Roman" w:hAnsi="Times New Roman" w:cs="Times New Roman"/>
                <w:color w:val="000000"/>
                <w:sz w:val="22"/>
                <w:szCs w:val="22"/>
              </w:rPr>
              <w:t xml:space="preserve">lub </w:t>
            </w:r>
            <w:r w:rsidR="0017646E">
              <w:rPr>
                <w:rFonts w:ascii="Times New Roman" w:eastAsia="Times New Roman" w:hAnsi="Times New Roman" w:cs="Times New Roman"/>
                <w:color w:val="000000"/>
                <w:sz w:val="22"/>
                <w:szCs w:val="22"/>
              </w:rPr>
              <w:t xml:space="preserve">projektowaniu innowacyjnych rozwiązań. Podejście ogólne, funkcjonalne jest zatem z jednej strony wyzwaniem dla przedsiębiorstw, z drugiej strony </w:t>
            </w:r>
            <w:r w:rsidR="009C442A" w:rsidRPr="009C442A">
              <w:rPr>
                <w:rFonts w:ascii="Times New Roman" w:eastAsia="Times New Roman" w:hAnsi="Times New Roman" w:cs="Times New Roman"/>
                <w:color w:val="000000"/>
                <w:sz w:val="22"/>
                <w:szCs w:val="22"/>
              </w:rPr>
              <w:t>może stać się motorem innowacyjności i stanowić o przewadze konkurencyjnej firmy.</w:t>
            </w:r>
          </w:p>
          <w:p w14:paraId="7B24D13C" w14:textId="1FE3CC89" w:rsidR="0017646E" w:rsidRDefault="0017646E" w:rsidP="002577C4">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Poza grupą obowiązków związanych z zapewnieniem faktycznej dostępności oferowanych produkt</w:t>
            </w:r>
            <w:r w:rsidR="002A0B09">
              <w:rPr>
                <w:rFonts w:ascii="Times New Roman" w:eastAsia="Times New Roman" w:hAnsi="Times New Roman" w:cs="Times New Roman"/>
                <w:color w:val="000000"/>
                <w:sz w:val="22"/>
                <w:szCs w:val="22"/>
              </w:rPr>
              <w:t>ó</w:t>
            </w:r>
            <w:r>
              <w:rPr>
                <w:rFonts w:ascii="Times New Roman" w:eastAsia="Times New Roman" w:hAnsi="Times New Roman" w:cs="Times New Roman"/>
                <w:color w:val="000000"/>
                <w:sz w:val="22"/>
                <w:szCs w:val="22"/>
              </w:rPr>
              <w:t xml:space="preserve">w i usług, druga grupa obowiązków ma charakter </w:t>
            </w:r>
            <w:r w:rsidR="002577C4">
              <w:rPr>
                <w:rFonts w:ascii="Times New Roman" w:eastAsia="Times New Roman" w:hAnsi="Times New Roman" w:cs="Times New Roman"/>
                <w:color w:val="000000"/>
                <w:sz w:val="22"/>
                <w:szCs w:val="22"/>
              </w:rPr>
              <w:t>formalny</w:t>
            </w:r>
            <w:r w:rsidR="002A0B09">
              <w:rPr>
                <w:rFonts w:ascii="Times New Roman" w:eastAsia="Times New Roman" w:hAnsi="Times New Roman" w:cs="Times New Roman"/>
                <w:color w:val="000000"/>
                <w:sz w:val="22"/>
                <w:szCs w:val="22"/>
              </w:rPr>
              <w:t>.</w:t>
            </w:r>
            <w:r w:rsidR="002577C4">
              <w:rPr>
                <w:rFonts w:ascii="Times New Roman" w:eastAsia="Times New Roman" w:hAnsi="Times New Roman" w:cs="Times New Roman"/>
                <w:color w:val="000000"/>
                <w:sz w:val="22"/>
                <w:szCs w:val="22"/>
              </w:rPr>
              <w:t xml:space="preserve"> </w:t>
            </w:r>
            <w:r w:rsidR="002577C4" w:rsidRPr="002577C4">
              <w:rPr>
                <w:rFonts w:ascii="Times New Roman" w:eastAsia="Times New Roman" w:hAnsi="Times New Roman" w:cs="Times New Roman"/>
                <w:color w:val="000000"/>
                <w:sz w:val="22"/>
                <w:szCs w:val="22"/>
              </w:rPr>
              <w:t>Obowiązki formalne polegają przede wszystkim na konieczności stosowania szczegółowych przepisów z obszaru nadzoru rynku, w tym przepisów dotyczących oznakowania CE i deklaracji zgodności.</w:t>
            </w:r>
            <w:r w:rsidR="002577C4">
              <w:rPr>
                <w:rFonts w:ascii="Times New Roman" w:eastAsia="Times New Roman" w:hAnsi="Times New Roman" w:cs="Times New Roman"/>
                <w:color w:val="000000"/>
                <w:sz w:val="22"/>
                <w:szCs w:val="22"/>
              </w:rPr>
              <w:t xml:space="preserve"> </w:t>
            </w:r>
            <w:r w:rsidR="002577C4" w:rsidRPr="002577C4">
              <w:rPr>
                <w:rFonts w:ascii="Times New Roman" w:eastAsia="Times New Roman" w:hAnsi="Times New Roman" w:cs="Times New Roman"/>
                <w:color w:val="000000"/>
                <w:sz w:val="22"/>
                <w:szCs w:val="22"/>
              </w:rPr>
              <w:t>Oznakowanie CE jest kluczowym wskaźnikiem zgodności produktu z prawodawstwem UE i umożliwia swobodny przepływ towarów na rynku europejskim. Wym</w:t>
            </w:r>
            <w:r w:rsidR="009E1236">
              <w:rPr>
                <w:rFonts w:ascii="Times New Roman" w:eastAsia="Times New Roman" w:hAnsi="Times New Roman" w:cs="Times New Roman"/>
                <w:color w:val="000000"/>
                <w:sz w:val="22"/>
                <w:szCs w:val="22"/>
              </w:rPr>
              <w:t>agania</w:t>
            </w:r>
            <w:r w:rsidR="002577C4" w:rsidRPr="002577C4">
              <w:rPr>
                <w:rFonts w:ascii="Times New Roman" w:eastAsia="Times New Roman" w:hAnsi="Times New Roman" w:cs="Times New Roman"/>
                <w:color w:val="000000"/>
                <w:sz w:val="22"/>
                <w:szCs w:val="22"/>
              </w:rPr>
              <w:t xml:space="preserve"> dostępności wynikające z </w:t>
            </w:r>
            <w:r w:rsidR="002A0B09">
              <w:rPr>
                <w:rFonts w:ascii="Times New Roman" w:eastAsia="Times New Roman" w:hAnsi="Times New Roman" w:cs="Times New Roman"/>
                <w:color w:val="000000"/>
                <w:sz w:val="22"/>
                <w:szCs w:val="22"/>
              </w:rPr>
              <w:t>dyrektywy 2019/882</w:t>
            </w:r>
            <w:r w:rsidR="00013901">
              <w:rPr>
                <w:rFonts w:ascii="Times New Roman" w:eastAsia="Times New Roman" w:hAnsi="Times New Roman" w:cs="Times New Roman"/>
                <w:color w:val="000000"/>
                <w:sz w:val="22"/>
                <w:szCs w:val="22"/>
              </w:rPr>
              <w:t xml:space="preserve"> </w:t>
            </w:r>
            <w:r w:rsidR="002577C4" w:rsidRPr="002577C4">
              <w:rPr>
                <w:rFonts w:ascii="Times New Roman" w:eastAsia="Times New Roman" w:hAnsi="Times New Roman" w:cs="Times New Roman"/>
                <w:color w:val="000000"/>
                <w:sz w:val="22"/>
                <w:szCs w:val="22"/>
              </w:rPr>
              <w:t xml:space="preserve">zostały podporządkowane – z kilkoma odstępstwami – ogólnym przepisom UE w tym zakresie. Umieszczając znak CE </w:t>
            </w:r>
            <w:r w:rsidR="00013901">
              <w:rPr>
                <w:rFonts w:ascii="Times New Roman" w:eastAsia="Times New Roman" w:hAnsi="Times New Roman" w:cs="Times New Roman"/>
                <w:color w:val="000000"/>
                <w:sz w:val="22"/>
                <w:szCs w:val="22"/>
              </w:rPr>
              <w:br/>
            </w:r>
            <w:r w:rsidR="002577C4" w:rsidRPr="002577C4">
              <w:rPr>
                <w:rFonts w:ascii="Times New Roman" w:eastAsia="Times New Roman" w:hAnsi="Times New Roman" w:cs="Times New Roman"/>
                <w:color w:val="000000"/>
                <w:sz w:val="22"/>
                <w:szCs w:val="22"/>
              </w:rPr>
              <w:t>na wyrobie</w:t>
            </w:r>
            <w:r w:rsidR="006A084C">
              <w:rPr>
                <w:rFonts w:ascii="Times New Roman" w:eastAsia="Times New Roman" w:hAnsi="Times New Roman" w:cs="Times New Roman"/>
                <w:color w:val="000000"/>
                <w:sz w:val="22"/>
                <w:szCs w:val="22"/>
              </w:rPr>
              <w:t>,</w:t>
            </w:r>
            <w:r w:rsidR="002577C4" w:rsidRPr="002577C4">
              <w:rPr>
                <w:rFonts w:ascii="Times New Roman" w:eastAsia="Times New Roman" w:hAnsi="Times New Roman" w:cs="Times New Roman"/>
                <w:color w:val="000000"/>
                <w:sz w:val="22"/>
                <w:szCs w:val="22"/>
              </w:rPr>
              <w:t xml:space="preserve"> producent oświadcza na własną odpowiedzialność, że </w:t>
            </w:r>
            <w:r w:rsidR="00C72D79" w:rsidRPr="002577C4">
              <w:rPr>
                <w:rFonts w:ascii="Times New Roman" w:eastAsia="Times New Roman" w:hAnsi="Times New Roman" w:cs="Times New Roman"/>
                <w:color w:val="000000"/>
                <w:sz w:val="22"/>
                <w:szCs w:val="22"/>
              </w:rPr>
              <w:t xml:space="preserve">ten </w:t>
            </w:r>
            <w:r w:rsidR="002577C4" w:rsidRPr="002577C4">
              <w:rPr>
                <w:rFonts w:ascii="Times New Roman" w:eastAsia="Times New Roman" w:hAnsi="Times New Roman" w:cs="Times New Roman"/>
                <w:color w:val="000000"/>
                <w:sz w:val="22"/>
                <w:szCs w:val="22"/>
              </w:rPr>
              <w:t>produkt spełnia wszystkie wym</w:t>
            </w:r>
            <w:r w:rsidR="009E1236">
              <w:rPr>
                <w:rFonts w:ascii="Times New Roman" w:eastAsia="Times New Roman" w:hAnsi="Times New Roman" w:cs="Times New Roman"/>
                <w:color w:val="000000"/>
                <w:sz w:val="22"/>
                <w:szCs w:val="22"/>
              </w:rPr>
              <w:t>agania</w:t>
            </w:r>
            <w:r w:rsidR="002577C4" w:rsidRPr="002577C4">
              <w:rPr>
                <w:rFonts w:ascii="Times New Roman" w:eastAsia="Times New Roman" w:hAnsi="Times New Roman" w:cs="Times New Roman"/>
                <w:color w:val="000000"/>
                <w:sz w:val="22"/>
                <w:szCs w:val="22"/>
              </w:rPr>
              <w:t xml:space="preserve"> prawne, aby to oznakowanie uzyskać, a tym samym, że może on</w:t>
            </w:r>
            <w:r w:rsidR="002577C4">
              <w:rPr>
                <w:rFonts w:ascii="Times New Roman" w:eastAsia="Times New Roman" w:hAnsi="Times New Roman" w:cs="Times New Roman"/>
                <w:color w:val="000000"/>
                <w:sz w:val="22"/>
                <w:szCs w:val="22"/>
              </w:rPr>
              <w:t xml:space="preserve"> być przedmiotem obrotu w UE. </w:t>
            </w:r>
          </w:p>
          <w:p w14:paraId="4E7BEF6B" w14:textId="623982E1" w:rsidR="009C442A" w:rsidRPr="009C442A" w:rsidRDefault="002577C4"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Należy przy tym zauważyć, że projekt ustawy przewiduje możliwość łagodzenia obowi</w:t>
            </w:r>
            <w:r w:rsidR="002A0B09">
              <w:rPr>
                <w:rFonts w:ascii="Times New Roman" w:eastAsia="Times New Roman" w:hAnsi="Times New Roman" w:cs="Times New Roman"/>
                <w:color w:val="000000"/>
                <w:sz w:val="22"/>
                <w:szCs w:val="22"/>
              </w:rPr>
              <w:t>ą</w:t>
            </w:r>
            <w:r>
              <w:rPr>
                <w:rFonts w:ascii="Times New Roman" w:eastAsia="Times New Roman" w:hAnsi="Times New Roman" w:cs="Times New Roman"/>
                <w:color w:val="000000"/>
                <w:sz w:val="22"/>
                <w:szCs w:val="22"/>
              </w:rPr>
              <w:t xml:space="preserve">zków, tak aby nie obciążać nieproporcjonalnie przedsiębiorców. </w:t>
            </w:r>
            <w:r w:rsidR="009C442A" w:rsidRPr="009C442A">
              <w:rPr>
                <w:rFonts w:ascii="Times New Roman" w:eastAsia="Times New Roman" w:hAnsi="Times New Roman" w:cs="Times New Roman"/>
                <w:color w:val="000000"/>
                <w:sz w:val="22"/>
                <w:szCs w:val="22"/>
              </w:rPr>
              <w:t>Wym</w:t>
            </w:r>
            <w:r w:rsidR="00E438B0">
              <w:rPr>
                <w:rFonts w:ascii="Times New Roman" w:eastAsia="Times New Roman" w:hAnsi="Times New Roman" w:cs="Times New Roman"/>
                <w:color w:val="000000"/>
                <w:sz w:val="22"/>
                <w:szCs w:val="22"/>
              </w:rPr>
              <w:t>agania</w:t>
            </w:r>
            <w:r w:rsidR="009C442A" w:rsidRPr="009C442A">
              <w:rPr>
                <w:rFonts w:ascii="Times New Roman" w:eastAsia="Times New Roman" w:hAnsi="Times New Roman" w:cs="Times New Roman"/>
                <w:color w:val="000000"/>
                <w:sz w:val="22"/>
                <w:szCs w:val="22"/>
              </w:rPr>
              <w:t xml:space="preserve"> dostępności określone w </w:t>
            </w:r>
            <w:r w:rsidR="003B63A5">
              <w:rPr>
                <w:rFonts w:ascii="Times New Roman" w:hAnsi="Times New Roman" w:cs="Times New Roman"/>
                <w:sz w:val="22"/>
                <w:szCs w:val="22"/>
              </w:rPr>
              <w:t>projektowanej</w:t>
            </w:r>
            <w:r w:rsidR="003B63A5" w:rsidRPr="00474B94">
              <w:rPr>
                <w:rFonts w:ascii="Times New Roman" w:eastAsia="Times New Roman" w:hAnsi="Times New Roman" w:cs="Times New Roman"/>
                <w:color w:val="000000"/>
                <w:sz w:val="22"/>
                <w:szCs w:val="22"/>
              </w:rPr>
              <w:t xml:space="preserve"> </w:t>
            </w:r>
            <w:r w:rsidR="009C442A" w:rsidRPr="009C442A">
              <w:rPr>
                <w:rFonts w:ascii="Times New Roman" w:eastAsia="Times New Roman" w:hAnsi="Times New Roman" w:cs="Times New Roman"/>
                <w:color w:val="000000"/>
                <w:sz w:val="22"/>
                <w:szCs w:val="22"/>
              </w:rPr>
              <w:t xml:space="preserve">ustawie mają zastosowanie wyłącznie w zakresie, w jakim zapewnienie zgodności z nimi: </w:t>
            </w:r>
          </w:p>
          <w:p w14:paraId="039CC932" w14:textId="4280745E" w:rsidR="009C442A" w:rsidRPr="009C442A" w:rsidRDefault="009C442A" w:rsidP="00116AE1">
            <w:pPr>
              <w:numPr>
                <w:ilvl w:val="0"/>
                <w:numId w:val="39"/>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nie wymaga wprowadzenia zmiany produktu albo usługi powodującej istotną zmianę podstawowych właściwości takiego produktu albo takiej usługi</w:t>
            </w:r>
            <w:r w:rsidR="002A0B09">
              <w:rPr>
                <w:rFonts w:ascii="Times New Roman" w:eastAsia="Times New Roman" w:hAnsi="Times New Roman" w:cs="Times New Roman"/>
                <w:color w:val="000000"/>
                <w:sz w:val="22"/>
                <w:szCs w:val="22"/>
              </w:rPr>
              <w:t xml:space="preserve"> (</w:t>
            </w:r>
            <w:r w:rsidRPr="009C442A">
              <w:rPr>
                <w:rFonts w:ascii="Times New Roman" w:eastAsia="Times New Roman" w:hAnsi="Times New Roman" w:cs="Times New Roman"/>
                <w:color w:val="000000"/>
                <w:sz w:val="22"/>
                <w:szCs w:val="22"/>
              </w:rPr>
              <w:t>zasadnicz</w:t>
            </w:r>
            <w:r w:rsidR="002A0B09">
              <w:rPr>
                <w:rFonts w:ascii="Times New Roman" w:eastAsia="Times New Roman" w:hAnsi="Times New Roman" w:cs="Times New Roman"/>
                <w:color w:val="000000"/>
                <w:sz w:val="22"/>
                <w:szCs w:val="22"/>
              </w:rPr>
              <w:t>a</w:t>
            </w:r>
            <w:r w:rsidRPr="009C442A">
              <w:rPr>
                <w:rFonts w:ascii="Times New Roman" w:eastAsia="Times New Roman" w:hAnsi="Times New Roman" w:cs="Times New Roman"/>
                <w:color w:val="000000"/>
                <w:sz w:val="22"/>
                <w:szCs w:val="22"/>
              </w:rPr>
              <w:t xml:space="preserve"> zmian</w:t>
            </w:r>
            <w:r w:rsidR="002A0B09">
              <w:rPr>
                <w:rFonts w:ascii="Times New Roman" w:eastAsia="Times New Roman" w:hAnsi="Times New Roman" w:cs="Times New Roman"/>
                <w:color w:val="000000"/>
                <w:sz w:val="22"/>
                <w:szCs w:val="22"/>
              </w:rPr>
              <w:t>a</w:t>
            </w:r>
            <w:r w:rsidRPr="009C442A">
              <w:rPr>
                <w:rFonts w:ascii="Times New Roman" w:eastAsia="Times New Roman" w:hAnsi="Times New Roman" w:cs="Times New Roman"/>
                <w:color w:val="000000"/>
                <w:sz w:val="22"/>
                <w:szCs w:val="22"/>
              </w:rPr>
              <w:t xml:space="preserve"> produktu albo usługi</w:t>
            </w:r>
            <w:r w:rsidR="002A0B09">
              <w:rPr>
                <w:rFonts w:ascii="Times New Roman" w:eastAsia="Times New Roman" w:hAnsi="Times New Roman" w:cs="Times New Roman"/>
                <w:color w:val="000000"/>
                <w:sz w:val="22"/>
                <w:szCs w:val="22"/>
              </w:rPr>
              <w:t>)</w:t>
            </w:r>
            <w:r w:rsidRPr="009C442A">
              <w:rPr>
                <w:rFonts w:ascii="Times New Roman" w:eastAsia="Times New Roman" w:hAnsi="Times New Roman" w:cs="Times New Roman"/>
                <w:color w:val="000000"/>
                <w:sz w:val="22"/>
                <w:szCs w:val="22"/>
              </w:rPr>
              <w:t>;</w:t>
            </w:r>
          </w:p>
          <w:p w14:paraId="30DF372A" w14:textId="77777777" w:rsidR="009C442A" w:rsidRPr="009C442A" w:rsidRDefault="009C442A" w:rsidP="00116AE1">
            <w:pPr>
              <w:numPr>
                <w:ilvl w:val="0"/>
                <w:numId w:val="39"/>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nie stanowi dla podmiotu gospodarczego nieproporcjonalnego obciążenia.</w:t>
            </w:r>
          </w:p>
          <w:p w14:paraId="7E542257" w14:textId="3AD7696D" w:rsidR="009C442A" w:rsidRPr="009C442A" w:rsidRDefault="003B63A5"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hAnsi="Times New Roman" w:cs="Times New Roman"/>
                <w:sz w:val="22"/>
                <w:szCs w:val="22"/>
              </w:rPr>
              <w:t>Projektowana u</w:t>
            </w:r>
            <w:r w:rsidR="009C442A" w:rsidRPr="009C442A">
              <w:rPr>
                <w:rFonts w:ascii="Times New Roman" w:eastAsia="Times New Roman" w:hAnsi="Times New Roman" w:cs="Times New Roman"/>
                <w:color w:val="000000"/>
                <w:sz w:val="22"/>
                <w:szCs w:val="22"/>
              </w:rPr>
              <w:t>stawa określa sposób dokonania tej oceny.</w:t>
            </w:r>
          </w:p>
          <w:p w14:paraId="7CB66CDF" w14:textId="165E8529" w:rsidR="009C442A" w:rsidRPr="009C442A" w:rsidRDefault="009C442A" w:rsidP="00CF5343">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 xml:space="preserve">Przepisów </w:t>
            </w:r>
            <w:r w:rsidR="003B63A5">
              <w:rPr>
                <w:rFonts w:ascii="Times New Roman" w:eastAsia="Times New Roman" w:hAnsi="Times New Roman" w:cs="Times New Roman"/>
                <w:color w:val="000000"/>
                <w:sz w:val="22"/>
                <w:szCs w:val="22"/>
              </w:rPr>
              <w:t xml:space="preserve">projektu </w:t>
            </w:r>
            <w:r w:rsidRPr="009C442A">
              <w:rPr>
                <w:rFonts w:ascii="Times New Roman" w:eastAsia="Times New Roman" w:hAnsi="Times New Roman" w:cs="Times New Roman"/>
                <w:color w:val="000000"/>
                <w:sz w:val="22"/>
                <w:szCs w:val="22"/>
              </w:rPr>
              <w:t>ustawy</w:t>
            </w:r>
            <w:r w:rsidR="003B63A5">
              <w:rPr>
                <w:rFonts w:ascii="Times New Roman" w:eastAsia="Times New Roman" w:hAnsi="Times New Roman" w:cs="Times New Roman"/>
                <w:color w:val="000000"/>
                <w:sz w:val="22"/>
                <w:szCs w:val="22"/>
              </w:rPr>
              <w:t xml:space="preserve"> </w:t>
            </w:r>
            <w:r w:rsidRPr="009C442A">
              <w:rPr>
                <w:rFonts w:ascii="Times New Roman" w:eastAsia="Times New Roman" w:hAnsi="Times New Roman" w:cs="Times New Roman"/>
                <w:color w:val="000000"/>
                <w:sz w:val="22"/>
                <w:szCs w:val="22"/>
              </w:rPr>
              <w:t xml:space="preserve">nie stosuje się do usług świadczonych przez </w:t>
            </w:r>
            <w:proofErr w:type="spellStart"/>
            <w:r w:rsidRPr="009C442A">
              <w:rPr>
                <w:rFonts w:ascii="Times New Roman" w:eastAsia="Times New Roman" w:hAnsi="Times New Roman" w:cs="Times New Roman"/>
                <w:color w:val="000000"/>
                <w:sz w:val="22"/>
                <w:szCs w:val="22"/>
              </w:rPr>
              <w:t>mikroprzedsiębiorców</w:t>
            </w:r>
            <w:proofErr w:type="spellEnd"/>
            <w:r w:rsidR="002577C4">
              <w:rPr>
                <w:rFonts w:ascii="Times New Roman" w:eastAsia="Times New Roman" w:hAnsi="Times New Roman" w:cs="Times New Roman"/>
                <w:color w:val="000000"/>
                <w:sz w:val="22"/>
                <w:szCs w:val="22"/>
              </w:rPr>
              <w:t>.</w:t>
            </w:r>
            <w:r w:rsidR="00D87CB5">
              <w:rPr>
                <w:rFonts w:ascii="Times New Roman" w:eastAsia="Times New Roman" w:hAnsi="Times New Roman" w:cs="Times New Roman"/>
                <w:color w:val="000000"/>
                <w:sz w:val="22"/>
                <w:szCs w:val="22"/>
              </w:rPr>
              <w:t xml:space="preserve"> </w:t>
            </w:r>
            <w:r w:rsidRPr="009C442A">
              <w:rPr>
                <w:rFonts w:ascii="Times New Roman" w:eastAsia="Times New Roman" w:hAnsi="Times New Roman" w:cs="Times New Roman"/>
                <w:color w:val="000000"/>
                <w:sz w:val="22"/>
                <w:szCs w:val="22"/>
              </w:rPr>
              <w:t xml:space="preserve">W Polsce </w:t>
            </w:r>
            <w:r w:rsidR="006A084C">
              <w:rPr>
                <w:rFonts w:ascii="Times New Roman" w:eastAsia="Times New Roman" w:hAnsi="Times New Roman" w:cs="Times New Roman"/>
                <w:color w:val="000000"/>
                <w:sz w:val="22"/>
                <w:szCs w:val="22"/>
              </w:rPr>
              <w:br/>
            </w:r>
            <w:r w:rsidRPr="009C442A">
              <w:rPr>
                <w:rFonts w:ascii="Times New Roman" w:eastAsia="Times New Roman" w:hAnsi="Times New Roman" w:cs="Times New Roman"/>
                <w:color w:val="000000"/>
                <w:sz w:val="22"/>
                <w:szCs w:val="22"/>
              </w:rPr>
              <w:t>usługodawcy</w:t>
            </w:r>
            <w:r w:rsidR="002A0B09">
              <w:rPr>
                <w:rFonts w:ascii="Times New Roman" w:eastAsia="Times New Roman" w:hAnsi="Times New Roman" w:cs="Times New Roman"/>
                <w:color w:val="000000"/>
                <w:sz w:val="22"/>
                <w:szCs w:val="22"/>
              </w:rPr>
              <w:t>-</w:t>
            </w:r>
            <w:proofErr w:type="spellStart"/>
            <w:r w:rsidRPr="009C442A">
              <w:rPr>
                <w:rFonts w:ascii="Times New Roman" w:eastAsia="Times New Roman" w:hAnsi="Times New Roman" w:cs="Times New Roman"/>
                <w:color w:val="000000"/>
                <w:sz w:val="22"/>
                <w:szCs w:val="22"/>
              </w:rPr>
              <w:t>mikroprzedsiębiorcy</w:t>
            </w:r>
            <w:proofErr w:type="spellEnd"/>
            <w:r w:rsidRPr="009C442A">
              <w:rPr>
                <w:rFonts w:ascii="Times New Roman" w:eastAsia="Times New Roman" w:hAnsi="Times New Roman" w:cs="Times New Roman"/>
                <w:color w:val="000000"/>
                <w:sz w:val="22"/>
                <w:szCs w:val="22"/>
              </w:rPr>
              <w:t xml:space="preserve"> stanowią większość podmiotów gospodarczych działających m.in. w sektorze handlu elektronicznego</w:t>
            </w:r>
            <w:r w:rsidR="002A0B09">
              <w:rPr>
                <w:rFonts w:ascii="Times New Roman" w:eastAsia="Times New Roman" w:hAnsi="Times New Roman" w:cs="Times New Roman"/>
                <w:color w:val="000000"/>
                <w:sz w:val="22"/>
                <w:szCs w:val="22"/>
              </w:rPr>
              <w:t>.</w:t>
            </w:r>
            <w:r w:rsidRPr="009C442A">
              <w:rPr>
                <w:rFonts w:ascii="Times New Roman" w:eastAsia="Times New Roman" w:hAnsi="Times New Roman" w:cs="Times New Roman"/>
                <w:color w:val="000000"/>
                <w:sz w:val="22"/>
                <w:szCs w:val="22"/>
              </w:rPr>
              <w:t xml:space="preserve"> </w:t>
            </w:r>
          </w:p>
          <w:p w14:paraId="7D7B9E38" w14:textId="77777777" w:rsidR="009C442A" w:rsidRPr="009C442A" w:rsidRDefault="009C442A"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W projekcie ustawy mikroprzedsiębiorst</w:t>
            </w:r>
            <w:r w:rsidR="002A0B09">
              <w:rPr>
                <w:rFonts w:ascii="Times New Roman" w:eastAsia="Times New Roman" w:hAnsi="Times New Roman" w:cs="Times New Roman"/>
                <w:color w:val="000000"/>
                <w:sz w:val="22"/>
                <w:szCs w:val="22"/>
              </w:rPr>
              <w:t>wo</w:t>
            </w:r>
            <w:r w:rsidRPr="009C442A">
              <w:rPr>
                <w:rFonts w:ascii="Times New Roman" w:eastAsia="Times New Roman" w:hAnsi="Times New Roman" w:cs="Times New Roman"/>
                <w:color w:val="000000"/>
                <w:sz w:val="22"/>
                <w:szCs w:val="22"/>
              </w:rPr>
              <w:t xml:space="preserve"> dokonujące obrotu produktami </w:t>
            </w:r>
            <w:r w:rsidR="002A0B09">
              <w:rPr>
                <w:rFonts w:ascii="Times New Roman" w:eastAsia="Times New Roman" w:hAnsi="Times New Roman" w:cs="Times New Roman"/>
                <w:color w:val="000000"/>
                <w:sz w:val="22"/>
                <w:szCs w:val="22"/>
              </w:rPr>
              <w:t>jest</w:t>
            </w:r>
            <w:r w:rsidRPr="009C442A">
              <w:rPr>
                <w:rFonts w:ascii="Times New Roman" w:eastAsia="Times New Roman" w:hAnsi="Times New Roman" w:cs="Times New Roman"/>
                <w:color w:val="000000"/>
                <w:sz w:val="22"/>
                <w:szCs w:val="22"/>
              </w:rPr>
              <w:t xml:space="preserve"> zwolnione z niektórych obowiązków administracyjnych</w:t>
            </w:r>
            <w:r w:rsidR="002A0B09">
              <w:rPr>
                <w:rFonts w:ascii="Times New Roman" w:eastAsia="Times New Roman" w:hAnsi="Times New Roman" w:cs="Times New Roman"/>
                <w:color w:val="000000"/>
                <w:sz w:val="22"/>
                <w:szCs w:val="22"/>
              </w:rPr>
              <w:t>,</w:t>
            </w:r>
            <w:r w:rsidRPr="009C442A">
              <w:rPr>
                <w:rFonts w:ascii="Times New Roman" w:eastAsia="Times New Roman" w:hAnsi="Times New Roman" w:cs="Times New Roman"/>
                <w:color w:val="000000"/>
                <w:sz w:val="22"/>
                <w:szCs w:val="22"/>
              </w:rPr>
              <w:t xml:space="preserve"> np. </w:t>
            </w:r>
            <w:r w:rsidR="002A0B09">
              <w:rPr>
                <w:rFonts w:ascii="Times New Roman" w:eastAsia="Times New Roman" w:hAnsi="Times New Roman" w:cs="Times New Roman"/>
                <w:color w:val="000000"/>
                <w:sz w:val="22"/>
                <w:szCs w:val="22"/>
              </w:rPr>
              <w:t>jest</w:t>
            </w:r>
            <w:r w:rsidRPr="009C442A">
              <w:rPr>
                <w:rFonts w:ascii="Times New Roman" w:eastAsia="Times New Roman" w:hAnsi="Times New Roman" w:cs="Times New Roman"/>
                <w:color w:val="000000"/>
                <w:sz w:val="22"/>
                <w:szCs w:val="22"/>
              </w:rPr>
              <w:t xml:space="preserve"> zwolnione z obowiązku dokumentowania oceny czy zapewnieni</w:t>
            </w:r>
            <w:r w:rsidR="002A0B09">
              <w:rPr>
                <w:rFonts w:ascii="Times New Roman" w:eastAsia="Times New Roman" w:hAnsi="Times New Roman" w:cs="Times New Roman"/>
                <w:color w:val="000000"/>
                <w:sz w:val="22"/>
                <w:szCs w:val="22"/>
              </w:rPr>
              <w:t>a</w:t>
            </w:r>
            <w:r w:rsidRPr="009C442A">
              <w:rPr>
                <w:rFonts w:ascii="Times New Roman" w:eastAsia="Times New Roman" w:hAnsi="Times New Roman" w:cs="Times New Roman"/>
                <w:color w:val="000000"/>
                <w:sz w:val="22"/>
                <w:szCs w:val="22"/>
              </w:rPr>
              <w:t xml:space="preserve"> zgodności z wym</w:t>
            </w:r>
            <w:r w:rsidR="00E438B0">
              <w:rPr>
                <w:rFonts w:ascii="Times New Roman" w:eastAsia="Times New Roman" w:hAnsi="Times New Roman" w:cs="Times New Roman"/>
                <w:color w:val="000000"/>
                <w:sz w:val="22"/>
                <w:szCs w:val="22"/>
              </w:rPr>
              <w:t>aganiami</w:t>
            </w:r>
            <w:r w:rsidRPr="009C442A">
              <w:rPr>
                <w:rFonts w:ascii="Times New Roman" w:eastAsia="Times New Roman" w:hAnsi="Times New Roman" w:cs="Times New Roman"/>
                <w:color w:val="000000"/>
                <w:sz w:val="22"/>
                <w:szCs w:val="22"/>
              </w:rPr>
              <w:t xml:space="preserve"> </w:t>
            </w:r>
            <w:r w:rsidR="005F3A29" w:rsidRPr="009C442A">
              <w:rPr>
                <w:rFonts w:ascii="Times New Roman" w:eastAsia="Times New Roman" w:hAnsi="Times New Roman" w:cs="Times New Roman"/>
                <w:color w:val="000000"/>
                <w:sz w:val="22"/>
                <w:szCs w:val="22"/>
              </w:rPr>
              <w:t>dostępności,</w:t>
            </w:r>
            <w:r w:rsidR="002A0B09">
              <w:rPr>
                <w:rFonts w:ascii="Times New Roman" w:eastAsia="Times New Roman" w:hAnsi="Times New Roman" w:cs="Times New Roman"/>
                <w:color w:val="000000"/>
                <w:sz w:val="22"/>
                <w:szCs w:val="22"/>
              </w:rPr>
              <w:t xml:space="preserve"> jeżeli</w:t>
            </w:r>
            <w:r w:rsidR="00ED61F4">
              <w:rPr>
                <w:rFonts w:ascii="Times New Roman" w:eastAsia="Times New Roman" w:hAnsi="Times New Roman" w:cs="Times New Roman"/>
                <w:color w:val="000000"/>
                <w:sz w:val="22"/>
                <w:szCs w:val="22"/>
              </w:rPr>
              <w:t xml:space="preserve"> </w:t>
            </w:r>
            <w:r w:rsidRPr="009C442A">
              <w:rPr>
                <w:rFonts w:ascii="Times New Roman" w:eastAsia="Times New Roman" w:hAnsi="Times New Roman" w:cs="Times New Roman"/>
                <w:color w:val="000000"/>
                <w:sz w:val="22"/>
                <w:szCs w:val="22"/>
              </w:rPr>
              <w:t xml:space="preserve">wymaga </w:t>
            </w:r>
            <w:r w:rsidR="002A0B09">
              <w:rPr>
                <w:rFonts w:ascii="Times New Roman" w:eastAsia="Times New Roman" w:hAnsi="Times New Roman" w:cs="Times New Roman"/>
                <w:color w:val="000000"/>
                <w:sz w:val="22"/>
                <w:szCs w:val="22"/>
              </w:rPr>
              <w:t xml:space="preserve">to </w:t>
            </w:r>
            <w:r w:rsidRPr="009C442A">
              <w:rPr>
                <w:rFonts w:ascii="Times New Roman" w:eastAsia="Times New Roman" w:hAnsi="Times New Roman" w:cs="Times New Roman"/>
                <w:color w:val="000000"/>
                <w:sz w:val="22"/>
                <w:szCs w:val="22"/>
              </w:rPr>
              <w:t>wprowadzenia zasadniczej zmiany produktu lub usługi</w:t>
            </w:r>
            <w:r w:rsidR="00CF5343">
              <w:rPr>
                <w:rFonts w:ascii="Times New Roman" w:eastAsia="Times New Roman" w:hAnsi="Times New Roman" w:cs="Times New Roman"/>
                <w:color w:val="000000"/>
                <w:sz w:val="22"/>
                <w:szCs w:val="22"/>
              </w:rPr>
              <w:t xml:space="preserve"> lub</w:t>
            </w:r>
            <w:r w:rsidR="00D87CB5">
              <w:rPr>
                <w:rFonts w:ascii="Times New Roman" w:eastAsia="Times New Roman" w:hAnsi="Times New Roman" w:cs="Times New Roman"/>
                <w:color w:val="000000"/>
                <w:sz w:val="22"/>
                <w:szCs w:val="22"/>
              </w:rPr>
              <w:t xml:space="preserve"> </w:t>
            </w:r>
            <w:r w:rsidRPr="009C442A">
              <w:rPr>
                <w:rFonts w:ascii="Times New Roman" w:eastAsia="Times New Roman" w:hAnsi="Times New Roman" w:cs="Times New Roman"/>
                <w:color w:val="000000"/>
                <w:sz w:val="22"/>
                <w:szCs w:val="22"/>
              </w:rPr>
              <w:t>stanowi dla niego nieproporcjonalne obciążenie.</w:t>
            </w:r>
          </w:p>
          <w:p w14:paraId="0A71CA40" w14:textId="4DDBD679" w:rsidR="003548BE" w:rsidRPr="003548BE" w:rsidRDefault="009C442A" w:rsidP="003548BE">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lastRenderedPageBreak/>
              <w:t>Wym</w:t>
            </w:r>
            <w:r w:rsidR="00FC0426">
              <w:rPr>
                <w:rFonts w:ascii="Times New Roman" w:eastAsia="Times New Roman" w:hAnsi="Times New Roman" w:cs="Times New Roman"/>
                <w:color w:val="000000"/>
                <w:sz w:val="22"/>
                <w:szCs w:val="22"/>
              </w:rPr>
              <w:t>agania</w:t>
            </w:r>
            <w:r w:rsidRPr="009C442A">
              <w:rPr>
                <w:rFonts w:ascii="Times New Roman" w:eastAsia="Times New Roman" w:hAnsi="Times New Roman" w:cs="Times New Roman"/>
                <w:color w:val="000000"/>
                <w:sz w:val="22"/>
                <w:szCs w:val="22"/>
              </w:rPr>
              <w:t xml:space="preserve"> dotyczące dostępności środowiska zbudowanego nie są obligatoryjne w ramach implementacji</w:t>
            </w:r>
            <w:r w:rsidR="00CF5343">
              <w:rPr>
                <w:rFonts w:ascii="Times New Roman" w:eastAsia="Times New Roman" w:hAnsi="Times New Roman" w:cs="Times New Roman"/>
                <w:color w:val="000000"/>
                <w:sz w:val="22"/>
                <w:szCs w:val="22"/>
              </w:rPr>
              <w:t xml:space="preserve"> dyrektywy 2019/882</w:t>
            </w:r>
            <w:r w:rsidR="002A0B09">
              <w:rPr>
                <w:rFonts w:ascii="Times New Roman" w:eastAsia="Times New Roman" w:hAnsi="Times New Roman" w:cs="Times New Roman"/>
                <w:color w:val="000000"/>
                <w:sz w:val="22"/>
                <w:szCs w:val="22"/>
              </w:rPr>
              <w:t>.</w:t>
            </w:r>
            <w:r w:rsidR="00ED61F4">
              <w:rPr>
                <w:rFonts w:ascii="Times New Roman" w:eastAsia="Times New Roman" w:hAnsi="Times New Roman" w:cs="Times New Roman"/>
                <w:color w:val="000000"/>
                <w:sz w:val="22"/>
                <w:szCs w:val="22"/>
              </w:rPr>
              <w:t xml:space="preserve"> </w:t>
            </w:r>
            <w:r w:rsidR="002A0B09">
              <w:rPr>
                <w:rFonts w:ascii="Times New Roman" w:eastAsia="Times New Roman" w:hAnsi="Times New Roman" w:cs="Times New Roman"/>
                <w:color w:val="000000"/>
                <w:sz w:val="22"/>
                <w:szCs w:val="22"/>
              </w:rPr>
              <w:t>K</w:t>
            </w:r>
            <w:r w:rsidRPr="009C442A">
              <w:rPr>
                <w:rFonts w:ascii="Times New Roman" w:eastAsia="Times New Roman" w:hAnsi="Times New Roman" w:cs="Times New Roman"/>
                <w:color w:val="000000"/>
                <w:sz w:val="22"/>
                <w:szCs w:val="22"/>
              </w:rPr>
              <w:t xml:space="preserve">westia ta była dyskutowana ze wszystkimi uczestnikami </w:t>
            </w:r>
            <w:proofErr w:type="spellStart"/>
            <w:r w:rsidRPr="009C442A">
              <w:rPr>
                <w:rFonts w:ascii="Times New Roman" w:eastAsia="Times New Roman" w:hAnsi="Times New Roman" w:cs="Times New Roman"/>
                <w:color w:val="000000"/>
                <w:sz w:val="22"/>
                <w:szCs w:val="22"/>
              </w:rPr>
              <w:t>prekonsultacji</w:t>
            </w:r>
            <w:proofErr w:type="spellEnd"/>
            <w:r w:rsidRPr="009C442A">
              <w:rPr>
                <w:rFonts w:ascii="Times New Roman" w:eastAsia="Times New Roman" w:hAnsi="Times New Roman" w:cs="Times New Roman"/>
                <w:color w:val="000000"/>
                <w:sz w:val="22"/>
                <w:szCs w:val="22"/>
              </w:rPr>
              <w:t xml:space="preserve"> w celu zebrania opinii oraz informacji na temat uwarunkowań dotyczących przestrzeni wykorzystywanych do świadczenia usług objętych</w:t>
            </w:r>
            <w:r w:rsidR="00ED61F4">
              <w:rPr>
                <w:rFonts w:ascii="Times New Roman" w:eastAsia="Times New Roman" w:hAnsi="Times New Roman" w:cs="Times New Roman"/>
                <w:color w:val="000000"/>
                <w:sz w:val="22"/>
                <w:szCs w:val="22"/>
              </w:rPr>
              <w:t xml:space="preserve"> </w:t>
            </w:r>
            <w:r w:rsidR="002A0B09">
              <w:rPr>
                <w:rFonts w:ascii="Times New Roman" w:eastAsia="Times New Roman" w:hAnsi="Times New Roman" w:cs="Times New Roman"/>
                <w:color w:val="000000"/>
                <w:sz w:val="22"/>
                <w:szCs w:val="22"/>
              </w:rPr>
              <w:t>dyrektywą 2019/882</w:t>
            </w:r>
            <w:r w:rsidRPr="009C442A">
              <w:rPr>
                <w:rFonts w:ascii="Times New Roman" w:eastAsia="Times New Roman" w:hAnsi="Times New Roman" w:cs="Times New Roman"/>
                <w:color w:val="000000"/>
                <w:sz w:val="22"/>
                <w:szCs w:val="22"/>
              </w:rPr>
              <w:t xml:space="preserve">, w wyniku których </w:t>
            </w:r>
            <w:proofErr w:type="spellStart"/>
            <w:r w:rsidRPr="009C442A">
              <w:rPr>
                <w:rFonts w:ascii="Times New Roman" w:eastAsia="Times New Roman" w:hAnsi="Times New Roman" w:cs="Times New Roman"/>
                <w:color w:val="000000"/>
                <w:sz w:val="22"/>
                <w:szCs w:val="22"/>
              </w:rPr>
              <w:t>MF</w:t>
            </w:r>
            <w:r w:rsidR="00D47030">
              <w:rPr>
                <w:rFonts w:ascii="Times New Roman" w:eastAsia="Times New Roman" w:hAnsi="Times New Roman" w:cs="Times New Roman"/>
                <w:color w:val="000000"/>
                <w:sz w:val="22"/>
                <w:szCs w:val="22"/>
              </w:rPr>
              <w:t>i</w:t>
            </w:r>
            <w:r w:rsidRPr="009C442A">
              <w:rPr>
                <w:rFonts w:ascii="Times New Roman" w:eastAsia="Times New Roman" w:hAnsi="Times New Roman" w:cs="Times New Roman"/>
                <w:color w:val="000000"/>
                <w:sz w:val="22"/>
                <w:szCs w:val="22"/>
              </w:rPr>
              <w:t>PR</w:t>
            </w:r>
            <w:proofErr w:type="spellEnd"/>
            <w:r w:rsidRPr="009C442A">
              <w:rPr>
                <w:rFonts w:ascii="Times New Roman" w:eastAsia="Times New Roman" w:hAnsi="Times New Roman" w:cs="Times New Roman"/>
                <w:color w:val="000000"/>
                <w:sz w:val="22"/>
                <w:szCs w:val="22"/>
              </w:rPr>
              <w:t xml:space="preserve"> zdecydował</w:t>
            </w:r>
            <w:r w:rsidR="00BC2845">
              <w:rPr>
                <w:rFonts w:ascii="Times New Roman" w:eastAsia="Times New Roman" w:hAnsi="Times New Roman" w:cs="Times New Roman"/>
                <w:color w:val="000000"/>
                <w:sz w:val="22"/>
                <w:szCs w:val="22"/>
              </w:rPr>
              <w:t>o</w:t>
            </w:r>
            <w:r w:rsidRPr="009C442A">
              <w:rPr>
                <w:rFonts w:ascii="Times New Roman" w:eastAsia="Times New Roman" w:hAnsi="Times New Roman" w:cs="Times New Roman"/>
                <w:color w:val="000000"/>
                <w:sz w:val="22"/>
                <w:szCs w:val="22"/>
              </w:rPr>
              <w:t xml:space="preserve"> o niewprowadzaniu tego wym</w:t>
            </w:r>
            <w:r w:rsidR="00393E46">
              <w:rPr>
                <w:rFonts w:ascii="Times New Roman" w:eastAsia="Times New Roman" w:hAnsi="Times New Roman" w:cs="Times New Roman"/>
                <w:color w:val="000000"/>
                <w:sz w:val="22"/>
                <w:szCs w:val="22"/>
              </w:rPr>
              <w:t>agania</w:t>
            </w:r>
            <w:r w:rsidRPr="009C442A">
              <w:rPr>
                <w:rFonts w:ascii="Times New Roman" w:eastAsia="Times New Roman" w:hAnsi="Times New Roman" w:cs="Times New Roman"/>
                <w:color w:val="000000"/>
                <w:sz w:val="22"/>
                <w:szCs w:val="22"/>
              </w:rPr>
              <w:t xml:space="preserve">. Usługodawca </w:t>
            </w:r>
            <w:r w:rsidR="003548BE">
              <w:rPr>
                <w:rFonts w:ascii="Times New Roman" w:eastAsia="Times New Roman" w:hAnsi="Times New Roman" w:cs="Times New Roman"/>
                <w:color w:val="000000"/>
                <w:sz w:val="22"/>
                <w:szCs w:val="22"/>
              </w:rPr>
              <w:t>w</w:t>
            </w:r>
            <w:r w:rsidR="003548BE" w:rsidRPr="003548BE">
              <w:rPr>
                <w:rFonts w:ascii="Times New Roman" w:eastAsia="Times New Roman" w:hAnsi="Times New Roman" w:cs="Times New Roman"/>
                <w:color w:val="000000"/>
                <w:sz w:val="22"/>
                <w:szCs w:val="22"/>
              </w:rPr>
              <w:t xml:space="preserve"> informacji o oferowanych i świadczonych usługach podaje </w:t>
            </w:r>
            <w:r w:rsidR="00DE4BA6">
              <w:rPr>
                <w:rFonts w:ascii="Times New Roman" w:eastAsia="Times New Roman" w:hAnsi="Times New Roman" w:cs="Times New Roman"/>
                <w:color w:val="000000"/>
                <w:sz w:val="22"/>
                <w:szCs w:val="22"/>
              </w:rPr>
              <w:t xml:space="preserve">informację o </w:t>
            </w:r>
            <w:r w:rsidR="003548BE" w:rsidRPr="003548BE">
              <w:rPr>
                <w:rFonts w:ascii="Times New Roman" w:eastAsia="Times New Roman" w:hAnsi="Times New Roman" w:cs="Times New Roman"/>
                <w:color w:val="000000"/>
                <w:sz w:val="22"/>
                <w:szCs w:val="22"/>
              </w:rPr>
              <w:t>aktualny</w:t>
            </w:r>
            <w:r w:rsidR="004A2996">
              <w:rPr>
                <w:rFonts w:ascii="Times New Roman" w:eastAsia="Times New Roman" w:hAnsi="Times New Roman" w:cs="Times New Roman"/>
                <w:color w:val="000000"/>
                <w:sz w:val="22"/>
                <w:szCs w:val="22"/>
              </w:rPr>
              <w:t>m</w:t>
            </w:r>
            <w:r w:rsidR="003548BE" w:rsidRPr="003548BE">
              <w:rPr>
                <w:rFonts w:ascii="Times New Roman" w:eastAsia="Times New Roman" w:hAnsi="Times New Roman" w:cs="Times New Roman"/>
                <w:color w:val="000000"/>
                <w:sz w:val="22"/>
                <w:szCs w:val="22"/>
              </w:rPr>
              <w:t xml:space="preserve"> stan</w:t>
            </w:r>
            <w:r w:rsidR="004A2996">
              <w:rPr>
                <w:rFonts w:ascii="Times New Roman" w:eastAsia="Times New Roman" w:hAnsi="Times New Roman" w:cs="Times New Roman"/>
                <w:color w:val="000000"/>
                <w:sz w:val="22"/>
                <w:szCs w:val="22"/>
              </w:rPr>
              <w:t>ie</w:t>
            </w:r>
            <w:r w:rsidR="003548BE" w:rsidRPr="003548BE">
              <w:rPr>
                <w:rFonts w:ascii="Times New Roman" w:eastAsia="Times New Roman" w:hAnsi="Times New Roman" w:cs="Times New Roman"/>
                <w:color w:val="000000"/>
                <w:sz w:val="22"/>
                <w:szCs w:val="22"/>
              </w:rPr>
              <w:t xml:space="preserve"> zapewnienia warunków niezbędnych do korzystania przez osoby ze szczególnymi potrzebami z pomieszczeń oraz budynków użyteczności publicznej wykorzystywanych do świadczenia usług oraz otaczającej je infrastruktury</w:t>
            </w:r>
            <w:r w:rsidR="00C72D79">
              <w:rPr>
                <w:rFonts w:ascii="Times New Roman" w:eastAsia="Times New Roman" w:hAnsi="Times New Roman" w:cs="Times New Roman"/>
                <w:color w:val="000000"/>
                <w:sz w:val="22"/>
                <w:szCs w:val="22"/>
              </w:rPr>
              <w:t xml:space="preserve">, </w:t>
            </w:r>
            <w:r w:rsidR="003548BE" w:rsidRPr="003548BE">
              <w:rPr>
                <w:rFonts w:ascii="Times New Roman" w:eastAsia="Times New Roman" w:hAnsi="Times New Roman" w:cs="Times New Roman"/>
                <w:color w:val="000000"/>
                <w:sz w:val="22"/>
                <w:szCs w:val="22"/>
              </w:rPr>
              <w:t xml:space="preserve">w zakresie, w jakim </w:t>
            </w:r>
            <w:r w:rsidR="00C72D79" w:rsidRPr="003548BE">
              <w:rPr>
                <w:rFonts w:ascii="Times New Roman" w:eastAsia="Times New Roman" w:hAnsi="Times New Roman" w:cs="Times New Roman"/>
                <w:color w:val="000000"/>
                <w:sz w:val="22"/>
                <w:szCs w:val="22"/>
              </w:rPr>
              <w:t xml:space="preserve">te </w:t>
            </w:r>
            <w:r w:rsidR="003548BE" w:rsidRPr="003548BE">
              <w:rPr>
                <w:rFonts w:ascii="Times New Roman" w:eastAsia="Times New Roman" w:hAnsi="Times New Roman" w:cs="Times New Roman"/>
                <w:color w:val="000000"/>
                <w:sz w:val="22"/>
                <w:szCs w:val="22"/>
              </w:rPr>
              <w:t xml:space="preserve">warunki umożliwiają korzystanie z tej usługi, lub informację o </w:t>
            </w:r>
            <w:r w:rsidR="00F86ED1">
              <w:rPr>
                <w:rFonts w:ascii="Times New Roman" w:eastAsia="Times New Roman" w:hAnsi="Times New Roman" w:cs="Times New Roman"/>
                <w:color w:val="000000"/>
                <w:sz w:val="22"/>
                <w:szCs w:val="22"/>
              </w:rPr>
              <w:t xml:space="preserve">posiadanym przez usługodawcę </w:t>
            </w:r>
            <w:r w:rsidR="003548BE" w:rsidRPr="003548BE">
              <w:rPr>
                <w:rFonts w:ascii="Times New Roman" w:eastAsia="Times New Roman" w:hAnsi="Times New Roman" w:cs="Times New Roman"/>
                <w:color w:val="000000"/>
                <w:sz w:val="22"/>
                <w:szCs w:val="22"/>
              </w:rPr>
              <w:t xml:space="preserve">certyfikacie dostępności, o którym mowa w art. 19 ust. 1 ustawy z dnia 19 lipca 2019 r. o zapewnianiu dostępności osobom ze szczególnymi potrzebami, </w:t>
            </w:r>
            <w:r w:rsidR="00F86ED1">
              <w:rPr>
                <w:rFonts w:ascii="Times New Roman" w:eastAsia="Times New Roman" w:hAnsi="Times New Roman" w:cs="Times New Roman"/>
                <w:color w:val="000000"/>
                <w:sz w:val="22"/>
                <w:szCs w:val="22"/>
              </w:rPr>
              <w:t>jeżeli został wydany</w:t>
            </w:r>
            <w:r w:rsidR="003548BE" w:rsidRPr="003548BE">
              <w:rPr>
                <w:rFonts w:ascii="Times New Roman" w:eastAsia="Times New Roman" w:hAnsi="Times New Roman" w:cs="Times New Roman"/>
                <w:color w:val="000000"/>
                <w:sz w:val="22"/>
                <w:szCs w:val="22"/>
              </w:rPr>
              <w:t>.</w:t>
            </w:r>
          </w:p>
          <w:p w14:paraId="4A68AF20" w14:textId="77777777" w:rsidR="009C442A" w:rsidRPr="009C442A" w:rsidRDefault="009C442A" w:rsidP="00EA309D">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 xml:space="preserve">Mikroprzedsiębiorstwa wyłączone są również z tego obowiązku. </w:t>
            </w:r>
          </w:p>
          <w:p w14:paraId="2D13291B" w14:textId="44FAD931" w:rsidR="009C442A" w:rsidRPr="00FB230F" w:rsidRDefault="009C442A" w:rsidP="00FB230F">
            <w:pP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 xml:space="preserve">Ponadto w przepisach przejściowych i dostosowujących </w:t>
            </w:r>
            <w:proofErr w:type="spellStart"/>
            <w:r w:rsidRPr="009C442A">
              <w:rPr>
                <w:rFonts w:ascii="Times New Roman" w:eastAsia="Times New Roman" w:hAnsi="Times New Roman" w:cs="Times New Roman"/>
                <w:color w:val="000000"/>
                <w:sz w:val="22"/>
                <w:szCs w:val="22"/>
              </w:rPr>
              <w:t>MF</w:t>
            </w:r>
            <w:r w:rsidR="007C28A4">
              <w:rPr>
                <w:rFonts w:ascii="Times New Roman" w:eastAsia="Times New Roman" w:hAnsi="Times New Roman" w:cs="Times New Roman"/>
                <w:color w:val="000000"/>
                <w:sz w:val="22"/>
                <w:szCs w:val="22"/>
              </w:rPr>
              <w:t>i</w:t>
            </w:r>
            <w:r w:rsidRPr="009C442A">
              <w:rPr>
                <w:rFonts w:ascii="Times New Roman" w:eastAsia="Times New Roman" w:hAnsi="Times New Roman" w:cs="Times New Roman"/>
                <w:color w:val="000000"/>
                <w:sz w:val="22"/>
                <w:szCs w:val="22"/>
              </w:rPr>
              <w:t>PR</w:t>
            </w:r>
            <w:proofErr w:type="spellEnd"/>
            <w:r w:rsidRPr="009C442A">
              <w:rPr>
                <w:rFonts w:ascii="Times New Roman" w:eastAsia="Times New Roman" w:hAnsi="Times New Roman" w:cs="Times New Roman"/>
                <w:color w:val="000000"/>
                <w:sz w:val="22"/>
                <w:szCs w:val="22"/>
              </w:rPr>
              <w:t xml:space="preserve"> zawarł</w:t>
            </w:r>
            <w:r w:rsidR="00BC2845">
              <w:rPr>
                <w:rFonts w:ascii="Times New Roman" w:eastAsia="Times New Roman" w:hAnsi="Times New Roman" w:cs="Times New Roman"/>
                <w:color w:val="000000"/>
                <w:sz w:val="22"/>
                <w:szCs w:val="22"/>
              </w:rPr>
              <w:t>o</w:t>
            </w:r>
            <w:r w:rsidRPr="009C442A">
              <w:rPr>
                <w:rFonts w:ascii="Times New Roman" w:eastAsia="Times New Roman" w:hAnsi="Times New Roman" w:cs="Times New Roman"/>
                <w:color w:val="000000"/>
                <w:sz w:val="22"/>
                <w:szCs w:val="22"/>
              </w:rPr>
              <w:t xml:space="preserve"> szereg korzystnych</w:t>
            </w:r>
            <w:r w:rsidR="007A053A">
              <w:rPr>
                <w:rFonts w:ascii="Times New Roman" w:eastAsia="Times New Roman" w:hAnsi="Times New Roman" w:cs="Times New Roman"/>
                <w:color w:val="000000"/>
                <w:sz w:val="22"/>
                <w:szCs w:val="22"/>
              </w:rPr>
              <w:t xml:space="preserve"> dla przedsiębiorców uregulowań</w:t>
            </w:r>
            <w:r w:rsidR="00596E06">
              <w:rPr>
                <w:rFonts w:ascii="Times New Roman" w:eastAsia="Times New Roman" w:hAnsi="Times New Roman" w:cs="Times New Roman"/>
                <w:color w:val="000000"/>
                <w:sz w:val="22"/>
                <w:szCs w:val="22"/>
              </w:rPr>
              <w:t>.</w:t>
            </w:r>
            <w:r w:rsidRPr="009C442A">
              <w:rPr>
                <w:rFonts w:ascii="Times New Roman" w:eastAsia="Times New Roman" w:hAnsi="Times New Roman" w:cs="Times New Roman"/>
                <w:color w:val="000000"/>
                <w:sz w:val="22"/>
                <w:szCs w:val="22"/>
              </w:rPr>
              <w:t xml:space="preserve"> </w:t>
            </w:r>
            <w:r w:rsidR="00596E06">
              <w:rPr>
                <w:rFonts w:ascii="Times New Roman" w:eastAsia="Times New Roman" w:hAnsi="Times New Roman" w:cs="Times New Roman"/>
                <w:color w:val="000000"/>
                <w:sz w:val="22"/>
                <w:szCs w:val="22"/>
              </w:rPr>
              <w:t>U</w:t>
            </w:r>
            <w:r w:rsidRPr="009C442A">
              <w:rPr>
                <w:rFonts w:ascii="Times New Roman" w:eastAsia="Times New Roman" w:hAnsi="Times New Roman" w:cs="Times New Roman"/>
                <w:color w:val="000000"/>
                <w:sz w:val="22"/>
                <w:szCs w:val="22"/>
              </w:rPr>
              <w:t>sługodawca może do dnia 28 czerwca 2030 r. świadczyć usługi przy wykorzystaniu produktów</w:t>
            </w:r>
            <w:r w:rsidR="00000A0B">
              <w:t xml:space="preserve"> </w:t>
            </w:r>
            <w:r w:rsidR="00000A0B" w:rsidRPr="00000A0B">
              <w:rPr>
                <w:rFonts w:ascii="Times New Roman" w:hAnsi="Times New Roman" w:cs="Times New Roman"/>
                <w:sz w:val="22"/>
                <w:szCs w:val="22"/>
              </w:rPr>
              <w:t>niespełniających wymagań dostępności</w:t>
            </w:r>
            <w:r w:rsidRPr="00000A0B">
              <w:rPr>
                <w:rFonts w:ascii="Times New Roman" w:eastAsia="Times New Roman" w:hAnsi="Times New Roman" w:cs="Times New Roman"/>
                <w:color w:val="000000"/>
                <w:sz w:val="22"/>
                <w:szCs w:val="22"/>
              </w:rPr>
              <w:t>,</w:t>
            </w:r>
            <w:r w:rsidRPr="009C442A">
              <w:rPr>
                <w:rFonts w:ascii="Times New Roman" w:eastAsia="Times New Roman" w:hAnsi="Times New Roman" w:cs="Times New Roman"/>
                <w:color w:val="000000"/>
                <w:sz w:val="22"/>
                <w:szCs w:val="22"/>
              </w:rPr>
              <w:t xml:space="preserve"> które wykorzystywał w celu świadczenia usług tego samego rodzaju przed</w:t>
            </w:r>
            <w:r w:rsidR="00712B50">
              <w:rPr>
                <w:rFonts w:ascii="Times New Roman" w:eastAsia="Times New Roman" w:hAnsi="Times New Roman" w:cs="Times New Roman"/>
                <w:color w:val="000000"/>
                <w:sz w:val="22"/>
                <w:szCs w:val="22"/>
              </w:rPr>
              <w:t xml:space="preserve"> </w:t>
            </w:r>
            <w:r w:rsidR="00000A0B">
              <w:rPr>
                <w:rFonts w:ascii="Times New Roman" w:eastAsia="Times New Roman" w:hAnsi="Times New Roman" w:cs="Times New Roman"/>
                <w:color w:val="000000"/>
                <w:sz w:val="22"/>
                <w:szCs w:val="22"/>
              </w:rPr>
              <w:t>dniem wejścia w życie</w:t>
            </w:r>
            <w:r w:rsidR="003B63A5">
              <w:rPr>
                <w:rFonts w:ascii="Times New Roman" w:eastAsia="Times New Roman" w:hAnsi="Times New Roman" w:cs="Times New Roman"/>
                <w:color w:val="000000"/>
                <w:sz w:val="22"/>
                <w:szCs w:val="22"/>
              </w:rPr>
              <w:t xml:space="preserve"> </w:t>
            </w:r>
            <w:r w:rsidR="003B63A5">
              <w:rPr>
                <w:rFonts w:ascii="Times New Roman" w:hAnsi="Times New Roman" w:cs="Times New Roman"/>
                <w:sz w:val="22"/>
                <w:szCs w:val="22"/>
              </w:rPr>
              <w:t>projektowanej</w:t>
            </w:r>
            <w:r w:rsidR="00000A0B">
              <w:rPr>
                <w:rFonts w:ascii="Times New Roman" w:eastAsia="Times New Roman" w:hAnsi="Times New Roman" w:cs="Times New Roman"/>
                <w:color w:val="000000"/>
                <w:sz w:val="22"/>
                <w:szCs w:val="22"/>
              </w:rPr>
              <w:t xml:space="preserve"> ustawy</w:t>
            </w:r>
            <w:r w:rsidRPr="009C442A">
              <w:rPr>
                <w:rFonts w:ascii="Times New Roman" w:eastAsia="Times New Roman" w:hAnsi="Times New Roman" w:cs="Times New Roman"/>
                <w:color w:val="000000"/>
                <w:sz w:val="22"/>
                <w:szCs w:val="22"/>
              </w:rPr>
              <w:t xml:space="preserve">. </w:t>
            </w:r>
            <w:r w:rsidR="00766E2A" w:rsidRPr="00766E2A">
              <w:rPr>
                <w:rFonts w:ascii="Times New Roman" w:eastAsia="Times New Roman" w:hAnsi="Times New Roman" w:cs="Times New Roman"/>
                <w:color w:val="000000"/>
                <w:sz w:val="22"/>
                <w:szCs w:val="22"/>
              </w:rPr>
              <w:t xml:space="preserve">Terminale niespełniające wymagań dostępności, wykorzystywane przez usługodawców do świadczenia usług przed dniem wejścia w życie </w:t>
            </w:r>
            <w:r w:rsidR="003B63A5">
              <w:rPr>
                <w:rFonts w:ascii="Times New Roman" w:hAnsi="Times New Roman" w:cs="Times New Roman"/>
                <w:sz w:val="22"/>
                <w:szCs w:val="22"/>
              </w:rPr>
              <w:t>projektowanej</w:t>
            </w:r>
            <w:r w:rsidR="003B63A5" w:rsidRPr="00474B94">
              <w:rPr>
                <w:rFonts w:ascii="Times New Roman" w:eastAsia="Times New Roman" w:hAnsi="Times New Roman" w:cs="Times New Roman"/>
                <w:color w:val="000000"/>
                <w:sz w:val="22"/>
                <w:szCs w:val="22"/>
              </w:rPr>
              <w:t xml:space="preserve"> </w:t>
            </w:r>
            <w:r w:rsidR="00766E2A" w:rsidRPr="00766E2A">
              <w:rPr>
                <w:rFonts w:ascii="Times New Roman" w:eastAsia="Times New Roman" w:hAnsi="Times New Roman" w:cs="Times New Roman"/>
                <w:color w:val="000000"/>
                <w:sz w:val="22"/>
                <w:szCs w:val="22"/>
              </w:rPr>
              <w:t xml:space="preserve">ustawy, mogą być wykorzystywane do świadczenia usług tego samego rodzaju po dniu wejścia w życie </w:t>
            </w:r>
            <w:r w:rsidR="003B63A5">
              <w:rPr>
                <w:rFonts w:ascii="Times New Roman" w:eastAsia="Times New Roman" w:hAnsi="Times New Roman" w:cs="Times New Roman"/>
                <w:color w:val="000000"/>
                <w:sz w:val="22"/>
                <w:szCs w:val="22"/>
              </w:rPr>
              <w:t xml:space="preserve">tej </w:t>
            </w:r>
            <w:r w:rsidR="00766E2A" w:rsidRPr="00766E2A">
              <w:rPr>
                <w:rFonts w:ascii="Times New Roman" w:eastAsia="Times New Roman" w:hAnsi="Times New Roman" w:cs="Times New Roman"/>
                <w:color w:val="000000"/>
                <w:sz w:val="22"/>
                <w:szCs w:val="22"/>
              </w:rPr>
              <w:t xml:space="preserve">ustawy do upływu okresu ich ekonomicznej użyteczności, jednak nie dłużej niż przez </w:t>
            </w:r>
            <w:r w:rsidR="00F86ED1">
              <w:rPr>
                <w:rFonts w:ascii="Times New Roman" w:eastAsia="Times New Roman" w:hAnsi="Times New Roman" w:cs="Times New Roman"/>
                <w:color w:val="000000"/>
                <w:sz w:val="22"/>
                <w:szCs w:val="22"/>
              </w:rPr>
              <w:t xml:space="preserve">okres </w:t>
            </w:r>
            <w:r w:rsidR="00766E2A" w:rsidRPr="00766E2A">
              <w:rPr>
                <w:rFonts w:ascii="Times New Roman" w:eastAsia="Times New Roman" w:hAnsi="Times New Roman" w:cs="Times New Roman"/>
                <w:color w:val="000000"/>
                <w:sz w:val="22"/>
                <w:szCs w:val="22"/>
              </w:rPr>
              <w:t>20 lat od dnia rozpoczęcia ich wykorzystywania</w:t>
            </w:r>
            <w:r w:rsidRPr="00FB230F">
              <w:rPr>
                <w:rFonts w:ascii="Times New Roman" w:eastAsia="Times New Roman" w:hAnsi="Times New Roman" w:cs="Times New Roman"/>
                <w:color w:val="000000"/>
                <w:sz w:val="22"/>
                <w:szCs w:val="22"/>
              </w:rPr>
              <w:t>.</w:t>
            </w:r>
          </w:p>
          <w:p w14:paraId="531CB96A" w14:textId="77777777" w:rsidR="009C442A" w:rsidRDefault="009C442A" w:rsidP="00FB230F">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9C442A">
              <w:rPr>
                <w:rFonts w:ascii="Times New Roman" w:eastAsia="Times New Roman" w:hAnsi="Times New Roman" w:cs="Times New Roman"/>
                <w:color w:val="000000"/>
                <w:sz w:val="22"/>
                <w:szCs w:val="22"/>
              </w:rPr>
              <w:t>Obciążenia regulacyjne dla</w:t>
            </w:r>
            <w:r w:rsidR="00ED0162">
              <w:rPr>
                <w:rFonts w:ascii="Times New Roman" w:eastAsia="Times New Roman" w:hAnsi="Times New Roman" w:cs="Times New Roman"/>
                <w:color w:val="000000"/>
                <w:sz w:val="22"/>
                <w:szCs w:val="22"/>
              </w:rPr>
              <w:t xml:space="preserve"> organów</w:t>
            </w:r>
            <w:r w:rsidRPr="009C442A">
              <w:rPr>
                <w:rFonts w:ascii="Times New Roman" w:eastAsia="Times New Roman" w:hAnsi="Times New Roman" w:cs="Times New Roman"/>
                <w:color w:val="000000"/>
                <w:sz w:val="22"/>
                <w:szCs w:val="22"/>
              </w:rPr>
              <w:t xml:space="preserve"> nadzoru rynku</w:t>
            </w:r>
            <w:r w:rsidR="00FB230F">
              <w:rPr>
                <w:rFonts w:ascii="Times New Roman" w:eastAsia="Times New Roman" w:hAnsi="Times New Roman" w:cs="Times New Roman"/>
                <w:color w:val="000000"/>
                <w:sz w:val="22"/>
                <w:szCs w:val="22"/>
              </w:rPr>
              <w:t xml:space="preserve"> są </w:t>
            </w:r>
            <w:r w:rsidRPr="009C442A">
              <w:rPr>
                <w:rFonts w:ascii="Times New Roman" w:eastAsia="Times New Roman" w:hAnsi="Times New Roman" w:cs="Times New Roman"/>
                <w:color w:val="000000"/>
                <w:sz w:val="22"/>
                <w:szCs w:val="22"/>
              </w:rPr>
              <w:t xml:space="preserve">związane z </w:t>
            </w:r>
            <w:r w:rsidR="005B1494">
              <w:rPr>
                <w:rFonts w:ascii="Times New Roman" w:eastAsia="Times New Roman" w:hAnsi="Times New Roman" w:cs="Times New Roman"/>
                <w:color w:val="000000"/>
                <w:sz w:val="22"/>
                <w:szCs w:val="22"/>
              </w:rPr>
              <w:t xml:space="preserve">wykonywaniem zadań </w:t>
            </w:r>
            <w:r w:rsidR="005B13B8">
              <w:rPr>
                <w:rFonts w:ascii="Times New Roman" w:eastAsia="Times New Roman" w:hAnsi="Times New Roman" w:cs="Times New Roman"/>
                <w:color w:val="000000"/>
                <w:sz w:val="22"/>
                <w:szCs w:val="22"/>
              </w:rPr>
              <w:t xml:space="preserve">dotyczących </w:t>
            </w:r>
            <w:r w:rsidRPr="009C442A">
              <w:rPr>
                <w:rFonts w:ascii="Times New Roman" w:eastAsia="Times New Roman" w:hAnsi="Times New Roman" w:cs="Times New Roman"/>
                <w:color w:val="000000"/>
                <w:sz w:val="22"/>
                <w:szCs w:val="22"/>
              </w:rPr>
              <w:t>nadzoru</w:t>
            </w:r>
            <w:r w:rsidR="00FB230F">
              <w:rPr>
                <w:rFonts w:ascii="Times New Roman" w:eastAsia="Times New Roman" w:hAnsi="Times New Roman" w:cs="Times New Roman"/>
                <w:color w:val="000000"/>
                <w:sz w:val="22"/>
                <w:szCs w:val="22"/>
              </w:rPr>
              <w:t xml:space="preserve"> rynku,</w:t>
            </w:r>
            <w:r w:rsidR="00251B4B">
              <w:rPr>
                <w:rFonts w:ascii="Times New Roman" w:eastAsia="Times New Roman" w:hAnsi="Times New Roman" w:cs="Times New Roman"/>
                <w:color w:val="000000"/>
                <w:sz w:val="22"/>
                <w:szCs w:val="22"/>
              </w:rPr>
              <w:t xml:space="preserve"> </w:t>
            </w:r>
            <w:r w:rsidRPr="009C442A">
              <w:rPr>
                <w:rFonts w:ascii="Times New Roman" w:eastAsia="Times New Roman" w:hAnsi="Times New Roman" w:cs="Times New Roman"/>
                <w:color w:val="000000"/>
                <w:sz w:val="22"/>
                <w:szCs w:val="22"/>
              </w:rPr>
              <w:t>sprawozdawczością</w:t>
            </w:r>
            <w:r w:rsidR="00FB230F">
              <w:rPr>
                <w:rFonts w:ascii="Times New Roman" w:eastAsia="Times New Roman" w:hAnsi="Times New Roman" w:cs="Times New Roman"/>
                <w:color w:val="000000"/>
                <w:sz w:val="22"/>
                <w:szCs w:val="22"/>
              </w:rPr>
              <w:t xml:space="preserve"> oraz i</w:t>
            </w:r>
            <w:r w:rsidR="006760E7">
              <w:rPr>
                <w:rFonts w:ascii="Times New Roman" w:eastAsia="Times New Roman" w:hAnsi="Times New Roman" w:cs="Times New Roman"/>
                <w:color w:val="000000"/>
                <w:sz w:val="22"/>
                <w:szCs w:val="22"/>
              </w:rPr>
              <w:t>nnymi wyszczególnionymi w pkt 6</w:t>
            </w:r>
            <w:r w:rsidR="00FB230F">
              <w:rPr>
                <w:rFonts w:ascii="Times New Roman" w:eastAsia="Times New Roman" w:hAnsi="Times New Roman" w:cs="Times New Roman"/>
                <w:color w:val="000000"/>
                <w:sz w:val="22"/>
                <w:szCs w:val="22"/>
              </w:rPr>
              <w:t xml:space="preserve"> OSR zadaniami.</w:t>
            </w:r>
          </w:p>
        </w:tc>
      </w:tr>
      <w:tr w:rsidR="00EC4C5C" w14:paraId="4C50D235" w14:textId="77777777" w:rsidTr="000A0DBF">
        <w:trPr>
          <w:trHeight w:val="142"/>
        </w:trPr>
        <w:tc>
          <w:tcPr>
            <w:tcW w:w="10947" w:type="dxa"/>
            <w:gridSpan w:val="29"/>
            <w:shd w:val="clear" w:color="auto" w:fill="99CCFF"/>
          </w:tcPr>
          <w:p w14:paraId="35A3145C" w14:textId="77777777" w:rsidR="00EC4C5C" w:rsidRDefault="00404A70"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9. </w:t>
            </w:r>
            <w:r w:rsidR="00515863">
              <w:rPr>
                <w:rFonts w:ascii="Times New Roman" w:eastAsia="Times New Roman" w:hAnsi="Times New Roman" w:cs="Times New Roman"/>
                <w:b/>
                <w:color w:val="000000"/>
                <w:sz w:val="22"/>
                <w:szCs w:val="22"/>
              </w:rPr>
              <w:t xml:space="preserve">Wpływ na rynek pracy </w:t>
            </w:r>
          </w:p>
        </w:tc>
      </w:tr>
      <w:tr w:rsidR="00EC4C5C" w14:paraId="733F522E" w14:textId="77777777" w:rsidTr="000A0DBF">
        <w:trPr>
          <w:trHeight w:val="142"/>
        </w:trPr>
        <w:tc>
          <w:tcPr>
            <w:tcW w:w="10947" w:type="dxa"/>
            <w:gridSpan w:val="29"/>
          </w:tcPr>
          <w:p w14:paraId="539D0B5A" w14:textId="3FBE4E1E" w:rsidR="00EC4C5C" w:rsidRPr="008A3EC2" w:rsidRDefault="00515863"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 xml:space="preserve">Projektowana regulacja </w:t>
            </w:r>
            <w:r w:rsidR="00007CEF" w:rsidRPr="008A3EC2">
              <w:rPr>
                <w:rFonts w:ascii="Times New Roman" w:eastAsia="Times New Roman" w:hAnsi="Times New Roman" w:cs="Times New Roman"/>
                <w:sz w:val="22"/>
                <w:szCs w:val="22"/>
              </w:rPr>
              <w:t xml:space="preserve">wpłynie </w:t>
            </w:r>
            <w:r w:rsidRPr="008A3EC2">
              <w:rPr>
                <w:rFonts w:ascii="Times New Roman" w:eastAsia="Times New Roman" w:hAnsi="Times New Roman" w:cs="Times New Roman"/>
                <w:sz w:val="22"/>
                <w:szCs w:val="22"/>
              </w:rPr>
              <w:t>pozytywnie na rynek pracy. Wprowadzenie nowych wym</w:t>
            </w:r>
            <w:r w:rsidR="009B5B17">
              <w:rPr>
                <w:rFonts w:ascii="Times New Roman" w:eastAsia="Times New Roman" w:hAnsi="Times New Roman" w:cs="Times New Roman"/>
                <w:sz w:val="22"/>
                <w:szCs w:val="22"/>
              </w:rPr>
              <w:t>agań</w:t>
            </w:r>
            <w:r w:rsidRPr="008A3EC2">
              <w:rPr>
                <w:rFonts w:ascii="Times New Roman" w:eastAsia="Times New Roman" w:hAnsi="Times New Roman" w:cs="Times New Roman"/>
                <w:sz w:val="22"/>
                <w:szCs w:val="22"/>
              </w:rPr>
              <w:t xml:space="preserve"> w zakresie dostępności produktów i usług spowoduje wzrost zapotrzebowania na specjalistów posiadających wiedzę i umiejętności w zakresie wdrażania dostępności. W kolejnych latach po wejściu w życie projektowanej regulacji zjawisko to się zintensyfikuje. Spowoduje to nie tylko wzrost zatrudnienia, ale także zmiany jakościowe na rynku pracy. Do tej pory liczba ekspertów </w:t>
            </w:r>
            <w:r w:rsidR="002C3B6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z</w:t>
            </w:r>
            <w:r w:rsidR="002C3B69">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tego szerokiego obszaru kompetencyjnego, wymagającego posiadania wiedzy i doświadczenia o charakterze interdyscyplinarnym (m.in. z zakresu funkcjonowania osób z</w:t>
            </w:r>
            <w:r w:rsidR="00007CEF">
              <w:rPr>
                <w:rFonts w:ascii="Times New Roman" w:eastAsia="Times New Roman" w:hAnsi="Times New Roman" w:cs="Times New Roman"/>
                <w:sz w:val="22"/>
                <w:szCs w:val="22"/>
              </w:rPr>
              <w:t>e szczególnymi potrzebami</w:t>
            </w:r>
            <w:r w:rsidRPr="008A3EC2">
              <w:rPr>
                <w:rFonts w:ascii="Times New Roman" w:eastAsia="Times New Roman" w:hAnsi="Times New Roman" w:cs="Times New Roman"/>
                <w:sz w:val="22"/>
                <w:szCs w:val="22"/>
              </w:rPr>
              <w:t xml:space="preserve">, technologii asystujących, dostępności cyfrowej, dostępności informacyjno-komunikacyjnej, nowoczesnych technologii, uwarunkowań prawnych </w:t>
            </w:r>
            <w:r w:rsidR="002C3B6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i</w:t>
            </w:r>
            <w:r w:rsidR="002C3B69">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 xml:space="preserve">standardów dostępności) jest niewystarczająca do zaspokojenia obecnych i przyszłych potrzeb rynku. Przewiduje się dalszą profesjonalizację i powstanie nowych kwalifikacji zawodowych </w:t>
            </w:r>
            <w:r w:rsidR="00C72D79">
              <w:rPr>
                <w:rFonts w:ascii="Times New Roman" w:eastAsia="Times New Roman" w:hAnsi="Times New Roman" w:cs="Times New Roman"/>
                <w:sz w:val="22"/>
                <w:szCs w:val="22"/>
              </w:rPr>
              <w:t>oraz</w:t>
            </w:r>
            <w:r w:rsidRPr="008A3EC2">
              <w:rPr>
                <w:rFonts w:ascii="Times New Roman" w:eastAsia="Times New Roman" w:hAnsi="Times New Roman" w:cs="Times New Roman"/>
                <w:sz w:val="22"/>
                <w:szCs w:val="22"/>
              </w:rPr>
              <w:t xml:space="preserve"> poszerzenie już istniejących. Do tej pory </w:t>
            </w:r>
            <w:proofErr w:type="spellStart"/>
            <w:r w:rsidRPr="008A3EC2">
              <w:rPr>
                <w:rFonts w:ascii="Times New Roman" w:eastAsia="Times New Roman" w:hAnsi="Times New Roman" w:cs="Times New Roman"/>
                <w:sz w:val="22"/>
                <w:szCs w:val="22"/>
              </w:rPr>
              <w:t>MFiPR</w:t>
            </w:r>
            <w:proofErr w:type="spellEnd"/>
            <w:r w:rsidRPr="008A3EC2">
              <w:rPr>
                <w:rFonts w:ascii="Times New Roman" w:eastAsia="Times New Roman" w:hAnsi="Times New Roman" w:cs="Times New Roman"/>
                <w:sz w:val="22"/>
                <w:szCs w:val="22"/>
              </w:rPr>
              <w:t xml:space="preserve"> włączyło kwalifikację rynkową </w:t>
            </w:r>
            <w:r w:rsidR="00CE6B99">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Wdrażanie dostępności w organizacji” do Zintegrowanego Systemu Kwalifikacji. </w:t>
            </w:r>
            <w:r w:rsidR="002C3B6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W dniu 23 kwietnia 2020</w:t>
            </w:r>
            <w:r w:rsidR="009709DB">
              <w:rPr>
                <w:rFonts w:ascii="Times New Roman" w:eastAsia="Times New Roman" w:hAnsi="Times New Roman" w:cs="Times New Roman"/>
                <w:sz w:val="22"/>
                <w:szCs w:val="22"/>
              </w:rPr>
              <w:t> </w:t>
            </w:r>
            <w:r w:rsidRPr="008A3EC2">
              <w:rPr>
                <w:rFonts w:ascii="Times New Roman" w:eastAsia="Times New Roman" w:hAnsi="Times New Roman" w:cs="Times New Roman"/>
                <w:sz w:val="22"/>
                <w:szCs w:val="22"/>
              </w:rPr>
              <w:t xml:space="preserve">r. zostało opublikowane </w:t>
            </w:r>
            <w:r w:rsidR="00992C49">
              <w:rPr>
                <w:rFonts w:ascii="Times New Roman" w:eastAsia="Times New Roman" w:hAnsi="Times New Roman" w:cs="Times New Roman"/>
                <w:sz w:val="22"/>
                <w:szCs w:val="22"/>
              </w:rPr>
              <w:t>o</w:t>
            </w:r>
            <w:r w:rsidRPr="008A3EC2">
              <w:rPr>
                <w:rFonts w:ascii="Times New Roman" w:eastAsia="Times New Roman" w:hAnsi="Times New Roman" w:cs="Times New Roman"/>
                <w:sz w:val="22"/>
                <w:szCs w:val="22"/>
              </w:rPr>
              <w:t xml:space="preserve">bwieszczenie Ministra Funduszy i Polityki Regionalnej z dnia </w:t>
            </w:r>
            <w:r w:rsidR="002C3B6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 xml:space="preserve">14 kwietnia 2020 r. w sprawie włączenia kwalifikacji rynkowej „Wdrażanie dostępności w organizacji” </w:t>
            </w:r>
            <w:r w:rsidR="00E21C9F">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do Zintegrowanego Systemu Kwalifikacji (</w:t>
            </w:r>
            <w:r w:rsidR="00992C49">
              <w:rPr>
                <w:rFonts w:ascii="Times New Roman" w:eastAsia="Times New Roman" w:hAnsi="Times New Roman" w:cs="Times New Roman"/>
                <w:sz w:val="22"/>
                <w:szCs w:val="22"/>
              </w:rPr>
              <w:t xml:space="preserve">M.P. </w:t>
            </w:r>
            <w:r w:rsidRPr="008A3EC2">
              <w:rPr>
                <w:rFonts w:ascii="Times New Roman" w:eastAsia="Times New Roman" w:hAnsi="Times New Roman" w:cs="Times New Roman"/>
                <w:sz w:val="22"/>
                <w:szCs w:val="22"/>
              </w:rPr>
              <w:t>poz</w:t>
            </w:r>
            <w:r w:rsidR="00992C49">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 380). </w:t>
            </w:r>
            <w:r w:rsidR="00007CEF">
              <w:rPr>
                <w:rFonts w:ascii="Times New Roman" w:eastAsia="Times New Roman" w:hAnsi="Times New Roman" w:cs="Times New Roman"/>
                <w:sz w:val="22"/>
                <w:szCs w:val="22"/>
              </w:rPr>
              <w:t>P</w:t>
            </w:r>
            <w:r w:rsidR="004F16C4" w:rsidRPr="004F16C4">
              <w:rPr>
                <w:rFonts w:ascii="Times New Roman" w:eastAsia="Times New Roman" w:hAnsi="Times New Roman" w:cs="Times New Roman"/>
                <w:sz w:val="22"/>
                <w:szCs w:val="22"/>
              </w:rPr>
              <w:t>ojawiają się propozycje szeregu innych kwalifikacji związanych z dostępnością</w:t>
            </w:r>
            <w:r w:rsidRPr="008A3EC2">
              <w:rPr>
                <w:rFonts w:ascii="Times New Roman" w:eastAsia="Times New Roman" w:hAnsi="Times New Roman" w:cs="Times New Roman"/>
                <w:sz w:val="22"/>
                <w:szCs w:val="22"/>
              </w:rPr>
              <w:t>:</w:t>
            </w:r>
          </w:p>
          <w:p w14:paraId="4AC95C34" w14:textId="02C79C02"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515863" w:rsidRPr="008A3EC2">
              <w:rPr>
                <w:rFonts w:ascii="Times New Roman" w:eastAsia="Times New Roman" w:hAnsi="Times New Roman" w:cs="Times New Roman"/>
                <w:sz w:val="22"/>
                <w:szCs w:val="22"/>
              </w:rPr>
              <w:t xml:space="preserve">ykorzystywanie standardu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 przy tworzeniu i dostosowywaniu stron internetowych</w:t>
            </w:r>
            <w:r w:rsidR="00F96069">
              <w:rPr>
                <w:rFonts w:ascii="Times New Roman" w:eastAsia="Times New Roman" w:hAnsi="Times New Roman" w:cs="Times New Roman"/>
                <w:sz w:val="22"/>
                <w:szCs w:val="22"/>
              </w:rPr>
              <w:t>;</w:t>
            </w:r>
          </w:p>
          <w:p w14:paraId="29E30EEF" w14:textId="3EB8BAAA"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515863" w:rsidRPr="008A3EC2">
              <w:rPr>
                <w:rFonts w:ascii="Times New Roman" w:eastAsia="Times New Roman" w:hAnsi="Times New Roman" w:cs="Times New Roman"/>
                <w:sz w:val="22"/>
                <w:szCs w:val="22"/>
              </w:rPr>
              <w:t xml:space="preserve">udytowanie dostępności stron internetowych zgodnie ze standardem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w:t>
            </w:r>
            <w:r w:rsidR="00F96069">
              <w:rPr>
                <w:rFonts w:ascii="Times New Roman" w:eastAsia="Times New Roman" w:hAnsi="Times New Roman" w:cs="Times New Roman"/>
                <w:sz w:val="22"/>
                <w:szCs w:val="22"/>
              </w:rPr>
              <w:t>;</w:t>
            </w:r>
          </w:p>
          <w:p w14:paraId="06C0AAB7" w14:textId="4FDDDF9B"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515863" w:rsidRPr="008A3EC2">
              <w:rPr>
                <w:rFonts w:ascii="Times New Roman" w:eastAsia="Times New Roman" w:hAnsi="Times New Roman" w:cs="Times New Roman"/>
                <w:sz w:val="22"/>
                <w:szCs w:val="22"/>
              </w:rPr>
              <w:t xml:space="preserve">ykorzystanie standardu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 przy tworzeniu i dostosowywaniu aplikacji mobilnych</w:t>
            </w:r>
            <w:r w:rsidR="00F96069">
              <w:rPr>
                <w:rFonts w:ascii="Times New Roman" w:eastAsia="Times New Roman" w:hAnsi="Times New Roman" w:cs="Times New Roman"/>
                <w:sz w:val="22"/>
                <w:szCs w:val="22"/>
              </w:rPr>
              <w:t>;</w:t>
            </w:r>
          </w:p>
          <w:p w14:paraId="2861D153" w14:textId="0DD8119B"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515863" w:rsidRPr="008A3EC2">
              <w:rPr>
                <w:rFonts w:ascii="Times New Roman" w:eastAsia="Times New Roman" w:hAnsi="Times New Roman" w:cs="Times New Roman"/>
                <w:sz w:val="22"/>
                <w:szCs w:val="22"/>
              </w:rPr>
              <w:t xml:space="preserve">udytowanie dokumentów cyfrowych w oparciu o standard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w:t>
            </w:r>
            <w:r w:rsidR="00F96069">
              <w:rPr>
                <w:rFonts w:ascii="Times New Roman" w:eastAsia="Times New Roman" w:hAnsi="Times New Roman" w:cs="Times New Roman"/>
                <w:sz w:val="22"/>
                <w:szCs w:val="22"/>
              </w:rPr>
              <w:t>;</w:t>
            </w:r>
          </w:p>
          <w:p w14:paraId="4BA82263" w14:textId="3528280C"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00515863" w:rsidRPr="008A3EC2">
              <w:rPr>
                <w:rFonts w:ascii="Times New Roman" w:eastAsia="Times New Roman" w:hAnsi="Times New Roman" w:cs="Times New Roman"/>
                <w:sz w:val="22"/>
                <w:szCs w:val="22"/>
              </w:rPr>
              <w:t xml:space="preserve">rganizowanie usług dostosowywania multimediów do standardu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 z podstawowymi umiejętnościami ich dostosowania dla osób z indywidualnymi potrzebami</w:t>
            </w:r>
            <w:r w:rsidR="00F96069">
              <w:rPr>
                <w:rFonts w:ascii="Times New Roman" w:eastAsia="Times New Roman" w:hAnsi="Times New Roman" w:cs="Times New Roman"/>
                <w:sz w:val="22"/>
                <w:szCs w:val="22"/>
              </w:rPr>
              <w:t>;</w:t>
            </w:r>
          </w:p>
          <w:p w14:paraId="0C3C0383" w14:textId="60952BCD"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515863" w:rsidRPr="008A3EC2">
              <w:rPr>
                <w:rFonts w:ascii="Times New Roman" w:eastAsia="Times New Roman" w:hAnsi="Times New Roman" w:cs="Times New Roman"/>
                <w:sz w:val="22"/>
                <w:szCs w:val="22"/>
              </w:rPr>
              <w:t xml:space="preserve">ykorzystywanie standardu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 w tworzeniu i dostosowywaniu dokumentów cyfrowych</w:t>
            </w:r>
            <w:r w:rsidR="00F96069">
              <w:rPr>
                <w:rFonts w:ascii="Times New Roman" w:eastAsia="Times New Roman" w:hAnsi="Times New Roman" w:cs="Times New Roman"/>
                <w:sz w:val="22"/>
                <w:szCs w:val="22"/>
              </w:rPr>
              <w:t>;</w:t>
            </w:r>
          </w:p>
          <w:p w14:paraId="755F805E" w14:textId="55BE3056"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515863" w:rsidRPr="008A3EC2">
              <w:rPr>
                <w:rFonts w:ascii="Times New Roman" w:eastAsia="Times New Roman" w:hAnsi="Times New Roman" w:cs="Times New Roman"/>
                <w:sz w:val="22"/>
                <w:szCs w:val="22"/>
              </w:rPr>
              <w:t xml:space="preserve">ykorzystywanie standardu WCAG (Web Content Accessibility </w:t>
            </w:r>
            <w:proofErr w:type="spellStart"/>
            <w:r w:rsidR="00515863" w:rsidRPr="008A3EC2">
              <w:rPr>
                <w:rFonts w:ascii="Times New Roman" w:eastAsia="Times New Roman" w:hAnsi="Times New Roman" w:cs="Times New Roman"/>
                <w:sz w:val="22"/>
                <w:szCs w:val="22"/>
              </w:rPr>
              <w:t>Guidelines</w:t>
            </w:r>
            <w:proofErr w:type="spellEnd"/>
            <w:r w:rsidR="00515863" w:rsidRPr="008A3EC2">
              <w:rPr>
                <w:rFonts w:ascii="Times New Roman" w:eastAsia="Times New Roman" w:hAnsi="Times New Roman" w:cs="Times New Roman"/>
                <w:sz w:val="22"/>
                <w:szCs w:val="22"/>
              </w:rPr>
              <w:t>) w redagowaniu stron internetowych</w:t>
            </w:r>
            <w:r w:rsidR="00F96069">
              <w:rPr>
                <w:rFonts w:ascii="Times New Roman" w:eastAsia="Times New Roman" w:hAnsi="Times New Roman" w:cs="Times New Roman"/>
                <w:sz w:val="22"/>
                <w:szCs w:val="22"/>
              </w:rPr>
              <w:t>;</w:t>
            </w:r>
          </w:p>
          <w:p w14:paraId="6BCC96CC" w14:textId="7C513D6A" w:rsidR="00EC4C5C" w:rsidRPr="008A3EC2" w:rsidRDefault="00C72D79"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515863" w:rsidRPr="008A3EC2">
              <w:rPr>
                <w:rFonts w:ascii="Times New Roman" w:eastAsia="Times New Roman" w:hAnsi="Times New Roman" w:cs="Times New Roman"/>
                <w:sz w:val="22"/>
                <w:szCs w:val="22"/>
              </w:rPr>
              <w:t>rojektowanie i prowadzenie badań dostępności informacji elektronicznej z udziałem użytkowników-testerów z</w:t>
            </w:r>
            <w:r w:rsidR="00F16712" w:rsidRPr="008A3EC2">
              <w:rPr>
                <w:rFonts w:ascii="Times New Roman" w:eastAsia="Times New Roman" w:hAnsi="Times New Roman" w:cs="Times New Roman"/>
                <w:sz w:val="22"/>
                <w:szCs w:val="22"/>
              </w:rPr>
              <w:t> </w:t>
            </w:r>
            <w:r w:rsidR="00515863" w:rsidRPr="008A3EC2">
              <w:rPr>
                <w:rFonts w:ascii="Times New Roman" w:eastAsia="Times New Roman" w:hAnsi="Times New Roman" w:cs="Times New Roman"/>
                <w:sz w:val="22"/>
                <w:szCs w:val="22"/>
              </w:rPr>
              <w:t>indywidualnymi potrzebami</w:t>
            </w:r>
            <w:r w:rsidR="00F96069">
              <w:rPr>
                <w:rFonts w:ascii="Times New Roman" w:eastAsia="Times New Roman" w:hAnsi="Times New Roman" w:cs="Times New Roman"/>
                <w:sz w:val="22"/>
                <w:szCs w:val="22"/>
              </w:rPr>
              <w:t>;</w:t>
            </w:r>
          </w:p>
          <w:p w14:paraId="22C20BAB" w14:textId="038D6E44" w:rsidR="00EC4C5C" w:rsidRPr="008A3EC2" w:rsidRDefault="00BE0553" w:rsidP="00BF35EA">
            <w:pPr>
              <w:numPr>
                <w:ilvl w:val="0"/>
                <w:numId w:val="2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515863" w:rsidRPr="008A3EC2">
              <w:rPr>
                <w:rFonts w:ascii="Times New Roman" w:eastAsia="Times New Roman" w:hAnsi="Times New Roman" w:cs="Times New Roman"/>
                <w:sz w:val="22"/>
                <w:szCs w:val="22"/>
              </w:rPr>
              <w:t>tosowanie standardów dostępności i dobrych praktyk w procesie organizowania wydarzenia, umożliwiających uczestnictwo osób z indywidualnymi potrzebami</w:t>
            </w:r>
            <w:r w:rsidR="004F16C4">
              <w:rPr>
                <w:rFonts w:ascii="Times New Roman" w:eastAsia="Times New Roman" w:hAnsi="Times New Roman" w:cs="Times New Roman"/>
                <w:sz w:val="22"/>
                <w:szCs w:val="22"/>
              </w:rPr>
              <w:t>.</w:t>
            </w:r>
          </w:p>
          <w:p w14:paraId="094666D5" w14:textId="65142DC8" w:rsidR="00EC4C5C" w:rsidRPr="008A3EC2" w:rsidRDefault="00515863"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Warto podkreślić nie tylko rynkowe, ale i społeczne znaczenie przewidywanych zmian</w:t>
            </w:r>
            <w:r w:rsidR="00726F02">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 Już obecnie obserwuje się, </w:t>
            </w:r>
            <w:r w:rsidR="005D6B4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że na stanowiskach ekspertów</w:t>
            </w:r>
            <w:r w:rsidR="00160D38">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w:t>
            </w:r>
            <w:r w:rsidR="00160D38">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trenerów</w:t>
            </w:r>
            <w:r w:rsidR="00160D38">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w:t>
            </w:r>
            <w:r w:rsidR="00160D38">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audytorów d</w:t>
            </w:r>
            <w:r w:rsidR="00F96069">
              <w:rPr>
                <w:rFonts w:ascii="Times New Roman" w:eastAsia="Times New Roman" w:hAnsi="Times New Roman" w:cs="Times New Roman"/>
                <w:sz w:val="22"/>
                <w:szCs w:val="22"/>
              </w:rPr>
              <w:t xml:space="preserve">o </w:t>
            </w:r>
            <w:r w:rsidRPr="008A3EC2">
              <w:rPr>
                <w:rFonts w:ascii="Times New Roman" w:eastAsia="Times New Roman" w:hAnsi="Times New Roman" w:cs="Times New Roman"/>
                <w:sz w:val="22"/>
                <w:szCs w:val="22"/>
              </w:rPr>
              <w:t>s</w:t>
            </w:r>
            <w:r w:rsidR="00F96069">
              <w:rPr>
                <w:rFonts w:ascii="Times New Roman" w:eastAsia="Times New Roman" w:hAnsi="Times New Roman" w:cs="Times New Roman"/>
                <w:sz w:val="22"/>
                <w:szCs w:val="22"/>
              </w:rPr>
              <w:t>praw</w:t>
            </w:r>
            <w:r w:rsidRPr="008A3EC2">
              <w:rPr>
                <w:rFonts w:ascii="Times New Roman" w:eastAsia="Times New Roman" w:hAnsi="Times New Roman" w:cs="Times New Roman"/>
                <w:sz w:val="22"/>
                <w:szCs w:val="22"/>
              </w:rPr>
              <w:t xml:space="preserve"> dostępności </w:t>
            </w:r>
            <w:r w:rsidR="00C72D79" w:rsidRPr="008A3EC2">
              <w:rPr>
                <w:rFonts w:ascii="Times New Roman" w:eastAsia="Times New Roman" w:hAnsi="Times New Roman" w:cs="Times New Roman"/>
                <w:sz w:val="22"/>
                <w:szCs w:val="22"/>
              </w:rPr>
              <w:t xml:space="preserve">są </w:t>
            </w:r>
            <w:r w:rsidRPr="008A3EC2">
              <w:rPr>
                <w:rFonts w:ascii="Times New Roman" w:eastAsia="Times New Roman" w:hAnsi="Times New Roman" w:cs="Times New Roman"/>
                <w:sz w:val="22"/>
                <w:szCs w:val="22"/>
              </w:rPr>
              <w:t>angażowane osoby z</w:t>
            </w:r>
            <w:r w:rsidR="00007CEF">
              <w:rPr>
                <w:rFonts w:ascii="Times New Roman" w:eastAsia="Times New Roman" w:hAnsi="Times New Roman" w:cs="Times New Roman"/>
                <w:sz w:val="22"/>
                <w:szCs w:val="22"/>
              </w:rPr>
              <w:t>e szczególnymi potrzebami</w:t>
            </w:r>
            <w:r w:rsidR="00704F53">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 xml:space="preserve">jako osoby o największym i najbardziej wiarygodnym doświadczeniu w tym obszarze. Jednocześnie osoby </w:t>
            </w:r>
            <w:r w:rsidR="00280BD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z</w:t>
            </w:r>
            <w:r w:rsidR="00280BD9">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 xml:space="preserve">niepełnosprawnościami należą do grupy od zawsze wykluczanej na rynku pracy. </w:t>
            </w:r>
            <w:r w:rsidR="00057253">
              <w:rPr>
                <w:rFonts w:ascii="Times New Roman" w:eastAsia="Times New Roman" w:hAnsi="Times New Roman" w:cs="Times New Roman"/>
                <w:sz w:val="22"/>
                <w:szCs w:val="22"/>
              </w:rPr>
              <w:t>W I</w:t>
            </w:r>
            <w:r w:rsidR="00057253" w:rsidRPr="00057253">
              <w:rPr>
                <w:rFonts w:ascii="Times New Roman" w:eastAsia="Times New Roman" w:hAnsi="Times New Roman" w:cs="Times New Roman"/>
                <w:sz w:val="22"/>
                <w:szCs w:val="22"/>
              </w:rPr>
              <w:t>V kwartale 2020 r</w:t>
            </w:r>
            <w:r w:rsidR="00007CEF">
              <w:rPr>
                <w:rFonts w:ascii="Times New Roman" w:eastAsia="Times New Roman" w:hAnsi="Times New Roman" w:cs="Times New Roman"/>
                <w:sz w:val="22"/>
                <w:szCs w:val="22"/>
              </w:rPr>
              <w:t>.</w:t>
            </w:r>
            <w:r w:rsidR="00057253" w:rsidRPr="00057253">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 xml:space="preserve">współczynnik aktywności </w:t>
            </w:r>
            <w:r w:rsidR="00F1728A" w:rsidRPr="008A3EC2">
              <w:rPr>
                <w:rFonts w:ascii="Times New Roman" w:eastAsia="Times New Roman" w:hAnsi="Times New Roman" w:cs="Times New Roman"/>
                <w:sz w:val="22"/>
                <w:szCs w:val="22"/>
              </w:rPr>
              <w:t>zawodowej osób</w:t>
            </w:r>
            <w:r w:rsidRPr="008A3EC2">
              <w:rPr>
                <w:rFonts w:ascii="Times New Roman" w:eastAsia="Times New Roman" w:hAnsi="Times New Roman" w:cs="Times New Roman"/>
                <w:sz w:val="22"/>
                <w:szCs w:val="22"/>
              </w:rPr>
              <w:t xml:space="preserve"> z niepełnosprawnościami w wieku produkcyjnym wyniósł </w:t>
            </w:r>
            <w:r w:rsidR="002624C0">
              <w:rPr>
                <w:rFonts w:ascii="Times New Roman" w:eastAsia="Times New Roman" w:hAnsi="Times New Roman" w:cs="Times New Roman"/>
                <w:sz w:val="22"/>
                <w:szCs w:val="22"/>
              </w:rPr>
              <w:t>30</w:t>
            </w:r>
            <w:r w:rsidR="00704F53">
              <w:rPr>
                <w:rFonts w:ascii="Times New Roman" w:eastAsia="Times New Roman" w:hAnsi="Times New Roman" w:cs="Times New Roman"/>
                <w:sz w:val="22"/>
                <w:szCs w:val="22"/>
              </w:rPr>
              <w:t>,</w:t>
            </w:r>
            <w:r w:rsidR="002624C0">
              <w:rPr>
                <w:rFonts w:ascii="Times New Roman" w:eastAsia="Times New Roman" w:hAnsi="Times New Roman" w:cs="Times New Roman"/>
                <w:sz w:val="22"/>
                <w:szCs w:val="22"/>
              </w:rPr>
              <w:t>3</w:t>
            </w:r>
            <w:r w:rsidRPr="008A3EC2">
              <w:rPr>
                <w:rFonts w:ascii="Times New Roman" w:eastAsia="Times New Roman" w:hAnsi="Times New Roman" w:cs="Times New Roman"/>
                <w:sz w:val="22"/>
                <w:szCs w:val="22"/>
              </w:rPr>
              <w:t>%</w:t>
            </w:r>
            <w:r w:rsidR="00726F02">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 a wskaźnik zatrudnienia w</w:t>
            </w:r>
            <w:r w:rsidR="00A05EC1">
              <w:rPr>
                <w:rFonts w:ascii="Times New Roman" w:eastAsia="Times New Roman" w:hAnsi="Times New Roman" w:cs="Times New Roman"/>
                <w:sz w:val="22"/>
                <w:szCs w:val="22"/>
              </w:rPr>
              <w:t> </w:t>
            </w:r>
            <w:r w:rsidRPr="008A3EC2">
              <w:rPr>
                <w:rFonts w:ascii="Times New Roman" w:eastAsia="Times New Roman" w:hAnsi="Times New Roman" w:cs="Times New Roman"/>
                <w:sz w:val="22"/>
                <w:szCs w:val="22"/>
              </w:rPr>
              <w:t xml:space="preserve">tej grupie </w:t>
            </w:r>
            <w:r w:rsidR="00007CEF">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 </w:t>
            </w:r>
            <w:r w:rsidR="009B6898">
              <w:rPr>
                <w:rFonts w:ascii="Times New Roman" w:eastAsia="Times New Roman" w:hAnsi="Times New Roman" w:cs="Times New Roman"/>
                <w:sz w:val="22"/>
                <w:szCs w:val="22"/>
              </w:rPr>
              <w:t>28,7</w:t>
            </w:r>
            <w:r w:rsidRPr="008A3EC2">
              <w:rPr>
                <w:rFonts w:ascii="Times New Roman" w:eastAsia="Times New Roman" w:hAnsi="Times New Roman" w:cs="Times New Roman"/>
                <w:sz w:val="22"/>
                <w:szCs w:val="22"/>
              </w:rPr>
              <w:t>%</w:t>
            </w:r>
            <w:r w:rsidR="00EF3960">
              <w:rPr>
                <w:rFonts w:ascii="Times New Roman" w:eastAsia="Times New Roman" w:hAnsi="Times New Roman" w:cs="Times New Roman"/>
                <w:sz w:val="22"/>
                <w:szCs w:val="22"/>
              </w:rPr>
              <w:t xml:space="preserve"> </w:t>
            </w:r>
            <w:r w:rsidR="00EF3960" w:rsidRPr="00EF3960">
              <w:rPr>
                <w:rFonts w:ascii="Times New Roman" w:eastAsia="Times New Roman" w:hAnsi="Times New Roman" w:cs="Times New Roman"/>
                <w:sz w:val="22"/>
                <w:szCs w:val="22"/>
              </w:rPr>
              <w:t>[za BAEL</w:t>
            </w:r>
            <w:r w:rsidR="00007CEF">
              <w:rPr>
                <w:rFonts w:ascii="Times New Roman" w:eastAsia="Times New Roman" w:hAnsi="Times New Roman" w:cs="Times New Roman"/>
                <w:sz w:val="22"/>
                <w:szCs w:val="22"/>
              </w:rPr>
              <w:t xml:space="preserve"> GUS</w:t>
            </w:r>
            <w:r w:rsidR="00EF3960" w:rsidRPr="00EF3960">
              <w:rPr>
                <w:rFonts w:ascii="Times New Roman" w:eastAsia="Times New Roman" w:hAnsi="Times New Roman" w:cs="Times New Roman"/>
                <w:sz w:val="22"/>
                <w:szCs w:val="22"/>
              </w:rPr>
              <w:t>].</w:t>
            </w:r>
            <w:r w:rsidR="00007CEF">
              <w:rPr>
                <w:rFonts w:ascii="Times New Roman" w:eastAsia="Times New Roman" w:hAnsi="Times New Roman" w:cs="Times New Roman"/>
                <w:sz w:val="22"/>
                <w:szCs w:val="22"/>
              </w:rPr>
              <w:t xml:space="preserve"> </w:t>
            </w:r>
            <w:r w:rsidR="00462B76">
              <w:rPr>
                <w:rFonts w:ascii="Times New Roman" w:eastAsia="Times New Roman" w:hAnsi="Times New Roman" w:cs="Times New Roman"/>
                <w:sz w:val="22"/>
                <w:szCs w:val="22"/>
              </w:rPr>
              <w:t xml:space="preserve">Zwiększone </w:t>
            </w:r>
            <w:r w:rsidRPr="008A3EC2">
              <w:rPr>
                <w:rFonts w:ascii="Times New Roman" w:eastAsia="Times New Roman" w:hAnsi="Times New Roman" w:cs="Times New Roman"/>
                <w:sz w:val="22"/>
                <w:szCs w:val="22"/>
              </w:rPr>
              <w:t>zapotrzebowani</w:t>
            </w:r>
            <w:r w:rsidR="00462B76">
              <w:rPr>
                <w:rFonts w:ascii="Times New Roman" w:eastAsia="Times New Roman" w:hAnsi="Times New Roman" w:cs="Times New Roman"/>
                <w:sz w:val="22"/>
                <w:szCs w:val="22"/>
              </w:rPr>
              <w:t>e</w:t>
            </w:r>
            <w:r w:rsidRPr="008A3EC2">
              <w:rPr>
                <w:rFonts w:ascii="Times New Roman" w:eastAsia="Times New Roman" w:hAnsi="Times New Roman" w:cs="Times New Roman"/>
                <w:sz w:val="22"/>
                <w:szCs w:val="22"/>
              </w:rPr>
              <w:t xml:space="preserve"> </w:t>
            </w:r>
            <w:r w:rsidR="00BE0553">
              <w:rPr>
                <w:rFonts w:ascii="Times New Roman" w:eastAsia="Times New Roman" w:hAnsi="Times New Roman" w:cs="Times New Roman"/>
                <w:sz w:val="22"/>
                <w:szCs w:val="22"/>
              </w:rPr>
              <w:t>na</w:t>
            </w:r>
            <w:r w:rsidR="00C72D79" w:rsidRPr="008A3EC2">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 xml:space="preserve">specjalistów w zakresie dostępności stworzy realne </w:t>
            </w:r>
            <w:r w:rsidRPr="008A3EC2">
              <w:rPr>
                <w:rFonts w:ascii="Times New Roman" w:eastAsia="Times New Roman" w:hAnsi="Times New Roman" w:cs="Times New Roman"/>
                <w:sz w:val="22"/>
                <w:szCs w:val="22"/>
              </w:rPr>
              <w:lastRenderedPageBreak/>
              <w:t xml:space="preserve">możliwości na zatrudnienie osób z niepełnosprawnościami na tych stanowiskach na otwartym rynku pracy </w:t>
            </w:r>
            <w:r w:rsidR="00280BD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w wielu branżach.</w:t>
            </w:r>
          </w:p>
          <w:p w14:paraId="6CE3A655" w14:textId="3BF620F8" w:rsidR="00EC4C5C" w:rsidRPr="008A3EC2" w:rsidRDefault="00515863"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 xml:space="preserve">Ponadto zwiększenie dostępności wybranych produktów i usług wpłynie pozytywnie na wiele obszarów funkcjonowania konsumentów, które warunkują ich niezakłóconą aktywność zawodową </w:t>
            </w:r>
            <w:r w:rsidR="000B7CC6">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 m.in. obsługa sprzętu komputerowego w</w:t>
            </w:r>
            <w:r w:rsidR="00F16712" w:rsidRPr="008A3EC2">
              <w:rPr>
                <w:rFonts w:ascii="Times New Roman" w:eastAsia="Times New Roman" w:hAnsi="Times New Roman" w:cs="Times New Roman"/>
                <w:sz w:val="22"/>
                <w:szCs w:val="22"/>
              </w:rPr>
              <w:t> </w:t>
            </w:r>
            <w:r w:rsidRPr="008A3EC2">
              <w:rPr>
                <w:rFonts w:ascii="Times New Roman" w:eastAsia="Times New Roman" w:hAnsi="Times New Roman" w:cs="Times New Roman"/>
                <w:sz w:val="22"/>
                <w:szCs w:val="22"/>
              </w:rPr>
              <w:t>ramach obowiązków w pracy, informacja na temat transportu, korzystanie z instrumentów finansowych. Lepsze dostosowanie funkcji produktów i usług do możliwości i oczekiwań osób z</w:t>
            </w:r>
            <w:r w:rsidR="00007CEF">
              <w:rPr>
                <w:rFonts w:ascii="Times New Roman" w:eastAsia="Times New Roman" w:hAnsi="Times New Roman" w:cs="Times New Roman"/>
                <w:sz w:val="22"/>
                <w:szCs w:val="22"/>
              </w:rPr>
              <w:t>e szczególnymi potrzebami</w:t>
            </w:r>
            <w:r w:rsidRPr="008A3EC2">
              <w:rPr>
                <w:rFonts w:ascii="Times New Roman" w:eastAsia="Times New Roman" w:hAnsi="Times New Roman" w:cs="Times New Roman"/>
                <w:sz w:val="22"/>
                <w:szCs w:val="22"/>
              </w:rPr>
              <w:t xml:space="preserve">, w tym osób </w:t>
            </w:r>
            <w:r w:rsidR="00280BD9">
              <w:rPr>
                <w:rFonts w:ascii="Times New Roman" w:eastAsia="Times New Roman" w:hAnsi="Times New Roman" w:cs="Times New Roman"/>
                <w:sz w:val="22"/>
                <w:szCs w:val="22"/>
              </w:rPr>
              <w:br/>
            </w:r>
            <w:r w:rsidRPr="008A3EC2">
              <w:rPr>
                <w:rFonts w:ascii="Times New Roman" w:eastAsia="Times New Roman" w:hAnsi="Times New Roman" w:cs="Times New Roman"/>
                <w:sz w:val="22"/>
                <w:szCs w:val="22"/>
              </w:rPr>
              <w:t>z niepełnosprawnościami, będzie miało efekt wspierający i zachęcający</w:t>
            </w:r>
            <w:r w:rsidR="00C72D79">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zwłaszcza w obszarze aktywności zawodowej. Nowe regulacje pomogą także pracodawcom w dostosowaniu i wprowadzaniu nowych rozwiązań w organizacji stanowisk pracy dla osób z</w:t>
            </w:r>
            <w:r w:rsidR="00007CEF">
              <w:rPr>
                <w:rFonts w:ascii="Times New Roman" w:eastAsia="Times New Roman" w:hAnsi="Times New Roman" w:cs="Times New Roman"/>
                <w:sz w:val="22"/>
                <w:szCs w:val="22"/>
              </w:rPr>
              <w:t>e szczególnymi potrzebami</w:t>
            </w:r>
            <w:r w:rsidRPr="008A3EC2">
              <w:rPr>
                <w:rFonts w:ascii="Times New Roman" w:eastAsia="Times New Roman" w:hAnsi="Times New Roman" w:cs="Times New Roman"/>
                <w:sz w:val="22"/>
                <w:szCs w:val="22"/>
              </w:rPr>
              <w:t xml:space="preserve">, co zniesie część barier organizacyjnych i mentalnych, które zniechęcają </w:t>
            </w:r>
            <w:r w:rsidR="00F1728A" w:rsidRPr="008A3EC2">
              <w:rPr>
                <w:rFonts w:ascii="Times New Roman" w:eastAsia="Times New Roman" w:hAnsi="Times New Roman" w:cs="Times New Roman"/>
                <w:sz w:val="22"/>
                <w:szCs w:val="22"/>
              </w:rPr>
              <w:t>obecnie do</w:t>
            </w:r>
            <w:r w:rsidRPr="008A3EC2">
              <w:rPr>
                <w:rFonts w:ascii="Times New Roman" w:eastAsia="Times New Roman" w:hAnsi="Times New Roman" w:cs="Times New Roman"/>
                <w:sz w:val="22"/>
                <w:szCs w:val="22"/>
              </w:rPr>
              <w:t xml:space="preserve"> zatrudniania osób z tej grupy. </w:t>
            </w:r>
          </w:p>
          <w:p w14:paraId="74710A7B" w14:textId="396C424D" w:rsidR="00EC4C5C" w:rsidRDefault="00515863"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8A3EC2">
              <w:rPr>
                <w:rFonts w:ascii="Times New Roman" w:eastAsia="Times New Roman" w:hAnsi="Times New Roman" w:cs="Times New Roman"/>
                <w:sz w:val="22"/>
                <w:szCs w:val="22"/>
              </w:rPr>
              <w:t>W obliczu zmian sposobu wykonywania codziennych czynności, także obowiązków zawodowych, spowodowanych przez sytuację zagrożenia epidemiologicznego w 2020</w:t>
            </w:r>
            <w:r w:rsidR="009709DB">
              <w:rPr>
                <w:rFonts w:ascii="Times New Roman" w:eastAsia="Times New Roman" w:hAnsi="Times New Roman" w:cs="Times New Roman"/>
                <w:sz w:val="22"/>
                <w:szCs w:val="22"/>
              </w:rPr>
              <w:t> </w:t>
            </w:r>
            <w:r w:rsidRPr="008A3EC2">
              <w:rPr>
                <w:rFonts w:ascii="Times New Roman" w:eastAsia="Times New Roman" w:hAnsi="Times New Roman" w:cs="Times New Roman"/>
                <w:sz w:val="22"/>
                <w:szCs w:val="22"/>
              </w:rPr>
              <w:t>r., które wymagają użycia zdalnych sposobów komunikowania, ujawniły się bariery wynikające z braku dostępności urządzeń i usług pozwalających na m.in. telepracę</w:t>
            </w:r>
            <w:r w:rsidR="00C72D79">
              <w:rPr>
                <w:rFonts w:ascii="Times New Roman" w:eastAsia="Times New Roman" w:hAnsi="Times New Roman" w:cs="Times New Roman"/>
                <w:sz w:val="22"/>
                <w:szCs w:val="22"/>
              </w:rPr>
              <w:t xml:space="preserve"> czy</w:t>
            </w:r>
            <w:r w:rsidRPr="008A3EC2">
              <w:rPr>
                <w:rFonts w:ascii="Times New Roman" w:eastAsia="Times New Roman" w:hAnsi="Times New Roman" w:cs="Times New Roman"/>
                <w:sz w:val="22"/>
                <w:szCs w:val="22"/>
              </w:rPr>
              <w:t xml:space="preserve"> otrzymywanie informacji istotnych dla ochrony zdrowia obywateli. Zwiększenie dostępności wskazanych w projekcie ustawy produktów i usług będzie miało decydujące znaczenie dla utrzymania i podejmowania zatrudnienia osób z</w:t>
            </w:r>
            <w:r w:rsidR="00007CEF">
              <w:rPr>
                <w:rFonts w:ascii="Times New Roman" w:eastAsia="Times New Roman" w:hAnsi="Times New Roman" w:cs="Times New Roman"/>
                <w:sz w:val="22"/>
                <w:szCs w:val="22"/>
              </w:rPr>
              <w:t>e szczególnymi potrzebami</w:t>
            </w:r>
            <w:r w:rsidRPr="008A3EC2">
              <w:rPr>
                <w:rFonts w:ascii="Times New Roman" w:eastAsia="Times New Roman" w:hAnsi="Times New Roman" w:cs="Times New Roman"/>
                <w:sz w:val="22"/>
                <w:szCs w:val="22"/>
              </w:rPr>
              <w:t xml:space="preserve">. </w:t>
            </w:r>
            <w:r w:rsidR="00007CEF">
              <w:rPr>
                <w:rFonts w:ascii="Times New Roman" w:eastAsia="Times New Roman" w:hAnsi="Times New Roman" w:cs="Times New Roman"/>
                <w:sz w:val="22"/>
                <w:szCs w:val="22"/>
              </w:rPr>
              <w:t>O</w:t>
            </w:r>
            <w:r w:rsidRPr="008A3EC2">
              <w:rPr>
                <w:rFonts w:ascii="Times New Roman" w:eastAsia="Times New Roman" w:hAnsi="Times New Roman" w:cs="Times New Roman"/>
                <w:sz w:val="22"/>
                <w:szCs w:val="22"/>
              </w:rPr>
              <w:t>becnie zauważa się w Polsce sytuacje wykluczające określone grupy z</w:t>
            </w:r>
            <w:r w:rsidR="00CF3DCD">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aktywności</w:t>
            </w:r>
            <w:r w:rsidR="00646549">
              <w:rPr>
                <w:rFonts w:ascii="Times New Roman" w:eastAsia="Times New Roman" w:hAnsi="Times New Roman" w:cs="Times New Roman"/>
                <w:sz w:val="22"/>
                <w:szCs w:val="22"/>
              </w:rPr>
              <w:t>,</w:t>
            </w:r>
            <w:r w:rsidRPr="008A3EC2">
              <w:rPr>
                <w:rFonts w:ascii="Times New Roman" w:eastAsia="Times New Roman" w:hAnsi="Times New Roman" w:cs="Times New Roman"/>
                <w:sz w:val="22"/>
                <w:szCs w:val="22"/>
              </w:rPr>
              <w:t xml:space="preserve"> </w:t>
            </w:r>
            <w:r w:rsidR="00007CEF">
              <w:rPr>
                <w:rFonts w:ascii="Times New Roman" w:eastAsia="Times New Roman" w:hAnsi="Times New Roman" w:cs="Times New Roman"/>
                <w:sz w:val="22"/>
                <w:szCs w:val="22"/>
              </w:rPr>
              <w:t xml:space="preserve">np. </w:t>
            </w:r>
            <w:r w:rsidRPr="008A3EC2">
              <w:rPr>
                <w:rFonts w:ascii="Times New Roman" w:eastAsia="Times New Roman" w:hAnsi="Times New Roman" w:cs="Times New Roman"/>
                <w:sz w:val="22"/>
                <w:szCs w:val="22"/>
              </w:rPr>
              <w:t>os</w:t>
            </w:r>
            <w:r w:rsidR="00007CEF">
              <w:rPr>
                <w:rFonts w:ascii="Times New Roman" w:eastAsia="Times New Roman" w:hAnsi="Times New Roman" w:cs="Times New Roman"/>
                <w:sz w:val="22"/>
                <w:szCs w:val="22"/>
              </w:rPr>
              <w:t>oby</w:t>
            </w:r>
            <w:r w:rsidRPr="008A3EC2">
              <w:rPr>
                <w:rFonts w:ascii="Times New Roman" w:eastAsia="Times New Roman" w:hAnsi="Times New Roman" w:cs="Times New Roman"/>
                <w:sz w:val="22"/>
                <w:szCs w:val="22"/>
              </w:rPr>
              <w:t xml:space="preserve"> z dysfunkcją wzroku i</w:t>
            </w:r>
            <w:r w:rsidR="00A05EC1">
              <w:rPr>
                <w:rFonts w:ascii="Times New Roman" w:eastAsia="Times New Roman" w:hAnsi="Times New Roman" w:cs="Times New Roman"/>
                <w:sz w:val="22"/>
                <w:szCs w:val="22"/>
              </w:rPr>
              <w:t> </w:t>
            </w:r>
            <w:r w:rsidRPr="008A3EC2">
              <w:rPr>
                <w:rFonts w:ascii="Times New Roman" w:eastAsia="Times New Roman" w:hAnsi="Times New Roman" w:cs="Times New Roman"/>
                <w:sz w:val="22"/>
                <w:szCs w:val="22"/>
              </w:rPr>
              <w:t>słuchu</w:t>
            </w:r>
            <w:r w:rsidR="000B7CC6">
              <w:rPr>
                <w:rFonts w:ascii="Times New Roman" w:eastAsia="Times New Roman" w:hAnsi="Times New Roman" w:cs="Times New Roman"/>
                <w:sz w:val="22"/>
                <w:szCs w:val="22"/>
              </w:rPr>
              <w:t>. Osoby z tych grup</w:t>
            </w:r>
            <w:r w:rsidR="00CA22F7">
              <w:rPr>
                <w:rFonts w:ascii="Times New Roman" w:eastAsia="Times New Roman" w:hAnsi="Times New Roman" w:cs="Times New Roman"/>
                <w:sz w:val="22"/>
                <w:szCs w:val="22"/>
              </w:rPr>
              <w:t xml:space="preserve"> </w:t>
            </w:r>
            <w:r w:rsidRPr="008A3EC2">
              <w:rPr>
                <w:rFonts w:ascii="Times New Roman" w:eastAsia="Times New Roman" w:hAnsi="Times New Roman" w:cs="Times New Roman"/>
                <w:sz w:val="22"/>
                <w:szCs w:val="22"/>
              </w:rPr>
              <w:t>porzucają pracę lub rozważa</w:t>
            </w:r>
            <w:r w:rsidR="000B7CC6">
              <w:rPr>
                <w:rFonts w:ascii="Times New Roman" w:eastAsia="Times New Roman" w:hAnsi="Times New Roman" w:cs="Times New Roman"/>
                <w:sz w:val="22"/>
                <w:szCs w:val="22"/>
              </w:rPr>
              <w:t>ją</w:t>
            </w:r>
            <w:r w:rsidRPr="008A3EC2">
              <w:rPr>
                <w:rFonts w:ascii="Times New Roman" w:eastAsia="Times New Roman" w:hAnsi="Times New Roman" w:cs="Times New Roman"/>
                <w:sz w:val="22"/>
                <w:szCs w:val="22"/>
              </w:rPr>
              <w:t xml:space="preserve"> odejście z pracy w wyniku barier ICT w</w:t>
            </w:r>
            <w:r w:rsidR="00F16712" w:rsidRPr="008A3EC2">
              <w:rPr>
                <w:rFonts w:ascii="Times New Roman" w:eastAsia="Times New Roman" w:hAnsi="Times New Roman" w:cs="Times New Roman"/>
                <w:sz w:val="22"/>
                <w:szCs w:val="22"/>
              </w:rPr>
              <w:t> </w:t>
            </w:r>
            <w:r w:rsidRPr="008A3EC2">
              <w:rPr>
                <w:rFonts w:ascii="Times New Roman" w:eastAsia="Times New Roman" w:hAnsi="Times New Roman" w:cs="Times New Roman"/>
                <w:sz w:val="22"/>
                <w:szCs w:val="22"/>
              </w:rPr>
              <w:t>życiu zawodowym.</w:t>
            </w:r>
          </w:p>
          <w:p w14:paraId="2FABF769" w14:textId="118A8690" w:rsidR="00EC4C5C" w:rsidRDefault="00C72D79" w:rsidP="001E39D5">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Projektowana u</w:t>
            </w:r>
            <w:r w:rsidR="001E39D5">
              <w:rPr>
                <w:rFonts w:ascii="Times New Roman" w:eastAsia="Times New Roman" w:hAnsi="Times New Roman" w:cs="Times New Roman"/>
                <w:color w:val="000000"/>
                <w:sz w:val="22"/>
                <w:szCs w:val="22"/>
              </w:rPr>
              <w:t>stawa</w:t>
            </w:r>
            <w:r w:rsidR="00896FB9" w:rsidRPr="00896FB9">
              <w:rPr>
                <w:rFonts w:ascii="Times New Roman" w:eastAsia="Times New Roman" w:hAnsi="Times New Roman" w:cs="Times New Roman"/>
                <w:color w:val="000000"/>
                <w:sz w:val="22"/>
                <w:szCs w:val="22"/>
              </w:rPr>
              <w:t xml:space="preserve"> może stanowić impuls do powstawania nowych instytucji, które będą </w:t>
            </w:r>
            <w:r w:rsidR="001E39D5">
              <w:rPr>
                <w:rFonts w:ascii="Times New Roman" w:eastAsia="Times New Roman" w:hAnsi="Times New Roman" w:cs="Times New Roman"/>
                <w:color w:val="000000"/>
                <w:sz w:val="22"/>
                <w:szCs w:val="22"/>
              </w:rPr>
              <w:t>wspierały wdrażanie wym</w:t>
            </w:r>
            <w:r w:rsidR="00DD465B">
              <w:rPr>
                <w:rFonts w:ascii="Times New Roman" w:eastAsia="Times New Roman" w:hAnsi="Times New Roman" w:cs="Times New Roman"/>
                <w:color w:val="000000"/>
                <w:sz w:val="22"/>
                <w:szCs w:val="22"/>
              </w:rPr>
              <w:t>agań</w:t>
            </w:r>
            <w:r w:rsidR="001E39D5">
              <w:rPr>
                <w:rFonts w:ascii="Times New Roman" w:eastAsia="Times New Roman" w:hAnsi="Times New Roman" w:cs="Times New Roman"/>
                <w:color w:val="000000"/>
                <w:sz w:val="22"/>
                <w:szCs w:val="22"/>
              </w:rPr>
              <w:t xml:space="preserve"> dostępności</w:t>
            </w:r>
            <w:r w:rsidR="00896FB9" w:rsidRPr="00896FB9">
              <w:rPr>
                <w:rFonts w:ascii="Times New Roman" w:eastAsia="Times New Roman" w:hAnsi="Times New Roman" w:cs="Times New Roman"/>
                <w:color w:val="000000"/>
                <w:sz w:val="22"/>
                <w:szCs w:val="22"/>
              </w:rPr>
              <w:t>.</w:t>
            </w:r>
            <w:r w:rsidR="00694134">
              <w:rPr>
                <w:rFonts w:ascii="Times New Roman" w:eastAsia="Times New Roman" w:hAnsi="Times New Roman" w:cs="Times New Roman"/>
                <w:color w:val="000000"/>
                <w:sz w:val="22"/>
                <w:szCs w:val="22"/>
              </w:rPr>
              <w:t xml:space="preserve"> </w:t>
            </w:r>
            <w:r w:rsidR="00896FB9" w:rsidRPr="00896FB9">
              <w:rPr>
                <w:rFonts w:ascii="Times New Roman" w:eastAsia="Times New Roman" w:hAnsi="Times New Roman" w:cs="Times New Roman"/>
                <w:color w:val="000000"/>
                <w:sz w:val="22"/>
                <w:szCs w:val="22"/>
              </w:rPr>
              <w:t>Zwiększy się zapotrzebowanie na specjalistów d</w:t>
            </w:r>
            <w:r w:rsidR="00694134">
              <w:rPr>
                <w:rFonts w:ascii="Times New Roman" w:eastAsia="Times New Roman" w:hAnsi="Times New Roman" w:cs="Times New Roman"/>
                <w:color w:val="000000"/>
                <w:sz w:val="22"/>
                <w:szCs w:val="22"/>
              </w:rPr>
              <w:t xml:space="preserve">o </w:t>
            </w:r>
            <w:r w:rsidR="00896FB9" w:rsidRPr="00896FB9">
              <w:rPr>
                <w:rFonts w:ascii="Times New Roman" w:eastAsia="Times New Roman" w:hAnsi="Times New Roman" w:cs="Times New Roman"/>
                <w:color w:val="000000"/>
                <w:sz w:val="22"/>
                <w:szCs w:val="22"/>
              </w:rPr>
              <w:t>s</w:t>
            </w:r>
            <w:r w:rsidR="00694134">
              <w:rPr>
                <w:rFonts w:ascii="Times New Roman" w:eastAsia="Times New Roman" w:hAnsi="Times New Roman" w:cs="Times New Roman"/>
                <w:color w:val="000000"/>
                <w:sz w:val="22"/>
                <w:szCs w:val="22"/>
              </w:rPr>
              <w:t>praw</w:t>
            </w:r>
            <w:r w:rsidR="00896FB9" w:rsidRPr="00896FB9">
              <w:rPr>
                <w:rFonts w:ascii="Times New Roman" w:eastAsia="Times New Roman" w:hAnsi="Times New Roman" w:cs="Times New Roman"/>
                <w:color w:val="000000"/>
                <w:sz w:val="22"/>
                <w:szCs w:val="22"/>
              </w:rPr>
              <w:t xml:space="preserve"> dostępności</w:t>
            </w:r>
            <w:r w:rsidR="00007CEF">
              <w:rPr>
                <w:rFonts w:ascii="Times New Roman" w:eastAsia="Times New Roman" w:hAnsi="Times New Roman" w:cs="Times New Roman"/>
                <w:color w:val="000000"/>
                <w:sz w:val="22"/>
                <w:szCs w:val="22"/>
              </w:rPr>
              <w:t>,</w:t>
            </w:r>
            <w:r w:rsidR="00896FB9" w:rsidRPr="00896FB9">
              <w:rPr>
                <w:rFonts w:ascii="Times New Roman" w:eastAsia="Times New Roman" w:hAnsi="Times New Roman" w:cs="Times New Roman"/>
                <w:color w:val="000000"/>
                <w:sz w:val="22"/>
                <w:szCs w:val="22"/>
              </w:rPr>
              <w:t xml:space="preserve"> potrzebne będą szkolenia oraz dostosowanie przedsiębiorstw do wym</w:t>
            </w:r>
            <w:r w:rsidR="00D81A06">
              <w:rPr>
                <w:rFonts w:ascii="Times New Roman" w:eastAsia="Times New Roman" w:hAnsi="Times New Roman" w:cs="Times New Roman"/>
                <w:color w:val="000000"/>
                <w:sz w:val="22"/>
                <w:szCs w:val="22"/>
              </w:rPr>
              <w:t>agań</w:t>
            </w:r>
            <w:r w:rsidR="00896FB9" w:rsidRPr="00896FB9">
              <w:rPr>
                <w:rFonts w:ascii="Times New Roman" w:eastAsia="Times New Roman" w:hAnsi="Times New Roman" w:cs="Times New Roman"/>
                <w:color w:val="000000"/>
                <w:sz w:val="22"/>
                <w:szCs w:val="22"/>
              </w:rPr>
              <w:t xml:space="preserve"> dostępności wskazanych produktów i usług. Może także powstać nowy zawód </w:t>
            </w:r>
            <w:r w:rsidR="00807DCD">
              <w:rPr>
                <w:rFonts w:ascii="Times New Roman" w:eastAsia="Times New Roman" w:hAnsi="Times New Roman" w:cs="Times New Roman"/>
                <w:color w:val="000000"/>
                <w:sz w:val="22"/>
                <w:szCs w:val="22"/>
              </w:rPr>
              <w:t>(</w:t>
            </w:r>
            <w:r w:rsidR="00896FB9" w:rsidRPr="00896FB9">
              <w:rPr>
                <w:rFonts w:ascii="Times New Roman" w:eastAsia="Times New Roman" w:hAnsi="Times New Roman" w:cs="Times New Roman"/>
                <w:color w:val="000000"/>
                <w:sz w:val="22"/>
                <w:szCs w:val="22"/>
              </w:rPr>
              <w:t>na wzór koordynatora d</w:t>
            </w:r>
            <w:r w:rsidR="00694134">
              <w:rPr>
                <w:rFonts w:ascii="Times New Roman" w:eastAsia="Times New Roman" w:hAnsi="Times New Roman" w:cs="Times New Roman"/>
                <w:color w:val="000000"/>
                <w:sz w:val="22"/>
                <w:szCs w:val="22"/>
              </w:rPr>
              <w:t xml:space="preserve">o </w:t>
            </w:r>
            <w:r w:rsidR="00896FB9" w:rsidRPr="00896FB9">
              <w:rPr>
                <w:rFonts w:ascii="Times New Roman" w:eastAsia="Times New Roman" w:hAnsi="Times New Roman" w:cs="Times New Roman"/>
                <w:color w:val="000000"/>
                <w:sz w:val="22"/>
                <w:szCs w:val="22"/>
              </w:rPr>
              <w:t>s</w:t>
            </w:r>
            <w:r w:rsidR="00694134">
              <w:rPr>
                <w:rFonts w:ascii="Times New Roman" w:eastAsia="Times New Roman" w:hAnsi="Times New Roman" w:cs="Times New Roman"/>
                <w:color w:val="000000"/>
                <w:sz w:val="22"/>
                <w:szCs w:val="22"/>
              </w:rPr>
              <w:t>praw</w:t>
            </w:r>
            <w:r w:rsidR="00896FB9" w:rsidRPr="00896FB9">
              <w:rPr>
                <w:rFonts w:ascii="Times New Roman" w:eastAsia="Times New Roman" w:hAnsi="Times New Roman" w:cs="Times New Roman"/>
                <w:color w:val="000000"/>
                <w:sz w:val="22"/>
                <w:szCs w:val="22"/>
              </w:rPr>
              <w:t xml:space="preserve"> dostępności w jednostkach </w:t>
            </w:r>
            <w:r w:rsidR="00694134">
              <w:rPr>
                <w:rFonts w:ascii="Times New Roman" w:eastAsia="Times New Roman" w:hAnsi="Times New Roman" w:cs="Times New Roman"/>
                <w:color w:val="000000"/>
                <w:sz w:val="22"/>
                <w:szCs w:val="22"/>
              </w:rPr>
              <w:t>sektora finansów publicznych</w:t>
            </w:r>
            <w:r w:rsidR="00807DCD">
              <w:rPr>
                <w:rFonts w:ascii="Times New Roman" w:eastAsia="Times New Roman" w:hAnsi="Times New Roman" w:cs="Times New Roman"/>
                <w:color w:val="000000"/>
                <w:sz w:val="22"/>
                <w:szCs w:val="22"/>
              </w:rPr>
              <w:t>)</w:t>
            </w:r>
            <w:r w:rsidR="00896FB9" w:rsidRPr="00896FB9">
              <w:rPr>
                <w:rFonts w:ascii="Times New Roman" w:eastAsia="Times New Roman" w:hAnsi="Times New Roman" w:cs="Times New Roman"/>
                <w:color w:val="000000"/>
                <w:sz w:val="22"/>
                <w:szCs w:val="22"/>
              </w:rPr>
              <w:t xml:space="preserve">, </w:t>
            </w:r>
            <w:r w:rsidR="00007CEF">
              <w:rPr>
                <w:rFonts w:ascii="Times New Roman" w:eastAsia="Times New Roman" w:hAnsi="Times New Roman" w:cs="Times New Roman"/>
                <w:color w:val="000000"/>
                <w:sz w:val="22"/>
                <w:szCs w:val="22"/>
              </w:rPr>
              <w:t xml:space="preserve">w związku </w:t>
            </w:r>
            <w:r w:rsidR="00CF3DCD">
              <w:rPr>
                <w:rFonts w:ascii="Times New Roman" w:eastAsia="Times New Roman" w:hAnsi="Times New Roman" w:cs="Times New Roman"/>
                <w:color w:val="000000"/>
                <w:sz w:val="22"/>
                <w:szCs w:val="22"/>
              </w:rPr>
              <w:br/>
            </w:r>
            <w:r w:rsidR="00007CEF">
              <w:rPr>
                <w:rFonts w:ascii="Times New Roman" w:eastAsia="Times New Roman" w:hAnsi="Times New Roman" w:cs="Times New Roman"/>
                <w:color w:val="000000"/>
                <w:sz w:val="22"/>
                <w:szCs w:val="22"/>
              </w:rPr>
              <w:t xml:space="preserve">z </w:t>
            </w:r>
            <w:r w:rsidR="00896FB9" w:rsidRPr="00896FB9">
              <w:rPr>
                <w:rFonts w:ascii="Times New Roman" w:eastAsia="Times New Roman" w:hAnsi="Times New Roman" w:cs="Times New Roman"/>
                <w:color w:val="000000"/>
                <w:sz w:val="22"/>
                <w:szCs w:val="22"/>
              </w:rPr>
              <w:t>zapotrzebowanie</w:t>
            </w:r>
            <w:r w:rsidR="00007CEF">
              <w:rPr>
                <w:rFonts w:ascii="Times New Roman" w:eastAsia="Times New Roman" w:hAnsi="Times New Roman" w:cs="Times New Roman"/>
                <w:color w:val="000000"/>
                <w:sz w:val="22"/>
                <w:szCs w:val="22"/>
              </w:rPr>
              <w:t>m</w:t>
            </w:r>
            <w:r w:rsidR="00896FB9" w:rsidRPr="00896FB9">
              <w:rPr>
                <w:rFonts w:ascii="Times New Roman" w:eastAsia="Times New Roman" w:hAnsi="Times New Roman" w:cs="Times New Roman"/>
                <w:color w:val="000000"/>
                <w:sz w:val="22"/>
                <w:szCs w:val="22"/>
              </w:rPr>
              <w:t xml:space="preserve"> na </w:t>
            </w:r>
            <w:r w:rsidR="00007CEF">
              <w:rPr>
                <w:rFonts w:ascii="Times New Roman" w:eastAsia="Times New Roman" w:hAnsi="Times New Roman" w:cs="Times New Roman"/>
                <w:color w:val="000000"/>
                <w:sz w:val="22"/>
                <w:szCs w:val="22"/>
              </w:rPr>
              <w:t xml:space="preserve">takiego </w:t>
            </w:r>
            <w:r w:rsidR="00896FB9" w:rsidRPr="00896FB9">
              <w:rPr>
                <w:rFonts w:ascii="Times New Roman" w:eastAsia="Times New Roman" w:hAnsi="Times New Roman" w:cs="Times New Roman"/>
                <w:color w:val="000000"/>
                <w:sz w:val="22"/>
                <w:szCs w:val="22"/>
              </w:rPr>
              <w:t>koordynatora także w</w:t>
            </w:r>
            <w:r w:rsidR="003C56B8">
              <w:rPr>
                <w:rFonts w:ascii="Times New Roman" w:eastAsia="Times New Roman" w:hAnsi="Times New Roman" w:cs="Times New Roman"/>
                <w:color w:val="000000"/>
                <w:sz w:val="22"/>
                <w:szCs w:val="22"/>
              </w:rPr>
              <w:t> </w:t>
            </w:r>
            <w:r w:rsidR="00C32C78">
              <w:rPr>
                <w:rFonts w:ascii="Times New Roman" w:eastAsia="Times New Roman" w:hAnsi="Times New Roman" w:cs="Times New Roman"/>
                <w:color w:val="000000"/>
                <w:sz w:val="22"/>
                <w:szCs w:val="22"/>
              </w:rPr>
              <w:t xml:space="preserve">sektorze prywatnym. </w:t>
            </w:r>
          </w:p>
        </w:tc>
      </w:tr>
      <w:tr w:rsidR="00EC4C5C" w14:paraId="4DBFCD22" w14:textId="77777777" w:rsidTr="000A0DBF">
        <w:trPr>
          <w:trHeight w:val="142"/>
        </w:trPr>
        <w:tc>
          <w:tcPr>
            <w:tcW w:w="10947" w:type="dxa"/>
            <w:gridSpan w:val="29"/>
            <w:shd w:val="clear" w:color="auto" w:fill="99CCFF"/>
          </w:tcPr>
          <w:p w14:paraId="5F40A326" w14:textId="77777777" w:rsidR="00EC4C5C" w:rsidRDefault="00404A70"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10. </w:t>
            </w:r>
            <w:r w:rsidR="00515863">
              <w:rPr>
                <w:rFonts w:ascii="Times New Roman" w:eastAsia="Times New Roman" w:hAnsi="Times New Roman" w:cs="Times New Roman"/>
                <w:b/>
                <w:color w:val="000000"/>
                <w:sz w:val="22"/>
                <w:szCs w:val="22"/>
              </w:rPr>
              <w:t>Wpływ na pozostałe obszary</w:t>
            </w:r>
          </w:p>
        </w:tc>
      </w:tr>
      <w:tr w:rsidR="00EC4C5C" w14:paraId="562A2EF6" w14:textId="77777777" w:rsidTr="000A0DBF">
        <w:trPr>
          <w:trHeight w:val="1031"/>
        </w:trPr>
        <w:tc>
          <w:tcPr>
            <w:tcW w:w="3547" w:type="dxa"/>
            <w:gridSpan w:val="5"/>
            <w:shd w:val="clear" w:color="auto" w:fill="FFFFFF"/>
          </w:tcPr>
          <w:p w14:paraId="522D7382" w14:textId="77777777" w:rsidR="00EC4C5C" w:rsidRDefault="00EC4C5C">
            <w:pPr>
              <w:pBdr>
                <w:top w:val="nil"/>
                <w:left w:val="nil"/>
                <w:bottom w:val="nil"/>
                <w:right w:val="nil"/>
                <w:between w:val="nil"/>
              </w:pBdr>
              <w:rPr>
                <w:rFonts w:ascii="Times New Roman" w:eastAsia="Times New Roman" w:hAnsi="Times New Roman" w:cs="Times New Roman"/>
                <w:color w:val="000000"/>
                <w:sz w:val="22"/>
                <w:szCs w:val="22"/>
              </w:rPr>
            </w:pPr>
          </w:p>
          <w:p w14:paraId="34B51A1E" w14:textId="77777777" w:rsidR="00BD6F53" w:rsidRDefault="00BD6F53" w:rsidP="00BD6F53">
            <w:pPr>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2"/>
              </w:rPr>
              <w:t>środowisko naturalne</w:t>
            </w:r>
          </w:p>
          <w:p w14:paraId="22B7CD36" w14:textId="77777777" w:rsidR="00BD6F53" w:rsidRDefault="00BD6F53" w:rsidP="00BD6F53">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sytuacja i rozwój regionalny</w:t>
            </w:r>
          </w:p>
          <w:p w14:paraId="00486212" w14:textId="77777777" w:rsidR="00EC4C5C" w:rsidRDefault="007F4EE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hAnsi="Times New Roman"/>
                <w:color w:val="000000"/>
              </w:rPr>
              <w:fldChar w:fldCharType="begin">
                <w:ffData>
                  <w:name w:val="Wybór1"/>
                  <w:enabled/>
                  <w:calcOnExit w:val="0"/>
                  <w:checkBox>
                    <w:sizeAuto/>
                    <w:default w:val="0"/>
                  </w:checkBox>
                </w:ffData>
              </w:fldChar>
            </w:r>
            <w:bookmarkStart w:id="8" w:name="Wybór1"/>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bookmarkEnd w:id="8"/>
            <w:r w:rsidR="00BD6F53">
              <w:rPr>
                <w:rFonts w:ascii="Times New Roman" w:hAnsi="Times New Roman"/>
                <w:color w:val="000000"/>
              </w:rPr>
              <w:t xml:space="preserve"> </w:t>
            </w:r>
            <w:r w:rsidR="00BD6F53">
              <w:rPr>
                <w:rFonts w:ascii="Times New Roman" w:hAnsi="Times New Roman"/>
                <w:spacing w:val="-2"/>
              </w:rPr>
              <w:t>sądy powszechne, administracyjne</w:t>
            </w:r>
            <w:r>
              <w:rPr>
                <w:rFonts w:ascii="Times New Roman" w:hAnsi="Times New Roman"/>
                <w:spacing w:val="-2"/>
              </w:rPr>
              <w:t xml:space="preserve"> lub wojskowe</w:t>
            </w:r>
            <w:r w:rsidDel="00BD6F53">
              <w:rPr>
                <w:rFonts w:ascii="Times New Roman" w:eastAsia="Times New Roman" w:hAnsi="Times New Roman" w:cs="Times New Roman"/>
                <w:color w:val="000000"/>
                <w:sz w:val="22"/>
                <w:szCs w:val="22"/>
              </w:rPr>
              <w:t xml:space="preserve"> </w:t>
            </w:r>
          </w:p>
        </w:tc>
        <w:tc>
          <w:tcPr>
            <w:tcW w:w="3687" w:type="dxa"/>
            <w:gridSpan w:val="15"/>
            <w:shd w:val="clear" w:color="auto" w:fill="FFFFFF"/>
          </w:tcPr>
          <w:p w14:paraId="73E6EAA8" w14:textId="77777777" w:rsidR="00EC4C5C" w:rsidRDefault="00EC4C5C">
            <w:pPr>
              <w:pBdr>
                <w:top w:val="nil"/>
                <w:left w:val="nil"/>
                <w:bottom w:val="nil"/>
                <w:right w:val="nil"/>
                <w:between w:val="nil"/>
              </w:pBdr>
              <w:rPr>
                <w:rFonts w:ascii="Times New Roman" w:eastAsia="Times New Roman" w:hAnsi="Times New Roman" w:cs="Times New Roman"/>
                <w:color w:val="000000"/>
                <w:sz w:val="22"/>
                <w:szCs w:val="22"/>
              </w:rPr>
            </w:pPr>
          </w:p>
          <w:p w14:paraId="7CC52FFB" w14:textId="77777777" w:rsidR="007F4EE3" w:rsidRDefault="007F4EE3" w:rsidP="007F4EE3">
            <w:pPr>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2"/>
              </w:rPr>
              <w:t>demografia</w:t>
            </w:r>
          </w:p>
          <w:p w14:paraId="33CEAFA3" w14:textId="77777777" w:rsidR="007F4EE3" w:rsidRDefault="007F4EE3" w:rsidP="007F4EE3">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mienie państwowe</w:t>
            </w:r>
          </w:p>
          <w:p w14:paraId="1B34D902" w14:textId="77777777" w:rsidR="00EC4C5C" w:rsidRDefault="007F4EE3" w:rsidP="00DD12B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2"/>
              </w:rPr>
              <w:t xml:space="preserve">inne: </w:t>
            </w:r>
          </w:p>
        </w:tc>
        <w:tc>
          <w:tcPr>
            <w:tcW w:w="3713" w:type="dxa"/>
            <w:gridSpan w:val="9"/>
            <w:shd w:val="clear" w:color="auto" w:fill="FFFFFF"/>
          </w:tcPr>
          <w:p w14:paraId="5575DE91" w14:textId="77777777" w:rsidR="00EC4C5C" w:rsidRDefault="00EC4C5C">
            <w:pPr>
              <w:pBdr>
                <w:top w:val="nil"/>
                <w:left w:val="nil"/>
                <w:bottom w:val="nil"/>
                <w:right w:val="nil"/>
                <w:between w:val="nil"/>
              </w:pBdr>
              <w:rPr>
                <w:rFonts w:ascii="Times New Roman" w:eastAsia="Times New Roman" w:hAnsi="Times New Roman" w:cs="Times New Roman"/>
                <w:color w:val="000000"/>
                <w:sz w:val="22"/>
                <w:szCs w:val="22"/>
              </w:rPr>
            </w:pPr>
          </w:p>
          <w:p w14:paraId="25E84D66" w14:textId="77777777" w:rsidR="007F4EE3" w:rsidRDefault="007F4EE3" w:rsidP="007F4EE3">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2"/>
              </w:rPr>
              <w:t>informatyzacja</w:t>
            </w:r>
          </w:p>
          <w:p w14:paraId="5BEE0B09" w14:textId="77777777" w:rsidR="00EC4C5C" w:rsidRDefault="007F4EE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74899">
              <w:rPr>
                <w:rFonts w:ascii="Times New Roman" w:hAnsi="Times New Roman"/>
                <w:color w:val="000000"/>
              </w:rPr>
            </w:r>
            <w:r w:rsidR="00D7489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2"/>
              </w:rPr>
              <w:t>zdrowie</w:t>
            </w:r>
          </w:p>
        </w:tc>
      </w:tr>
      <w:tr w:rsidR="00EC4C5C" w14:paraId="697FAE98" w14:textId="77777777" w:rsidTr="000A0DBF">
        <w:trPr>
          <w:trHeight w:val="712"/>
        </w:trPr>
        <w:tc>
          <w:tcPr>
            <w:tcW w:w="2243" w:type="dxa"/>
            <w:gridSpan w:val="2"/>
            <w:shd w:val="clear" w:color="auto" w:fill="FFFFFF"/>
            <w:vAlign w:val="center"/>
          </w:tcPr>
          <w:p w14:paraId="2B587347" w14:textId="77777777" w:rsidR="00EC4C5C" w:rsidRDefault="00515863" w:rsidP="00FE2ECE">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Omówienie wpływu</w:t>
            </w:r>
          </w:p>
        </w:tc>
        <w:tc>
          <w:tcPr>
            <w:tcW w:w="8704" w:type="dxa"/>
            <w:gridSpan w:val="27"/>
            <w:shd w:val="clear" w:color="auto" w:fill="FFFFFF"/>
            <w:vAlign w:val="center"/>
          </w:tcPr>
          <w:p w14:paraId="7B4B3172" w14:textId="7D5CB7DC" w:rsidR="00EC4C5C" w:rsidRDefault="00515863" w:rsidP="00FE2ECE">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obszarze sytuacji i rozwoju regionalnego </w:t>
            </w:r>
            <w:r w:rsidR="00007CEF">
              <w:rPr>
                <w:rFonts w:ascii="Times New Roman" w:eastAsia="Times New Roman" w:hAnsi="Times New Roman" w:cs="Times New Roman"/>
                <w:sz w:val="22"/>
                <w:szCs w:val="22"/>
              </w:rPr>
              <w:t xml:space="preserve">projektowana </w:t>
            </w:r>
            <w:r>
              <w:rPr>
                <w:rFonts w:ascii="Times New Roman" w:eastAsia="Times New Roman" w:hAnsi="Times New Roman" w:cs="Times New Roman"/>
                <w:sz w:val="22"/>
                <w:szCs w:val="22"/>
              </w:rPr>
              <w:t>ustawa wpłynie na podniesienie poziomu jakości funkcjonowania i usług podmiotów prywatnych i publicznych będących producentami i</w:t>
            </w:r>
            <w:r w:rsidR="00CF3DC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usługodawcami objętymi regulacją, a przez to </w:t>
            </w:r>
            <w:r w:rsidR="00C72D79">
              <w:rPr>
                <w:rFonts w:ascii="Times New Roman" w:eastAsia="Times New Roman" w:hAnsi="Times New Roman" w:cs="Times New Roman"/>
                <w:sz w:val="22"/>
                <w:szCs w:val="22"/>
              </w:rPr>
              <w:t xml:space="preserve">− </w:t>
            </w:r>
            <w:r w:rsidR="002D1A40">
              <w:rPr>
                <w:rFonts w:ascii="Times New Roman" w:eastAsia="Times New Roman" w:hAnsi="Times New Roman" w:cs="Times New Roman"/>
                <w:sz w:val="22"/>
                <w:szCs w:val="22"/>
              </w:rPr>
              <w:t xml:space="preserve">na </w:t>
            </w:r>
            <w:r>
              <w:rPr>
                <w:rFonts w:ascii="Times New Roman" w:eastAsia="Times New Roman" w:hAnsi="Times New Roman" w:cs="Times New Roman"/>
                <w:sz w:val="22"/>
                <w:szCs w:val="22"/>
              </w:rPr>
              <w:t>wzrost ich konkurencyjności na rynku.</w:t>
            </w:r>
          </w:p>
          <w:p w14:paraId="0EB4EDA2" w14:textId="77777777" w:rsidR="00EC4C5C" w:rsidRDefault="00AC391B"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AC391B">
              <w:rPr>
                <w:rFonts w:ascii="Times New Roman" w:eastAsia="Times New Roman" w:hAnsi="Times New Roman" w:cs="Times New Roman"/>
                <w:sz w:val="22"/>
                <w:szCs w:val="22"/>
              </w:rPr>
              <w:t xml:space="preserve">W obszarze </w:t>
            </w:r>
            <w:r>
              <w:rPr>
                <w:rFonts w:ascii="Times New Roman" w:eastAsia="Times New Roman" w:hAnsi="Times New Roman" w:cs="Times New Roman"/>
                <w:sz w:val="22"/>
                <w:szCs w:val="22"/>
              </w:rPr>
              <w:t>informatyzacji</w:t>
            </w:r>
            <w:r w:rsidRPr="00AC391B">
              <w:rPr>
                <w:rFonts w:ascii="Times New Roman" w:eastAsia="Times New Roman" w:hAnsi="Times New Roman" w:cs="Times New Roman"/>
                <w:sz w:val="22"/>
                <w:szCs w:val="22"/>
              </w:rPr>
              <w:t xml:space="preserve"> </w:t>
            </w:r>
            <w:r w:rsidR="00ED6756">
              <w:rPr>
                <w:rFonts w:ascii="Times New Roman" w:eastAsia="Times New Roman" w:hAnsi="Times New Roman" w:cs="Times New Roman"/>
                <w:sz w:val="22"/>
                <w:szCs w:val="22"/>
              </w:rPr>
              <w:t xml:space="preserve">wpływ projektowanej ustawy </w:t>
            </w:r>
            <w:r>
              <w:rPr>
                <w:rFonts w:ascii="Times New Roman" w:eastAsia="Times New Roman" w:hAnsi="Times New Roman" w:cs="Times New Roman"/>
                <w:sz w:val="22"/>
                <w:szCs w:val="22"/>
              </w:rPr>
              <w:t xml:space="preserve">będzie </w:t>
            </w:r>
            <w:r w:rsidR="00ED6756">
              <w:rPr>
                <w:rFonts w:ascii="Times New Roman" w:eastAsia="Times New Roman" w:hAnsi="Times New Roman" w:cs="Times New Roman"/>
                <w:sz w:val="22"/>
                <w:szCs w:val="22"/>
              </w:rPr>
              <w:t>odnosił się do</w:t>
            </w:r>
            <w:r w:rsidR="00A65BA5">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dostosowani</w:t>
            </w:r>
            <w:r w:rsidR="00ED6756">
              <w:rPr>
                <w:rFonts w:ascii="Times New Roman" w:eastAsia="Times New Roman" w:hAnsi="Times New Roman" w:cs="Times New Roman"/>
                <w:sz w:val="22"/>
                <w:szCs w:val="22"/>
              </w:rPr>
              <w:t>a</w:t>
            </w:r>
            <w:r w:rsidR="00F1728A">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 xml:space="preserve">wyposażenia </w:t>
            </w:r>
            <w:r w:rsidR="008A3EC2">
              <w:rPr>
                <w:rFonts w:ascii="Times New Roman" w:eastAsia="Times New Roman" w:hAnsi="Times New Roman" w:cs="Times New Roman"/>
                <w:sz w:val="22"/>
                <w:szCs w:val="22"/>
              </w:rPr>
              <w:t xml:space="preserve">i </w:t>
            </w:r>
            <w:r w:rsidR="00515863">
              <w:rPr>
                <w:rFonts w:ascii="Times New Roman" w:eastAsia="Times New Roman" w:hAnsi="Times New Roman" w:cs="Times New Roman"/>
                <w:sz w:val="22"/>
                <w:szCs w:val="22"/>
              </w:rPr>
              <w:t>możliwości skorzystania z treści publikowanych w dowolnej formie i formacie.</w:t>
            </w:r>
          </w:p>
          <w:p w14:paraId="4E0D2635" w14:textId="0954E3BA" w:rsidR="00F936B6" w:rsidRPr="00FE2ECE" w:rsidRDefault="00F936B6" w:rsidP="00A05EC1">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obszarze zdrowia </w:t>
            </w:r>
            <w:r w:rsidR="00C72D79">
              <w:rPr>
                <w:rFonts w:ascii="Times New Roman" w:eastAsia="Times New Roman" w:hAnsi="Times New Roman" w:cs="Times New Roman"/>
                <w:sz w:val="22"/>
                <w:szCs w:val="22"/>
              </w:rPr>
              <w:t xml:space="preserve">projektowana </w:t>
            </w:r>
            <w:r>
              <w:rPr>
                <w:rFonts w:ascii="Times New Roman" w:eastAsia="Times New Roman" w:hAnsi="Times New Roman" w:cs="Times New Roman"/>
                <w:sz w:val="22"/>
                <w:szCs w:val="22"/>
              </w:rPr>
              <w:t>ustawa wpłynie na sytuację grupy osób z</w:t>
            </w:r>
            <w:r w:rsidR="00A05EC1">
              <w:rPr>
                <w:rFonts w:ascii="Times New Roman" w:eastAsia="Times New Roman" w:hAnsi="Times New Roman" w:cs="Times New Roman"/>
                <w:sz w:val="22"/>
                <w:szCs w:val="22"/>
              </w:rPr>
              <w:t> </w:t>
            </w:r>
            <w:r>
              <w:rPr>
                <w:rFonts w:ascii="Times New Roman" w:eastAsia="Times New Roman" w:hAnsi="Times New Roman" w:cs="Times New Roman"/>
                <w:sz w:val="22"/>
                <w:szCs w:val="22"/>
              </w:rPr>
              <w:t>niepełnosprawności</w:t>
            </w:r>
            <w:r w:rsidR="005C05A6">
              <w:rPr>
                <w:rFonts w:ascii="Times New Roman" w:eastAsia="Times New Roman" w:hAnsi="Times New Roman" w:cs="Times New Roman"/>
                <w:sz w:val="22"/>
                <w:szCs w:val="22"/>
              </w:rPr>
              <w:t>ami</w:t>
            </w:r>
            <w:r>
              <w:rPr>
                <w:rFonts w:ascii="Times New Roman" w:eastAsia="Times New Roman" w:hAnsi="Times New Roman" w:cs="Times New Roman"/>
                <w:sz w:val="22"/>
                <w:szCs w:val="22"/>
              </w:rPr>
              <w:t xml:space="preserve">, która będzie miała ułatwiony dostęp do produktów i usług objętych zakresem </w:t>
            </w:r>
            <w:r w:rsidR="003B63A5">
              <w:rPr>
                <w:rFonts w:ascii="Times New Roman" w:eastAsia="Times New Roman" w:hAnsi="Times New Roman" w:cs="Times New Roman"/>
                <w:sz w:val="22"/>
                <w:szCs w:val="22"/>
              </w:rPr>
              <w:t xml:space="preserve">tej </w:t>
            </w:r>
            <w:r>
              <w:rPr>
                <w:rFonts w:ascii="Times New Roman" w:eastAsia="Times New Roman" w:hAnsi="Times New Roman" w:cs="Times New Roman"/>
                <w:sz w:val="22"/>
                <w:szCs w:val="22"/>
              </w:rPr>
              <w:t xml:space="preserve">ustawy. </w:t>
            </w:r>
          </w:p>
        </w:tc>
      </w:tr>
      <w:tr w:rsidR="00EC4C5C" w14:paraId="30E32F57" w14:textId="77777777" w:rsidTr="000A0DBF">
        <w:trPr>
          <w:trHeight w:val="142"/>
        </w:trPr>
        <w:tc>
          <w:tcPr>
            <w:tcW w:w="10947" w:type="dxa"/>
            <w:gridSpan w:val="29"/>
            <w:shd w:val="clear" w:color="auto" w:fill="99CCFF"/>
          </w:tcPr>
          <w:p w14:paraId="6259FA46" w14:textId="77777777" w:rsidR="00EC4C5C" w:rsidRDefault="00404A70"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1"/>
                <w:szCs w:val="21"/>
              </w:rPr>
              <w:t xml:space="preserve">11. </w:t>
            </w:r>
            <w:r w:rsidR="00515863">
              <w:rPr>
                <w:rFonts w:ascii="Times New Roman" w:eastAsia="Times New Roman" w:hAnsi="Times New Roman" w:cs="Times New Roman"/>
                <w:b/>
                <w:color w:val="000000"/>
                <w:sz w:val="21"/>
                <w:szCs w:val="21"/>
              </w:rPr>
              <w:t>Planowane wykonanie przepisów aktu prawnego</w:t>
            </w:r>
          </w:p>
        </w:tc>
      </w:tr>
      <w:tr w:rsidR="00EC4C5C" w14:paraId="756A6631" w14:textId="77777777" w:rsidTr="000A0DBF">
        <w:trPr>
          <w:trHeight w:val="142"/>
        </w:trPr>
        <w:tc>
          <w:tcPr>
            <w:tcW w:w="10947" w:type="dxa"/>
            <w:gridSpan w:val="29"/>
            <w:shd w:val="clear" w:color="auto" w:fill="FFFFFF"/>
          </w:tcPr>
          <w:p w14:paraId="169BE344" w14:textId="12D4EDC1" w:rsidR="00EC4C5C" w:rsidRDefault="00D711C2" w:rsidP="00BE0553">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Wdrożenie przepisów dyrektywy </w:t>
            </w:r>
            <w:r w:rsidR="00646549">
              <w:rPr>
                <w:rFonts w:ascii="Times New Roman" w:eastAsia="Times New Roman" w:hAnsi="Times New Roman" w:cs="Times New Roman"/>
                <w:color w:val="000000"/>
                <w:sz w:val="22"/>
                <w:szCs w:val="22"/>
              </w:rPr>
              <w:t xml:space="preserve">2019/882 </w:t>
            </w:r>
            <w:r>
              <w:rPr>
                <w:rFonts w:ascii="Times New Roman" w:eastAsia="Times New Roman" w:hAnsi="Times New Roman" w:cs="Times New Roman"/>
                <w:color w:val="000000"/>
                <w:sz w:val="22"/>
                <w:szCs w:val="22"/>
              </w:rPr>
              <w:t xml:space="preserve">do polskiego porządku prawnego </w:t>
            </w:r>
            <w:r w:rsidR="001F0615">
              <w:rPr>
                <w:rFonts w:ascii="Times New Roman" w:eastAsia="Times New Roman" w:hAnsi="Times New Roman" w:cs="Times New Roman"/>
                <w:color w:val="000000"/>
                <w:sz w:val="22"/>
                <w:szCs w:val="22"/>
              </w:rPr>
              <w:t>powinno</w:t>
            </w:r>
            <w:r>
              <w:rPr>
                <w:rFonts w:ascii="Times New Roman" w:eastAsia="Times New Roman" w:hAnsi="Times New Roman" w:cs="Times New Roman"/>
                <w:color w:val="000000"/>
                <w:sz w:val="22"/>
                <w:szCs w:val="22"/>
              </w:rPr>
              <w:t xml:space="preserve"> nastąpić do </w:t>
            </w:r>
            <w:r w:rsidR="00646549">
              <w:rPr>
                <w:rFonts w:ascii="Times New Roman" w:eastAsia="Times New Roman" w:hAnsi="Times New Roman" w:cs="Times New Roman"/>
                <w:color w:val="000000"/>
                <w:sz w:val="22"/>
                <w:szCs w:val="22"/>
              </w:rPr>
              <w:t xml:space="preserve">dnia </w:t>
            </w:r>
            <w:r>
              <w:rPr>
                <w:rFonts w:ascii="Times New Roman" w:eastAsia="Times New Roman" w:hAnsi="Times New Roman" w:cs="Times New Roman"/>
                <w:color w:val="000000"/>
                <w:sz w:val="22"/>
                <w:szCs w:val="22"/>
              </w:rPr>
              <w:t>28 czerwca 2022</w:t>
            </w:r>
            <w:r w:rsidR="00BE0553">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r.</w:t>
            </w:r>
            <w:r w:rsidR="002D723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5F3A29">
              <w:rPr>
                <w:rFonts w:ascii="Times New Roman" w:eastAsia="Times New Roman" w:hAnsi="Times New Roman" w:cs="Times New Roman"/>
                <w:color w:val="000000"/>
                <w:sz w:val="22"/>
                <w:szCs w:val="22"/>
              </w:rPr>
              <w:t xml:space="preserve">natomiast </w:t>
            </w:r>
            <w:r w:rsidR="00646549">
              <w:rPr>
                <w:rFonts w:ascii="Times New Roman" w:eastAsia="Times New Roman" w:hAnsi="Times New Roman" w:cs="Times New Roman"/>
                <w:color w:val="000000"/>
                <w:sz w:val="22"/>
                <w:szCs w:val="22"/>
              </w:rPr>
              <w:t xml:space="preserve">projektowana </w:t>
            </w:r>
            <w:r w:rsidR="005F3A29">
              <w:rPr>
                <w:rFonts w:ascii="Times New Roman" w:eastAsia="Times New Roman" w:hAnsi="Times New Roman" w:cs="Times New Roman"/>
                <w:color w:val="000000"/>
                <w:sz w:val="22"/>
                <w:szCs w:val="22"/>
              </w:rPr>
              <w:t>ustawa</w:t>
            </w:r>
            <w:r w:rsidR="001F0615">
              <w:rPr>
                <w:rFonts w:ascii="Times New Roman" w:eastAsia="Times New Roman" w:hAnsi="Times New Roman" w:cs="Times New Roman"/>
                <w:color w:val="000000"/>
                <w:sz w:val="22"/>
                <w:szCs w:val="22"/>
              </w:rPr>
              <w:t xml:space="preserve"> wejdzie w życie </w:t>
            </w:r>
            <w:r w:rsidR="00646549">
              <w:rPr>
                <w:rFonts w:ascii="Times New Roman" w:eastAsia="Times New Roman" w:hAnsi="Times New Roman" w:cs="Times New Roman"/>
                <w:color w:val="000000"/>
                <w:sz w:val="22"/>
                <w:szCs w:val="22"/>
              </w:rPr>
              <w:t xml:space="preserve">z dniem </w:t>
            </w:r>
            <w:r>
              <w:rPr>
                <w:rFonts w:ascii="Times New Roman" w:eastAsia="Times New Roman" w:hAnsi="Times New Roman" w:cs="Times New Roman"/>
                <w:color w:val="000000"/>
                <w:sz w:val="22"/>
                <w:szCs w:val="22"/>
              </w:rPr>
              <w:t>28 czerwca 2025 r.</w:t>
            </w:r>
          </w:p>
        </w:tc>
      </w:tr>
      <w:tr w:rsidR="00EC4C5C" w14:paraId="4B67E7FE" w14:textId="77777777" w:rsidTr="000A0DBF">
        <w:trPr>
          <w:trHeight w:val="142"/>
        </w:trPr>
        <w:tc>
          <w:tcPr>
            <w:tcW w:w="10947" w:type="dxa"/>
            <w:gridSpan w:val="29"/>
            <w:shd w:val="clear" w:color="auto" w:fill="99CCFF"/>
          </w:tcPr>
          <w:p w14:paraId="0DDF5260" w14:textId="77777777" w:rsidR="00EC4C5C" w:rsidRDefault="00404A70"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12. </w:t>
            </w:r>
            <w:r w:rsidR="00515863">
              <w:rPr>
                <w:rFonts w:ascii="Times New Roman" w:eastAsia="Times New Roman" w:hAnsi="Times New Roman" w:cs="Times New Roman"/>
                <w:b/>
                <w:color w:val="000000"/>
                <w:sz w:val="21"/>
                <w:szCs w:val="21"/>
              </w:rPr>
              <w:t>W jaki sposób i kiedy nastąpi ewaluacja efektów projektu oraz jakie mierniki zostaną zastosowane?</w:t>
            </w:r>
          </w:p>
        </w:tc>
      </w:tr>
      <w:tr w:rsidR="00EC4C5C" w14:paraId="12DD216E" w14:textId="77777777" w:rsidTr="000A0DBF">
        <w:trPr>
          <w:trHeight w:val="142"/>
        </w:trPr>
        <w:tc>
          <w:tcPr>
            <w:tcW w:w="10947" w:type="dxa"/>
            <w:gridSpan w:val="29"/>
            <w:shd w:val="clear" w:color="auto" w:fill="FFFFFF"/>
          </w:tcPr>
          <w:p w14:paraId="6C3BE12C" w14:textId="0A58EFA6" w:rsidR="00EC4C5C" w:rsidRDefault="00515863" w:rsidP="00FE2ECE">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Projektowana ustawa zawiera rozwiązania zapewniające stały monitoring, w tym również zapewnienie przekazywania</w:t>
            </w:r>
            <w:r w:rsidR="008928B6">
              <w:rPr>
                <w:rFonts w:ascii="Times New Roman" w:eastAsia="Times New Roman" w:hAnsi="Times New Roman" w:cs="Times New Roman"/>
                <w:sz w:val="22"/>
                <w:szCs w:val="22"/>
              </w:rPr>
              <w:t xml:space="preserve"> </w:t>
            </w:r>
            <w:r w:rsidR="00904A70">
              <w:rPr>
                <w:rFonts w:ascii="Times New Roman" w:eastAsia="Times New Roman" w:hAnsi="Times New Roman" w:cs="Times New Roman"/>
                <w:sz w:val="22"/>
                <w:szCs w:val="22"/>
              </w:rPr>
              <w:br/>
            </w:r>
            <w:r>
              <w:rPr>
                <w:rFonts w:ascii="Times New Roman" w:eastAsia="Times New Roman" w:hAnsi="Times New Roman" w:cs="Times New Roman"/>
                <w:sz w:val="22"/>
                <w:szCs w:val="22"/>
              </w:rPr>
              <w:t>i</w:t>
            </w:r>
            <w:r w:rsidR="00904A7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koordynacji informacji sprawozdawczej</w:t>
            </w:r>
            <w:r w:rsidR="0064654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 zakresie realizowania działań wpisujących się w zapewnianie dostępności produktów i usług. </w:t>
            </w:r>
            <w:r w:rsidR="003C56B8">
              <w:rPr>
                <w:rFonts w:ascii="Times New Roman" w:eastAsia="Times New Roman" w:hAnsi="Times New Roman" w:cs="Times New Roman"/>
                <w:sz w:val="22"/>
                <w:szCs w:val="22"/>
              </w:rPr>
              <w:t xml:space="preserve">Organ </w:t>
            </w:r>
            <w:r>
              <w:rPr>
                <w:rFonts w:ascii="Times New Roman" w:eastAsia="Times New Roman" w:hAnsi="Times New Roman" w:cs="Times New Roman"/>
                <w:sz w:val="22"/>
                <w:szCs w:val="22"/>
              </w:rPr>
              <w:t xml:space="preserve">monitorujący funkcjonowanie systemu nadzoru rynku w </w:t>
            </w:r>
            <w:r w:rsidR="009E5813">
              <w:rPr>
                <w:rFonts w:ascii="Times New Roman" w:eastAsia="Times New Roman" w:hAnsi="Times New Roman" w:cs="Times New Roman"/>
                <w:sz w:val="22"/>
                <w:szCs w:val="22"/>
              </w:rPr>
              <w:t>zakresie zapewniania spełniania wym</w:t>
            </w:r>
            <w:r w:rsidR="00493908">
              <w:rPr>
                <w:rFonts w:ascii="Times New Roman" w:eastAsia="Times New Roman" w:hAnsi="Times New Roman" w:cs="Times New Roman"/>
                <w:sz w:val="22"/>
                <w:szCs w:val="22"/>
              </w:rPr>
              <w:t xml:space="preserve">agań </w:t>
            </w:r>
            <w:r w:rsidR="009E5813">
              <w:rPr>
                <w:rFonts w:ascii="Times New Roman" w:eastAsia="Times New Roman" w:hAnsi="Times New Roman" w:cs="Times New Roman"/>
                <w:sz w:val="22"/>
                <w:szCs w:val="22"/>
              </w:rPr>
              <w:t xml:space="preserve">dostępności </w:t>
            </w:r>
            <w:r>
              <w:rPr>
                <w:rFonts w:ascii="Times New Roman" w:eastAsia="Times New Roman" w:hAnsi="Times New Roman" w:cs="Times New Roman"/>
                <w:sz w:val="22"/>
                <w:szCs w:val="22"/>
              </w:rPr>
              <w:t>produktów</w:t>
            </w:r>
            <w:r w:rsidR="00456019">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 xml:space="preserve"> </w:t>
            </w:r>
            <w:r w:rsidR="005F3A29">
              <w:rPr>
                <w:rFonts w:ascii="Times New Roman" w:eastAsia="Times New Roman" w:hAnsi="Times New Roman" w:cs="Times New Roman"/>
                <w:sz w:val="22"/>
                <w:szCs w:val="22"/>
              </w:rPr>
              <w:t>usług</w:t>
            </w:r>
            <w:r>
              <w:rPr>
                <w:rFonts w:ascii="Times New Roman" w:eastAsia="Times New Roman" w:hAnsi="Times New Roman" w:cs="Times New Roman"/>
                <w:sz w:val="22"/>
                <w:szCs w:val="22"/>
              </w:rPr>
              <w:t xml:space="preserve"> określonych w </w:t>
            </w:r>
            <w:r w:rsidR="00475F5D">
              <w:rPr>
                <w:rFonts w:ascii="Times New Roman" w:eastAsia="Times New Roman" w:hAnsi="Times New Roman" w:cs="Times New Roman"/>
                <w:sz w:val="22"/>
                <w:szCs w:val="22"/>
              </w:rPr>
              <w:t xml:space="preserve">projektowanej </w:t>
            </w:r>
            <w:r>
              <w:rPr>
                <w:rFonts w:ascii="Times New Roman" w:eastAsia="Times New Roman" w:hAnsi="Times New Roman" w:cs="Times New Roman"/>
                <w:sz w:val="22"/>
                <w:szCs w:val="22"/>
              </w:rPr>
              <w:t>ustawie:</w:t>
            </w:r>
          </w:p>
          <w:p w14:paraId="503A5663" w14:textId="77777777" w:rsidR="00920315" w:rsidRPr="00920315" w:rsidRDefault="00920315" w:rsidP="00920315">
            <w:pPr>
              <w:pStyle w:val="Akapitzlist"/>
              <w:numPr>
                <w:ilvl w:val="0"/>
                <w:numId w:val="3"/>
              </w:numPr>
              <w:spacing w:before="120" w:after="120"/>
              <w:jc w:val="both"/>
              <w:rPr>
                <w:rFonts w:ascii="Times New Roman" w:eastAsia="Times New Roman" w:hAnsi="Times New Roman" w:cs="Times New Roman"/>
                <w:sz w:val="22"/>
                <w:szCs w:val="22"/>
              </w:rPr>
            </w:pPr>
            <w:r w:rsidRPr="00920315">
              <w:rPr>
                <w:rFonts w:ascii="Times New Roman" w:eastAsia="Times New Roman" w:hAnsi="Times New Roman" w:cs="Times New Roman"/>
                <w:sz w:val="22"/>
                <w:szCs w:val="22"/>
              </w:rPr>
              <w:t>monitoruje funkcjonowanie systemu nadzoru rynku przez żądanie od organów nadzoru rynku i organów celnych informacji, w tym danych statystycznych, dotyczących działań podjętych w zakresie nadzoru rynku;</w:t>
            </w:r>
          </w:p>
          <w:p w14:paraId="6910E21D" w14:textId="67B348B2" w:rsidR="00920315" w:rsidRPr="00920315" w:rsidRDefault="00920315" w:rsidP="00920315">
            <w:pPr>
              <w:pStyle w:val="Akapitzlist"/>
              <w:numPr>
                <w:ilvl w:val="0"/>
                <w:numId w:val="3"/>
              </w:numPr>
              <w:spacing w:before="120" w:after="120"/>
              <w:jc w:val="both"/>
              <w:rPr>
                <w:rFonts w:ascii="Times New Roman" w:eastAsia="Times New Roman" w:hAnsi="Times New Roman" w:cs="Times New Roman"/>
                <w:sz w:val="22"/>
                <w:szCs w:val="22"/>
              </w:rPr>
            </w:pPr>
            <w:r w:rsidRPr="00920315">
              <w:rPr>
                <w:rFonts w:ascii="Times New Roman" w:eastAsia="Times New Roman" w:hAnsi="Times New Roman" w:cs="Times New Roman"/>
                <w:sz w:val="22"/>
                <w:szCs w:val="22"/>
              </w:rPr>
              <w:t>sprawuje nadzór nad stosowaniem przepisów</w:t>
            </w:r>
            <w:r w:rsidR="003B63A5">
              <w:rPr>
                <w:rFonts w:ascii="Times New Roman" w:eastAsia="Times New Roman" w:hAnsi="Times New Roman" w:cs="Times New Roman"/>
                <w:sz w:val="22"/>
                <w:szCs w:val="22"/>
              </w:rPr>
              <w:t xml:space="preserve"> </w:t>
            </w:r>
            <w:r w:rsidR="003B63A5">
              <w:rPr>
                <w:rFonts w:ascii="Times New Roman" w:hAnsi="Times New Roman" w:cs="Times New Roman"/>
                <w:sz w:val="22"/>
                <w:szCs w:val="22"/>
              </w:rPr>
              <w:t>projektowanej</w:t>
            </w:r>
            <w:r w:rsidRPr="00920315">
              <w:rPr>
                <w:rFonts w:ascii="Times New Roman" w:eastAsia="Times New Roman" w:hAnsi="Times New Roman" w:cs="Times New Roman"/>
                <w:sz w:val="22"/>
                <w:szCs w:val="22"/>
              </w:rPr>
              <w:t xml:space="preserve"> ustawy przez organy nadzoru rynku przez:</w:t>
            </w:r>
          </w:p>
          <w:p w14:paraId="47BF5DAF" w14:textId="77777777" w:rsidR="00920315" w:rsidRPr="00920315" w:rsidRDefault="00920315" w:rsidP="00BE0553">
            <w:pPr>
              <w:pStyle w:val="Akapitzlist"/>
              <w:numPr>
                <w:ilvl w:val="0"/>
                <w:numId w:val="41"/>
              </w:numPr>
              <w:spacing w:before="120" w:after="120"/>
              <w:ind w:left="1054"/>
              <w:jc w:val="both"/>
              <w:rPr>
                <w:rFonts w:ascii="Times New Roman" w:eastAsia="Times New Roman" w:hAnsi="Times New Roman" w:cs="Times New Roman"/>
                <w:sz w:val="22"/>
                <w:szCs w:val="22"/>
              </w:rPr>
            </w:pPr>
            <w:r w:rsidRPr="00920315">
              <w:rPr>
                <w:rFonts w:ascii="Times New Roman" w:eastAsia="Times New Roman" w:hAnsi="Times New Roman" w:cs="Times New Roman"/>
                <w:sz w:val="22"/>
                <w:szCs w:val="22"/>
              </w:rPr>
              <w:t xml:space="preserve">żądanie informacji i danych od organów nadzoru rynku dotyczących organizacji i funkcjonowania systemu nadzoru rynku, niezbędnych do wykonywania uprawnień nadzorczych, </w:t>
            </w:r>
          </w:p>
          <w:p w14:paraId="1379D2AD" w14:textId="77777777" w:rsidR="00837010" w:rsidRDefault="00920315" w:rsidP="00BE0553">
            <w:pPr>
              <w:pStyle w:val="Akapitzlist"/>
              <w:numPr>
                <w:ilvl w:val="0"/>
                <w:numId w:val="41"/>
              </w:numPr>
              <w:spacing w:before="120" w:after="120"/>
              <w:ind w:left="1054"/>
              <w:jc w:val="both"/>
              <w:rPr>
                <w:rFonts w:ascii="Times New Roman" w:eastAsia="Times New Roman" w:hAnsi="Times New Roman" w:cs="Times New Roman"/>
                <w:sz w:val="22"/>
                <w:szCs w:val="22"/>
              </w:rPr>
            </w:pPr>
            <w:r w:rsidRPr="00920315">
              <w:rPr>
                <w:rFonts w:ascii="Times New Roman" w:eastAsia="Times New Roman" w:hAnsi="Times New Roman" w:cs="Times New Roman"/>
                <w:sz w:val="22"/>
                <w:szCs w:val="22"/>
              </w:rPr>
              <w:t xml:space="preserve">występowanie z wnioskami dotyczącymi realizowania ich zadań w ramach systemu nadzoru rynku; </w:t>
            </w:r>
          </w:p>
          <w:p w14:paraId="4393F0FE" w14:textId="416CD467" w:rsidR="003C56B8" w:rsidRPr="003C56B8" w:rsidRDefault="003C56B8" w:rsidP="00837010">
            <w:pPr>
              <w:pStyle w:val="Akapitzlist"/>
              <w:numPr>
                <w:ilvl w:val="0"/>
                <w:numId w:val="3"/>
              </w:numPr>
              <w:spacing w:before="120" w:after="120"/>
              <w:jc w:val="both"/>
              <w:rPr>
                <w:rFonts w:ascii="Times New Roman" w:eastAsia="Times New Roman" w:hAnsi="Times New Roman" w:cs="Times New Roman"/>
                <w:sz w:val="22"/>
                <w:szCs w:val="22"/>
              </w:rPr>
            </w:pPr>
            <w:r w:rsidRPr="003C56B8">
              <w:rPr>
                <w:rFonts w:ascii="Times New Roman" w:eastAsia="Times New Roman" w:hAnsi="Times New Roman" w:cs="Times New Roman"/>
                <w:sz w:val="22"/>
                <w:szCs w:val="22"/>
              </w:rPr>
              <w:t>podaje do publicznej wiadomości i przekazuje Komisji Europejskiej informacje o organach nadzoru rynku</w:t>
            </w:r>
            <w:r w:rsidR="0013107F">
              <w:rPr>
                <w:rFonts w:ascii="Times New Roman" w:eastAsia="Times New Roman" w:hAnsi="Times New Roman" w:cs="Times New Roman"/>
                <w:sz w:val="22"/>
                <w:szCs w:val="22"/>
              </w:rPr>
              <w:t xml:space="preserve"> i</w:t>
            </w:r>
            <w:r w:rsidR="00A05EC1">
              <w:rPr>
                <w:rFonts w:ascii="Times New Roman" w:eastAsia="Times New Roman" w:hAnsi="Times New Roman" w:cs="Times New Roman"/>
                <w:sz w:val="22"/>
                <w:szCs w:val="22"/>
              </w:rPr>
              <w:t> </w:t>
            </w:r>
            <w:r w:rsidR="0013107F">
              <w:rPr>
                <w:rFonts w:ascii="Times New Roman" w:eastAsia="Times New Roman" w:hAnsi="Times New Roman" w:cs="Times New Roman"/>
                <w:sz w:val="22"/>
                <w:szCs w:val="22"/>
              </w:rPr>
              <w:t>organach celnych</w:t>
            </w:r>
            <w:r w:rsidRPr="003C56B8">
              <w:rPr>
                <w:rFonts w:ascii="Times New Roman" w:eastAsia="Times New Roman" w:hAnsi="Times New Roman" w:cs="Times New Roman"/>
                <w:sz w:val="22"/>
                <w:szCs w:val="22"/>
              </w:rPr>
              <w:t xml:space="preserve"> </w:t>
            </w:r>
            <w:r w:rsidR="004D0964">
              <w:rPr>
                <w:rFonts w:ascii="Times New Roman" w:eastAsia="Times New Roman" w:hAnsi="Times New Roman" w:cs="Times New Roman"/>
                <w:sz w:val="22"/>
                <w:szCs w:val="22"/>
              </w:rPr>
              <w:t>oraz</w:t>
            </w:r>
            <w:r w:rsidRPr="003C56B8">
              <w:rPr>
                <w:rFonts w:ascii="Times New Roman" w:eastAsia="Times New Roman" w:hAnsi="Times New Roman" w:cs="Times New Roman"/>
                <w:sz w:val="22"/>
                <w:szCs w:val="22"/>
              </w:rPr>
              <w:t xml:space="preserve"> ich kompetencjach;</w:t>
            </w:r>
          </w:p>
          <w:p w14:paraId="1D911851" w14:textId="1365B02F" w:rsidR="003C56B8" w:rsidRPr="003C56B8" w:rsidRDefault="003C56B8" w:rsidP="00231F84">
            <w:pPr>
              <w:pStyle w:val="Akapitzlist"/>
              <w:numPr>
                <w:ilvl w:val="0"/>
                <w:numId w:val="3"/>
              </w:numPr>
              <w:spacing w:before="120" w:after="120"/>
              <w:jc w:val="both"/>
              <w:rPr>
                <w:rFonts w:ascii="Times New Roman" w:eastAsia="Times New Roman" w:hAnsi="Times New Roman" w:cs="Times New Roman"/>
                <w:sz w:val="22"/>
                <w:szCs w:val="22"/>
              </w:rPr>
            </w:pPr>
            <w:r w:rsidRPr="003C56B8">
              <w:rPr>
                <w:rFonts w:ascii="Times New Roman" w:eastAsia="Times New Roman" w:hAnsi="Times New Roman" w:cs="Times New Roman"/>
                <w:sz w:val="22"/>
                <w:szCs w:val="22"/>
              </w:rPr>
              <w:lastRenderedPageBreak/>
              <w:t>sporządza sprawozdani</w:t>
            </w:r>
            <w:r w:rsidR="004D0964">
              <w:rPr>
                <w:rFonts w:ascii="Times New Roman" w:eastAsia="Times New Roman" w:hAnsi="Times New Roman" w:cs="Times New Roman"/>
                <w:sz w:val="22"/>
                <w:szCs w:val="22"/>
              </w:rPr>
              <w:t>e</w:t>
            </w:r>
            <w:r w:rsidRPr="003C56B8">
              <w:rPr>
                <w:rFonts w:ascii="Times New Roman" w:eastAsia="Times New Roman" w:hAnsi="Times New Roman" w:cs="Times New Roman"/>
                <w:sz w:val="22"/>
                <w:szCs w:val="22"/>
              </w:rPr>
              <w:t xml:space="preserve"> dotyczące funkcjonowania systemu kontroli produktów i usług oraz publikuje i</w:t>
            </w:r>
            <w:r w:rsidR="00A05EC1">
              <w:rPr>
                <w:rFonts w:ascii="Times New Roman" w:eastAsia="Times New Roman" w:hAnsi="Times New Roman" w:cs="Times New Roman"/>
                <w:sz w:val="22"/>
                <w:szCs w:val="22"/>
              </w:rPr>
              <w:t> </w:t>
            </w:r>
            <w:r w:rsidRPr="003C56B8">
              <w:rPr>
                <w:rFonts w:ascii="Times New Roman" w:eastAsia="Times New Roman" w:hAnsi="Times New Roman" w:cs="Times New Roman"/>
                <w:sz w:val="22"/>
                <w:szCs w:val="22"/>
              </w:rPr>
              <w:t>przekazuje je Komisji Europejskiej,</w:t>
            </w:r>
            <w:r w:rsidR="00000A0B">
              <w:rPr>
                <w:rFonts w:ascii="Times New Roman" w:eastAsia="Times New Roman" w:hAnsi="Times New Roman" w:cs="Times New Roman"/>
                <w:sz w:val="22"/>
                <w:szCs w:val="22"/>
              </w:rPr>
              <w:t xml:space="preserve"> innym</w:t>
            </w:r>
            <w:r w:rsidRPr="003C56B8">
              <w:rPr>
                <w:rFonts w:ascii="Times New Roman" w:eastAsia="Times New Roman" w:hAnsi="Times New Roman" w:cs="Times New Roman"/>
                <w:sz w:val="22"/>
                <w:szCs w:val="22"/>
              </w:rPr>
              <w:t xml:space="preserve"> państwom członkowskim Unii Europejskiej i państwom członkowskim Europejskiego Porozumienia o Wolnym Handlu (EFTA) – stronom umowy o Europejskim Obszarze Gospodarczym.</w:t>
            </w:r>
          </w:p>
          <w:p w14:paraId="625E9F4F" w14:textId="77777777" w:rsidR="00EC4C5C" w:rsidRPr="00837010" w:rsidRDefault="00515863" w:rsidP="00FE2ECE">
            <w:pPr>
              <w:spacing w:before="120" w:after="120"/>
              <w:jc w:val="both"/>
              <w:rPr>
                <w:rFonts w:ascii="Times New Roman" w:eastAsia="Times New Roman" w:hAnsi="Times New Roman" w:cs="Times New Roman"/>
                <w:sz w:val="22"/>
                <w:szCs w:val="22"/>
              </w:rPr>
            </w:pPr>
            <w:r w:rsidRPr="00837010">
              <w:rPr>
                <w:rFonts w:ascii="Times New Roman" w:eastAsia="Times New Roman" w:hAnsi="Times New Roman" w:cs="Times New Roman"/>
                <w:sz w:val="22"/>
                <w:szCs w:val="22"/>
              </w:rPr>
              <w:t>Sprawozdanie i przegląd</w:t>
            </w:r>
            <w:r w:rsidR="00B13A72">
              <w:rPr>
                <w:rFonts w:ascii="Times New Roman" w:eastAsia="Times New Roman" w:hAnsi="Times New Roman" w:cs="Times New Roman"/>
                <w:sz w:val="22"/>
                <w:szCs w:val="22"/>
              </w:rPr>
              <w:t>.</w:t>
            </w:r>
          </w:p>
          <w:p w14:paraId="63128944" w14:textId="244BBF71" w:rsidR="00A26921" w:rsidRPr="00837010" w:rsidRDefault="009E5813" w:rsidP="00A26921">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Zgodnie z </w:t>
            </w:r>
            <w:r w:rsidR="003C56B8">
              <w:rPr>
                <w:rFonts w:ascii="Times New Roman" w:eastAsia="Times New Roman" w:hAnsi="Times New Roman" w:cs="Times New Roman"/>
                <w:sz w:val="22"/>
                <w:szCs w:val="22"/>
              </w:rPr>
              <w:t>dyrektyw</w:t>
            </w:r>
            <w:r>
              <w:rPr>
                <w:rFonts w:ascii="Times New Roman" w:eastAsia="Times New Roman" w:hAnsi="Times New Roman" w:cs="Times New Roman"/>
                <w:sz w:val="22"/>
                <w:szCs w:val="22"/>
              </w:rPr>
              <w:t>ą</w:t>
            </w:r>
            <w:r w:rsidR="003C56B8">
              <w:rPr>
                <w:rFonts w:ascii="Times New Roman" w:eastAsia="Times New Roman" w:hAnsi="Times New Roman" w:cs="Times New Roman"/>
                <w:sz w:val="22"/>
                <w:szCs w:val="22"/>
              </w:rPr>
              <w:t xml:space="preserve"> </w:t>
            </w:r>
            <w:r w:rsidR="00583BC8">
              <w:rPr>
                <w:rFonts w:ascii="Times New Roman" w:eastAsia="Times New Roman" w:hAnsi="Times New Roman" w:cs="Times New Roman"/>
                <w:sz w:val="22"/>
                <w:szCs w:val="22"/>
              </w:rPr>
              <w:t>2019/882 d</w:t>
            </w:r>
            <w:r w:rsidR="00515863">
              <w:rPr>
                <w:rFonts w:ascii="Times New Roman" w:eastAsia="Times New Roman" w:hAnsi="Times New Roman" w:cs="Times New Roman"/>
                <w:sz w:val="22"/>
                <w:szCs w:val="22"/>
              </w:rPr>
              <w:t xml:space="preserve">o dnia 28 czerwca 2030 r., a następnie co </w:t>
            </w:r>
            <w:r w:rsidR="00646549">
              <w:rPr>
                <w:rFonts w:ascii="Times New Roman" w:eastAsia="Times New Roman" w:hAnsi="Times New Roman" w:cs="Times New Roman"/>
                <w:sz w:val="22"/>
                <w:szCs w:val="22"/>
              </w:rPr>
              <w:t xml:space="preserve">5 </w:t>
            </w:r>
            <w:r w:rsidR="00515863">
              <w:rPr>
                <w:rFonts w:ascii="Times New Roman" w:eastAsia="Times New Roman" w:hAnsi="Times New Roman" w:cs="Times New Roman"/>
                <w:sz w:val="22"/>
                <w:szCs w:val="22"/>
              </w:rPr>
              <w:t>lat, Komisja</w:t>
            </w:r>
            <w:r w:rsidR="00C32C78">
              <w:rPr>
                <w:rFonts w:ascii="Times New Roman" w:eastAsia="Times New Roman" w:hAnsi="Times New Roman" w:cs="Times New Roman"/>
                <w:sz w:val="22"/>
                <w:szCs w:val="22"/>
              </w:rPr>
              <w:t xml:space="preserve"> Europejska</w:t>
            </w:r>
            <w:r w:rsidR="00515863">
              <w:rPr>
                <w:rFonts w:ascii="Times New Roman" w:eastAsia="Times New Roman" w:hAnsi="Times New Roman" w:cs="Times New Roman"/>
                <w:sz w:val="22"/>
                <w:szCs w:val="22"/>
              </w:rPr>
              <w:t xml:space="preserve"> przedkłada Parlamentowi Europejskiemu, Radzie, Europejskiemu Komitetowi Ekonomiczno-Społecznemu i Komitetowi Regionów sprawozdanie ze stosowania dyrektywy</w:t>
            </w:r>
            <w:r w:rsidR="00646549">
              <w:rPr>
                <w:rFonts w:ascii="Times New Roman" w:eastAsia="Times New Roman" w:hAnsi="Times New Roman" w:cs="Times New Roman"/>
                <w:sz w:val="22"/>
                <w:szCs w:val="22"/>
              </w:rPr>
              <w:t xml:space="preserve"> </w:t>
            </w:r>
            <w:r w:rsidR="00646549">
              <w:rPr>
                <w:rFonts w:ascii="Times New Roman" w:eastAsia="Times New Roman" w:hAnsi="Times New Roman" w:cs="Times New Roman"/>
                <w:color w:val="000000"/>
                <w:sz w:val="22"/>
                <w:szCs w:val="22"/>
              </w:rPr>
              <w:t>2019/882</w:t>
            </w:r>
            <w:r w:rsidR="00515863">
              <w:rPr>
                <w:rFonts w:ascii="Times New Roman" w:eastAsia="Times New Roman" w:hAnsi="Times New Roman" w:cs="Times New Roman"/>
                <w:sz w:val="22"/>
                <w:szCs w:val="22"/>
              </w:rPr>
              <w:t>.</w:t>
            </w:r>
            <w:r w:rsidR="0013611C">
              <w:rPr>
                <w:rFonts w:ascii="Times New Roman" w:eastAsia="Times New Roman" w:hAnsi="Times New Roman" w:cs="Times New Roman"/>
                <w:sz w:val="22"/>
                <w:szCs w:val="22"/>
              </w:rPr>
              <w:t xml:space="preserve"> </w:t>
            </w:r>
            <w:r w:rsidR="00515863">
              <w:rPr>
                <w:rFonts w:ascii="Times New Roman" w:eastAsia="Times New Roman" w:hAnsi="Times New Roman" w:cs="Times New Roman"/>
                <w:sz w:val="22"/>
                <w:szCs w:val="22"/>
              </w:rPr>
              <w:t xml:space="preserve">Sprawozdania te dotyczą między innymi – w świetle rozwoju sytuacji społecznej, gospodarczej i technologicznej – zmian w </w:t>
            </w:r>
            <w:r w:rsidR="00A26921">
              <w:rPr>
                <w:rFonts w:ascii="Times New Roman" w:eastAsia="Times New Roman" w:hAnsi="Times New Roman" w:cs="Times New Roman"/>
                <w:sz w:val="22"/>
                <w:szCs w:val="22"/>
              </w:rPr>
              <w:t xml:space="preserve">poziomie </w:t>
            </w:r>
            <w:r w:rsidR="00515863">
              <w:rPr>
                <w:rFonts w:ascii="Times New Roman" w:eastAsia="Times New Roman" w:hAnsi="Times New Roman" w:cs="Times New Roman"/>
                <w:sz w:val="22"/>
                <w:szCs w:val="22"/>
              </w:rPr>
              <w:t>dostępności produktów i usług, ewentualnych blokad technologicznych lub barier dla innowacji oraz skutków dyrektywy</w:t>
            </w:r>
            <w:r>
              <w:rPr>
                <w:rFonts w:ascii="Times New Roman" w:eastAsia="Times New Roman" w:hAnsi="Times New Roman" w:cs="Times New Roman"/>
                <w:sz w:val="22"/>
                <w:szCs w:val="22"/>
              </w:rPr>
              <w:t xml:space="preserve"> 2019/882</w:t>
            </w:r>
            <w:r w:rsidR="00515863">
              <w:rPr>
                <w:rFonts w:ascii="Times New Roman" w:eastAsia="Times New Roman" w:hAnsi="Times New Roman" w:cs="Times New Roman"/>
                <w:sz w:val="22"/>
                <w:szCs w:val="22"/>
              </w:rPr>
              <w:t xml:space="preserve"> dla podmiotów gospodarczych i dla osób </w:t>
            </w:r>
            <w:r w:rsidR="00D54B75">
              <w:rPr>
                <w:rFonts w:ascii="Times New Roman" w:eastAsia="Times New Roman" w:hAnsi="Times New Roman" w:cs="Times New Roman"/>
                <w:sz w:val="22"/>
                <w:szCs w:val="22"/>
              </w:rPr>
              <w:br/>
            </w:r>
            <w:r w:rsidR="00515863">
              <w:rPr>
                <w:rFonts w:ascii="Times New Roman" w:eastAsia="Times New Roman" w:hAnsi="Times New Roman" w:cs="Times New Roman"/>
                <w:sz w:val="22"/>
                <w:szCs w:val="22"/>
              </w:rPr>
              <w:t>z niepełnosprawnościami. Sprawozdan</w:t>
            </w:r>
            <w:r w:rsidR="002A208D">
              <w:rPr>
                <w:rFonts w:ascii="Times New Roman" w:eastAsia="Times New Roman" w:hAnsi="Times New Roman" w:cs="Times New Roman"/>
                <w:sz w:val="22"/>
                <w:szCs w:val="22"/>
              </w:rPr>
              <w:t>ia</w:t>
            </w:r>
            <w:r w:rsidR="00515863">
              <w:rPr>
                <w:rFonts w:ascii="Times New Roman" w:eastAsia="Times New Roman" w:hAnsi="Times New Roman" w:cs="Times New Roman"/>
                <w:sz w:val="22"/>
                <w:szCs w:val="22"/>
              </w:rPr>
              <w:t xml:space="preserve"> zawiera</w:t>
            </w:r>
            <w:r w:rsidR="002A208D">
              <w:rPr>
                <w:rFonts w:ascii="Times New Roman" w:eastAsia="Times New Roman" w:hAnsi="Times New Roman" w:cs="Times New Roman"/>
                <w:sz w:val="22"/>
                <w:szCs w:val="22"/>
              </w:rPr>
              <w:t>ją</w:t>
            </w:r>
            <w:r w:rsidR="00515863">
              <w:rPr>
                <w:rFonts w:ascii="Times New Roman" w:eastAsia="Times New Roman" w:hAnsi="Times New Roman" w:cs="Times New Roman"/>
                <w:sz w:val="22"/>
                <w:szCs w:val="22"/>
              </w:rPr>
              <w:t xml:space="preserve"> również ocenę</w:t>
            </w:r>
            <w:r w:rsidR="00A26921">
              <w:rPr>
                <w:rFonts w:ascii="Times New Roman" w:eastAsia="Times New Roman" w:hAnsi="Times New Roman" w:cs="Times New Roman"/>
                <w:sz w:val="22"/>
                <w:szCs w:val="22"/>
              </w:rPr>
              <w:t xml:space="preserve"> </w:t>
            </w:r>
            <w:r w:rsidR="00A26921" w:rsidRPr="00837010">
              <w:rPr>
                <w:rFonts w:ascii="Times New Roman" w:eastAsia="Times New Roman" w:hAnsi="Times New Roman" w:cs="Times New Roman"/>
                <w:sz w:val="22"/>
                <w:szCs w:val="22"/>
              </w:rPr>
              <w:t xml:space="preserve">skutków, jakie dla funkcjonowania rynku ma stosowanie przepisów art. 4 pkt 1 oraz art. 21, czy wskazane </w:t>
            </w:r>
            <w:r w:rsidR="00B13A72">
              <w:rPr>
                <w:rFonts w:ascii="Times New Roman" w:eastAsia="Times New Roman" w:hAnsi="Times New Roman" w:cs="Times New Roman"/>
                <w:sz w:val="22"/>
                <w:szCs w:val="22"/>
              </w:rPr>
              <w:t>jest</w:t>
            </w:r>
            <w:r w:rsidR="00A26921" w:rsidRPr="00837010">
              <w:rPr>
                <w:rFonts w:ascii="Times New Roman" w:eastAsia="Times New Roman" w:hAnsi="Times New Roman" w:cs="Times New Roman"/>
                <w:sz w:val="22"/>
                <w:szCs w:val="22"/>
              </w:rPr>
              <w:t xml:space="preserve"> objęcie zakresem </w:t>
            </w:r>
            <w:r w:rsidR="00646549">
              <w:rPr>
                <w:rFonts w:ascii="Times New Roman" w:eastAsia="Times New Roman" w:hAnsi="Times New Roman" w:cs="Times New Roman"/>
                <w:sz w:val="22"/>
                <w:szCs w:val="22"/>
              </w:rPr>
              <w:t xml:space="preserve">projektowanej </w:t>
            </w:r>
            <w:r w:rsidR="00A26921" w:rsidRPr="00837010">
              <w:rPr>
                <w:rFonts w:ascii="Times New Roman" w:eastAsia="Times New Roman" w:hAnsi="Times New Roman" w:cs="Times New Roman"/>
                <w:sz w:val="22"/>
                <w:szCs w:val="22"/>
              </w:rPr>
              <w:t xml:space="preserve">ustawy produktów lub usług innych niż wymienione w </w:t>
            </w:r>
            <w:r w:rsidR="00646549">
              <w:rPr>
                <w:rFonts w:ascii="Times New Roman" w:eastAsia="Times New Roman" w:hAnsi="Times New Roman" w:cs="Times New Roman"/>
                <w:sz w:val="22"/>
                <w:szCs w:val="22"/>
              </w:rPr>
              <w:t xml:space="preserve">tej </w:t>
            </w:r>
            <w:r w:rsidR="00A26921" w:rsidRPr="00837010">
              <w:rPr>
                <w:rFonts w:ascii="Times New Roman" w:eastAsia="Times New Roman" w:hAnsi="Times New Roman" w:cs="Times New Roman"/>
                <w:sz w:val="22"/>
                <w:szCs w:val="22"/>
              </w:rPr>
              <w:t xml:space="preserve">ustawie lub wyłączenie z tego zakresu niektórych produktów lub usług, wskazanie wymagań dostępności dla produktów i usług oraz obowiązków dla podmiotów gospodarczych, które </w:t>
            </w:r>
            <w:r w:rsidR="00B13A72">
              <w:rPr>
                <w:rFonts w:ascii="Times New Roman" w:eastAsia="Times New Roman" w:hAnsi="Times New Roman" w:cs="Times New Roman"/>
                <w:sz w:val="22"/>
                <w:szCs w:val="22"/>
              </w:rPr>
              <w:t>powinny</w:t>
            </w:r>
            <w:r w:rsidR="00A26921" w:rsidRPr="00837010">
              <w:rPr>
                <w:rFonts w:ascii="Times New Roman" w:eastAsia="Times New Roman" w:hAnsi="Times New Roman" w:cs="Times New Roman"/>
                <w:sz w:val="22"/>
                <w:szCs w:val="22"/>
              </w:rPr>
              <w:t xml:space="preserve"> ulec ograniczeniu.</w:t>
            </w:r>
          </w:p>
          <w:p w14:paraId="5928E14D" w14:textId="6E03DE7B" w:rsidR="009E5813" w:rsidRDefault="009E5813">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Państwa członkowskie </w:t>
            </w:r>
            <w:r w:rsidR="00646549">
              <w:rPr>
                <w:rFonts w:ascii="Times New Roman" w:eastAsia="Times New Roman" w:hAnsi="Times New Roman" w:cs="Times New Roman"/>
                <w:sz w:val="22"/>
                <w:szCs w:val="22"/>
              </w:rPr>
              <w:t xml:space="preserve">UE </w:t>
            </w:r>
            <w:r>
              <w:rPr>
                <w:rFonts w:ascii="Times New Roman" w:eastAsia="Times New Roman" w:hAnsi="Times New Roman" w:cs="Times New Roman"/>
                <w:sz w:val="22"/>
                <w:szCs w:val="22"/>
              </w:rPr>
              <w:t xml:space="preserve">przekazują Komisji </w:t>
            </w:r>
            <w:r w:rsidR="006C72BE">
              <w:rPr>
                <w:rFonts w:ascii="Times New Roman" w:eastAsia="Times New Roman" w:hAnsi="Times New Roman" w:cs="Times New Roman"/>
                <w:sz w:val="22"/>
                <w:szCs w:val="22"/>
              </w:rPr>
              <w:t xml:space="preserve">Europejskiej </w:t>
            </w:r>
            <w:r>
              <w:rPr>
                <w:rFonts w:ascii="Times New Roman" w:eastAsia="Times New Roman" w:hAnsi="Times New Roman" w:cs="Times New Roman"/>
                <w:sz w:val="22"/>
                <w:szCs w:val="22"/>
              </w:rPr>
              <w:t>w odpowiednim terminie wszystkie informacje, które są dla niej niezbędne do sporządzenia takich sprawozdań.</w:t>
            </w:r>
          </w:p>
          <w:p w14:paraId="10581A85" w14:textId="7F0A4C7A" w:rsidR="009E5813" w:rsidRDefault="009E5813">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Sprawozdania Komisji </w:t>
            </w:r>
            <w:proofErr w:type="spellStart"/>
            <w:r w:rsidR="00646549">
              <w:rPr>
                <w:rFonts w:ascii="Times New Roman" w:eastAsia="Times New Roman" w:hAnsi="Times New Roman" w:cs="Times New Roman"/>
                <w:sz w:val="22"/>
                <w:szCs w:val="22"/>
              </w:rPr>
              <w:t>Europejksiej</w:t>
            </w:r>
            <w:proofErr w:type="spellEnd"/>
            <w:r w:rsidR="0064654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uwzględniają opinie zainteresowanych podmiotów gospodarczych i odpowiednich organizacji pozarządowych, w tym organizacji reprezentujących osoby z</w:t>
            </w:r>
            <w:r w:rsidR="008E5B9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niepełnosprawnościami.</w:t>
            </w:r>
          </w:p>
          <w:p w14:paraId="1EFE281A" w14:textId="77777777" w:rsidR="00EC4C5C" w:rsidRDefault="00515863">
            <w:p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Komisja</w:t>
            </w:r>
            <w:r w:rsidR="0013611C">
              <w:rPr>
                <w:rFonts w:ascii="Times New Roman" w:eastAsia="Times New Roman" w:hAnsi="Times New Roman" w:cs="Times New Roman"/>
                <w:sz w:val="22"/>
                <w:szCs w:val="22"/>
              </w:rPr>
              <w:t xml:space="preserve"> Europejska</w:t>
            </w:r>
            <w:r>
              <w:rPr>
                <w:rFonts w:ascii="Times New Roman" w:eastAsia="Times New Roman" w:hAnsi="Times New Roman" w:cs="Times New Roman"/>
                <w:sz w:val="22"/>
                <w:szCs w:val="22"/>
              </w:rPr>
              <w:t xml:space="preserve">, w razie potrzeby, </w:t>
            </w:r>
            <w:r w:rsidR="009E5813">
              <w:rPr>
                <w:rFonts w:ascii="Times New Roman" w:eastAsia="Times New Roman" w:hAnsi="Times New Roman" w:cs="Times New Roman"/>
                <w:sz w:val="22"/>
                <w:szCs w:val="22"/>
              </w:rPr>
              <w:t>za</w:t>
            </w:r>
            <w:r>
              <w:rPr>
                <w:rFonts w:ascii="Times New Roman" w:eastAsia="Times New Roman" w:hAnsi="Times New Roman" w:cs="Times New Roman"/>
                <w:sz w:val="22"/>
                <w:szCs w:val="22"/>
              </w:rPr>
              <w:t xml:space="preserve">proponuje odpowiednie środki, które mogą obejmować środki ustawodawcze. </w:t>
            </w:r>
          </w:p>
          <w:p w14:paraId="17552160" w14:textId="77777777" w:rsidR="00EC4C5C" w:rsidRDefault="00515863">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Pozyskane w ten sposób informacje będą stanowić bieżące źródło wiedzy w zakresie postępu </w:t>
            </w:r>
            <w:r w:rsidR="009E5813">
              <w:rPr>
                <w:rFonts w:ascii="Times New Roman" w:eastAsia="Times New Roman" w:hAnsi="Times New Roman" w:cs="Times New Roman"/>
                <w:sz w:val="22"/>
                <w:szCs w:val="22"/>
              </w:rPr>
              <w:t xml:space="preserve">w realizacji </w:t>
            </w:r>
            <w:r>
              <w:rPr>
                <w:rFonts w:ascii="Times New Roman" w:eastAsia="Times New Roman" w:hAnsi="Times New Roman" w:cs="Times New Roman"/>
                <w:sz w:val="22"/>
                <w:szCs w:val="22"/>
              </w:rPr>
              <w:t xml:space="preserve">przepisów projektowanej ustawy. </w:t>
            </w:r>
          </w:p>
          <w:p w14:paraId="37EE0EA2" w14:textId="4C94425B" w:rsidR="00EC4C5C" w:rsidRDefault="005C05A6">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Pierwsza </w:t>
            </w:r>
            <w:r w:rsidR="00263180" w:rsidRPr="00263180">
              <w:rPr>
                <w:rFonts w:ascii="Times New Roman" w:eastAsia="Times New Roman" w:hAnsi="Times New Roman" w:cs="Times New Roman"/>
                <w:sz w:val="22"/>
                <w:szCs w:val="22"/>
              </w:rPr>
              <w:t xml:space="preserve">ocena </w:t>
            </w:r>
            <w:r w:rsidR="005F3A29" w:rsidRPr="00263180">
              <w:rPr>
                <w:rFonts w:ascii="Times New Roman" w:eastAsia="Times New Roman" w:hAnsi="Times New Roman" w:cs="Times New Roman"/>
                <w:sz w:val="22"/>
                <w:szCs w:val="22"/>
              </w:rPr>
              <w:t>skutków</w:t>
            </w:r>
            <w:r w:rsidR="00263180" w:rsidRPr="00263180">
              <w:rPr>
                <w:rFonts w:ascii="Times New Roman" w:eastAsia="Times New Roman" w:hAnsi="Times New Roman" w:cs="Times New Roman"/>
                <w:sz w:val="22"/>
                <w:szCs w:val="22"/>
              </w:rPr>
              <w:t xml:space="preserve"> regulacji zawartych w</w:t>
            </w:r>
            <w:r w:rsidR="00646549">
              <w:rPr>
                <w:rFonts w:ascii="Times New Roman" w:eastAsia="Times New Roman" w:hAnsi="Times New Roman" w:cs="Times New Roman"/>
                <w:sz w:val="22"/>
                <w:szCs w:val="22"/>
              </w:rPr>
              <w:t xml:space="preserve"> projektowanej</w:t>
            </w:r>
            <w:r w:rsidR="00263180" w:rsidRPr="00263180">
              <w:rPr>
                <w:rFonts w:ascii="Times New Roman" w:eastAsia="Times New Roman" w:hAnsi="Times New Roman" w:cs="Times New Roman"/>
                <w:sz w:val="22"/>
                <w:szCs w:val="22"/>
              </w:rPr>
              <w:t xml:space="preserve"> ustawie</w:t>
            </w:r>
            <w:r w:rsidR="00263180" w:rsidRPr="00263180" w:rsidDel="00263180">
              <w:rPr>
                <w:rFonts w:ascii="Times New Roman" w:eastAsia="Times New Roman" w:hAnsi="Times New Roman" w:cs="Times New Roman"/>
                <w:sz w:val="22"/>
                <w:szCs w:val="22"/>
              </w:rPr>
              <w:t xml:space="preserve"> </w:t>
            </w:r>
            <w:r w:rsidR="00646549">
              <w:rPr>
                <w:rFonts w:ascii="Times New Roman" w:eastAsia="Times New Roman" w:hAnsi="Times New Roman" w:cs="Times New Roman"/>
                <w:sz w:val="22"/>
                <w:szCs w:val="22"/>
              </w:rPr>
              <w:t xml:space="preserve">będzie </w:t>
            </w:r>
            <w:r w:rsidR="00515863">
              <w:rPr>
                <w:rFonts w:ascii="Times New Roman" w:eastAsia="Times New Roman" w:hAnsi="Times New Roman" w:cs="Times New Roman"/>
                <w:sz w:val="22"/>
                <w:szCs w:val="22"/>
              </w:rPr>
              <w:t xml:space="preserve">przeprowadzona w 2030 r. </w:t>
            </w:r>
          </w:p>
          <w:p w14:paraId="42B41D84" w14:textId="1DC8D088" w:rsidR="00EC4C5C" w:rsidRPr="00F16712" w:rsidRDefault="00515863" w:rsidP="00BE0553">
            <w:pPr>
              <w:pBdr>
                <w:top w:val="nil"/>
                <w:left w:val="nil"/>
                <w:bottom w:val="nil"/>
                <w:right w:val="nil"/>
                <w:between w:val="nil"/>
              </w:pBd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zaistnienia potrzeby pogłębienia oceny realizacji </w:t>
            </w:r>
            <w:r w:rsidRPr="00AE2DC1">
              <w:rPr>
                <w:rFonts w:ascii="Times New Roman" w:eastAsia="Times New Roman" w:hAnsi="Times New Roman" w:cs="Times New Roman"/>
                <w:i/>
                <w:iCs/>
                <w:sz w:val="22"/>
                <w:szCs w:val="22"/>
              </w:rPr>
              <w:t xml:space="preserve">stricte </w:t>
            </w:r>
            <w:r w:rsidRPr="00443595">
              <w:rPr>
                <w:rFonts w:ascii="Times New Roman" w:eastAsia="Times New Roman" w:hAnsi="Times New Roman" w:cs="Times New Roman"/>
                <w:sz w:val="22"/>
                <w:szCs w:val="22"/>
              </w:rPr>
              <w:t>p</w:t>
            </w:r>
            <w:r>
              <w:rPr>
                <w:rFonts w:ascii="Times New Roman" w:eastAsia="Times New Roman" w:hAnsi="Times New Roman" w:cs="Times New Roman"/>
                <w:sz w:val="22"/>
                <w:szCs w:val="22"/>
              </w:rPr>
              <w:t>rzepisów samej projektowanej ustawy</w:t>
            </w:r>
            <w:r w:rsidR="00583BC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zostanie zlecone oddzielne badanie ewaluacyjne w terminie, który pozwoli na ocenę faktycznych rezultatów jej oddziaływania.</w:t>
            </w:r>
          </w:p>
        </w:tc>
      </w:tr>
      <w:tr w:rsidR="00EC4C5C" w14:paraId="7A2650ED" w14:textId="77777777" w:rsidTr="000A0DBF">
        <w:trPr>
          <w:trHeight w:val="142"/>
        </w:trPr>
        <w:tc>
          <w:tcPr>
            <w:tcW w:w="10947" w:type="dxa"/>
            <w:gridSpan w:val="29"/>
            <w:shd w:val="clear" w:color="auto" w:fill="99CCFF"/>
          </w:tcPr>
          <w:p w14:paraId="48582F95" w14:textId="77777777" w:rsidR="00EC4C5C" w:rsidRDefault="00404A70" w:rsidP="003E7A0B">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13. </w:t>
            </w:r>
            <w:r w:rsidR="00515863">
              <w:rPr>
                <w:rFonts w:ascii="Times New Roman" w:eastAsia="Times New Roman" w:hAnsi="Times New Roman" w:cs="Times New Roman"/>
                <w:b/>
                <w:color w:val="000000"/>
                <w:sz w:val="22"/>
                <w:szCs w:val="22"/>
              </w:rPr>
              <w:t xml:space="preserve">Załączniki </w:t>
            </w:r>
            <w:r w:rsidR="00515863">
              <w:rPr>
                <w:rFonts w:ascii="Times New Roman" w:eastAsia="Times New Roman" w:hAnsi="Times New Roman" w:cs="Times New Roman"/>
                <w:b/>
                <w:color w:val="000000"/>
                <w:sz w:val="21"/>
                <w:szCs w:val="21"/>
              </w:rPr>
              <w:t>(istotne dokumenty źródłowe, badania, analizy itp.</w:t>
            </w:r>
            <w:r w:rsidR="00515863">
              <w:rPr>
                <w:rFonts w:ascii="Times New Roman" w:eastAsia="Times New Roman" w:hAnsi="Times New Roman" w:cs="Times New Roman"/>
                <w:b/>
                <w:color w:val="000000"/>
                <w:sz w:val="22"/>
                <w:szCs w:val="22"/>
              </w:rPr>
              <w:t xml:space="preserve">) </w:t>
            </w:r>
          </w:p>
        </w:tc>
      </w:tr>
      <w:tr w:rsidR="00EC4C5C" w14:paraId="0D72C262" w14:textId="77777777" w:rsidTr="000A0DBF">
        <w:trPr>
          <w:trHeight w:val="142"/>
        </w:trPr>
        <w:tc>
          <w:tcPr>
            <w:tcW w:w="10947" w:type="dxa"/>
            <w:gridSpan w:val="29"/>
            <w:shd w:val="clear" w:color="auto" w:fill="FFFFFF"/>
          </w:tcPr>
          <w:p w14:paraId="2AFB8039" w14:textId="2E42A723" w:rsidR="00EC4C5C" w:rsidRDefault="00EC4C5C" w:rsidP="00475F5D">
            <w:pPr>
              <w:pStyle w:val="Akapitzlist"/>
              <w:pBdr>
                <w:top w:val="nil"/>
                <w:left w:val="nil"/>
                <w:bottom w:val="nil"/>
                <w:right w:val="nil"/>
                <w:between w:val="nil"/>
              </w:pBdr>
              <w:ind w:left="360"/>
              <w:jc w:val="both"/>
              <w:rPr>
                <w:rFonts w:ascii="Times New Roman" w:eastAsia="Times New Roman" w:hAnsi="Times New Roman" w:cs="Times New Roman"/>
                <w:color w:val="000000"/>
                <w:sz w:val="22"/>
                <w:szCs w:val="22"/>
              </w:rPr>
            </w:pPr>
          </w:p>
        </w:tc>
      </w:tr>
    </w:tbl>
    <w:p w14:paraId="0697DB82" w14:textId="77777777" w:rsidR="00EC4C5C" w:rsidRDefault="00EC4C5C" w:rsidP="00F911AE">
      <w:pPr>
        <w:keepNext/>
        <w:pBdr>
          <w:top w:val="nil"/>
          <w:left w:val="nil"/>
          <w:bottom w:val="nil"/>
          <w:right w:val="nil"/>
          <w:between w:val="nil"/>
        </w:pBdr>
        <w:spacing w:before="240" w:after="60"/>
        <w:rPr>
          <w:rFonts w:ascii="Times New Roman" w:eastAsia="Times New Roman" w:hAnsi="Times New Roman" w:cs="Times New Roman"/>
          <w:color w:val="000000"/>
        </w:rPr>
      </w:pPr>
    </w:p>
    <w:sectPr w:rsidR="00EC4C5C" w:rsidSect="00317105">
      <w:footerReference w:type="default" r:id="rId12"/>
      <w:pgSz w:w="11906" w:h="16838"/>
      <w:pgMar w:top="709" w:right="707" w:bottom="568" w:left="720" w:header="708" w:footer="29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5157" w14:textId="77777777" w:rsidR="00BE099F" w:rsidRDefault="00BE099F" w:rsidP="004E52EE">
      <w:r>
        <w:separator/>
      </w:r>
    </w:p>
  </w:endnote>
  <w:endnote w:type="continuationSeparator" w:id="0">
    <w:p w14:paraId="609F9AC7" w14:textId="77777777" w:rsidR="00BE099F" w:rsidRDefault="00BE099F" w:rsidP="004E52EE">
      <w:r>
        <w:continuationSeparator/>
      </w:r>
    </w:p>
  </w:endnote>
  <w:endnote w:type="continuationNotice" w:id="1">
    <w:p w14:paraId="6AC565DC" w14:textId="77777777" w:rsidR="00BE099F" w:rsidRDefault="00BE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1832"/>
      <w:docPartObj>
        <w:docPartGallery w:val="Page Numbers (Bottom of Page)"/>
        <w:docPartUnique/>
      </w:docPartObj>
    </w:sdtPr>
    <w:sdtEndPr>
      <w:rPr>
        <w:rFonts w:ascii="Times New Roman" w:hAnsi="Times New Roman" w:cs="Times New Roman"/>
        <w:sz w:val="24"/>
        <w:szCs w:val="24"/>
      </w:rPr>
    </w:sdtEndPr>
    <w:sdtContent>
      <w:p w14:paraId="31F71FF8" w14:textId="3EA373EC" w:rsidR="00DD341B" w:rsidRPr="00317105" w:rsidRDefault="00DD341B">
        <w:pPr>
          <w:pStyle w:val="Stopka"/>
          <w:jc w:val="center"/>
          <w:rPr>
            <w:rFonts w:ascii="Times New Roman" w:hAnsi="Times New Roman" w:cs="Times New Roman"/>
            <w:sz w:val="24"/>
            <w:szCs w:val="24"/>
          </w:rPr>
        </w:pPr>
        <w:r w:rsidRPr="00317105">
          <w:rPr>
            <w:rFonts w:ascii="Times New Roman" w:hAnsi="Times New Roman" w:cs="Times New Roman"/>
            <w:sz w:val="24"/>
            <w:szCs w:val="24"/>
          </w:rPr>
          <w:fldChar w:fldCharType="begin"/>
        </w:r>
        <w:r w:rsidRPr="00317105">
          <w:rPr>
            <w:rFonts w:ascii="Times New Roman" w:hAnsi="Times New Roman" w:cs="Times New Roman"/>
            <w:sz w:val="24"/>
            <w:szCs w:val="24"/>
          </w:rPr>
          <w:instrText>PAGE   \* MERGEFORMAT</w:instrText>
        </w:r>
        <w:r w:rsidRPr="00317105">
          <w:rPr>
            <w:rFonts w:ascii="Times New Roman" w:hAnsi="Times New Roman" w:cs="Times New Roman"/>
            <w:sz w:val="24"/>
            <w:szCs w:val="24"/>
          </w:rPr>
          <w:fldChar w:fldCharType="separate"/>
        </w:r>
        <w:r w:rsidR="00AF2637">
          <w:rPr>
            <w:rFonts w:ascii="Times New Roman" w:hAnsi="Times New Roman" w:cs="Times New Roman"/>
            <w:noProof/>
            <w:sz w:val="24"/>
            <w:szCs w:val="24"/>
          </w:rPr>
          <w:t>26</w:t>
        </w:r>
        <w:r w:rsidRPr="0031710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12B9" w14:textId="77777777" w:rsidR="00BE099F" w:rsidRDefault="00BE099F" w:rsidP="004E52EE">
      <w:r>
        <w:separator/>
      </w:r>
    </w:p>
  </w:footnote>
  <w:footnote w:type="continuationSeparator" w:id="0">
    <w:p w14:paraId="5ABD4E75" w14:textId="77777777" w:rsidR="00BE099F" w:rsidRDefault="00BE099F" w:rsidP="004E52EE">
      <w:r>
        <w:continuationSeparator/>
      </w:r>
    </w:p>
  </w:footnote>
  <w:footnote w:type="continuationNotice" w:id="1">
    <w:p w14:paraId="2E3AB35D" w14:textId="77777777" w:rsidR="00BE099F" w:rsidRDefault="00BE099F"/>
  </w:footnote>
  <w:footnote w:id="2">
    <w:p w14:paraId="1E367790" w14:textId="77777777" w:rsidR="00DD341B" w:rsidRDefault="00DD341B">
      <w:pPr>
        <w:pStyle w:val="Tekstprzypisudolnego"/>
      </w:pPr>
      <w:r w:rsidRPr="00A54C6D">
        <w:rPr>
          <w:rStyle w:val="Odwoanieprzypisudolnego"/>
          <w:rFonts w:ascii="Times New Roman" w:hAnsi="Times New Roman"/>
        </w:rPr>
        <w:footnoteRef/>
      </w:r>
      <w:r w:rsidRPr="00A54C6D">
        <w:rPr>
          <w:rFonts w:ascii="Times New Roman" w:hAnsi="Times New Roman"/>
        </w:rPr>
        <w:t xml:space="preserve"> </w:t>
      </w:r>
      <w:r w:rsidRPr="00EE3108">
        <w:rPr>
          <w:rFonts w:ascii="Times New Roman" w:hAnsi="Times New Roman"/>
        </w:rPr>
        <w:t xml:space="preserve">Źródło: </w:t>
      </w:r>
      <w:hyperlink r:id="rId1" w:history="1">
        <w:r w:rsidRPr="00EE3108">
          <w:rPr>
            <w:rStyle w:val="Hipercze"/>
            <w:rFonts w:ascii="Times New Roman" w:hAnsi="Times New Roman"/>
          </w:rPr>
          <w:t>https://niepelnosprawni.gov.pl/p,122,zrodla-danych-o-osobach-niepelnosprawnych</w:t>
        </w:r>
      </w:hyperlink>
      <w:r>
        <w:t xml:space="preserve"> </w:t>
      </w:r>
    </w:p>
  </w:footnote>
  <w:footnote w:id="3">
    <w:p w14:paraId="2A958C15" w14:textId="77777777" w:rsidR="00DD341B" w:rsidRDefault="00DD341B">
      <w:pPr>
        <w:pStyle w:val="Tekstprzypisudolnego"/>
      </w:pPr>
      <w:r w:rsidRPr="00A54C6D">
        <w:rPr>
          <w:rStyle w:val="Odwoanieprzypisudolnego"/>
          <w:rFonts w:ascii="Times New Roman" w:hAnsi="Times New Roman"/>
        </w:rPr>
        <w:footnoteRef/>
      </w:r>
      <w:r w:rsidRPr="00A54C6D">
        <w:rPr>
          <w:rFonts w:ascii="Times New Roman" w:hAnsi="Times New Roman"/>
        </w:rPr>
        <w:t xml:space="preserve"> </w:t>
      </w:r>
      <w:r w:rsidRPr="00EE3108">
        <w:rPr>
          <w:rFonts w:ascii="Times New Roman" w:hAnsi="Times New Roman"/>
        </w:rPr>
        <w:t>Zgodnie z OSR ustawy powołującej FD oraz planem finansowym.</w:t>
      </w:r>
    </w:p>
  </w:footnote>
  <w:footnote w:id="4">
    <w:p w14:paraId="462BC105" w14:textId="77777777" w:rsidR="00DD341B" w:rsidRPr="00116AE1" w:rsidRDefault="00DD341B" w:rsidP="00A05539">
      <w:pPr>
        <w:pStyle w:val="Tekstprzypisudolnego"/>
        <w:rPr>
          <w:rFonts w:ascii="Times New Roman" w:hAnsi="Times New Roman"/>
        </w:rPr>
      </w:pPr>
      <w:r w:rsidRPr="00116AE1">
        <w:rPr>
          <w:rStyle w:val="Odwoanieprzypisudolnego"/>
          <w:rFonts w:ascii="Times New Roman" w:hAnsi="Times New Roman"/>
        </w:rPr>
        <w:footnoteRef/>
      </w:r>
      <w:r w:rsidRPr="00116AE1">
        <w:rPr>
          <w:rFonts w:ascii="Times New Roman" w:hAnsi="Times New Roman"/>
        </w:rPr>
        <w:t xml:space="preserve"> Informacje o kosztach pochodzą od Fundacji Widzialni</w:t>
      </w:r>
      <w:r>
        <w:rPr>
          <w:rFonts w:ascii="Times New Roman" w:hAnsi="Times New Roman"/>
        </w:rPr>
        <w:t>.</w:t>
      </w:r>
    </w:p>
  </w:footnote>
  <w:footnote w:id="5">
    <w:p w14:paraId="1798A9EC" w14:textId="77777777" w:rsidR="00DD341B" w:rsidRPr="00116AE1" w:rsidRDefault="00DD341B">
      <w:pPr>
        <w:pStyle w:val="Tekstprzypisudolnego"/>
        <w:rPr>
          <w:rFonts w:ascii="Times New Roman" w:hAnsi="Times New Roman"/>
        </w:rPr>
      </w:pPr>
      <w:r w:rsidRPr="00116AE1">
        <w:rPr>
          <w:rStyle w:val="Odwoanieprzypisudolnego"/>
          <w:rFonts w:ascii="Times New Roman" w:hAnsi="Times New Roman"/>
        </w:rPr>
        <w:footnoteRef/>
      </w:r>
      <w:r w:rsidRPr="00116AE1">
        <w:rPr>
          <w:rFonts w:ascii="Times New Roman" w:hAnsi="Times New Roman"/>
        </w:rPr>
        <w:t xml:space="preserve"> Informacje o kosztach pochodzą od Związku Banków Polskich</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345"/>
    <w:multiLevelType w:val="hybridMultilevel"/>
    <w:tmpl w:val="A3961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B54E6"/>
    <w:multiLevelType w:val="multilevel"/>
    <w:tmpl w:val="08562282"/>
    <w:lvl w:ilvl="0">
      <w:start w:val="1"/>
      <w:numFmt w:val="decimal"/>
      <w:lvlText w:val="%1)"/>
      <w:lvlJc w:val="righ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E6FCB"/>
    <w:multiLevelType w:val="hybridMultilevel"/>
    <w:tmpl w:val="FD484668"/>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0AB9065A"/>
    <w:multiLevelType w:val="hybridMultilevel"/>
    <w:tmpl w:val="CCF21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13B88"/>
    <w:multiLevelType w:val="hybridMultilevel"/>
    <w:tmpl w:val="73502826"/>
    <w:lvl w:ilvl="0" w:tplc="04150011">
      <w:start w:val="1"/>
      <w:numFmt w:val="decimal"/>
      <w:lvlText w:val="%1)"/>
      <w:lvlJc w:val="left"/>
      <w:pPr>
        <w:ind w:left="1038" w:hanging="360"/>
      </w:pPr>
    </w:lvl>
    <w:lvl w:ilvl="1" w:tplc="878C7EE6">
      <w:start w:val="1"/>
      <w:numFmt w:val="lowerLetter"/>
      <w:lvlText w:val="%2)"/>
      <w:lvlJc w:val="left"/>
      <w:pPr>
        <w:ind w:left="1878" w:hanging="480"/>
      </w:pPr>
      <w:rPr>
        <w:rFonts w:hint="default"/>
      </w:r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5" w15:restartNumberingAfterBreak="0">
    <w:nsid w:val="0C18165F"/>
    <w:multiLevelType w:val="hybridMultilevel"/>
    <w:tmpl w:val="AB9E81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856170"/>
    <w:multiLevelType w:val="hybridMultilevel"/>
    <w:tmpl w:val="D13C9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20D2F"/>
    <w:multiLevelType w:val="hybridMultilevel"/>
    <w:tmpl w:val="FD484668"/>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15C276FE"/>
    <w:multiLevelType w:val="hybridMultilevel"/>
    <w:tmpl w:val="CF823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61FBD"/>
    <w:multiLevelType w:val="hybridMultilevel"/>
    <w:tmpl w:val="38E04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96C34"/>
    <w:multiLevelType w:val="multilevel"/>
    <w:tmpl w:val="A116554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EFE203A"/>
    <w:multiLevelType w:val="hybridMultilevel"/>
    <w:tmpl w:val="E7A8A29A"/>
    <w:lvl w:ilvl="0" w:tplc="6DACC534">
      <w:start w:val="1"/>
      <w:numFmt w:val="decimal"/>
      <w:pStyle w:val="Nagwek2"/>
      <w:lvlText w:val="Ad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F3EA0"/>
    <w:multiLevelType w:val="hybridMultilevel"/>
    <w:tmpl w:val="DA904C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17950"/>
    <w:multiLevelType w:val="hybridMultilevel"/>
    <w:tmpl w:val="5F5473C0"/>
    <w:lvl w:ilvl="0" w:tplc="E41CC8EA">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4" w15:restartNumberingAfterBreak="0">
    <w:nsid w:val="24D52D3A"/>
    <w:multiLevelType w:val="hybridMultilevel"/>
    <w:tmpl w:val="3F9A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42A"/>
    <w:multiLevelType w:val="hybridMultilevel"/>
    <w:tmpl w:val="7188E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B0751"/>
    <w:multiLevelType w:val="hybridMultilevel"/>
    <w:tmpl w:val="A2807BE8"/>
    <w:lvl w:ilvl="0" w:tplc="CDAE3A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D05E2"/>
    <w:multiLevelType w:val="hybridMultilevel"/>
    <w:tmpl w:val="C908D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84ABC"/>
    <w:multiLevelType w:val="hybridMultilevel"/>
    <w:tmpl w:val="5EE611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B17A8"/>
    <w:multiLevelType w:val="hybridMultilevel"/>
    <w:tmpl w:val="6D20E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74BA7"/>
    <w:multiLevelType w:val="hybridMultilevel"/>
    <w:tmpl w:val="EAF41DDA"/>
    <w:lvl w:ilvl="0" w:tplc="F74EFA10">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1" w15:restartNumberingAfterBreak="0">
    <w:nsid w:val="3289022B"/>
    <w:multiLevelType w:val="hybridMultilevel"/>
    <w:tmpl w:val="EC6EE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F5349"/>
    <w:multiLevelType w:val="hybridMultilevel"/>
    <w:tmpl w:val="DA904C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A2311C"/>
    <w:multiLevelType w:val="hybridMultilevel"/>
    <w:tmpl w:val="342AAA9C"/>
    <w:lvl w:ilvl="0" w:tplc="1BACF91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D44D9"/>
    <w:multiLevelType w:val="hybridMultilevel"/>
    <w:tmpl w:val="DD4C6B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E30AAB"/>
    <w:multiLevelType w:val="hybridMultilevel"/>
    <w:tmpl w:val="C700C2C2"/>
    <w:lvl w:ilvl="0" w:tplc="04150011">
      <w:start w:val="1"/>
      <w:numFmt w:val="decimal"/>
      <w:lvlText w:val="%1)"/>
      <w:lvlJc w:val="left"/>
      <w:pPr>
        <w:ind w:left="720" w:hanging="360"/>
      </w:pPr>
    </w:lvl>
    <w:lvl w:ilvl="1" w:tplc="0415000F">
      <w:start w:val="1"/>
      <w:numFmt w:val="decimal"/>
      <w:lvlText w:val="%2."/>
      <w:lvlJc w:val="left"/>
      <w:pPr>
        <w:ind w:left="1594" w:hanging="51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16415C"/>
    <w:multiLevelType w:val="hybridMultilevel"/>
    <w:tmpl w:val="AB9E81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D640E8"/>
    <w:multiLevelType w:val="hybridMultilevel"/>
    <w:tmpl w:val="98AC9FE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41010917"/>
    <w:multiLevelType w:val="hybridMultilevel"/>
    <w:tmpl w:val="DCDA351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9" w15:restartNumberingAfterBreak="0">
    <w:nsid w:val="47193E6C"/>
    <w:multiLevelType w:val="hybridMultilevel"/>
    <w:tmpl w:val="F50A2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84459"/>
    <w:multiLevelType w:val="hybridMultilevel"/>
    <w:tmpl w:val="DA904C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20715E"/>
    <w:multiLevelType w:val="hybridMultilevel"/>
    <w:tmpl w:val="A0428D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B58E5"/>
    <w:multiLevelType w:val="hybridMultilevel"/>
    <w:tmpl w:val="FAA2B3A4"/>
    <w:lvl w:ilvl="0" w:tplc="1E18DAB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5642CD"/>
    <w:multiLevelType w:val="hybridMultilevel"/>
    <w:tmpl w:val="C13837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4D466C"/>
    <w:multiLevelType w:val="hybridMultilevel"/>
    <w:tmpl w:val="D06EC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771CE"/>
    <w:multiLevelType w:val="hybridMultilevel"/>
    <w:tmpl w:val="8A64A678"/>
    <w:lvl w:ilvl="0" w:tplc="04D49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7BD9"/>
    <w:multiLevelType w:val="multilevel"/>
    <w:tmpl w:val="8C4480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33491E"/>
    <w:multiLevelType w:val="hybridMultilevel"/>
    <w:tmpl w:val="BC720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A8428A"/>
    <w:multiLevelType w:val="multilevel"/>
    <w:tmpl w:val="DB30564C"/>
    <w:lvl w:ilvl="0">
      <w:start w:val="1"/>
      <w:numFmt w:val="decimal"/>
      <w:lvlText w:val="%1)"/>
      <w:lvlJc w:val="righ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A71185"/>
    <w:multiLevelType w:val="hybridMultilevel"/>
    <w:tmpl w:val="5EE611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287168"/>
    <w:multiLevelType w:val="hybridMultilevel"/>
    <w:tmpl w:val="51F24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55653"/>
    <w:multiLevelType w:val="hybridMultilevel"/>
    <w:tmpl w:val="8EF82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A16AA"/>
    <w:multiLevelType w:val="hybridMultilevel"/>
    <w:tmpl w:val="DA904C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950849"/>
    <w:multiLevelType w:val="hybridMultilevel"/>
    <w:tmpl w:val="02E8C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624AB5"/>
    <w:multiLevelType w:val="hybridMultilevel"/>
    <w:tmpl w:val="BF1ABD08"/>
    <w:lvl w:ilvl="0" w:tplc="7D268D0E">
      <w:start w:val="1"/>
      <w:numFmt w:val="decimal"/>
      <w:lvlText w:val="%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45" w15:restartNumberingAfterBreak="0">
    <w:nsid w:val="70A11906"/>
    <w:multiLevelType w:val="hybridMultilevel"/>
    <w:tmpl w:val="589019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3D3D14"/>
    <w:multiLevelType w:val="hybridMultilevel"/>
    <w:tmpl w:val="F5DED3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5167F9"/>
    <w:multiLevelType w:val="hybridMultilevel"/>
    <w:tmpl w:val="155E09C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 w15:restartNumberingAfterBreak="0">
    <w:nsid w:val="7ECF19B7"/>
    <w:multiLevelType w:val="hybridMultilevel"/>
    <w:tmpl w:val="70F04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0"/>
  </w:num>
  <w:num w:numId="3">
    <w:abstractNumId w:val="23"/>
  </w:num>
  <w:num w:numId="4">
    <w:abstractNumId w:val="3"/>
  </w:num>
  <w:num w:numId="5">
    <w:abstractNumId w:val="1"/>
  </w:num>
  <w:num w:numId="6">
    <w:abstractNumId w:val="28"/>
  </w:num>
  <w:num w:numId="7">
    <w:abstractNumId w:val="43"/>
  </w:num>
  <w:num w:numId="8">
    <w:abstractNumId w:val="32"/>
  </w:num>
  <w:num w:numId="9">
    <w:abstractNumId w:val="47"/>
  </w:num>
  <w:num w:numId="10">
    <w:abstractNumId w:val="30"/>
  </w:num>
  <w:num w:numId="11">
    <w:abstractNumId w:val="45"/>
  </w:num>
  <w:num w:numId="12">
    <w:abstractNumId w:val="31"/>
  </w:num>
  <w:num w:numId="13">
    <w:abstractNumId w:val="6"/>
  </w:num>
  <w:num w:numId="14">
    <w:abstractNumId w:val="11"/>
  </w:num>
  <w:num w:numId="15">
    <w:abstractNumId w:val="35"/>
  </w:num>
  <w:num w:numId="16">
    <w:abstractNumId w:val="8"/>
  </w:num>
  <w:num w:numId="17">
    <w:abstractNumId w:val="18"/>
  </w:num>
  <w:num w:numId="18">
    <w:abstractNumId w:val="21"/>
  </w:num>
  <w:num w:numId="19">
    <w:abstractNumId w:val="39"/>
  </w:num>
  <w:num w:numId="20">
    <w:abstractNumId w:val="16"/>
  </w:num>
  <w:num w:numId="21">
    <w:abstractNumId w:val="0"/>
  </w:num>
  <w:num w:numId="22">
    <w:abstractNumId w:val="17"/>
  </w:num>
  <w:num w:numId="23">
    <w:abstractNumId w:val="37"/>
  </w:num>
  <w:num w:numId="24">
    <w:abstractNumId w:val="36"/>
  </w:num>
  <w:num w:numId="25">
    <w:abstractNumId w:val="33"/>
  </w:num>
  <w:num w:numId="26">
    <w:abstractNumId w:val="9"/>
  </w:num>
  <w:num w:numId="27">
    <w:abstractNumId w:val="27"/>
  </w:num>
  <w:num w:numId="28">
    <w:abstractNumId w:val="19"/>
  </w:num>
  <w:num w:numId="29">
    <w:abstractNumId w:val="11"/>
  </w:num>
  <w:num w:numId="30">
    <w:abstractNumId w:val="11"/>
  </w:num>
  <w:num w:numId="31">
    <w:abstractNumId w:val="11"/>
  </w:num>
  <w:num w:numId="32">
    <w:abstractNumId w:val="25"/>
  </w:num>
  <w:num w:numId="33">
    <w:abstractNumId w:val="29"/>
  </w:num>
  <w:num w:numId="34">
    <w:abstractNumId w:val="48"/>
  </w:num>
  <w:num w:numId="35">
    <w:abstractNumId w:val="15"/>
  </w:num>
  <w:num w:numId="36">
    <w:abstractNumId w:val="2"/>
  </w:num>
  <w:num w:numId="37">
    <w:abstractNumId w:val="7"/>
  </w:num>
  <w:num w:numId="38">
    <w:abstractNumId w:val="41"/>
  </w:num>
  <w:num w:numId="39">
    <w:abstractNumId w:val="40"/>
  </w:num>
  <w:num w:numId="40">
    <w:abstractNumId w:val="14"/>
  </w:num>
  <w:num w:numId="41">
    <w:abstractNumId w:val="24"/>
  </w:num>
  <w:num w:numId="42">
    <w:abstractNumId w:val="42"/>
  </w:num>
  <w:num w:numId="43">
    <w:abstractNumId w:val="22"/>
  </w:num>
  <w:num w:numId="44">
    <w:abstractNumId w:val="26"/>
  </w:num>
  <w:num w:numId="45">
    <w:abstractNumId w:val="4"/>
  </w:num>
  <w:num w:numId="46">
    <w:abstractNumId w:val="13"/>
  </w:num>
  <w:num w:numId="47">
    <w:abstractNumId w:val="11"/>
  </w:num>
  <w:num w:numId="48">
    <w:abstractNumId w:val="11"/>
  </w:num>
  <w:num w:numId="49">
    <w:abstractNumId w:val="12"/>
  </w:num>
  <w:num w:numId="50">
    <w:abstractNumId w:val="46"/>
  </w:num>
  <w:num w:numId="51">
    <w:abstractNumId w:val="20"/>
  </w:num>
  <w:num w:numId="52">
    <w:abstractNumId w:val="44"/>
  </w:num>
  <w:num w:numId="53">
    <w:abstractNumId w:val="5"/>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5C"/>
    <w:rsid w:val="00000661"/>
    <w:rsid w:val="00000793"/>
    <w:rsid w:val="000007C8"/>
    <w:rsid w:val="00000A0B"/>
    <w:rsid w:val="00000EAB"/>
    <w:rsid w:val="0000295D"/>
    <w:rsid w:val="00005ED5"/>
    <w:rsid w:val="00006C28"/>
    <w:rsid w:val="00007CEF"/>
    <w:rsid w:val="0001077E"/>
    <w:rsid w:val="00011A4D"/>
    <w:rsid w:val="0001318D"/>
    <w:rsid w:val="00013901"/>
    <w:rsid w:val="00013A2F"/>
    <w:rsid w:val="00014AA1"/>
    <w:rsid w:val="00014C2F"/>
    <w:rsid w:val="00014DD1"/>
    <w:rsid w:val="00017EB5"/>
    <w:rsid w:val="0002243E"/>
    <w:rsid w:val="00023074"/>
    <w:rsid w:val="00023222"/>
    <w:rsid w:val="00023E00"/>
    <w:rsid w:val="000241F9"/>
    <w:rsid w:val="00024246"/>
    <w:rsid w:val="000272AB"/>
    <w:rsid w:val="00027689"/>
    <w:rsid w:val="00030978"/>
    <w:rsid w:val="00030E27"/>
    <w:rsid w:val="00031401"/>
    <w:rsid w:val="00033BB9"/>
    <w:rsid w:val="00033BFB"/>
    <w:rsid w:val="0003433C"/>
    <w:rsid w:val="00035A1A"/>
    <w:rsid w:val="000368F0"/>
    <w:rsid w:val="0003756C"/>
    <w:rsid w:val="00037C44"/>
    <w:rsid w:val="00040129"/>
    <w:rsid w:val="00042E19"/>
    <w:rsid w:val="00044787"/>
    <w:rsid w:val="00045832"/>
    <w:rsid w:val="0004623E"/>
    <w:rsid w:val="00046F5E"/>
    <w:rsid w:val="00051422"/>
    <w:rsid w:val="00051BD2"/>
    <w:rsid w:val="00052164"/>
    <w:rsid w:val="000523E7"/>
    <w:rsid w:val="000535ED"/>
    <w:rsid w:val="000536CC"/>
    <w:rsid w:val="00053EB4"/>
    <w:rsid w:val="00055425"/>
    <w:rsid w:val="0005568E"/>
    <w:rsid w:val="000560F7"/>
    <w:rsid w:val="00057253"/>
    <w:rsid w:val="000573D1"/>
    <w:rsid w:val="00060153"/>
    <w:rsid w:val="0006304D"/>
    <w:rsid w:val="0006413D"/>
    <w:rsid w:val="000646FF"/>
    <w:rsid w:val="00065E76"/>
    <w:rsid w:val="00066012"/>
    <w:rsid w:val="000660F9"/>
    <w:rsid w:val="000669D0"/>
    <w:rsid w:val="00067382"/>
    <w:rsid w:val="000700D7"/>
    <w:rsid w:val="00070A8B"/>
    <w:rsid w:val="000741A0"/>
    <w:rsid w:val="00075242"/>
    <w:rsid w:val="00075AF0"/>
    <w:rsid w:val="0007777B"/>
    <w:rsid w:val="000809E1"/>
    <w:rsid w:val="0008238D"/>
    <w:rsid w:val="000824F4"/>
    <w:rsid w:val="000829DB"/>
    <w:rsid w:val="00084425"/>
    <w:rsid w:val="00085EE7"/>
    <w:rsid w:val="0008739F"/>
    <w:rsid w:val="00087D96"/>
    <w:rsid w:val="00090EE8"/>
    <w:rsid w:val="000929ED"/>
    <w:rsid w:val="00092C4F"/>
    <w:rsid w:val="00094186"/>
    <w:rsid w:val="0009456D"/>
    <w:rsid w:val="00094BAA"/>
    <w:rsid w:val="00097D97"/>
    <w:rsid w:val="00097F7B"/>
    <w:rsid w:val="000A0DBF"/>
    <w:rsid w:val="000A12B8"/>
    <w:rsid w:val="000A28BA"/>
    <w:rsid w:val="000A4336"/>
    <w:rsid w:val="000A470C"/>
    <w:rsid w:val="000A5B07"/>
    <w:rsid w:val="000A6D78"/>
    <w:rsid w:val="000B0BA5"/>
    <w:rsid w:val="000B0C37"/>
    <w:rsid w:val="000B0FED"/>
    <w:rsid w:val="000B2B24"/>
    <w:rsid w:val="000B3054"/>
    <w:rsid w:val="000B5B3B"/>
    <w:rsid w:val="000B7CC6"/>
    <w:rsid w:val="000C0D8E"/>
    <w:rsid w:val="000C255D"/>
    <w:rsid w:val="000C40EF"/>
    <w:rsid w:val="000C5643"/>
    <w:rsid w:val="000C5E67"/>
    <w:rsid w:val="000C6263"/>
    <w:rsid w:val="000C6307"/>
    <w:rsid w:val="000C65C3"/>
    <w:rsid w:val="000D0D9D"/>
    <w:rsid w:val="000D1333"/>
    <w:rsid w:val="000D3383"/>
    <w:rsid w:val="000D365A"/>
    <w:rsid w:val="000D3D0C"/>
    <w:rsid w:val="000D3E29"/>
    <w:rsid w:val="000D3F1C"/>
    <w:rsid w:val="000D4C88"/>
    <w:rsid w:val="000D5717"/>
    <w:rsid w:val="000D7151"/>
    <w:rsid w:val="000D744F"/>
    <w:rsid w:val="000D79E4"/>
    <w:rsid w:val="000E1A94"/>
    <w:rsid w:val="000E1F91"/>
    <w:rsid w:val="000E38F7"/>
    <w:rsid w:val="000E4E6E"/>
    <w:rsid w:val="000F0ACD"/>
    <w:rsid w:val="000F0CDB"/>
    <w:rsid w:val="000F4D02"/>
    <w:rsid w:val="000F67E1"/>
    <w:rsid w:val="000F6C6C"/>
    <w:rsid w:val="00100486"/>
    <w:rsid w:val="0010162E"/>
    <w:rsid w:val="00102045"/>
    <w:rsid w:val="00104CF0"/>
    <w:rsid w:val="001051D1"/>
    <w:rsid w:val="0010642B"/>
    <w:rsid w:val="00112BFC"/>
    <w:rsid w:val="001162FF"/>
    <w:rsid w:val="00116AE1"/>
    <w:rsid w:val="00116F30"/>
    <w:rsid w:val="001203C3"/>
    <w:rsid w:val="001234E5"/>
    <w:rsid w:val="00124873"/>
    <w:rsid w:val="00124F51"/>
    <w:rsid w:val="00125298"/>
    <w:rsid w:val="00125E78"/>
    <w:rsid w:val="00130FB8"/>
    <w:rsid w:val="0013107F"/>
    <w:rsid w:val="00131351"/>
    <w:rsid w:val="00131370"/>
    <w:rsid w:val="001315D4"/>
    <w:rsid w:val="00131B55"/>
    <w:rsid w:val="0013222D"/>
    <w:rsid w:val="001335B5"/>
    <w:rsid w:val="00133720"/>
    <w:rsid w:val="0013611C"/>
    <w:rsid w:val="001367D6"/>
    <w:rsid w:val="00137529"/>
    <w:rsid w:val="001410CD"/>
    <w:rsid w:val="001415AA"/>
    <w:rsid w:val="00143F5A"/>
    <w:rsid w:val="001453B7"/>
    <w:rsid w:val="00146287"/>
    <w:rsid w:val="001517E3"/>
    <w:rsid w:val="0015228A"/>
    <w:rsid w:val="00153F8C"/>
    <w:rsid w:val="0015450C"/>
    <w:rsid w:val="00156376"/>
    <w:rsid w:val="001570C2"/>
    <w:rsid w:val="00157309"/>
    <w:rsid w:val="00160D38"/>
    <w:rsid w:val="0016244D"/>
    <w:rsid w:val="0016570F"/>
    <w:rsid w:val="00165BBC"/>
    <w:rsid w:val="00166B6B"/>
    <w:rsid w:val="0016729E"/>
    <w:rsid w:val="00171BE9"/>
    <w:rsid w:val="0017456D"/>
    <w:rsid w:val="00175730"/>
    <w:rsid w:val="0017646E"/>
    <w:rsid w:val="00176750"/>
    <w:rsid w:val="00181AB1"/>
    <w:rsid w:val="00181C3C"/>
    <w:rsid w:val="00183962"/>
    <w:rsid w:val="00186B98"/>
    <w:rsid w:val="0019176E"/>
    <w:rsid w:val="001921CA"/>
    <w:rsid w:val="00192228"/>
    <w:rsid w:val="00194521"/>
    <w:rsid w:val="001953EC"/>
    <w:rsid w:val="00196142"/>
    <w:rsid w:val="00196653"/>
    <w:rsid w:val="00197819"/>
    <w:rsid w:val="001A0CCA"/>
    <w:rsid w:val="001A17A8"/>
    <w:rsid w:val="001A4354"/>
    <w:rsid w:val="001A60CC"/>
    <w:rsid w:val="001A72A5"/>
    <w:rsid w:val="001A7FE7"/>
    <w:rsid w:val="001B06B2"/>
    <w:rsid w:val="001B09DF"/>
    <w:rsid w:val="001B27FB"/>
    <w:rsid w:val="001B3757"/>
    <w:rsid w:val="001B3969"/>
    <w:rsid w:val="001B74A9"/>
    <w:rsid w:val="001C0C4A"/>
    <w:rsid w:val="001C3ADD"/>
    <w:rsid w:val="001C486F"/>
    <w:rsid w:val="001C4F0D"/>
    <w:rsid w:val="001C5262"/>
    <w:rsid w:val="001C58A6"/>
    <w:rsid w:val="001C5E53"/>
    <w:rsid w:val="001D0FF8"/>
    <w:rsid w:val="001D1937"/>
    <w:rsid w:val="001D200B"/>
    <w:rsid w:val="001D5019"/>
    <w:rsid w:val="001D673F"/>
    <w:rsid w:val="001E0B0C"/>
    <w:rsid w:val="001E1903"/>
    <w:rsid w:val="001E27BE"/>
    <w:rsid w:val="001E3412"/>
    <w:rsid w:val="001E39D5"/>
    <w:rsid w:val="001E3B73"/>
    <w:rsid w:val="001E4B64"/>
    <w:rsid w:val="001F0615"/>
    <w:rsid w:val="001F0D83"/>
    <w:rsid w:val="001F0EDE"/>
    <w:rsid w:val="001F2C84"/>
    <w:rsid w:val="001F5149"/>
    <w:rsid w:val="00200CCC"/>
    <w:rsid w:val="00201A77"/>
    <w:rsid w:val="00205ECF"/>
    <w:rsid w:val="00206789"/>
    <w:rsid w:val="00207B3E"/>
    <w:rsid w:val="00210FB7"/>
    <w:rsid w:val="00216265"/>
    <w:rsid w:val="002167AA"/>
    <w:rsid w:val="00216A1C"/>
    <w:rsid w:val="00221203"/>
    <w:rsid w:val="00223717"/>
    <w:rsid w:val="0022398E"/>
    <w:rsid w:val="00223F64"/>
    <w:rsid w:val="00224455"/>
    <w:rsid w:val="00224480"/>
    <w:rsid w:val="00224A67"/>
    <w:rsid w:val="00224C90"/>
    <w:rsid w:val="00225290"/>
    <w:rsid w:val="0022567D"/>
    <w:rsid w:val="00225A3A"/>
    <w:rsid w:val="00225AC6"/>
    <w:rsid w:val="00225D08"/>
    <w:rsid w:val="0023044D"/>
    <w:rsid w:val="00230FB2"/>
    <w:rsid w:val="00231F84"/>
    <w:rsid w:val="00232332"/>
    <w:rsid w:val="002325BB"/>
    <w:rsid w:val="00233281"/>
    <w:rsid w:val="002332C8"/>
    <w:rsid w:val="002337FA"/>
    <w:rsid w:val="00233C02"/>
    <w:rsid w:val="002348BD"/>
    <w:rsid w:val="0023695B"/>
    <w:rsid w:val="00236A30"/>
    <w:rsid w:val="00240A9C"/>
    <w:rsid w:val="00241868"/>
    <w:rsid w:val="00243806"/>
    <w:rsid w:val="002446AC"/>
    <w:rsid w:val="0024487E"/>
    <w:rsid w:val="00244FA0"/>
    <w:rsid w:val="002455A4"/>
    <w:rsid w:val="002458BC"/>
    <w:rsid w:val="0024667E"/>
    <w:rsid w:val="002473E4"/>
    <w:rsid w:val="00250D1A"/>
    <w:rsid w:val="002511B5"/>
    <w:rsid w:val="00251A04"/>
    <w:rsid w:val="00251B4B"/>
    <w:rsid w:val="00252A1E"/>
    <w:rsid w:val="00252CAB"/>
    <w:rsid w:val="00254F17"/>
    <w:rsid w:val="002562E5"/>
    <w:rsid w:val="002577C4"/>
    <w:rsid w:val="00257F8E"/>
    <w:rsid w:val="002602F0"/>
    <w:rsid w:val="00261E95"/>
    <w:rsid w:val="002624C0"/>
    <w:rsid w:val="00263180"/>
    <w:rsid w:val="00265BCF"/>
    <w:rsid w:val="00266333"/>
    <w:rsid w:val="002667EE"/>
    <w:rsid w:val="00267653"/>
    <w:rsid w:val="00267A8A"/>
    <w:rsid w:val="00267BB2"/>
    <w:rsid w:val="0027046B"/>
    <w:rsid w:val="00270E97"/>
    <w:rsid w:val="0027105E"/>
    <w:rsid w:val="002717C3"/>
    <w:rsid w:val="00271D9C"/>
    <w:rsid w:val="002733C8"/>
    <w:rsid w:val="00273A9E"/>
    <w:rsid w:val="0027415B"/>
    <w:rsid w:val="00274AA6"/>
    <w:rsid w:val="002756B5"/>
    <w:rsid w:val="00275898"/>
    <w:rsid w:val="00276391"/>
    <w:rsid w:val="00277B38"/>
    <w:rsid w:val="00280BD9"/>
    <w:rsid w:val="0028245B"/>
    <w:rsid w:val="002826BD"/>
    <w:rsid w:val="00282779"/>
    <w:rsid w:val="00283A92"/>
    <w:rsid w:val="00284535"/>
    <w:rsid w:val="00284743"/>
    <w:rsid w:val="00284AB9"/>
    <w:rsid w:val="00285031"/>
    <w:rsid w:val="002856F4"/>
    <w:rsid w:val="002859DA"/>
    <w:rsid w:val="00285BD1"/>
    <w:rsid w:val="00285F61"/>
    <w:rsid w:val="00290450"/>
    <w:rsid w:val="00291940"/>
    <w:rsid w:val="00291BD4"/>
    <w:rsid w:val="00293949"/>
    <w:rsid w:val="00293A4E"/>
    <w:rsid w:val="00293C4B"/>
    <w:rsid w:val="00295667"/>
    <w:rsid w:val="00295931"/>
    <w:rsid w:val="002979DF"/>
    <w:rsid w:val="00297CB7"/>
    <w:rsid w:val="002A0B09"/>
    <w:rsid w:val="002A208D"/>
    <w:rsid w:val="002A3703"/>
    <w:rsid w:val="002A7337"/>
    <w:rsid w:val="002A7DCC"/>
    <w:rsid w:val="002B0704"/>
    <w:rsid w:val="002B0CB5"/>
    <w:rsid w:val="002B0E6F"/>
    <w:rsid w:val="002B25E0"/>
    <w:rsid w:val="002B384F"/>
    <w:rsid w:val="002B4F50"/>
    <w:rsid w:val="002B59EE"/>
    <w:rsid w:val="002B631A"/>
    <w:rsid w:val="002C0D26"/>
    <w:rsid w:val="002C155D"/>
    <w:rsid w:val="002C163B"/>
    <w:rsid w:val="002C33DB"/>
    <w:rsid w:val="002C368B"/>
    <w:rsid w:val="002C3B69"/>
    <w:rsid w:val="002C50C3"/>
    <w:rsid w:val="002D08B7"/>
    <w:rsid w:val="002D14DE"/>
    <w:rsid w:val="002D1937"/>
    <w:rsid w:val="002D1A40"/>
    <w:rsid w:val="002D1CD9"/>
    <w:rsid w:val="002D2FD4"/>
    <w:rsid w:val="002D5741"/>
    <w:rsid w:val="002D6F4C"/>
    <w:rsid w:val="002D723F"/>
    <w:rsid w:val="002D7B91"/>
    <w:rsid w:val="002D7ECC"/>
    <w:rsid w:val="002E0E33"/>
    <w:rsid w:val="002E17C9"/>
    <w:rsid w:val="002E225F"/>
    <w:rsid w:val="002E485E"/>
    <w:rsid w:val="002E66C0"/>
    <w:rsid w:val="002E7E8C"/>
    <w:rsid w:val="002F07E6"/>
    <w:rsid w:val="002F0FD9"/>
    <w:rsid w:val="002F2CD1"/>
    <w:rsid w:val="002F36F4"/>
    <w:rsid w:val="002F4C65"/>
    <w:rsid w:val="002F54C7"/>
    <w:rsid w:val="002F5F3C"/>
    <w:rsid w:val="002F6542"/>
    <w:rsid w:val="002F6BCC"/>
    <w:rsid w:val="002F7266"/>
    <w:rsid w:val="002F75D0"/>
    <w:rsid w:val="00300765"/>
    <w:rsid w:val="00300D62"/>
    <w:rsid w:val="00301AEA"/>
    <w:rsid w:val="00302831"/>
    <w:rsid w:val="00302D9A"/>
    <w:rsid w:val="003032B0"/>
    <w:rsid w:val="00303DA3"/>
    <w:rsid w:val="003044B7"/>
    <w:rsid w:val="00310760"/>
    <w:rsid w:val="0031587F"/>
    <w:rsid w:val="00317105"/>
    <w:rsid w:val="003207F4"/>
    <w:rsid w:val="00320C60"/>
    <w:rsid w:val="00320EBB"/>
    <w:rsid w:val="003214AE"/>
    <w:rsid w:val="0032346E"/>
    <w:rsid w:val="00324DE1"/>
    <w:rsid w:val="0032594E"/>
    <w:rsid w:val="00325F4D"/>
    <w:rsid w:val="003263CD"/>
    <w:rsid w:val="00326452"/>
    <w:rsid w:val="0032717A"/>
    <w:rsid w:val="00333DA6"/>
    <w:rsid w:val="00334DDB"/>
    <w:rsid w:val="0034211E"/>
    <w:rsid w:val="0034242E"/>
    <w:rsid w:val="00342742"/>
    <w:rsid w:val="00342DDC"/>
    <w:rsid w:val="00343576"/>
    <w:rsid w:val="00344ECA"/>
    <w:rsid w:val="00344F4D"/>
    <w:rsid w:val="0034591A"/>
    <w:rsid w:val="00345C7A"/>
    <w:rsid w:val="00350380"/>
    <w:rsid w:val="00351662"/>
    <w:rsid w:val="00351A01"/>
    <w:rsid w:val="003548BE"/>
    <w:rsid w:val="00357874"/>
    <w:rsid w:val="00362F26"/>
    <w:rsid w:val="00363684"/>
    <w:rsid w:val="0036534F"/>
    <w:rsid w:val="00365A11"/>
    <w:rsid w:val="0036617A"/>
    <w:rsid w:val="0036760C"/>
    <w:rsid w:val="00370347"/>
    <w:rsid w:val="00371E27"/>
    <w:rsid w:val="00372BC6"/>
    <w:rsid w:val="00374233"/>
    <w:rsid w:val="003745D4"/>
    <w:rsid w:val="003765F8"/>
    <w:rsid w:val="0037786F"/>
    <w:rsid w:val="00377C20"/>
    <w:rsid w:val="003811C7"/>
    <w:rsid w:val="0038197D"/>
    <w:rsid w:val="003822C0"/>
    <w:rsid w:val="00382BDE"/>
    <w:rsid w:val="0038321C"/>
    <w:rsid w:val="00383DB8"/>
    <w:rsid w:val="00385035"/>
    <w:rsid w:val="00387E99"/>
    <w:rsid w:val="00390E58"/>
    <w:rsid w:val="00391091"/>
    <w:rsid w:val="00392E0B"/>
    <w:rsid w:val="003934BF"/>
    <w:rsid w:val="00393E46"/>
    <w:rsid w:val="0039472C"/>
    <w:rsid w:val="00394CC1"/>
    <w:rsid w:val="00395A96"/>
    <w:rsid w:val="0039662B"/>
    <w:rsid w:val="0039779F"/>
    <w:rsid w:val="00397E57"/>
    <w:rsid w:val="003A17BE"/>
    <w:rsid w:val="003A304A"/>
    <w:rsid w:val="003A328C"/>
    <w:rsid w:val="003A336B"/>
    <w:rsid w:val="003A59B0"/>
    <w:rsid w:val="003A70A0"/>
    <w:rsid w:val="003A7EE3"/>
    <w:rsid w:val="003B0690"/>
    <w:rsid w:val="003B13FD"/>
    <w:rsid w:val="003B149E"/>
    <w:rsid w:val="003B1FED"/>
    <w:rsid w:val="003B2FA4"/>
    <w:rsid w:val="003B4205"/>
    <w:rsid w:val="003B591B"/>
    <w:rsid w:val="003B63A5"/>
    <w:rsid w:val="003B6D1B"/>
    <w:rsid w:val="003B760C"/>
    <w:rsid w:val="003C10C6"/>
    <w:rsid w:val="003C29BA"/>
    <w:rsid w:val="003C2F1C"/>
    <w:rsid w:val="003C56B8"/>
    <w:rsid w:val="003C6FE2"/>
    <w:rsid w:val="003D03D6"/>
    <w:rsid w:val="003D0FB6"/>
    <w:rsid w:val="003D43B5"/>
    <w:rsid w:val="003D5200"/>
    <w:rsid w:val="003E0516"/>
    <w:rsid w:val="003E1443"/>
    <w:rsid w:val="003E3A9B"/>
    <w:rsid w:val="003E40A4"/>
    <w:rsid w:val="003E4564"/>
    <w:rsid w:val="003E4ABC"/>
    <w:rsid w:val="003E5E42"/>
    <w:rsid w:val="003E645F"/>
    <w:rsid w:val="003E7A0B"/>
    <w:rsid w:val="003F05EF"/>
    <w:rsid w:val="003F3883"/>
    <w:rsid w:val="003F5929"/>
    <w:rsid w:val="004011C8"/>
    <w:rsid w:val="004029E8"/>
    <w:rsid w:val="004035B9"/>
    <w:rsid w:val="004043E2"/>
    <w:rsid w:val="004046D2"/>
    <w:rsid w:val="00404A70"/>
    <w:rsid w:val="004051C1"/>
    <w:rsid w:val="00405760"/>
    <w:rsid w:val="004062F2"/>
    <w:rsid w:val="004068EC"/>
    <w:rsid w:val="00406CC5"/>
    <w:rsid w:val="00407EC4"/>
    <w:rsid w:val="00411F68"/>
    <w:rsid w:val="00412899"/>
    <w:rsid w:val="00412D82"/>
    <w:rsid w:val="00413757"/>
    <w:rsid w:val="00413FD2"/>
    <w:rsid w:val="0041508F"/>
    <w:rsid w:val="00415339"/>
    <w:rsid w:val="00415E21"/>
    <w:rsid w:val="00415F08"/>
    <w:rsid w:val="00416149"/>
    <w:rsid w:val="00416D97"/>
    <w:rsid w:val="00416E5A"/>
    <w:rsid w:val="00420842"/>
    <w:rsid w:val="00421D5E"/>
    <w:rsid w:val="004268E7"/>
    <w:rsid w:val="00427753"/>
    <w:rsid w:val="00427CCD"/>
    <w:rsid w:val="00427F1D"/>
    <w:rsid w:val="004304EF"/>
    <w:rsid w:val="00431DD3"/>
    <w:rsid w:val="00432099"/>
    <w:rsid w:val="00432C93"/>
    <w:rsid w:val="004356CE"/>
    <w:rsid w:val="004359F7"/>
    <w:rsid w:val="00435E73"/>
    <w:rsid w:val="00436CF3"/>
    <w:rsid w:val="0043721A"/>
    <w:rsid w:val="00441A26"/>
    <w:rsid w:val="00441CF7"/>
    <w:rsid w:val="0044215D"/>
    <w:rsid w:val="00443595"/>
    <w:rsid w:val="0044378B"/>
    <w:rsid w:val="00443E21"/>
    <w:rsid w:val="00446DF6"/>
    <w:rsid w:val="004470E0"/>
    <w:rsid w:val="00447217"/>
    <w:rsid w:val="00447BC4"/>
    <w:rsid w:val="004516A8"/>
    <w:rsid w:val="004525B8"/>
    <w:rsid w:val="0045297B"/>
    <w:rsid w:val="0045349A"/>
    <w:rsid w:val="0045349C"/>
    <w:rsid w:val="00454E2A"/>
    <w:rsid w:val="00455509"/>
    <w:rsid w:val="00455E19"/>
    <w:rsid w:val="00456019"/>
    <w:rsid w:val="00456E46"/>
    <w:rsid w:val="00457A76"/>
    <w:rsid w:val="004609B3"/>
    <w:rsid w:val="00462821"/>
    <w:rsid w:val="00462B76"/>
    <w:rsid w:val="00464569"/>
    <w:rsid w:val="004654F8"/>
    <w:rsid w:val="00465A74"/>
    <w:rsid w:val="00465D47"/>
    <w:rsid w:val="00465E92"/>
    <w:rsid w:val="00467D56"/>
    <w:rsid w:val="00470E35"/>
    <w:rsid w:val="004715F4"/>
    <w:rsid w:val="004716D5"/>
    <w:rsid w:val="00474B94"/>
    <w:rsid w:val="00475F5D"/>
    <w:rsid w:val="004802AB"/>
    <w:rsid w:val="00481383"/>
    <w:rsid w:val="00482DBC"/>
    <w:rsid w:val="004832F7"/>
    <w:rsid w:val="00484C02"/>
    <w:rsid w:val="0048688C"/>
    <w:rsid w:val="00486E6A"/>
    <w:rsid w:val="004872A2"/>
    <w:rsid w:val="00493591"/>
    <w:rsid w:val="00493908"/>
    <w:rsid w:val="00497461"/>
    <w:rsid w:val="00497908"/>
    <w:rsid w:val="0049793B"/>
    <w:rsid w:val="004A1DCB"/>
    <w:rsid w:val="004A1F2C"/>
    <w:rsid w:val="004A247D"/>
    <w:rsid w:val="004A2996"/>
    <w:rsid w:val="004A380E"/>
    <w:rsid w:val="004A588D"/>
    <w:rsid w:val="004A7465"/>
    <w:rsid w:val="004B426B"/>
    <w:rsid w:val="004B45B3"/>
    <w:rsid w:val="004B5ACD"/>
    <w:rsid w:val="004B5CBA"/>
    <w:rsid w:val="004B7ED4"/>
    <w:rsid w:val="004C300F"/>
    <w:rsid w:val="004C3E49"/>
    <w:rsid w:val="004C7C77"/>
    <w:rsid w:val="004D0964"/>
    <w:rsid w:val="004D2E70"/>
    <w:rsid w:val="004D4405"/>
    <w:rsid w:val="004D49F9"/>
    <w:rsid w:val="004D4D8B"/>
    <w:rsid w:val="004D7361"/>
    <w:rsid w:val="004E3CEE"/>
    <w:rsid w:val="004E52EE"/>
    <w:rsid w:val="004E5BE2"/>
    <w:rsid w:val="004E7898"/>
    <w:rsid w:val="004F0ECC"/>
    <w:rsid w:val="004F16C4"/>
    <w:rsid w:val="004F1A06"/>
    <w:rsid w:val="004F295A"/>
    <w:rsid w:val="004F3AAB"/>
    <w:rsid w:val="004F4AB0"/>
    <w:rsid w:val="004F56A4"/>
    <w:rsid w:val="004F5E3A"/>
    <w:rsid w:val="004F6CE5"/>
    <w:rsid w:val="00501321"/>
    <w:rsid w:val="00501479"/>
    <w:rsid w:val="00502314"/>
    <w:rsid w:val="00503272"/>
    <w:rsid w:val="00503426"/>
    <w:rsid w:val="00505C24"/>
    <w:rsid w:val="0050742C"/>
    <w:rsid w:val="00507F40"/>
    <w:rsid w:val="005116F2"/>
    <w:rsid w:val="00512F2E"/>
    <w:rsid w:val="005148D8"/>
    <w:rsid w:val="00515863"/>
    <w:rsid w:val="00515FD6"/>
    <w:rsid w:val="0051634A"/>
    <w:rsid w:val="00517308"/>
    <w:rsid w:val="00520000"/>
    <w:rsid w:val="005247C2"/>
    <w:rsid w:val="00526AA0"/>
    <w:rsid w:val="005275DF"/>
    <w:rsid w:val="0053124B"/>
    <w:rsid w:val="00533D2B"/>
    <w:rsid w:val="0053410F"/>
    <w:rsid w:val="0053416F"/>
    <w:rsid w:val="00536956"/>
    <w:rsid w:val="0053726E"/>
    <w:rsid w:val="00537920"/>
    <w:rsid w:val="00541445"/>
    <w:rsid w:val="00541DAD"/>
    <w:rsid w:val="00542BBA"/>
    <w:rsid w:val="00543F63"/>
    <w:rsid w:val="005441D7"/>
    <w:rsid w:val="00544817"/>
    <w:rsid w:val="00547C7F"/>
    <w:rsid w:val="0055072E"/>
    <w:rsid w:val="005507A4"/>
    <w:rsid w:val="00550902"/>
    <w:rsid w:val="00550EED"/>
    <w:rsid w:val="0055310F"/>
    <w:rsid w:val="005534DB"/>
    <w:rsid w:val="00553C5D"/>
    <w:rsid w:val="00554097"/>
    <w:rsid w:val="00554211"/>
    <w:rsid w:val="00554767"/>
    <w:rsid w:val="0055537B"/>
    <w:rsid w:val="005569C4"/>
    <w:rsid w:val="00556AEC"/>
    <w:rsid w:val="00562DDD"/>
    <w:rsid w:val="00563E3C"/>
    <w:rsid w:val="00564C98"/>
    <w:rsid w:val="00566A5D"/>
    <w:rsid w:val="00566F3C"/>
    <w:rsid w:val="0056750E"/>
    <w:rsid w:val="005678AE"/>
    <w:rsid w:val="00567EDD"/>
    <w:rsid w:val="00572740"/>
    <w:rsid w:val="00572E9D"/>
    <w:rsid w:val="005751C4"/>
    <w:rsid w:val="00575B8A"/>
    <w:rsid w:val="0057785F"/>
    <w:rsid w:val="005823A5"/>
    <w:rsid w:val="00582B0A"/>
    <w:rsid w:val="00582D57"/>
    <w:rsid w:val="00583BC8"/>
    <w:rsid w:val="005841FC"/>
    <w:rsid w:val="005848F4"/>
    <w:rsid w:val="00585924"/>
    <w:rsid w:val="00586A17"/>
    <w:rsid w:val="00586EB6"/>
    <w:rsid w:val="0058770C"/>
    <w:rsid w:val="0059047B"/>
    <w:rsid w:val="00590999"/>
    <w:rsid w:val="005914B7"/>
    <w:rsid w:val="005930EE"/>
    <w:rsid w:val="0059310C"/>
    <w:rsid w:val="00593D93"/>
    <w:rsid w:val="00594005"/>
    <w:rsid w:val="00594CEE"/>
    <w:rsid w:val="0059623F"/>
    <w:rsid w:val="00596E06"/>
    <w:rsid w:val="00597494"/>
    <w:rsid w:val="005A0E4F"/>
    <w:rsid w:val="005A2225"/>
    <w:rsid w:val="005A2D59"/>
    <w:rsid w:val="005A3429"/>
    <w:rsid w:val="005A34DF"/>
    <w:rsid w:val="005A4D70"/>
    <w:rsid w:val="005A4DB3"/>
    <w:rsid w:val="005A5881"/>
    <w:rsid w:val="005A6CB0"/>
    <w:rsid w:val="005A7266"/>
    <w:rsid w:val="005B0D98"/>
    <w:rsid w:val="005B11AE"/>
    <w:rsid w:val="005B13B8"/>
    <w:rsid w:val="005B1494"/>
    <w:rsid w:val="005B29C8"/>
    <w:rsid w:val="005B4BD9"/>
    <w:rsid w:val="005B4FDE"/>
    <w:rsid w:val="005B6104"/>
    <w:rsid w:val="005B62FE"/>
    <w:rsid w:val="005B6838"/>
    <w:rsid w:val="005B6E19"/>
    <w:rsid w:val="005B7B24"/>
    <w:rsid w:val="005C0290"/>
    <w:rsid w:val="005C05A6"/>
    <w:rsid w:val="005C1BFF"/>
    <w:rsid w:val="005C2A63"/>
    <w:rsid w:val="005C2EF6"/>
    <w:rsid w:val="005C4766"/>
    <w:rsid w:val="005C4844"/>
    <w:rsid w:val="005C49E7"/>
    <w:rsid w:val="005D06C0"/>
    <w:rsid w:val="005D1801"/>
    <w:rsid w:val="005D6430"/>
    <w:rsid w:val="005D6B49"/>
    <w:rsid w:val="005D7186"/>
    <w:rsid w:val="005E0944"/>
    <w:rsid w:val="005E18C8"/>
    <w:rsid w:val="005E20BD"/>
    <w:rsid w:val="005E4822"/>
    <w:rsid w:val="005E5DD7"/>
    <w:rsid w:val="005E6B68"/>
    <w:rsid w:val="005E7354"/>
    <w:rsid w:val="005E78D5"/>
    <w:rsid w:val="005F127B"/>
    <w:rsid w:val="005F1343"/>
    <w:rsid w:val="005F1507"/>
    <w:rsid w:val="005F3A29"/>
    <w:rsid w:val="005F47CE"/>
    <w:rsid w:val="005F49BC"/>
    <w:rsid w:val="005F4F0A"/>
    <w:rsid w:val="005F5ECA"/>
    <w:rsid w:val="005F63DE"/>
    <w:rsid w:val="005F6633"/>
    <w:rsid w:val="005F6646"/>
    <w:rsid w:val="006007BE"/>
    <w:rsid w:val="00603190"/>
    <w:rsid w:val="006033AA"/>
    <w:rsid w:val="00604BCC"/>
    <w:rsid w:val="00605213"/>
    <w:rsid w:val="00607499"/>
    <w:rsid w:val="00607AD8"/>
    <w:rsid w:val="00607AF4"/>
    <w:rsid w:val="00607AFA"/>
    <w:rsid w:val="00611176"/>
    <w:rsid w:val="006112AE"/>
    <w:rsid w:val="00612D0A"/>
    <w:rsid w:val="00613FF0"/>
    <w:rsid w:val="0061461A"/>
    <w:rsid w:val="006146C8"/>
    <w:rsid w:val="0061649F"/>
    <w:rsid w:val="006174BD"/>
    <w:rsid w:val="00617D1E"/>
    <w:rsid w:val="00622E4D"/>
    <w:rsid w:val="00623999"/>
    <w:rsid w:val="00624A6C"/>
    <w:rsid w:val="00624C74"/>
    <w:rsid w:val="00630266"/>
    <w:rsid w:val="00630F34"/>
    <w:rsid w:val="0063221B"/>
    <w:rsid w:val="00633E15"/>
    <w:rsid w:val="006340AA"/>
    <w:rsid w:val="00635E1C"/>
    <w:rsid w:val="0063610D"/>
    <w:rsid w:val="00636638"/>
    <w:rsid w:val="00640A07"/>
    <w:rsid w:val="00641723"/>
    <w:rsid w:val="00643470"/>
    <w:rsid w:val="00644F7C"/>
    <w:rsid w:val="00646549"/>
    <w:rsid w:val="00650CED"/>
    <w:rsid w:val="00651B8B"/>
    <w:rsid w:val="00651D4C"/>
    <w:rsid w:val="006539BB"/>
    <w:rsid w:val="00653D83"/>
    <w:rsid w:val="00654DDD"/>
    <w:rsid w:val="0065537D"/>
    <w:rsid w:val="00655C82"/>
    <w:rsid w:val="006561A6"/>
    <w:rsid w:val="006574C1"/>
    <w:rsid w:val="00663B15"/>
    <w:rsid w:val="00663E8C"/>
    <w:rsid w:val="006640FF"/>
    <w:rsid w:val="00666C39"/>
    <w:rsid w:val="00667735"/>
    <w:rsid w:val="00667959"/>
    <w:rsid w:val="00670BD9"/>
    <w:rsid w:val="0067206D"/>
    <w:rsid w:val="0067567A"/>
    <w:rsid w:val="00675940"/>
    <w:rsid w:val="006760E7"/>
    <w:rsid w:val="00677205"/>
    <w:rsid w:val="00682E77"/>
    <w:rsid w:val="00683526"/>
    <w:rsid w:val="00683D0F"/>
    <w:rsid w:val="0068529F"/>
    <w:rsid w:val="00686305"/>
    <w:rsid w:val="006865B1"/>
    <w:rsid w:val="006868B2"/>
    <w:rsid w:val="006928A6"/>
    <w:rsid w:val="00692DFF"/>
    <w:rsid w:val="00694134"/>
    <w:rsid w:val="00695736"/>
    <w:rsid w:val="00695988"/>
    <w:rsid w:val="00695D25"/>
    <w:rsid w:val="00695FC0"/>
    <w:rsid w:val="00696BDD"/>
    <w:rsid w:val="006A084C"/>
    <w:rsid w:val="006A0DED"/>
    <w:rsid w:val="006A1038"/>
    <w:rsid w:val="006A25D3"/>
    <w:rsid w:val="006A3C2D"/>
    <w:rsid w:val="006A3FF1"/>
    <w:rsid w:val="006A4419"/>
    <w:rsid w:val="006A6789"/>
    <w:rsid w:val="006A79A4"/>
    <w:rsid w:val="006B174F"/>
    <w:rsid w:val="006B1AAE"/>
    <w:rsid w:val="006B3062"/>
    <w:rsid w:val="006B43DA"/>
    <w:rsid w:val="006B4DE6"/>
    <w:rsid w:val="006B5D49"/>
    <w:rsid w:val="006B7DEA"/>
    <w:rsid w:val="006B7E56"/>
    <w:rsid w:val="006C0FA4"/>
    <w:rsid w:val="006C1053"/>
    <w:rsid w:val="006C13A4"/>
    <w:rsid w:val="006C172B"/>
    <w:rsid w:val="006C1D31"/>
    <w:rsid w:val="006C4170"/>
    <w:rsid w:val="006C4897"/>
    <w:rsid w:val="006C66E3"/>
    <w:rsid w:val="006C72BE"/>
    <w:rsid w:val="006D1CC7"/>
    <w:rsid w:val="006D5808"/>
    <w:rsid w:val="006D67CE"/>
    <w:rsid w:val="006D726E"/>
    <w:rsid w:val="006E1BF0"/>
    <w:rsid w:val="006E39E6"/>
    <w:rsid w:val="006E3C63"/>
    <w:rsid w:val="006E6155"/>
    <w:rsid w:val="006F0FD9"/>
    <w:rsid w:val="006F298C"/>
    <w:rsid w:val="006F4DC9"/>
    <w:rsid w:val="006F6A2D"/>
    <w:rsid w:val="00700995"/>
    <w:rsid w:val="00700B26"/>
    <w:rsid w:val="0070193A"/>
    <w:rsid w:val="00704F53"/>
    <w:rsid w:val="007063BA"/>
    <w:rsid w:val="00707E91"/>
    <w:rsid w:val="00710C50"/>
    <w:rsid w:val="00712B50"/>
    <w:rsid w:val="007150B5"/>
    <w:rsid w:val="0071676D"/>
    <w:rsid w:val="00716986"/>
    <w:rsid w:val="00716CF0"/>
    <w:rsid w:val="00720544"/>
    <w:rsid w:val="00720B50"/>
    <w:rsid w:val="00720E9C"/>
    <w:rsid w:val="00722830"/>
    <w:rsid w:val="00722C85"/>
    <w:rsid w:val="0072427F"/>
    <w:rsid w:val="00724E2C"/>
    <w:rsid w:val="007261AE"/>
    <w:rsid w:val="0072644B"/>
    <w:rsid w:val="00726F02"/>
    <w:rsid w:val="007274AA"/>
    <w:rsid w:val="007306C8"/>
    <w:rsid w:val="00730945"/>
    <w:rsid w:val="00732148"/>
    <w:rsid w:val="00734CFC"/>
    <w:rsid w:val="0073688D"/>
    <w:rsid w:val="00740F43"/>
    <w:rsid w:val="007417C0"/>
    <w:rsid w:val="0074329E"/>
    <w:rsid w:val="00744E4F"/>
    <w:rsid w:val="0074655D"/>
    <w:rsid w:val="00747876"/>
    <w:rsid w:val="007513E3"/>
    <w:rsid w:val="00751795"/>
    <w:rsid w:val="0075188D"/>
    <w:rsid w:val="00751FA2"/>
    <w:rsid w:val="00751FD8"/>
    <w:rsid w:val="00752E16"/>
    <w:rsid w:val="0075372B"/>
    <w:rsid w:val="00754685"/>
    <w:rsid w:val="00757542"/>
    <w:rsid w:val="00757EC9"/>
    <w:rsid w:val="0076248F"/>
    <w:rsid w:val="00763B89"/>
    <w:rsid w:val="0076546C"/>
    <w:rsid w:val="00765B7C"/>
    <w:rsid w:val="00765D81"/>
    <w:rsid w:val="00766E2A"/>
    <w:rsid w:val="00767A6C"/>
    <w:rsid w:val="00770DA3"/>
    <w:rsid w:val="00771883"/>
    <w:rsid w:val="00771DA4"/>
    <w:rsid w:val="0077226B"/>
    <w:rsid w:val="0077285E"/>
    <w:rsid w:val="00773A81"/>
    <w:rsid w:val="00773C46"/>
    <w:rsid w:val="0077420D"/>
    <w:rsid w:val="0077519A"/>
    <w:rsid w:val="0077547E"/>
    <w:rsid w:val="00776DFC"/>
    <w:rsid w:val="007774B6"/>
    <w:rsid w:val="00780E1B"/>
    <w:rsid w:val="00782CC1"/>
    <w:rsid w:val="0078321D"/>
    <w:rsid w:val="007842AA"/>
    <w:rsid w:val="007842C4"/>
    <w:rsid w:val="007843C8"/>
    <w:rsid w:val="00785B9B"/>
    <w:rsid w:val="007878F0"/>
    <w:rsid w:val="007923C4"/>
    <w:rsid w:val="007966D9"/>
    <w:rsid w:val="007A053A"/>
    <w:rsid w:val="007A0862"/>
    <w:rsid w:val="007A0FB1"/>
    <w:rsid w:val="007A1841"/>
    <w:rsid w:val="007A19CB"/>
    <w:rsid w:val="007A281B"/>
    <w:rsid w:val="007A29BC"/>
    <w:rsid w:val="007A5C01"/>
    <w:rsid w:val="007A6F8B"/>
    <w:rsid w:val="007B2609"/>
    <w:rsid w:val="007B27DF"/>
    <w:rsid w:val="007B28DD"/>
    <w:rsid w:val="007B5121"/>
    <w:rsid w:val="007B5784"/>
    <w:rsid w:val="007B5A59"/>
    <w:rsid w:val="007B6227"/>
    <w:rsid w:val="007B6AEF"/>
    <w:rsid w:val="007B6D17"/>
    <w:rsid w:val="007B73C5"/>
    <w:rsid w:val="007C052F"/>
    <w:rsid w:val="007C0E35"/>
    <w:rsid w:val="007C1CDE"/>
    <w:rsid w:val="007C2595"/>
    <w:rsid w:val="007C28A4"/>
    <w:rsid w:val="007C31ED"/>
    <w:rsid w:val="007C40CE"/>
    <w:rsid w:val="007C58FC"/>
    <w:rsid w:val="007C5CE7"/>
    <w:rsid w:val="007C6E59"/>
    <w:rsid w:val="007C7787"/>
    <w:rsid w:val="007D08ED"/>
    <w:rsid w:val="007D17B7"/>
    <w:rsid w:val="007D3395"/>
    <w:rsid w:val="007D5910"/>
    <w:rsid w:val="007D5CF4"/>
    <w:rsid w:val="007D5D54"/>
    <w:rsid w:val="007D5DAC"/>
    <w:rsid w:val="007D7852"/>
    <w:rsid w:val="007E03B6"/>
    <w:rsid w:val="007E0911"/>
    <w:rsid w:val="007E0BF9"/>
    <w:rsid w:val="007E2A31"/>
    <w:rsid w:val="007E34D3"/>
    <w:rsid w:val="007E3AEF"/>
    <w:rsid w:val="007E6146"/>
    <w:rsid w:val="007F1E55"/>
    <w:rsid w:val="007F260B"/>
    <w:rsid w:val="007F2F88"/>
    <w:rsid w:val="007F335D"/>
    <w:rsid w:val="007F4EE3"/>
    <w:rsid w:val="007F6414"/>
    <w:rsid w:val="007F65DE"/>
    <w:rsid w:val="008004F2"/>
    <w:rsid w:val="00801A6C"/>
    <w:rsid w:val="0080363A"/>
    <w:rsid w:val="0080380B"/>
    <w:rsid w:val="008051B8"/>
    <w:rsid w:val="008052B3"/>
    <w:rsid w:val="00805843"/>
    <w:rsid w:val="0080700A"/>
    <w:rsid w:val="00807DCD"/>
    <w:rsid w:val="0081063C"/>
    <w:rsid w:val="008106F3"/>
    <w:rsid w:val="00810C46"/>
    <w:rsid w:val="00811CBE"/>
    <w:rsid w:val="008127D0"/>
    <w:rsid w:val="0081352F"/>
    <w:rsid w:val="00814FCC"/>
    <w:rsid w:val="00815BAF"/>
    <w:rsid w:val="00816471"/>
    <w:rsid w:val="008164E7"/>
    <w:rsid w:val="008168D8"/>
    <w:rsid w:val="00816BB1"/>
    <w:rsid w:val="00817B80"/>
    <w:rsid w:val="00820ACC"/>
    <w:rsid w:val="00823694"/>
    <w:rsid w:val="00824529"/>
    <w:rsid w:val="00824A0D"/>
    <w:rsid w:val="0082555E"/>
    <w:rsid w:val="008258F2"/>
    <w:rsid w:val="00826F4D"/>
    <w:rsid w:val="008277A3"/>
    <w:rsid w:val="0083034C"/>
    <w:rsid w:val="0083327A"/>
    <w:rsid w:val="00833445"/>
    <w:rsid w:val="00834A93"/>
    <w:rsid w:val="00836E53"/>
    <w:rsid w:val="00837010"/>
    <w:rsid w:val="008411D2"/>
    <w:rsid w:val="008415F5"/>
    <w:rsid w:val="00841858"/>
    <w:rsid w:val="008423F0"/>
    <w:rsid w:val="00842F8F"/>
    <w:rsid w:val="00842F96"/>
    <w:rsid w:val="00843EA1"/>
    <w:rsid w:val="00845217"/>
    <w:rsid w:val="0084556E"/>
    <w:rsid w:val="0084562D"/>
    <w:rsid w:val="00847D46"/>
    <w:rsid w:val="00847FF4"/>
    <w:rsid w:val="00851171"/>
    <w:rsid w:val="00851BA3"/>
    <w:rsid w:val="00852CE8"/>
    <w:rsid w:val="0085314A"/>
    <w:rsid w:val="00854CDB"/>
    <w:rsid w:val="00856DCC"/>
    <w:rsid w:val="00860742"/>
    <w:rsid w:val="00860A1C"/>
    <w:rsid w:val="00860C11"/>
    <w:rsid w:val="00861B36"/>
    <w:rsid w:val="00862427"/>
    <w:rsid w:val="00862945"/>
    <w:rsid w:val="00865DA3"/>
    <w:rsid w:val="00866878"/>
    <w:rsid w:val="0086705C"/>
    <w:rsid w:val="00867747"/>
    <w:rsid w:val="00867CF4"/>
    <w:rsid w:val="008725AA"/>
    <w:rsid w:val="00872B52"/>
    <w:rsid w:val="00873572"/>
    <w:rsid w:val="00874F67"/>
    <w:rsid w:val="0087567D"/>
    <w:rsid w:val="00875977"/>
    <w:rsid w:val="00880519"/>
    <w:rsid w:val="008810CB"/>
    <w:rsid w:val="008823CF"/>
    <w:rsid w:val="008842BC"/>
    <w:rsid w:val="00884FCD"/>
    <w:rsid w:val="00885694"/>
    <w:rsid w:val="00885BC8"/>
    <w:rsid w:val="0088609F"/>
    <w:rsid w:val="0089110F"/>
    <w:rsid w:val="008911E7"/>
    <w:rsid w:val="0089167F"/>
    <w:rsid w:val="0089286B"/>
    <w:rsid w:val="008928B6"/>
    <w:rsid w:val="008939E8"/>
    <w:rsid w:val="008944C1"/>
    <w:rsid w:val="0089493E"/>
    <w:rsid w:val="00894AB4"/>
    <w:rsid w:val="00894C30"/>
    <w:rsid w:val="00895B49"/>
    <w:rsid w:val="008962B8"/>
    <w:rsid w:val="00896C30"/>
    <w:rsid w:val="00896FB9"/>
    <w:rsid w:val="00897D13"/>
    <w:rsid w:val="008A0A1F"/>
    <w:rsid w:val="008A17A7"/>
    <w:rsid w:val="008A1D12"/>
    <w:rsid w:val="008A2616"/>
    <w:rsid w:val="008A29AB"/>
    <w:rsid w:val="008A3261"/>
    <w:rsid w:val="008A356E"/>
    <w:rsid w:val="008A3EC2"/>
    <w:rsid w:val="008A4C5C"/>
    <w:rsid w:val="008A5367"/>
    <w:rsid w:val="008A537F"/>
    <w:rsid w:val="008A5675"/>
    <w:rsid w:val="008B0A17"/>
    <w:rsid w:val="008B19EC"/>
    <w:rsid w:val="008B4194"/>
    <w:rsid w:val="008B4560"/>
    <w:rsid w:val="008B4E6C"/>
    <w:rsid w:val="008B5449"/>
    <w:rsid w:val="008B563A"/>
    <w:rsid w:val="008B57FD"/>
    <w:rsid w:val="008B7264"/>
    <w:rsid w:val="008B7F10"/>
    <w:rsid w:val="008C0470"/>
    <w:rsid w:val="008C05A4"/>
    <w:rsid w:val="008C1432"/>
    <w:rsid w:val="008C201F"/>
    <w:rsid w:val="008C22F1"/>
    <w:rsid w:val="008C4379"/>
    <w:rsid w:val="008C5A38"/>
    <w:rsid w:val="008C6486"/>
    <w:rsid w:val="008C6AED"/>
    <w:rsid w:val="008C71E2"/>
    <w:rsid w:val="008C723E"/>
    <w:rsid w:val="008D2ADB"/>
    <w:rsid w:val="008D4954"/>
    <w:rsid w:val="008D6EF2"/>
    <w:rsid w:val="008D6F5C"/>
    <w:rsid w:val="008D78BE"/>
    <w:rsid w:val="008E0617"/>
    <w:rsid w:val="008E3700"/>
    <w:rsid w:val="008E4DE9"/>
    <w:rsid w:val="008E5B98"/>
    <w:rsid w:val="008E724D"/>
    <w:rsid w:val="008F2003"/>
    <w:rsid w:val="008F3DA0"/>
    <w:rsid w:val="008F48FD"/>
    <w:rsid w:val="008F69D7"/>
    <w:rsid w:val="00902304"/>
    <w:rsid w:val="00902A7D"/>
    <w:rsid w:val="009037BC"/>
    <w:rsid w:val="00904776"/>
    <w:rsid w:val="00904A70"/>
    <w:rsid w:val="009074AE"/>
    <w:rsid w:val="00907AF6"/>
    <w:rsid w:val="00911053"/>
    <w:rsid w:val="009114D9"/>
    <w:rsid w:val="00911586"/>
    <w:rsid w:val="00912C39"/>
    <w:rsid w:val="0091542F"/>
    <w:rsid w:val="00915C33"/>
    <w:rsid w:val="00916A43"/>
    <w:rsid w:val="00920315"/>
    <w:rsid w:val="00920967"/>
    <w:rsid w:val="0092162C"/>
    <w:rsid w:val="0092187E"/>
    <w:rsid w:val="00923724"/>
    <w:rsid w:val="00924629"/>
    <w:rsid w:val="0092468E"/>
    <w:rsid w:val="009247A0"/>
    <w:rsid w:val="00924F97"/>
    <w:rsid w:val="0092693A"/>
    <w:rsid w:val="00927493"/>
    <w:rsid w:val="00930467"/>
    <w:rsid w:val="00930687"/>
    <w:rsid w:val="00930F71"/>
    <w:rsid w:val="00931243"/>
    <w:rsid w:val="00931365"/>
    <w:rsid w:val="00932712"/>
    <w:rsid w:val="0093668E"/>
    <w:rsid w:val="00936AFC"/>
    <w:rsid w:val="00941930"/>
    <w:rsid w:val="00943122"/>
    <w:rsid w:val="009447CA"/>
    <w:rsid w:val="00944957"/>
    <w:rsid w:val="00946420"/>
    <w:rsid w:val="00950391"/>
    <w:rsid w:val="009503C6"/>
    <w:rsid w:val="00951306"/>
    <w:rsid w:val="00952AB9"/>
    <w:rsid w:val="0095389B"/>
    <w:rsid w:val="0095482E"/>
    <w:rsid w:val="009578E1"/>
    <w:rsid w:val="009608A7"/>
    <w:rsid w:val="009612CC"/>
    <w:rsid w:val="009617F3"/>
    <w:rsid w:val="00961BBE"/>
    <w:rsid w:val="0096579D"/>
    <w:rsid w:val="00966D04"/>
    <w:rsid w:val="00967DD8"/>
    <w:rsid w:val="00970418"/>
    <w:rsid w:val="00970783"/>
    <w:rsid w:val="009709DB"/>
    <w:rsid w:val="00971E80"/>
    <w:rsid w:val="009724A5"/>
    <w:rsid w:val="00976D0E"/>
    <w:rsid w:val="00977F2B"/>
    <w:rsid w:val="0098044D"/>
    <w:rsid w:val="00981A38"/>
    <w:rsid w:val="00982136"/>
    <w:rsid w:val="0098226F"/>
    <w:rsid w:val="00982398"/>
    <w:rsid w:val="00982B75"/>
    <w:rsid w:val="00983DD0"/>
    <w:rsid w:val="009842F1"/>
    <w:rsid w:val="0098472C"/>
    <w:rsid w:val="0098473E"/>
    <w:rsid w:val="009852F7"/>
    <w:rsid w:val="00986329"/>
    <w:rsid w:val="0098670E"/>
    <w:rsid w:val="0099157B"/>
    <w:rsid w:val="0099178E"/>
    <w:rsid w:val="00992C49"/>
    <w:rsid w:val="0099361D"/>
    <w:rsid w:val="00993CED"/>
    <w:rsid w:val="009945FE"/>
    <w:rsid w:val="00994902"/>
    <w:rsid w:val="0099491E"/>
    <w:rsid w:val="00994955"/>
    <w:rsid w:val="009A0849"/>
    <w:rsid w:val="009A0E2F"/>
    <w:rsid w:val="009A11A2"/>
    <w:rsid w:val="009A145C"/>
    <w:rsid w:val="009A3CCC"/>
    <w:rsid w:val="009A5E7E"/>
    <w:rsid w:val="009B0BDA"/>
    <w:rsid w:val="009B0DA1"/>
    <w:rsid w:val="009B1BAE"/>
    <w:rsid w:val="009B21FC"/>
    <w:rsid w:val="009B2D05"/>
    <w:rsid w:val="009B509E"/>
    <w:rsid w:val="009B5B17"/>
    <w:rsid w:val="009B6894"/>
    <w:rsid w:val="009B6898"/>
    <w:rsid w:val="009B6EE1"/>
    <w:rsid w:val="009B7E65"/>
    <w:rsid w:val="009C1E58"/>
    <w:rsid w:val="009C1FB5"/>
    <w:rsid w:val="009C21DD"/>
    <w:rsid w:val="009C32B0"/>
    <w:rsid w:val="009C442A"/>
    <w:rsid w:val="009C495A"/>
    <w:rsid w:val="009C553D"/>
    <w:rsid w:val="009C63C4"/>
    <w:rsid w:val="009C6B19"/>
    <w:rsid w:val="009C72B4"/>
    <w:rsid w:val="009D1FA3"/>
    <w:rsid w:val="009D2135"/>
    <w:rsid w:val="009D3365"/>
    <w:rsid w:val="009D5626"/>
    <w:rsid w:val="009D59B9"/>
    <w:rsid w:val="009D7049"/>
    <w:rsid w:val="009D70EA"/>
    <w:rsid w:val="009E1236"/>
    <w:rsid w:val="009E20E0"/>
    <w:rsid w:val="009E239E"/>
    <w:rsid w:val="009E4537"/>
    <w:rsid w:val="009E46A7"/>
    <w:rsid w:val="009E5813"/>
    <w:rsid w:val="009E6B92"/>
    <w:rsid w:val="009E708A"/>
    <w:rsid w:val="009F09E7"/>
    <w:rsid w:val="009F0D7D"/>
    <w:rsid w:val="009F3DCD"/>
    <w:rsid w:val="009F4714"/>
    <w:rsid w:val="009F7C9B"/>
    <w:rsid w:val="00A00D12"/>
    <w:rsid w:val="00A0128A"/>
    <w:rsid w:val="00A03259"/>
    <w:rsid w:val="00A0510F"/>
    <w:rsid w:val="00A05539"/>
    <w:rsid w:val="00A057DB"/>
    <w:rsid w:val="00A05D31"/>
    <w:rsid w:val="00A05EC1"/>
    <w:rsid w:val="00A05FAD"/>
    <w:rsid w:val="00A07CD2"/>
    <w:rsid w:val="00A07EBD"/>
    <w:rsid w:val="00A11119"/>
    <w:rsid w:val="00A11892"/>
    <w:rsid w:val="00A12C2A"/>
    <w:rsid w:val="00A13EB1"/>
    <w:rsid w:val="00A140E9"/>
    <w:rsid w:val="00A14EC1"/>
    <w:rsid w:val="00A16572"/>
    <w:rsid w:val="00A174B9"/>
    <w:rsid w:val="00A17BC6"/>
    <w:rsid w:val="00A21748"/>
    <w:rsid w:val="00A22C3F"/>
    <w:rsid w:val="00A25E62"/>
    <w:rsid w:val="00A26921"/>
    <w:rsid w:val="00A27F89"/>
    <w:rsid w:val="00A303D3"/>
    <w:rsid w:val="00A31158"/>
    <w:rsid w:val="00A31707"/>
    <w:rsid w:val="00A32598"/>
    <w:rsid w:val="00A33342"/>
    <w:rsid w:val="00A33475"/>
    <w:rsid w:val="00A33529"/>
    <w:rsid w:val="00A35AAF"/>
    <w:rsid w:val="00A36E7E"/>
    <w:rsid w:val="00A3794D"/>
    <w:rsid w:val="00A456A8"/>
    <w:rsid w:val="00A46E2D"/>
    <w:rsid w:val="00A47AD3"/>
    <w:rsid w:val="00A50BF2"/>
    <w:rsid w:val="00A510A5"/>
    <w:rsid w:val="00A5304D"/>
    <w:rsid w:val="00A53A59"/>
    <w:rsid w:val="00A54C6D"/>
    <w:rsid w:val="00A56A6B"/>
    <w:rsid w:val="00A57515"/>
    <w:rsid w:val="00A57C8F"/>
    <w:rsid w:val="00A63A4C"/>
    <w:rsid w:val="00A63AD9"/>
    <w:rsid w:val="00A63B40"/>
    <w:rsid w:val="00A65537"/>
    <w:rsid w:val="00A65BA5"/>
    <w:rsid w:val="00A66200"/>
    <w:rsid w:val="00A662E1"/>
    <w:rsid w:val="00A7164F"/>
    <w:rsid w:val="00A71CCB"/>
    <w:rsid w:val="00A720D5"/>
    <w:rsid w:val="00A72F08"/>
    <w:rsid w:val="00A7334D"/>
    <w:rsid w:val="00A75F4A"/>
    <w:rsid w:val="00A76323"/>
    <w:rsid w:val="00A801A5"/>
    <w:rsid w:val="00A80CC7"/>
    <w:rsid w:val="00A81385"/>
    <w:rsid w:val="00A8141F"/>
    <w:rsid w:val="00A81DEB"/>
    <w:rsid w:val="00A82401"/>
    <w:rsid w:val="00A82CF3"/>
    <w:rsid w:val="00A8700A"/>
    <w:rsid w:val="00A876E7"/>
    <w:rsid w:val="00A87DEF"/>
    <w:rsid w:val="00A91301"/>
    <w:rsid w:val="00A91353"/>
    <w:rsid w:val="00A920B6"/>
    <w:rsid w:val="00A92B19"/>
    <w:rsid w:val="00A92E84"/>
    <w:rsid w:val="00A93279"/>
    <w:rsid w:val="00A93823"/>
    <w:rsid w:val="00A94F0E"/>
    <w:rsid w:val="00A95285"/>
    <w:rsid w:val="00A970CA"/>
    <w:rsid w:val="00AA06EF"/>
    <w:rsid w:val="00AA0AB0"/>
    <w:rsid w:val="00AA0B8F"/>
    <w:rsid w:val="00AA2580"/>
    <w:rsid w:val="00AA291E"/>
    <w:rsid w:val="00AA2D1E"/>
    <w:rsid w:val="00AA2EE0"/>
    <w:rsid w:val="00AA36FE"/>
    <w:rsid w:val="00AA3993"/>
    <w:rsid w:val="00AA41D2"/>
    <w:rsid w:val="00AA50B6"/>
    <w:rsid w:val="00AA5A1B"/>
    <w:rsid w:val="00AB1F61"/>
    <w:rsid w:val="00AB352D"/>
    <w:rsid w:val="00AB3F8F"/>
    <w:rsid w:val="00AB503E"/>
    <w:rsid w:val="00AB56E5"/>
    <w:rsid w:val="00AB58C6"/>
    <w:rsid w:val="00AB7283"/>
    <w:rsid w:val="00AB7A99"/>
    <w:rsid w:val="00AC096B"/>
    <w:rsid w:val="00AC11A6"/>
    <w:rsid w:val="00AC154A"/>
    <w:rsid w:val="00AC15D6"/>
    <w:rsid w:val="00AC2258"/>
    <w:rsid w:val="00AC2753"/>
    <w:rsid w:val="00AC391B"/>
    <w:rsid w:val="00AC3B73"/>
    <w:rsid w:val="00AC3E8D"/>
    <w:rsid w:val="00AC4FBC"/>
    <w:rsid w:val="00AC64CB"/>
    <w:rsid w:val="00AC6881"/>
    <w:rsid w:val="00AD18CF"/>
    <w:rsid w:val="00AD19AE"/>
    <w:rsid w:val="00AD3369"/>
    <w:rsid w:val="00AD7C29"/>
    <w:rsid w:val="00AE0714"/>
    <w:rsid w:val="00AE0901"/>
    <w:rsid w:val="00AE21AE"/>
    <w:rsid w:val="00AE280D"/>
    <w:rsid w:val="00AE2DC1"/>
    <w:rsid w:val="00AE4620"/>
    <w:rsid w:val="00AE4926"/>
    <w:rsid w:val="00AE5881"/>
    <w:rsid w:val="00AF10F5"/>
    <w:rsid w:val="00AF1986"/>
    <w:rsid w:val="00AF2186"/>
    <w:rsid w:val="00AF2637"/>
    <w:rsid w:val="00AF2D9C"/>
    <w:rsid w:val="00AF3826"/>
    <w:rsid w:val="00AF4BC8"/>
    <w:rsid w:val="00AF4C90"/>
    <w:rsid w:val="00AF5AF4"/>
    <w:rsid w:val="00AF5BAB"/>
    <w:rsid w:val="00AF5DB5"/>
    <w:rsid w:val="00AF63CA"/>
    <w:rsid w:val="00AF724B"/>
    <w:rsid w:val="00B0076B"/>
    <w:rsid w:val="00B00AE4"/>
    <w:rsid w:val="00B01620"/>
    <w:rsid w:val="00B024D5"/>
    <w:rsid w:val="00B02770"/>
    <w:rsid w:val="00B0388C"/>
    <w:rsid w:val="00B045AA"/>
    <w:rsid w:val="00B076A4"/>
    <w:rsid w:val="00B1022A"/>
    <w:rsid w:val="00B10A6D"/>
    <w:rsid w:val="00B10C51"/>
    <w:rsid w:val="00B113BA"/>
    <w:rsid w:val="00B129FF"/>
    <w:rsid w:val="00B13A72"/>
    <w:rsid w:val="00B149F4"/>
    <w:rsid w:val="00B14B9B"/>
    <w:rsid w:val="00B1509F"/>
    <w:rsid w:val="00B1539F"/>
    <w:rsid w:val="00B15B12"/>
    <w:rsid w:val="00B1648A"/>
    <w:rsid w:val="00B17414"/>
    <w:rsid w:val="00B17A98"/>
    <w:rsid w:val="00B17ACD"/>
    <w:rsid w:val="00B21F2C"/>
    <w:rsid w:val="00B23C9A"/>
    <w:rsid w:val="00B2436A"/>
    <w:rsid w:val="00B274BE"/>
    <w:rsid w:val="00B279AE"/>
    <w:rsid w:val="00B32E10"/>
    <w:rsid w:val="00B3358D"/>
    <w:rsid w:val="00B344CF"/>
    <w:rsid w:val="00B35F55"/>
    <w:rsid w:val="00B374FE"/>
    <w:rsid w:val="00B375DF"/>
    <w:rsid w:val="00B41345"/>
    <w:rsid w:val="00B4230E"/>
    <w:rsid w:val="00B42778"/>
    <w:rsid w:val="00B43243"/>
    <w:rsid w:val="00B43684"/>
    <w:rsid w:val="00B43E14"/>
    <w:rsid w:val="00B448E3"/>
    <w:rsid w:val="00B44F87"/>
    <w:rsid w:val="00B45EC9"/>
    <w:rsid w:val="00B4769B"/>
    <w:rsid w:val="00B47E2B"/>
    <w:rsid w:val="00B507D2"/>
    <w:rsid w:val="00B53954"/>
    <w:rsid w:val="00B53C42"/>
    <w:rsid w:val="00B5577A"/>
    <w:rsid w:val="00B572A5"/>
    <w:rsid w:val="00B646E7"/>
    <w:rsid w:val="00B66707"/>
    <w:rsid w:val="00B66C00"/>
    <w:rsid w:val="00B67103"/>
    <w:rsid w:val="00B71AA4"/>
    <w:rsid w:val="00B71CCD"/>
    <w:rsid w:val="00B72F4E"/>
    <w:rsid w:val="00B73D16"/>
    <w:rsid w:val="00B74C77"/>
    <w:rsid w:val="00B76C47"/>
    <w:rsid w:val="00B81AF7"/>
    <w:rsid w:val="00B82A10"/>
    <w:rsid w:val="00B833E4"/>
    <w:rsid w:val="00B83C15"/>
    <w:rsid w:val="00B87D8C"/>
    <w:rsid w:val="00B90FD8"/>
    <w:rsid w:val="00B95851"/>
    <w:rsid w:val="00B95DC1"/>
    <w:rsid w:val="00B9624C"/>
    <w:rsid w:val="00BA0E00"/>
    <w:rsid w:val="00BA1DCD"/>
    <w:rsid w:val="00BA3BFD"/>
    <w:rsid w:val="00BA4B37"/>
    <w:rsid w:val="00BA55DE"/>
    <w:rsid w:val="00BA5D3D"/>
    <w:rsid w:val="00BA740E"/>
    <w:rsid w:val="00BB2926"/>
    <w:rsid w:val="00BB5D4C"/>
    <w:rsid w:val="00BB7B4D"/>
    <w:rsid w:val="00BC2845"/>
    <w:rsid w:val="00BC3FD4"/>
    <w:rsid w:val="00BC4956"/>
    <w:rsid w:val="00BC4FA7"/>
    <w:rsid w:val="00BC5418"/>
    <w:rsid w:val="00BC62C0"/>
    <w:rsid w:val="00BC657B"/>
    <w:rsid w:val="00BC706E"/>
    <w:rsid w:val="00BD01F9"/>
    <w:rsid w:val="00BD0D6C"/>
    <w:rsid w:val="00BD10D3"/>
    <w:rsid w:val="00BD33E4"/>
    <w:rsid w:val="00BD4B10"/>
    <w:rsid w:val="00BD50A6"/>
    <w:rsid w:val="00BD5AE3"/>
    <w:rsid w:val="00BD6F53"/>
    <w:rsid w:val="00BD7B72"/>
    <w:rsid w:val="00BD7D28"/>
    <w:rsid w:val="00BE0553"/>
    <w:rsid w:val="00BE099F"/>
    <w:rsid w:val="00BE28F8"/>
    <w:rsid w:val="00BE36C1"/>
    <w:rsid w:val="00BE51A7"/>
    <w:rsid w:val="00BE5296"/>
    <w:rsid w:val="00BE5AA4"/>
    <w:rsid w:val="00BE69E1"/>
    <w:rsid w:val="00BE6CB8"/>
    <w:rsid w:val="00BE703A"/>
    <w:rsid w:val="00BF05F8"/>
    <w:rsid w:val="00BF0846"/>
    <w:rsid w:val="00BF2AC2"/>
    <w:rsid w:val="00BF35DB"/>
    <w:rsid w:val="00BF35EA"/>
    <w:rsid w:val="00BF378B"/>
    <w:rsid w:val="00BF40AD"/>
    <w:rsid w:val="00BF49DE"/>
    <w:rsid w:val="00BF4FFB"/>
    <w:rsid w:val="00BF6113"/>
    <w:rsid w:val="00BF6A2E"/>
    <w:rsid w:val="00C00876"/>
    <w:rsid w:val="00C017D5"/>
    <w:rsid w:val="00C03043"/>
    <w:rsid w:val="00C0347D"/>
    <w:rsid w:val="00C034AD"/>
    <w:rsid w:val="00C04635"/>
    <w:rsid w:val="00C05BAF"/>
    <w:rsid w:val="00C06699"/>
    <w:rsid w:val="00C0729F"/>
    <w:rsid w:val="00C07C20"/>
    <w:rsid w:val="00C100C7"/>
    <w:rsid w:val="00C102DB"/>
    <w:rsid w:val="00C10AB2"/>
    <w:rsid w:val="00C10AFB"/>
    <w:rsid w:val="00C115D2"/>
    <w:rsid w:val="00C12BD1"/>
    <w:rsid w:val="00C149D1"/>
    <w:rsid w:val="00C15191"/>
    <w:rsid w:val="00C16005"/>
    <w:rsid w:val="00C1619A"/>
    <w:rsid w:val="00C17EAE"/>
    <w:rsid w:val="00C202EF"/>
    <w:rsid w:val="00C21EA3"/>
    <w:rsid w:val="00C2361C"/>
    <w:rsid w:val="00C25C1F"/>
    <w:rsid w:val="00C26B11"/>
    <w:rsid w:val="00C27912"/>
    <w:rsid w:val="00C27B2C"/>
    <w:rsid w:val="00C27CBB"/>
    <w:rsid w:val="00C27E7A"/>
    <w:rsid w:val="00C30D4A"/>
    <w:rsid w:val="00C31518"/>
    <w:rsid w:val="00C31A53"/>
    <w:rsid w:val="00C32019"/>
    <w:rsid w:val="00C32A11"/>
    <w:rsid w:val="00C32C78"/>
    <w:rsid w:val="00C367A8"/>
    <w:rsid w:val="00C36898"/>
    <w:rsid w:val="00C37049"/>
    <w:rsid w:val="00C37982"/>
    <w:rsid w:val="00C40CC3"/>
    <w:rsid w:val="00C41DB3"/>
    <w:rsid w:val="00C43051"/>
    <w:rsid w:val="00C44513"/>
    <w:rsid w:val="00C44CB9"/>
    <w:rsid w:val="00C44D0D"/>
    <w:rsid w:val="00C45C5D"/>
    <w:rsid w:val="00C45D90"/>
    <w:rsid w:val="00C475CC"/>
    <w:rsid w:val="00C47E5B"/>
    <w:rsid w:val="00C47FB9"/>
    <w:rsid w:val="00C523AA"/>
    <w:rsid w:val="00C53DA4"/>
    <w:rsid w:val="00C55F81"/>
    <w:rsid w:val="00C56CD5"/>
    <w:rsid w:val="00C574F7"/>
    <w:rsid w:val="00C57558"/>
    <w:rsid w:val="00C60465"/>
    <w:rsid w:val="00C621B8"/>
    <w:rsid w:val="00C62DEB"/>
    <w:rsid w:val="00C6371A"/>
    <w:rsid w:val="00C66481"/>
    <w:rsid w:val="00C6712D"/>
    <w:rsid w:val="00C67DD4"/>
    <w:rsid w:val="00C710A0"/>
    <w:rsid w:val="00C71740"/>
    <w:rsid w:val="00C71BCB"/>
    <w:rsid w:val="00C72D79"/>
    <w:rsid w:val="00C72ED6"/>
    <w:rsid w:val="00C74523"/>
    <w:rsid w:val="00C75189"/>
    <w:rsid w:val="00C756C5"/>
    <w:rsid w:val="00C75BD5"/>
    <w:rsid w:val="00C767A3"/>
    <w:rsid w:val="00C76AF8"/>
    <w:rsid w:val="00C76ECC"/>
    <w:rsid w:val="00C77000"/>
    <w:rsid w:val="00C77640"/>
    <w:rsid w:val="00C77A89"/>
    <w:rsid w:val="00C824B1"/>
    <w:rsid w:val="00C84B8E"/>
    <w:rsid w:val="00C856EA"/>
    <w:rsid w:val="00C85F09"/>
    <w:rsid w:val="00C9051A"/>
    <w:rsid w:val="00C90FB9"/>
    <w:rsid w:val="00C9129C"/>
    <w:rsid w:val="00C923CF"/>
    <w:rsid w:val="00C94911"/>
    <w:rsid w:val="00C958CA"/>
    <w:rsid w:val="00C95D2D"/>
    <w:rsid w:val="00CA0061"/>
    <w:rsid w:val="00CA1FD0"/>
    <w:rsid w:val="00CA22F7"/>
    <w:rsid w:val="00CA3707"/>
    <w:rsid w:val="00CA44D4"/>
    <w:rsid w:val="00CA456E"/>
    <w:rsid w:val="00CA4FB5"/>
    <w:rsid w:val="00CA74D1"/>
    <w:rsid w:val="00CA7666"/>
    <w:rsid w:val="00CA7D1F"/>
    <w:rsid w:val="00CA7D7F"/>
    <w:rsid w:val="00CB0A23"/>
    <w:rsid w:val="00CB0EBF"/>
    <w:rsid w:val="00CB23EA"/>
    <w:rsid w:val="00CB269F"/>
    <w:rsid w:val="00CB2F07"/>
    <w:rsid w:val="00CB361B"/>
    <w:rsid w:val="00CB4036"/>
    <w:rsid w:val="00CB407D"/>
    <w:rsid w:val="00CB4326"/>
    <w:rsid w:val="00CB497E"/>
    <w:rsid w:val="00CB6265"/>
    <w:rsid w:val="00CC1961"/>
    <w:rsid w:val="00CC4A32"/>
    <w:rsid w:val="00CC6B5B"/>
    <w:rsid w:val="00CC7307"/>
    <w:rsid w:val="00CD05FC"/>
    <w:rsid w:val="00CD1B40"/>
    <w:rsid w:val="00CD2F09"/>
    <w:rsid w:val="00CD3959"/>
    <w:rsid w:val="00CD4F94"/>
    <w:rsid w:val="00CD6110"/>
    <w:rsid w:val="00CD6747"/>
    <w:rsid w:val="00CE3BD3"/>
    <w:rsid w:val="00CE470C"/>
    <w:rsid w:val="00CE4C93"/>
    <w:rsid w:val="00CE641C"/>
    <w:rsid w:val="00CE6B99"/>
    <w:rsid w:val="00CE73F3"/>
    <w:rsid w:val="00CF0E06"/>
    <w:rsid w:val="00CF20B3"/>
    <w:rsid w:val="00CF23DE"/>
    <w:rsid w:val="00CF246D"/>
    <w:rsid w:val="00CF24D2"/>
    <w:rsid w:val="00CF24E7"/>
    <w:rsid w:val="00CF30EB"/>
    <w:rsid w:val="00CF3DCD"/>
    <w:rsid w:val="00CF5343"/>
    <w:rsid w:val="00CF5AFF"/>
    <w:rsid w:val="00CF6F5E"/>
    <w:rsid w:val="00D009D7"/>
    <w:rsid w:val="00D014E4"/>
    <w:rsid w:val="00D0290F"/>
    <w:rsid w:val="00D02CC1"/>
    <w:rsid w:val="00D041F7"/>
    <w:rsid w:val="00D04348"/>
    <w:rsid w:val="00D04FC9"/>
    <w:rsid w:val="00D05898"/>
    <w:rsid w:val="00D10A6A"/>
    <w:rsid w:val="00D10F4C"/>
    <w:rsid w:val="00D128F1"/>
    <w:rsid w:val="00D1416A"/>
    <w:rsid w:val="00D144FF"/>
    <w:rsid w:val="00D15DFB"/>
    <w:rsid w:val="00D16AE6"/>
    <w:rsid w:val="00D22F86"/>
    <w:rsid w:val="00D23CEF"/>
    <w:rsid w:val="00D24E34"/>
    <w:rsid w:val="00D25084"/>
    <w:rsid w:val="00D25793"/>
    <w:rsid w:val="00D30B5E"/>
    <w:rsid w:val="00D3184A"/>
    <w:rsid w:val="00D323B6"/>
    <w:rsid w:val="00D332D9"/>
    <w:rsid w:val="00D33322"/>
    <w:rsid w:val="00D3350E"/>
    <w:rsid w:val="00D3379A"/>
    <w:rsid w:val="00D35E75"/>
    <w:rsid w:val="00D4042A"/>
    <w:rsid w:val="00D423D0"/>
    <w:rsid w:val="00D43082"/>
    <w:rsid w:val="00D43C98"/>
    <w:rsid w:val="00D45F55"/>
    <w:rsid w:val="00D47030"/>
    <w:rsid w:val="00D47159"/>
    <w:rsid w:val="00D47B89"/>
    <w:rsid w:val="00D5153C"/>
    <w:rsid w:val="00D53C13"/>
    <w:rsid w:val="00D549BD"/>
    <w:rsid w:val="00D54AB2"/>
    <w:rsid w:val="00D54B75"/>
    <w:rsid w:val="00D54FBC"/>
    <w:rsid w:val="00D554E0"/>
    <w:rsid w:val="00D5556B"/>
    <w:rsid w:val="00D556C2"/>
    <w:rsid w:val="00D55899"/>
    <w:rsid w:val="00D57603"/>
    <w:rsid w:val="00D605B0"/>
    <w:rsid w:val="00D60EC4"/>
    <w:rsid w:val="00D6143C"/>
    <w:rsid w:val="00D62DC6"/>
    <w:rsid w:val="00D62E58"/>
    <w:rsid w:val="00D6310F"/>
    <w:rsid w:val="00D64E06"/>
    <w:rsid w:val="00D650A9"/>
    <w:rsid w:val="00D654ED"/>
    <w:rsid w:val="00D702E3"/>
    <w:rsid w:val="00D704F3"/>
    <w:rsid w:val="00D711C2"/>
    <w:rsid w:val="00D72558"/>
    <w:rsid w:val="00D72B71"/>
    <w:rsid w:val="00D73737"/>
    <w:rsid w:val="00D74406"/>
    <w:rsid w:val="00D74433"/>
    <w:rsid w:val="00D74899"/>
    <w:rsid w:val="00D77635"/>
    <w:rsid w:val="00D81A06"/>
    <w:rsid w:val="00D82816"/>
    <w:rsid w:val="00D8468F"/>
    <w:rsid w:val="00D84C24"/>
    <w:rsid w:val="00D84D8E"/>
    <w:rsid w:val="00D84E40"/>
    <w:rsid w:val="00D86D00"/>
    <w:rsid w:val="00D87CB5"/>
    <w:rsid w:val="00D9057B"/>
    <w:rsid w:val="00D905CF"/>
    <w:rsid w:val="00D920F7"/>
    <w:rsid w:val="00D92CC7"/>
    <w:rsid w:val="00D93AB8"/>
    <w:rsid w:val="00D95B73"/>
    <w:rsid w:val="00D96BBE"/>
    <w:rsid w:val="00DA1569"/>
    <w:rsid w:val="00DA1E9D"/>
    <w:rsid w:val="00DA24CE"/>
    <w:rsid w:val="00DA455D"/>
    <w:rsid w:val="00DA51E5"/>
    <w:rsid w:val="00DA6ABB"/>
    <w:rsid w:val="00DB1979"/>
    <w:rsid w:val="00DB2DD7"/>
    <w:rsid w:val="00DB6EB4"/>
    <w:rsid w:val="00DC0626"/>
    <w:rsid w:val="00DC0D55"/>
    <w:rsid w:val="00DC1B10"/>
    <w:rsid w:val="00DC22D8"/>
    <w:rsid w:val="00DC2BE7"/>
    <w:rsid w:val="00DC33E3"/>
    <w:rsid w:val="00DC7E72"/>
    <w:rsid w:val="00DD12BF"/>
    <w:rsid w:val="00DD15A9"/>
    <w:rsid w:val="00DD2FAD"/>
    <w:rsid w:val="00DD3326"/>
    <w:rsid w:val="00DD341B"/>
    <w:rsid w:val="00DD465B"/>
    <w:rsid w:val="00DD7C45"/>
    <w:rsid w:val="00DE005B"/>
    <w:rsid w:val="00DE05BC"/>
    <w:rsid w:val="00DE380D"/>
    <w:rsid w:val="00DE4BA6"/>
    <w:rsid w:val="00DE5944"/>
    <w:rsid w:val="00DE5ADB"/>
    <w:rsid w:val="00DE6AF3"/>
    <w:rsid w:val="00DE728A"/>
    <w:rsid w:val="00DF0145"/>
    <w:rsid w:val="00DF086A"/>
    <w:rsid w:val="00DF19A6"/>
    <w:rsid w:val="00DF1C33"/>
    <w:rsid w:val="00DF235D"/>
    <w:rsid w:val="00DF25AF"/>
    <w:rsid w:val="00DF36DE"/>
    <w:rsid w:val="00DF5CBA"/>
    <w:rsid w:val="00DF6458"/>
    <w:rsid w:val="00DF6CAB"/>
    <w:rsid w:val="00DF756F"/>
    <w:rsid w:val="00DF75D9"/>
    <w:rsid w:val="00E01148"/>
    <w:rsid w:val="00E020B4"/>
    <w:rsid w:val="00E04915"/>
    <w:rsid w:val="00E04E9E"/>
    <w:rsid w:val="00E057E7"/>
    <w:rsid w:val="00E10B38"/>
    <w:rsid w:val="00E147E7"/>
    <w:rsid w:val="00E14948"/>
    <w:rsid w:val="00E171C5"/>
    <w:rsid w:val="00E1765E"/>
    <w:rsid w:val="00E17821"/>
    <w:rsid w:val="00E17A6E"/>
    <w:rsid w:val="00E17C1C"/>
    <w:rsid w:val="00E20CA7"/>
    <w:rsid w:val="00E21C9F"/>
    <w:rsid w:val="00E21FA2"/>
    <w:rsid w:val="00E237C1"/>
    <w:rsid w:val="00E27F9C"/>
    <w:rsid w:val="00E30153"/>
    <w:rsid w:val="00E32DC7"/>
    <w:rsid w:val="00E356DF"/>
    <w:rsid w:val="00E362B9"/>
    <w:rsid w:val="00E37DB8"/>
    <w:rsid w:val="00E407E0"/>
    <w:rsid w:val="00E425C8"/>
    <w:rsid w:val="00E438B0"/>
    <w:rsid w:val="00E43F3E"/>
    <w:rsid w:val="00E4640B"/>
    <w:rsid w:val="00E464D4"/>
    <w:rsid w:val="00E466EB"/>
    <w:rsid w:val="00E46FDE"/>
    <w:rsid w:val="00E52124"/>
    <w:rsid w:val="00E527F7"/>
    <w:rsid w:val="00E54E56"/>
    <w:rsid w:val="00E54F11"/>
    <w:rsid w:val="00E57D15"/>
    <w:rsid w:val="00E6130B"/>
    <w:rsid w:val="00E63592"/>
    <w:rsid w:val="00E6568C"/>
    <w:rsid w:val="00E66485"/>
    <w:rsid w:val="00E71A3E"/>
    <w:rsid w:val="00E71C81"/>
    <w:rsid w:val="00E73A73"/>
    <w:rsid w:val="00E73BA8"/>
    <w:rsid w:val="00E742D5"/>
    <w:rsid w:val="00E74474"/>
    <w:rsid w:val="00E747C6"/>
    <w:rsid w:val="00E74F8E"/>
    <w:rsid w:val="00E75B4F"/>
    <w:rsid w:val="00E76D34"/>
    <w:rsid w:val="00E7779F"/>
    <w:rsid w:val="00E80E72"/>
    <w:rsid w:val="00E83358"/>
    <w:rsid w:val="00E841DE"/>
    <w:rsid w:val="00E8446F"/>
    <w:rsid w:val="00E84F92"/>
    <w:rsid w:val="00E854B2"/>
    <w:rsid w:val="00E90009"/>
    <w:rsid w:val="00E90D95"/>
    <w:rsid w:val="00E914DA"/>
    <w:rsid w:val="00E92F58"/>
    <w:rsid w:val="00E9320A"/>
    <w:rsid w:val="00E9489A"/>
    <w:rsid w:val="00E953CE"/>
    <w:rsid w:val="00E9670D"/>
    <w:rsid w:val="00E9714F"/>
    <w:rsid w:val="00EA00B0"/>
    <w:rsid w:val="00EA0540"/>
    <w:rsid w:val="00EA1059"/>
    <w:rsid w:val="00EA2087"/>
    <w:rsid w:val="00EA2DED"/>
    <w:rsid w:val="00EA2DFA"/>
    <w:rsid w:val="00EA309D"/>
    <w:rsid w:val="00EA30AC"/>
    <w:rsid w:val="00EA4B68"/>
    <w:rsid w:val="00EB2B9D"/>
    <w:rsid w:val="00EB2FAC"/>
    <w:rsid w:val="00EB782B"/>
    <w:rsid w:val="00EB79F1"/>
    <w:rsid w:val="00EC3C27"/>
    <w:rsid w:val="00EC4C5C"/>
    <w:rsid w:val="00EC688F"/>
    <w:rsid w:val="00EC6DFB"/>
    <w:rsid w:val="00ED0162"/>
    <w:rsid w:val="00ED10BB"/>
    <w:rsid w:val="00ED16C7"/>
    <w:rsid w:val="00ED1A18"/>
    <w:rsid w:val="00ED1AB7"/>
    <w:rsid w:val="00ED1F66"/>
    <w:rsid w:val="00ED296F"/>
    <w:rsid w:val="00ED3193"/>
    <w:rsid w:val="00ED3AB9"/>
    <w:rsid w:val="00ED3B83"/>
    <w:rsid w:val="00ED3E81"/>
    <w:rsid w:val="00ED5678"/>
    <w:rsid w:val="00ED61F4"/>
    <w:rsid w:val="00ED6756"/>
    <w:rsid w:val="00ED6CFD"/>
    <w:rsid w:val="00EE1975"/>
    <w:rsid w:val="00EE3108"/>
    <w:rsid w:val="00EE3FAF"/>
    <w:rsid w:val="00EE4511"/>
    <w:rsid w:val="00EE4634"/>
    <w:rsid w:val="00EE675F"/>
    <w:rsid w:val="00EF0B84"/>
    <w:rsid w:val="00EF1E1D"/>
    <w:rsid w:val="00EF3960"/>
    <w:rsid w:val="00EF4C74"/>
    <w:rsid w:val="00F02F1C"/>
    <w:rsid w:val="00F03B8C"/>
    <w:rsid w:val="00F04839"/>
    <w:rsid w:val="00F1049F"/>
    <w:rsid w:val="00F12FE2"/>
    <w:rsid w:val="00F140CB"/>
    <w:rsid w:val="00F16712"/>
    <w:rsid w:val="00F16B1F"/>
    <w:rsid w:val="00F1728A"/>
    <w:rsid w:val="00F214E0"/>
    <w:rsid w:val="00F21A84"/>
    <w:rsid w:val="00F21BB5"/>
    <w:rsid w:val="00F22E6B"/>
    <w:rsid w:val="00F25A3A"/>
    <w:rsid w:val="00F25CDB"/>
    <w:rsid w:val="00F2611A"/>
    <w:rsid w:val="00F26D4C"/>
    <w:rsid w:val="00F27398"/>
    <w:rsid w:val="00F27A83"/>
    <w:rsid w:val="00F31BF3"/>
    <w:rsid w:val="00F32CDA"/>
    <w:rsid w:val="00F3329E"/>
    <w:rsid w:val="00F35843"/>
    <w:rsid w:val="00F3650C"/>
    <w:rsid w:val="00F37334"/>
    <w:rsid w:val="00F37952"/>
    <w:rsid w:val="00F4168D"/>
    <w:rsid w:val="00F445B4"/>
    <w:rsid w:val="00F45320"/>
    <w:rsid w:val="00F45855"/>
    <w:rsid w:val="00F4611F"/>
    <w:rsid w:val="00F46A00"/>
    <w:rsid w:val="00F47F32"/>
    <w:rsid w:val="00F51E79"/>
    <w:rsid w:val="00F52A19"/>
    <w:rsid w:val="00F52BFB"/>
    <w:rsid w:val="00F53BBD"/>
    <w:rsid w:val="00F54489"/>
    <w:rsid w:val="00F6062B"/>
    <w:rsid w:val="00F6142B"/>
    <w:rsid w:val="00F61B5C"/>
    <w:rsid w:val="00F6458C"/>
    <w:rsid w:val="00F65DA3"/>
    <w:rsid w:val="00F700C3"/>
    <w:rsid w:val="00F70733"/>
    <w:rsid w:val="00F717F3"/>
    <w:rsid w:val="00F725F1"/>
    <w:rsid w:val="00F72715"/>
    <w:rsid w:val="00F74762"/>
    <w:rsid w:val="00F76CEF"/>
    <w:rsid w:val="00F80BDD"/>
    <w:rsid w:val="00F811EF"/>
    <w:rsid w:val="00F82498"/>
    <w:rsid w:val="00F86ED1"/>
    <w:rsid w:val="00F87A49"/>
    <w:rsid w:val="00F911AE"/>
    <w:rsid w:val="00F93228"/>
    <w:rsid w:val="00F936B6"/>
    <w:rsid w:val="00F93A45"/>
    <w:rsid w:val="00F95BFD"/>
    <w:rsid w:val="00F96069"/>
    <w:rsid w:val="00F961F8"/>
    <w:rsid w:val="00F97176"/>
    <w:rsid w:val="00F9748A"/>
    <w:rsid w:val="00FA1429"/>
    <w:rsid w:val="00FA1B09"/>
    <w:rsid w:val="00FA40CD"/>
    <w:rsid w:val="00FA60FD"/>
    <w:rsid w:val="00FB0234"/>
    <w:rsid w:val="00FB1E95"/>
    <w:rsid w:val="00FB230F"/>
    <w:rsid w:val="00FB23F3"/>
    <w:rsid w:val="00FB2419"/>
    <w:rsid w:val="00FB5318"/>
    <w:rsid w:val="00FB5E0E"/>
    <w:rsid w:val="00FC0426"/>
    <w:rsid w:val="00FC229E"/>
    <w:rsid w:val="00FC239B"/>
    <w:rsid w:val="00FC2E79"/>
    <w:rsid w:val="00FC467A"/>
    <w:rsid w:val="00FC50D1"/>
    <w:rsid w:val="00FC59E0"/>
    <w:rsid w:val="00FC6069"/>
    <w:rsid w:val="00FC753C"/>
    <w:rsid w:val="00FD0418"/>
    <w:rsid w:val="00FD04BB"/>
    <w:rsid w:val="00FD182A"/>
    <w:rsid w:val="00FD3C58"/>
    <w:rsid w:val="00FD6FE7"/>
    <w:rsid w:val="00FE02A6"/>
    <w:rsid w:val="00FE2168"/>
    <w:rsid w:val="00FE242D"/>
    <w:rsid w:val="00FE2A0E"/>
    <w:rsid w:val="00FE2ECE"/>
    <w:rsid w:val="00FE37D1"/>
    <w:rsid w:val="00FE4077"/>
    <w:rsid w:val="00FE4823"/>
    <w:rsid w:val="00FE5280"/>
    <w:rsid w:val="00FE6959"/>
    <w:rsid w:val="00FE6C8C"/>
    <w:rsid w:val="00FE719B"/>
    <w:rsid w:val="00FE7851"/>
    <w:rsid w:val="00FF0453"/>
    <w:rsid w:val="00FF1860"/>
    <w:rsid w:val="00FF2A80"/>
    <w:rsid w:val="00FF3B40"/>
    <w:rsid w:val="00FF4CDB"/>
    <w:rsid w:val="00FF7032"/>
    <w:rsid w:val="00FF726C"/>
    <w:rsid w:val="00FF7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CA69"/>
  <w15:chartTrackingRefBased/>
  <w15:docId w15:val="{AFBA1D24-D558-44FF-93C6-462FE0C8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numPr>
        <w:numId w:val="14"/>
      </w:numPr>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Odwoaniedokomentarza">
    <w:name w:val="annotation reference"/>
    <w:uiPriority w:val="99"/>
    <w:semiHidden/>
    <w:unhideWhenUsed/>
    <w:rsid w:val="000573D1"/>
    <w:rPr>
      <w:sz w:val="16"/>
      <w:szCs w:val="16"/>
    </w:rPr>
  </w:style>
  <w:style w:type="paragraph" w:styleId="Tekstkomentarza">
    <w:name w:val="annotation text"/>
    <w:basedOn w:val="Normalny"/>
    <w:link w:val="TekstkomentarzaZnak"/>
    <w:uiPriority w:val="99"/>
    <w:unhideWhenUsed/>
    <w:rsid w:val="000573D1"/>
  </w:style>
  <w:style w:type="character" w:customStyle="1" w:styleId="TekstkomentarzaZnak">
    <w:name w:val="Tekst komentarza Znak"/>
    <w:basedOn w:val="Domylnaczcionkaakapitu"/>
    <w:link w:val="Tekstkomentarza"/>
    <w:uiPriority w:val="99"/>
    <w:rsid w:val="000573D1"/>
  </w:style>
  <w:style w:type="paragraph" w:styleId="Tematkomentarza">
    <w:name w:val="annotation subject"/>
    <w:basedOn w:val="Tekstkomentarza"/>
    <w:next w:val="Tekstkomentarza"/>
    <w:link w:val="TematkomentarzaZnak"/>
    <w:uiPriority w:val="99"/>
    <w:semiHidden/>
    <w:unhideWhenUsed/>
    <w:rsid w:val="000573D1"/>
    <w:rPr>
      <w:b/>
      <w:bCs/>
    </w:rPr>
  </w:style>
  <w:style w:type="character" w:customStyle="1" w:styleId="TematkomentarzaZnak">
    <w:name w:val="Temat komentarza Znak"/>
    <w:link w:val="Tematkomentarza"/>
    <w:uiPriority w:val="99"/>
    <w:semiHidden/>
    <w:rsid w:val="000573D1"/>
    <w:rPr>
      <w:b/>
      <w:bCs/>
    </w:rPr>
  </w:style>
  <w:style w:type="paragraph" w:styleId="Tekstdymka">
    <w:name w:val="Balloon Text"/>
    <w:basedOn w:val="Normalny"/>
    <w:link w:val="TekstdymkaZnak"/>
    <w:uiPriority w:val="99"/>
    <w:semiHidden/>
    <w:unhideWhenUsed/>
    <w:rsid w:val="000573D1"/>
    <w:rPr>
      <w:rFonts w:ascii="Tahoma" w:hAnsi="Tahoma" w:cs="Tahoma"/>
      <w:sz w:val="16"/>
      <w:szCs w:val="16"/>
    </w:rPr>
  </w:style>
  <w:style w:type="character" w:customStyle="1" w:styleId="TekstdymkaZnak">
    <w:name w:val="Tekst dymka Znak"/>
    <w:link w:val="Tekstdymka"/>
    <w:uiPriority w:val="99"/>
    <w:semiHidden/>
    <w:rsid w:val="000573D1"/>
    <w:rPr>
      <w:rFonts w:ascii="Tahoma" w:hAnsi="Tahoma" w:cs="Tahoma"/>
      <w:sz w:val="16"/>
      <w:szCs w:val="16"/>
    </w:rPr>
  </w:style>
  <w:style w:type="paragraph" w:styleId="Akapitzlist">
    <w:name w:val="List Paragraph"/>
    <w:aliases w:val="Wyliczanie,List Paragraph,BulletC,Listaszerű bekezdés1,List Paragraph à moi,Dot pt,F5 List Paragraph,Numbered Para 1,No Spacing1,List Paragraph Char Char Char,Indicator Text,Bullet Points,MAIN CONTENT,IFCL - List Paragraph"/>
    <w:basedOn w:val="Normalny"/>
    <w:link w:val="AkapitzlistZnak"/>
    <w:uiPriority w:val="34"/>
    <w:qFormat/>
    <w:rsid w:val="008A3EC2"/>
    <w:pPr>
      <w:ind w:left="720"/>
      <w:contextualSpacing/>
    </w:pPr>
  </w:style>
  <w:style w:type="character" w:styleId="Hipercze">
    <w:name w:val="Hyperlink"/>
    <w:uiPriority w:val="99"/>
    <w:unhideWhenUsed/>
    <w:rsid w:val="003F3883"/>
    <w:rPr>
      <w:color w:val="0000FF"/>
      <w:u w:val="single"/>
    </w:rPr>
  </w:style>
  <w:style w:type="paragraph" w:styleId="Poprawka">
    <w:name w:val="Revision"/>
    <w:hidden/>
    <w:uiPriority w:val="99"/>
    <w:semiHidden/>
    <w:rsid w:val="00BE36C1"/>
  </w:style>
  <w:style w:type="paragraph" w:customStyle="1" w:styleId="Default">
    <w:name w:val="Default"/>
    <w:rsid w:val="004A247D"/>
    <w:pPr>
      <w:autoSpaceDE w:val="0"/>
      <w:autoSpaceDN w:val="0"/>
      <w:adjustRightInd w:val="0"/>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A05539"/>
    <w:rPr>
      <w:rFonts w:cs="Times New Roman"/>
      <w:lang w:eastAsia="en-US"/>
    </w:rPr>
  </w:style>
  <w:style w:type="character" w:customStyle="1" w:styleId="TekstprzypisudolnegoZnak">
    <w:name w:val="Tekst przypisu dolnego Znak"/>
    <w:link w:val="Tekstprzypisudolnego"/>
    <w:uiPriority w:val="99"/>
    <w:semiHidden/>
    <w:rsid w:val="00A05539"/>
    <w:rPr>
      <w:rFonts w:cs="Times New Roman"/>
      <w:lang w:eastAsia="en-US"/>
    </w:rPr>
  </w:style>
  <w:style w:type="character" w:styleId="Odwoanieprzypisudolnego">
    <w:name w:val="footnote reference"/>
    <w:uiPriority w:val="99"/>
    <w:semiHidden/>
    <w:unhideWhenUsed/>
    <w:rsid w:val="00A05539"/>
    <w:rPr>
      <w:vertAlign w:val="superscript"/>
    </w:rPr>
  </w:style>
  <w:style w:type="character" w:customStyle="1" w:styleId="AkapitzlistZnak">
    <w:name w:val="Akapit z listą Znak"/>
    <w:aliases w:val="Wyliczanie Znak,List Paragraph Znak,BulletC Znak,Listaszerű bekezdés1 Znak,List Paragraph à moi Znak,Dot pt Znak,F5 List Paragraph Znak,Numbered Para 1 Znak,No Spacing1 Znak,List Paragraph Char Char Char Znak,Indicator Text Znak"/>
    <w:link w:val="Akapitzlist"/>
    <w:uiPriority w:val="34"/>
    <w:qFormat/>
    <w:rsid w:val="00EB79F1"/>
  </w:style>
  <w:style w:type="paragraph" w:styleId="NormalnyWeb">
    <w:name w:val="Normal (Web)"/>
    <w:basedOn w:val="Normalny"/>
    <w:uiPriority w:val="99"/>
    <w:unhideWhenUsed/>
    <w:rsid w:val="00EB79F1"/>
    <w:pPr>
      <w:spacing w:before="100" w:beforeAutospacing="1" w:after="100" w:afterAutospacing="1"/>
    </w:pPr>
    <w:rPr>
      <w:rFonts w:ascii="Times New Roman" w:eastAsia="Times New Roman" w:hAnsi="Times New Roman" w:cs="Times New Roman"/>
      <w:sz w:val="24"/>
      <w:szCs w:val="24"/>
    </w:rPr>
  </w:style>
  <w:style w:type="paragraph" w:customStyle="1" w:styleId="CM1">
    <w:name w:val="CM1"/>
    <w:basedOn w:val="Default"/>
    <w:next w:val="Default"/>
    <w:uiPriority w:val="99"/>
    <w:rsid w:val="00EB79F1"/>
    <w:rPr>
      <w:rFonts w:ascii="EU Albertina" w:hAnsi="EU Albertina" w:cs="Calibri"/>
      <w:color w:val="auto"/>
    </w:rPr>
  </w:style>
  <w:style w:type="paragraph" w:customStyle="1" w:styleId="CM3">
    <w:name w:val="CM3"/>
    <w:basedOn w:val="Default"/>
    <w:next w:val="Default"/>
    <w:uiPriority w:val="99"/>
    <w:rsid w:val="00EB79F1"/>
    <w:rPr>
      <w:rFonts w:ascii="EU Albertina" w:hAnsi="EU Albertina" w:cs="Calibri"/>
      <w:color w:val="auto"/>
    </w:rPr>
  </w:style>
  <w:style w:type="paragraph" w:customStyle="1" w:styleId="CM4">
    <w:name w:val="CM4"/>
    <w:basedOn w:val="Default"/>
    <w:next w:val="Default"/>
    <w:uiPriority w:val="99"/>
    <w:rsid w:val="00EB79F1"/>
    <w:rPr>
      <w:rFonts w:ascii="EU Albertina" w:hAnsi="EU Albertina" w:cs="Calibri"/>
      <w:color w:val="auto"/>
    </w:rPr>
  </w:style>
  <w:style w:type="paragraph" w:styleId="Nagwek">
    <w:name w:val="header"/>
    <w:basedOn w:val="Normalny"/>
    <w:link w:val="NagwekZnak"/>
    <w:uiPriority w:val="99"/>
    <w:unhideWhenUsed/>
    <w:rsid w:val="00EB79F1"/>
    <w:pPr>
      <w:tabs>
        <w:tab w:val="center" w:pos="4536"/>
        <w:tab w:val="right" w:pos="9072"/>
      </w:tabs>
    </w:pPr>
  </w:style>
  <w:style w:type="character" w:customStyle="1" w:styleId="NagwekZnak">
    <w:name w:val="Nagłówek Znak"/>
    <w:basedOn w:val="Domylnaczcionkaakapitu"/>
    <w:link w:val="Nagwek"/>
    <w:uiPriority w:val="99"/>
    <w:rsid w:val="00EB79F1"/>
  </w:style>
  <w:style w:type="paragraph" w:styleId="Stopka">
    <w:name w:val="footer"/>
    <w:basedOn w:val="Normalny"/>
    <w:link w:val="StopkaZnak"/>
    <w:uiPriority w:val="99"/>
    <w:unhideWhenUsed/>
    <w:rsid w:val="00EB79F1"/>
    <w:pPr>
      <w:tabs>
        <w:tab w:val="center" w:pos="4536"/>
        <w:tab w:val="right" w:pos="9072"/>
      </w:tabs>
    </w:pPr>
  </w:style>
  <w:style w:type="character" w:customStyle="1" w:styleId="StopkaZnak">
    <w:name w:val="Stopka Znak"/>
    <w:basedOn w:val="Domylnaczcionkaakapitu"/>
    <w:link w:val="Stopka"/>
    <w:uiPriority w:val="99"/>
    <w:rsid w:val="00EB79F1"/>
  </w:style>
  <w:style w:type="character" w:styleId="Uwydatnienie">
    <w:name w:val="Emphasis"/>
    <w:uiPriority w:val="20"/>
    <w:qFormat/>
    <w:rsid w:val="00E6568C"/>
    <w:rPr>
      <w:i/>
      <w:iCs/>
    </w:rPr>
  </w:style>
  <w:style w:type="character" w:customStyle="1" w:styleId="Nierozpoznanawzmianka1">
    <w:name w:val="Nierozpoznana wzmianka1"/>
    <w:uiPriority w:val="99"/>
    <w:semiHidden/>
    <w:unhideWhenUsed/>
    <w:rsid w:val="00971E80"/>
    <w:rPr>
      <w:color w:val="605E5C"/>
      <w:shd w:val="clear" w:color="auto" w:fill="E1DFDD"/>
    </w:rPr>
  </w:style>
  <w:style w:type="paragraph" w:customStyle="1" w:styleId="USTustnpkodeksu">
    <w:name w:val="UST(§) – ust. (§ np. kodeksu)"/>
    <w:basedOn w:val="Normalny"/>
    <w:uiPriority w:val="12"/>
    <w:qFormat/>
    <w:rsid w:val="00AC2258"/>
    <w:pPr>
      <w:suppressAutoHyphens/>
      <w:autoSpaceDE w:val="0"/>
      <w:autoSpaceDN w:val="0"/>
      <w:adjustRightInd w:val="0"/>
      <w:spacing w:line="360" w:lineRule="auto"/>
      <w:ind w:firstLine="510"/>
      <w:jc w:val="both"/>
    </w:pPr>
    <w:rPr>
      <w:rFonts w:ascii="Times" w:eastAsia="Times New Roman" w:hAnsi="Times" w:cs="Arial"/>
      <w:bCs/>
      <w:sz w:val="24"/>
    </w:rPr>
  </w:style>
  <w:style w:type="character" w:customStyle="1" w:styleId="markedcontent">
    <w:name w:val="markedcontent"/>
    <w:basedOn w:val="Domylnaczcionkaakapitu"/>
    <w:rsid w:val="00427CCD"/>
  </w:style>
  <w:style w:type="paragraph" w:customStyle="1" w:styleId="ROZDZODDZPRZEDMprzedmiotregulacjirozdziauluboddziau">
    <w:name w:val="ROZDZ(ODDZ)_PRZEDM – przedmiot regulacji rozdziału lub oddziału"/>
    <w:next w:val="Normalny"/>
    <w:uiPriority w:val="10"/>
    <w:qFormat/>
    <w:rsid w:val="00427CCD"/>
    <w:pPr>
      <w:keepNext/>
      <w:suppressAutoHyphens/>
      <w:spacing w:before="120" w:line="360" w:lineRule="auto"/>
      <w:jc w:val="center"/>
    </w:pPr>
    <w:rPr>
      <w:rFonts w:ascii="Times" w:eastAsia="Times New Roman" w:hAnsi="Times" w:cs="Times New Roman"/>
      <w:b/>
      <w:bCs/>
      <w:sz w:val="24"/>
      <w:szCs w:val="24"/>
    </w:rPr>
  </w:style>
  <w:style w:type="paragraph" w:customStyle="1" w:styleId="PKTpunkt">
    <w:name w:val="PKT – punkt"/>
    <w:uiPriority w:val="13"/>
    <w:qFormat/>
    <w:rsid w:val="00427CCD"/>
    <w:pPr>
      <w:spacing w:line="360" w:lineRule="auto"/>
      <w:ind w:left="510" w:hanging="510"/>
      <w:jc w:val="both"/>
    </w:pPr>
    <w:rPr>
      <w:rFonts w:ascii="Times" w:eastAsia="Times New Roman" w:hAnsi="Times" w:cs="Arial"/>
      <w:bCs/>
      <w:sz w:val="24"/>
    </w:rPr>
  </w:style>
  <w:style w:type="paragraph" w:styleId="Bezodstpw">
    <w:name w:val="No Spacing"/>
    <w:basedOn w:val="Normalny"/>
    <w:uiPriority w:val="1"/>
    <w:qFormat/>
    <w:rsid w:val="00654DDD"/>
    <w:pPr>
      <w:spacing w:after="120"/>
      <w:jc w:val="both"/>
    </w:pPr>
    <w:rPr>
      <w:rFonts w:ascii="Times New Roman" w:eastAsia="Times New Roman" w:hAnsi="Times New Roman" w:cs="Times New Roman"/>
      <w:sz w:val="22"/>
      <w:szCs w:val="22"/>
    </w:rPr>
  </w:style>
  <w:style w:type="paragraph" w:customStyle="1" w:styleId="LITlitera">
    <w:name w:val="LIT – litera"/>
    <w:basedOn w:val="PKTpunkt"/>
    <w:uiPriority w:val="14"/>
    <w:qFormat/>
    <w:rsid w:val="00DC0626"/>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7271">
      <w:bodyDiv w:val="1"/>
      <w:marLeft w:val="0"/>
      <w:marRight w:val="0"/>
      <w:marTop w:val="0"/>
      <w:marBottom w:val="0"/>
      <w:divBdr>
        <w:top w:val="none" w:sz="0" w:space="0" w:color="auto"/>
        <w:left w:val="none" w:sz="0" w:space="0" w:color="auto"/>
        <w:bottom w:val="none" w:sz="0" w:space="0" w:color="auto"/>
        <w:right w:val="none" w:sz="0" w:space="0" w:color="auto"/>
      </w:divBdr>
      <w:divsChild>
        <w:div w:id="653333863">
          <w:marLeft w:val="0"/>
          <w:marRight w:val="0"/>
          <w:marTop w:val="0"/>
          <w:marBottom w:val="0"/>
          <w:divBdr>
            <w:top w:val="none" w:sz="0" w:space="0" w:color="auto"/>
            <w:left w:val="none" w:sz="0" w:space="0" w:color="auto"/>
            <w:bottom w:val="none" w:sz="0" w:space="0" w:color="auto"/>
            <w:right w:val="none" w:sz="0" w:space="0" w:color="auto"/>
          </w:divBdr>
          <w:divsChild>
            <w:div w:id="1293438706">
              <w:marLeft w:val="0"/>
              <w:marRight w:val="0"/>
              <w:marTop w:val="0"/>
              <w:marBottom w:val="0"/>
              <w:divBdr>
                <w:top w:val="none" w:sz="0" w:space="0" w:color="auto"/>
                <w:left w:val="none" w:sz="0" w:space="0" w:color="auto"/>
                <w:bottom w:val="none" w:sz="0" w:space="0" w:color="auto"/>
                <w:right w:val="none" w:sz="0" w:space="0" w:color="auto"/>
              </w:divBdr>
              <w:divsChild>
                <w:div w:id="1530604993">
                  <w:marLeft w:val="0"/>
                  <w:marRight w:val="0"/>
                  <w:marTop w:val="0"/>
                  <w:marBottom w:val="0"/>
                  <w:divBdr>
                    <w:top w:val="none" w:sz="0" w:space="0" w:color="auto"/>
                    <w:left w:val="none" w:sz="0" w:space="0" w:color="auto"/>
                    <w:bottom w:val="none" w:sz="0" w:space="0" w:color="auto"/>
                    <w:right w:val="none" w:sz="0" w:space="0" w:color="auto"/>
                  </w:divBdr>
                  <w:divsChild>
                    <w:div w:id="1616447491">
                      <w:marLeft w:val="0"/>
                      <w:marRight w:val="0"/>
                      <w:marTop w:val="0"/>
                      <w:marBottom w:val="0"/>
                      <w:divBdr>
                        <w:top w:val="none" w:sz="0" w:space="0" w:color="auto"/>
                        <w:left w:val="none" w:sz="0" w:space="0" w:color="auto"/>
                        <w:bottom w:val="none" w:sz="0" w:space="0" w:color="auto"/>
                        <w:right w:val="none" w:sz="0" w:space="0" w:color="auto"/>
                      </w:divBdr>
                    </w:div>
                    <w:div w:id="18384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2161">
      <w:bodyDiv w:val="1"/>
      <w:marLeft w:val="0"/>
      <w:marRight w:val="0"/>
      <w:marTop w:val="0"/>
      <w:marBottom w:val="0"/>
      <w:divBdr>
        <w:top w:val="none" w:sz="0" w:space="0" w:color="auto"/>
        <w:left w:val="none" w:sz="0" w:space="0" w:color="auto"/>
        <w:bottom w:val="none" w:sz="0" w:space="0" w:color="auto"/>
        <w:right w:val="none" w:sz="0" w:space="0" w:color="auto"/>
      </w:divBdr>
    </w:div>
    <w:div w:id="418449622">
      <w:bodyDiv w:val="1"/>
      <w:marLeft w:val="0"/>
      <w:marRight w:val="0"/>
      <w:marTop w:val="0"/>
      <w:marBottom w:val="0"/>
      <w:divBdr>
        <w:top w:val="none" w:sz="0" w:space="0" w:color="auto"/>
        <w:left w:val="none" w:sz="0" w:space="0" w:color="auto"/>
        <w:bottom w:val="none" w:sz="0" w:space="0" w:color="auto"/>
        <w:right w:val="none" w:sz="0" w:space="0" w:color="auto"/>
      </w:divBdr>
    </w:div>
    <w:div w:id="576406505">
      <w:bodyDiv w:val="1"/>
      <w:marLeft w:val="0"/>
      <w:marRight w:val="0"/>
      <w:marTop w:val="0"/>
      <w:marBottom w:val="0"/>
      <w:divBdr>
        <w:top w:val="none" w:sz="0" w:space="0" w:color="auto"/>
        <w:left w:val="none" w:sz="0" w:space="0" w:color="auto"/>
        <w:bottom w:val="none" w:sz="0" w:space="0" w:color="auto"/>
        <w:right w:val="none" w:sz="0" w:space="0" w:color="auto"/>
      </w:divBdr>
    </w:div>
    <w:div w:id="728386046">
      <w:bodyDiv w:val="1"/>
      <w:marLeft w:val="0"/>
      <w:marRight w:val="0"/>
      <w:marTop w:val="0"/>
      <w:marBottom w:val="0"/>
      <w:divBdr>
        <w:top w:val="none" w:sz="0" w:space="0" w:color="auto"/>
        <w:left w:val="none" w:sz="0" w:space="0" w:color="auto"/>
        <w:bottom w:val="none" w:sz="0" w:space="0" w:color="auto"/>
        <w:right w:val="none" w:sz="0" w:space="0" w:color="auto"/>
      </w:divBdr>
    </w:div>
    <w:div w:id="802042060">
      <w:bodyDiv w:val="1"/>
      <w:marLeft w:val="0"/>
      <w:marRight w:val="0"/>
      <w:marTop w:val="0"/>
      <w:marBottom w:val="0"/>
      <w:divBdr>
        <w:top w:val="none" w:sz="0" w:space="0" w:color="auto"/>
        <w:left w:val="none" w:sz="0" w:space="0" w:color="auto"/>
        <w:bottom w:val="none" w:sz="0" w:space="0" w:color="auto"/>
        <w:right w:val="none" w:sz="0" w:space="0" w:color="auto"/>
      </w:divBdr>
    </w:div>
    <w:div w:id="811404899">
      <w:bodyDiv w:val="1"/>
      <w:marLeft w:val="0"/>
      <w:marRight w:val="0"/>
      <w:marTop w:val="0"/>
      <w:marBottom w:val="0"/>
      <w:divBdr>
        <w:top w:val="none" w:sz="0" w:space="0" w:color="auto"/>
        <w:left w:val="none" w:sz="0" w:space="0" w:color="auto"/>
        <w:bottom w:val="none" w:sz="0" w:space="0" w:color="auto"/>
        <w:right w:val="none" w:sz="0" w:space="0" w:color="auto"/>
      </w:divBdr>
    </w:div>
    <w:div w:id="932201891">
      <w:bodyDiv w:val="1"/>
      <w:marLeft w:val="0"/>
      <w:marRight w:val="0"/>
      <w:marTop w:val="0"/>
      <w:marBottom w:val="0"/>
      <w:divBdr>
        <w:top w:val="none" w:sz="0" w:space="0" w:color="auto"/>
        <w:left w:val="none" w:sz="0" w:space="0" w:color="auto"/>
        <w:bottom w:val="none" w:sz="0" w:space="0" w:color="auto"/>
        <w:right w:val="none" w:sz="0" w:space="0" w:color="auto"/>
      </w:divBdr>
    </w:div>
    <w:div w:id="1180122715">
      <w:bodyDiv w:val="1"/>
      <w:marLeft w:val="0"/>
      <w:marRight w:val="0"/>
      <w:marTop w:val="0"/>
      <w:marBottom w:val="0"/>
      <w:divBdr>
        <w:top w:val="none" w:sz="0" w:space="0" w:color="auto"/>
        <w:left w:val="none" w:sz="0" w:space="0" w:color="auto"/>
        <w:bottom w:val="none" w:sz="0" w:space="0" w:color="auto"/>
        <w:right w:val="none" w:sz="0" w:space="0" w:color="auto"/>
      </w:divBdr>
      <w:divsChild>
        <w:div w:id="986470624">
          <w:marLeft w:val="0"/>
          <w:marRight w:val="0"/>
          <w:marTop w:val="0"/>
          <w:marBottom w:val="0"/>
          <w:divBdr>
            <w:top w:val="none" w:sz="0" w:space="0" w:color="auto"/>
            <w:left w:val="none" w:sz="0" w:space="0" w:color="auto"/>
            <w:bottom w:val="none" w:sz="0" w:space="0" w:color="auto"/>
            <w:right w:val="none" w:sz="0" w:space="0" w:color="auto"/>
          </w:divBdr>
          <w:divsChild>
            <w:div w:id="1949923508">
              <w:marLeft w:val="0"/>
              <w:marRight w:val="0"/>
              <w:marTop w:val="0"/>
              <w:marBottom w:val="0"/>
              <w:divBdr>
                <w:top w:val="none" w:sz="0" w:space="0" w:color="auto"/>
                <w:left w:val="none" w:sz="0" w:space="0" w:color="auto"/>
                <w:bottom w:val="none" w:sz="0" w:space="0" w:color="auto"/>
                <w:right w:val="none" w:sz="0" w:space="0" w:color="auto"/>
              </w:divBdr>
              <w:divsChild>
                <w:div w:id="1664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3499">
          <w:marLeft w:val="0"/>
          <w:marRight w:val="0"/>
          <w:marTop w:val="0"/>
          <w:marBottom w:val="0"/>
          <w:divBdr>
            <w:top w:val="none" w:sz="0" w:space="0" w:color="auto"/>
            <w:left w:val="none" w:sz="0" w:space="0" w:color="auto"/>
            <w:bottom w:val="none" w:sz="0" w:space="0" w:color="auto"/>
            <w:right w:val="none" w:sz="0" w:space="0" w:color="auto"/>
          </w:divBdr>
          <w:divsChild>
            <w:div w:id="52973635">
              <w:marLeft w:val="0"/>
              <w:marRight w:val="0"/>
              <w:marTop w:val="0"/>
              <w:marBottom w:val="0"/>
              <w:divBdr>
                <w:top w:val="none" w:sz="0" w:space="0" w:color="auto"/>
                <w:left w:val="none" w:sz="0" w:space="0" w:color="auto"/>
                <w:bottom w:val="none" w:sz="0" w:space="0" w:color="auto"/>
                <w:right w:val="none" w:sz="0" w:space="0" w:color="auto"/>
              </w:divBdr>
              <w:divsChild>
                <w:div w:id="10444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055">
          <w:marLeft w:val="0"/>
          <w:marRight w:val="0"/>
          <w:marTop w:val="0"/>
          <w:marBottom w:val="0"/>
          <w:divBdr>
            <w:top w:val="none" w:sz="0" w:space="0" w:color="auto"/>
            <w:left w:val="none" w:sz="0" w:space="0" w:color="auto"/>
            <w:bottom w:val="none" w:sz="0" w:space="0" w:color="auto"/>
            <w:right w:val="none" w:sz="0" w:space="0" w:color="auto"/>
          </w:divBdr>
          <w:divsChild>
            <w:div w:id="1322082080">
              <w:marLeft w:val="0"/>
              <w:marRight w:val="0"/>
              <w:marTop w:val="0"/>
              <w:marBottom w:val="0"/>
              <w:divBdr>
                <w:top w:val="none" w:sz="0" w:space="0" w:color="auto"/>
                <w:left w:val="none" w:sz="0" w:space="0" w:color="auto"/>
                <w:bottom w:val="none" w:sz="0" w:space="0" w:color="auto"/>
                <w:right w:val="none" w:sz="0" w:space="0" w:color="auto"/>
              </w:divBdr>
              <w:divsChild>
                <w:div w:id="17721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1476">
          <w:marLeft w:val="0"/>
          <w:marRight w:val="0"/>
          <w:marTop w:val="0"/>
          <w:marBottom w:val="0"/>
          <w:divBdr>
            <w:top w:val="none" w:sz="0" w:space="0" w:color="auto"/>
            <w:left w:val="none" w:sz="0" w:space="0" w:color="auto"/>
            <w:bottom w:val="none" w:sz="0" w:space="0" w:color="auto"/>
            <w:right w:val="none" w:sz="0" w:space="0" w:color="auto"/>
          </w:divBdr>
        </w:div>
      </w:divsChild>
    </w:div>
    <w:div w:id="1186603912">
      <w:bodyDiv w:val="1"/>
      <w:marLeft w:val="0"/>
      <w:marRight w:val="0"/>
      <w:marTop w:val="0"/>
      <w:marBottom w:val="0"/>
      <w:divBdr>
        <w:top w:val="none" w:sz="0" w:space="0" w:color="auto"/>
        <w:left w:val="none" w:sz="0" w:space="0" w:color="auto"/>
        <w:bottom w:val="none" w:sz="0" w:space="0" w:color="auto"/>
        <w:right w:val="none" w:sz="0" w:space="0" w:color="auto"/>
      </w:divBdr>
    </w:div>
    <w:div w:id="1235967105">
      <w:bodyDiv w:val="1"/>
      <w:marLeft w:val="0"/>
      <w:marRight w:val="0"/>
      <w:marTop w:val="0"/>
      <w:marBottom w:val="0"/>
      <w:divBdr>
        <w:top w:val="none" w:sz="0" w:space="0" w:color="auto"/>
        <w:left w:val="none" w:sz="0" w:space="0" w:color="auto"/>
        <w:bottom w:val="none" w:sz="0" w:space="0" w:color="auto"/>
        <w:right w:val="none" w:sz="0" w:space="0" w:color="auto"/>
      </w:divBdr>
    </w:div>
    <w:div w:id="1269433271">
      <w:bodyDiv w:val="1"/>
      <w:marLeft w:val="0"/>
      <w:marRight w:val="0"/>
      <w:marTop w:val="0"/>
      <w:marBottom w:val="0"/>
      <w:divBdr>
        <w:top w:val="none" w:sz="0" w:space="0" w:color="auto"/>
        <w:left w:val="none" w:sz="0" w:space="0" w:color="auto"/>
        <w:bottom w:val="none" w:sz="0" w:space="0" w:color="auto"/>
        <w:right w:val="none" w:sz="0" w:space="0" w:color="auto"/>
      </w:divBdr>
    </w:div>
    <w:div w:id="1805196238">
      <w:bodyDiv w:val="1"/>
      <w:marLeft w:val="0"/>
      <w:marRight w:val="0"/>
      <w:marTop w:val="0"/>
      <w:marBottom w:val="0"/>
      <w:divBdr>
        <w:top w:val="none" w:sz="0" w:space="0" w:color="auto"/>
        <w:left w:val="none" w:sz="0" w:space="0" w:color="auto"/>
        <w:bottom w:val="none" w:sz="0" w:space="0" w:color="auto"/>
        <w:right w:val="none" w:sz="0" w:space="0" w:color="auto"/>
      </w:divBdr>
    </w:div>
    <w:div w:id="1879857401">
      <w:bodyDiv w:val="1"/>
      <w:marLeft w:val="0"/>
      <w:marRight w:val="0"/>
      <w:marTop w:val="0"/>
      <w:marBottom w:val="0"/>
      <w:divBdr>
        <w:top w:val="none" w:sz="0" w:space="0" w:color="auto"/>
        <w:left w:val="none" w:sz="0" w:space="0" w:color="auto"/>
        <w:bottom w:val="none" w:sz="0" w:space="0" w:color="auto"/>
        <w:right w:val="none" w:sz="0" w:space="0" w:color="auto"/>
      </w:divBdr>
    </w:div>
    <w:div w:id="1927223068">
      <w:bodyDiv w:val="1"/>
      <w:marLeft w:val="0"/>
      <w:marRight w:val="0"/>
      <w:marTop w:val="0"/>
      <w:marBottom w:val="0"/>
      <w:divBdr>
        <w:top w:val="none" w:sz="0" w:space="0" w:color="auto"/>
        <w:left w:val="none" w:sz="0" w:space="0" w:color="auto"/>
        <w:bottom w:val="none" w:sz="0" w:space="0" w:color="auto"/>
        <w:right w:val="none" w:sz="0" w:space="0" w:color="auto"/>
      </w:divBdr>
      <w:divsChild>
        <w:div w:id="575359805">
          <w:marLeft w:val="0"/>
          <w:marRight w:val="0"/>
          <w:marTop w:val="0"/>
          <w:marBottom w:val="0"/>
          <w:divBdr>
            <w:top w:val="none" w:sz="0" w:space="0" w:color="auto"/>
            <w:left w:val="none" w:sz="0" w:space="0" w:color="auto"/>
            <w:bottom w:val="none" w:sz="0" w:space="0" w:color="auto"/>
            <w:right w:val="none" w:sz="0" w:space="0" w:color="auto"/>
          </w:divBdr>
          <w:divsChild>
            <w:div w:id="1014841216">
              <w:marLeft w:val="0"/>
              <w:marRight w:val="0"/>
              <w:marTop w:val="0"/>
              <w:marBottom w:val="0"/>
              <w:divBdr>
                <w:top w:val="none" w:sz="0" w:space="0" w:color="auto"/>
                <w:left w:val="none" w:sz="0" w:space="0" w:color="auto"/>
                <w:bottom w:val="none" w:sz="0" w:space="0" w:color="auto"/>
                <w:right w:val="none" w:sz="0" w:space="0" w:color="auto"/>
              </w:divBdr>
            </w:div>
          </w:divsChild>
        </w:div>
        <w:div w:id="2031566700">
          <w:marLeft w:val="0"/>
          <w:marRight w:val="0"/>
          <w:marTop w:val="0"/>
          <w:marBottom w:val="0"/>
          <w:divBdr>
            <w:top w:val="none" w:sz="0" w:space="0" w:color="auto"/>
            <w:left w:val="none" w:sz="0" w:space="0" w:color="auto"/>
            <w:bottom w:val="none" w:sz="0" w:space="0" w:color="auto"/>
            <w:right w:val="none" w:sz="0" w:space="0" w:color="auto"/>
          </w:divBdr>
          <w:divsChild>
            <w:div w:id="546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8866">
      <w:bodyDiv w:val="1"/>
      <w:marLeft w:val="0"/>
      <w:marRight w:val="0"/>
      <w:marTop w:val="0"/>
      <w:marBottom w:val="0"/>
      <w:divBdr>
        <w:top w:val="none" w:sz="0" w:space="0" w:color="auto"/>
        <w:left w:val="none" w:sz="0" w:space="0" w:color="auto"/>
        <w:bottom w:val="none" w:sz="0" w:space="0" w:color="auto"/>
        <w:right w:val="none" w:sz="0" w:space="0" w:color="auto"/>
      </w:divBdr>
    </w:div>
    <w:div w:id="2115590536">
      <w:bodyDiv w:val="1"/>
      <w:marLeft w:val="0"/>
      <w:marRight w:val="0"/>
      <w:marTop w:val="0"/>
      <w:marBottom w:val="0"/>
      <w:divBdr>
        <w:top w:val="none" w:sz="0" w:space="0" w:color="auto"/>
        <w:left w:val="none" w:sz="0" w:space="0" w:color="auto"/>
        <w:bottom w:val="none" w:sz="0" w:space="0" w:color="auto"/>
        <w:right w:val="none" w:sz="0" w:space="0" w:color="auto"/>
      </w:divBdr>
    </w:div>
    <w:div w:id="2117091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accessibility-requirements-for-public-sector-websites-and-apps" TargetMode="External"/><Relationship Id="rId5" Type="http://schemas.openxmlformats.org/officeDocument/2006/relationships/settings" Target="settings.xml"/><Relationship Id="rId10" Type="http://schemas.openxmlformats.org/officeDocument/2006/relationships/hyperlink" Target="mailto:Anna.Drabarz@mfipr.gov.pl" TargetMode="External"/><Relationship Id="rId4" Type="http://schemas.openxmlformats.org/officeDocument/2006/relationships/styles" Target="styles.xml"/><Relationship Id="rId9" Type="http://schemas.openxmlformats.org/officeDocument/2006/relationships/hyperlink" Target="mailto:Zuzanna.Raszkowska@mfipr.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iepelnosprawni.gov.pl/p,122,zrodla-danych-o-osobach-niepelnospraw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gvmpLGP/j46OCmq5tnXoyDs7g==">AMUW2mUu4GyTdlH1XDIjp45Ynx18AYWOcZo1L8Iox2AWyCBqH/ipxL4qbA9tPoqtRNGos26E2tIJohSEStfQF6YSFZ7CHLTCEhVzevIb4mDcLGdWAL/yPug6OJGRb57ojircZl4MONVFDhxUSlO/UdcKu+XppvNQNwGKUXOKIfM+XWoirIhG9hA=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66DA8-2010-4DA6-AFCF-E568CAC9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17639</Words>
  <Characters>105834</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123227</CharactersWithSpaces>
  <SharedDoc>false</SharedDoc>
  <HLinks>
    <vt:vector size="24" baseType="variant">
      <vt:variant>
        <vt:i4>2359340</vt:i4>
      </vt:variant>
      <vt:variant>
        <vt:i4>6</vt:i4>
      </vt:variant>
      <vt:variant>
        <vt:i4>0</vt:i4>
      </vt:variant>
      <vt:variant>
        <vt:i4>5</vt:i4>
      </vt:variant>
      <vt:variant>
        <vt:lpwstr>https://www.gov.uk/guidance/accessibility-requirements-for-public-sector-websites-and-apps</vt:lpwstr>
      </vt:variant>
      <vt:variant>
        <vt:lpwstr/>
      </vt:variant>
      <vt:variant>
        <vt:i4>7602252</vt:i4>
      </vt:variant>
      <vt:variant>
        <vt:i4>3</vt:i4>
      </vt:variant>
      <vt:variant>
        <vt:i4>0</vt:i4>
      </vt:variant>
      <vt:variant>
        <vt:i4>5</vt:i4>
      </vt:variant>
      <vt:variant>
        <vt:lpwstr>mailto:Anna.Drabarz@mfipr.gov.pl</vt:lpwstr>
      </vt:variant>
      <vt:variant>
        <vt:lpwstr/>
      </vt:variant>
      <vt:variant>
        <vt:i4>5111919</vt:i4>
      </vt:variant>
      <vt:variant>
        <vt:i4>0</vt:i4>
      </vt:variant>
      <vt:variant>
        <vt:i4>0</vt:i4>
      </vt:variant>
      <vt:variant>
        <vt:i4>5</vt:i4>
      </vt:variant>
      <vt:variant>
        <vt:lpwstr>mailto:Zuzanna.Raszkowska@mfipr.gov.pl</vt:lpwstr>
      </vt:variant>
      <vt:variant>
        <vt:lpwstr/>
      </vt:variant>
      <vt:variant>
        <vt:i4>2162788</vt:i4>
      </vt:variant>
      <vt:variant>
        <vt:i4>0</vt:i4>
      </vt:variant>
      <vt:variant>
        <vt:i4>0</vt:i4>
      </vt:variant>
      <vt:variant>
        <vt:i4>5</vt:i4>
      </vt:variant>
      <vt:variant>
        <vt:lpwstr>https://niepelnosprawni.gov.pl/p,122,zrodla-danych-o-osobach-niepelnosprawnych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Raszkowska</dc:creator>
  <cp:keywords/>
  <cp:lastModifiedBy>Leśnicka Marta</cp:lastModifiedBy>
  <cp:revision>2</cp:revision>
  <cp:lastPrinted>2023-07-17T10:59:00Z</cp:lastPrinted>
  <dcterms:created xsi:type="dcterms:W3CDTF">2024-01-16T14:59:00Z</dcterms:created>
  <dcterms:modified xsi:type="dcterms:W3CDTF">2024-01-16T14:59:00Z</dcterms:modified>
</cp:coreProperties>
</file>