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8D34" w14:textId="74057B9B" w:rsidR="00E311EB" w:rsidRPr="009D0293" w:rsidRDefault="00E311EB" w:rsidP="00E311EB">
      <w:pPr>
        <w:keepNext/>
        <w:spacing w:before="120"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lang w:eastAsia="zh-CN"/>
        </w:rPr>
      </w:pPr>
      <w:r w:rsidRPr="009D0293">
        <w:rPr>
          <w:rFonts w:ascii="Times New Roman" w:eastAsia="Arial Unicode MS" w:hAnsi="Times New Roman" w:cs="Times New Roman"/>
          <w:b/>
          <w:bCs/>
          <w:kern w:val="32"/>
          <w:lang w:eastAsia="zh-CN"/>
        </w:rPr>
        <w:t>U Z A S A D N I E N I E</w:t>
      </w:r>
    </w:p>
    <w:p w14:paraId="51A2BC14" w14:textId="4852E9F7" w:rsidR="0035191D" w:rsidRPr="00656333" w:rsidRDefault="00CF3FCF" w:rsidP="00E82A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kern w:val="32"/>
          <w:sz w:val="24"/>
          <w:szCs w:val="24"/>
          <w:lang w:eastAsia="zh-CN"/>
        </w:rPr>
        <w:t>P</w:t>
      </w:r>
      <w:r w:rsidR="00111560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rojekt</w:t>
      </w:r>
      <w:r w:rsidR="00A72ABF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24D62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rozporządzenia</w:t>
      </w:r>
      <w:r w:rsidR="007B3058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139638608"/>
      <w:r w:rsidR="00E82ADE" w:rsidRPr="00311E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Ministra Rodziny</w:t>
      </w:r>
      <w:r w:rsidR="00331F3E" w:rsidRPr="00311E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Pracy</w:t>
      </w:r>
      <w:r w:rsidR="00E82ADE" w:rsidRPr="00311E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Polityki Społecznej </w:t>
      </w:r>
      <w:bookmarkEnd w:id="0"/>
      <w:r w:rsidR="005B653C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zmieniającego rozporządzenie </w:t>
      </w:r>
      <w:bookmarkStart w:id="1" w:name="_Hlk139638572"/>
      <w:bookmarkStart w:id="2" w:name="_Hlk139638645"/>
      <w:r w:rsidR="007B3058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sprawie najwyższych dopuszczalnych stężeń i natężeń czynników szkodliwych dla zdrowia w środowisku pracy </w:t>
      </w:r>
      <w:bookmarkEnd w:id="1"/>
      <w:bookmarkEnd w:id="2"/>
      <w:r w:rsidR="00E82ADE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(dalej: rozporządzenie </w:t>
      </w:r>
      <w:proofErr w:type="spellStart"/>
      <w:r w:rsidR="00E82ADE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NDSiN</w:t>
      </w:r>
      <w:proofErr w:type="spellEnd"/>
      <w:r w:rsidR="00E82ADE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1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stanowi realizację upoważnienia zawartego w art. 228 § 3 </w:t>
      </w:r>
      <w:r w:rsidR="0099103C" w:rsidRPr="009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z dnia 26 czerwca 1974 r. – Kodeks pracy (Dz. U. z </w:t>
      </w:r>
      <w:r w:rsidR="009910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2023 r. poz. 1465). </w:t>
      </w:r>
      <w:r w:rsidR="0061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Celem projektowanej regulacji jest</w:t>
      </w:r>
      <w:r w:rsidR="006353EC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653C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wdrożeni</w:t>
      </w:r>
      <w:r w:rsidR="0061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5B653C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prawa krajowego </w:t>
      </w:r>
      <w:r w:rsidR="00666A8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przepisów</w:t>
      </w:r>
      <w:r w:rsidR="00981B4E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F02B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zawartych w</w:t>
      </w:r>
      <w:r w:rsidR="00553039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FE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dyrektywie Parlamentu Europejskiego i Rady (UE) 2022/431 z dnia 9 marca 2022 r. zmieniającej dyrektywę 2004/37/WE w sprawie ochrony pracowników przed zagrożeniem dotyczącym narażenia na działanie czynników rakotwórczych lub mutagenów podczas pracy (dalej:</w:t>
      </w:r>
      <w:r w:rsidR="0061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FE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dyrektywa</w:t>
      </w:r>
      <w:r w:rsidR="0061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C4FE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2022/431),</w:t>
      </w:r>
      <w:r w:rsidR="006165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1B1A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której termin transpozycji wyznaczono do dnia </w:t>
      </w:r>
      <w:r w:rsidR="00AC4FE6" w:rsidRPr="00DD46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kwietnia 2024</w:t>
      </w:r>
      <w:r w:rsidR="00F21B1A" w:rsidRPr="00DD46D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</w:t>
      </w:r>
      <w:r w:rsidR="00625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B162DDE" w14:textId="6C27675A" w:rsidR="00553039" w:rsidRPr="00656333" w:rsidRDefault="00F21B1A" w:rsidP="00553039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DB205A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mplementacja </w:t>
      </w:r>
      <w:r w:rsidR="00666A8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przepisów</w:t>
      </w:r>
      <w:r w:rsidR="00DB205A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dyrektywy </w:t>
      </w:r>
      <w:r w:rsidR="00AC4FE6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2022/431 </w:t>
      </w:r>
      <w:r w:rsidR="00DB205A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wymaga wp</w:t>
      </w:r>
      <w:r w:rsidR="003523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rowadzenia w załączniku nr 1 </w:t>
      </w:r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</w:t>
      </w:r>
      <w:r w:rsidR="00417AEA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rozporządzenia </w:t>
      </w:r>
      <w:bookmarkStart w:id="3" w:name="_Hlk48714372"/>
      <w:r w:rsidR="00E82ADE" w:rsidRP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Ministra Rodziny</w:t>
      </w:r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Pracy</w:t>
      </w:r>
      <w:r w:rsidR="00E82ADE" w:rsidRP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Polityki Społecznej z dnia 12 czerwca 2018 r. w sprawie najwyższych dopuszczalnych stężeń i natężeń czynników szkodliwych dla zdrowia w środowisku pracy </w:t>
      </w:r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(Dz. U. poz. 1286, z </w:t>
      </w:r>
      <w:proofErr w:type="spellStart"/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</w:t>
      </w:r>
      <w:r w:rsidR="000731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ź</w:t>
      </w:r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zm.) (dalej: rozporządzenie </w:t>
      </w:r>
      <w:proofErr w:type="spellStart"/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E82A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79796E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nowych normatywów </w:t>
      </w:r>
      <w:r w:rsidR="00F671B8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</w:t>
      </w:r>
      <w:r w:rsidR="008C130F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benzenu, akrylonitrylu oraz </w:t>
      </w:r>
      <w:r w:rsidR="007320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związków niklu</w:t>
      </w:r>
      <w:r w:rsidR="00311E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11E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1E22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130F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przeliczeniu na Ni.</w:t>
      </w:r>
    </w:p>
    <w:p w14:paraId="4CEA9F59" w14:textId="4119243C" w:rsidR="006464CC" w:rsidRPr="00F85AFA" w:rsidRDefault="006464CC" w:rsidP="006464CC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</w:pPr>
      <w:r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benzenu wartość </w:t>
      </w:r>
      <w:r w:rsidR="00F85AFA"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najwyższego dopuszczalnego stężenia (dalej: </w:t>
      </w:r>
      <w:r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NDS</w:t>
      </w:r>
      <w:r w:rsidR="00F85AFA"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będzie wynosić</w:t>
      </w:r>
      <w:bookmarkEnd w:id="3"/>
      <w:r w:rsidR="00865E6B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D68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0,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66</w:t>
      </w:r>
      <w:r w:rsidR="00BE7D68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mg/m</w:t>
      </w:r>
      <w:r w:rsidR="00BE7D68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(0,2 </w:t>
      </w:r>
      <w:proofErr w:type="spellStart"/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ppm</w:t>
      </w:r>
      <w:proofErr w:type="spellEnd"/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5201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Normatyw ten, </w:t>
      </w:r>
      <w:r w:rsidR="00A95201"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zastosowanym w ww. dyrektywie okresem przejściowym, </w:t>
      </w:r>
      <w:r w:rsidR="00A95201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będzie obowiązywał</w:t>
      </w:r>
      <w:r w:rsidR="00BE7D68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D68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od dnia </w:t>
      </w:r>
      <w:r w:rsidR="00F978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978B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kwietnia</w:t>
      </w:r>
      <w:r w:rsidR="00BE7D68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2026 r.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80E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ww. </w:t>
      </w:r>
      <w:r w:rsidR="00666A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D580E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434D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79796E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benzenu</w:t>
      </w:r>
      <w:r w:rsidR="000D434D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A86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będzie </w:t>
      </w:r>
      <w:r w:rsidR="00AD580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obowiązywała dotychczasowa</w:t>
      </w:r>
      <w:r w:rsidR="000D434D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,</w:t>
      </w:r>
      <w:r w:rsidR="00AD580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określona w rozporządzeniu </w:t>
      </w:r>
      <w:proofErr w:type="spellStart"/>
      <w:r w:rsidR="00F978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MRPiPS</w:t>
      </w:r>
      <w:proofErr w:type="spellEnd"/>
      <w:r w:rsidR="000D434D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,</w:t>
      </w:r>
      <w:r w:rsidR="00AD580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wartość </w:t>
      </w:r>
      <w:r w:rsidR="000D434D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dopuszczalna </w:t>
      </w:r>
      <w:r w:rsidR="00AD580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wynosząca </w:t>
      </w:r>
      <w:r w:rsidR="0079796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1,6</w:t>
      </w:r>
      <w:r w:rsidR="00AD580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mg/m</w:t>
      </w:r>
      <w:r w:rsidR="00AD580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vertAlign w:val="superscript"/>
          <w:lang w:eastAsia="en-GB"/>
        </w:rPr>
        <w:t>3</w:t>
      </w:r>
      <w:r w:rsidR="0079796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(0,49 </w:t>
      </w:r>
      <w:proofErr w:type="spellStart"/>
      <w:r w:rsidR="0079796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ppm</w:t>
      </w:r>
      <w:proofErr w:type="spellEnd"/>
      <w:r w:rsidR="0079796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)</w:t>
      </w:r>
      <w:r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.</w:t>
      </w:r>
    </w:p>
    <w:p w14:paraId="5FF0035B" w14:textId="7451B69D" w:rsidR="006464CC" w:rsidRPr="00F85AFA" w:rsidRDefault="006464CC" w:rsidP="006464CC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Dla a</w:t>
      </w:r>
      <w:r w:rsidR="0079796E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krylonitrylu wartość NDS</w:t>
      </w:r>
      <w:r w:rsidR="00F61062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będzie wynosić</w:t>
      </w:r>
      <w:r w:rsidR="00F61062" w:rsidRPr="00F85AF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 mg/m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(0,45 </w:t>
      </w:r>
      <w:proofErr w:type="spellStart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ppm</w:t>
      </w:r>
      <w:proofErr w:type="spellEnd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zaś 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wartość </w:t>
      </w:r>
      <w:r w:rsidR="00F85AFA" w:rsidRPr="00F85A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najwyższego dopuszczalnego stężenia chwilowego (dalej: </w:t>
      </w:r>
      <w:proofErr w:type="spellStart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NDSCh</w:t>
      </w:r>
      <w:proofErr w:type="spellEnd"/>
      <w:r w:rsidR="00F85AFA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będzie wynosić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BB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mg/m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(1,</w:t>
      </w:r>
      <w:r w:rsidR="00917BBE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ppm</w:t>
      </w:r>
      <w:proofErr w:type="spellEnd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Normatywy te, zgodnie z zastosowanym w ww. dyrektywie okresem przejściowym, będą obowiązywały 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 dnia 5 kwietnia 2026 r.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ww. daty dla akrylonitrylu będą obowiązywały dotychczasowe, określone w rozporządzeniu </w:t>
      </w:r>
      <w:proofErr w:type="spellStart"/>
      <w:r w:rsidR="00D70044">
        <w:rPr>
          <w:rFonts w:ascii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wartości dopuszczalne wynoszące </w:t>
      </w:r>
      <w:r w:rsidR="0007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odpowiednio 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mg/m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(NDS) i 10 mg/m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NDSCh</w:t>
      </w:r>
      <w:proofErr w:type="spellEnd"/>
      <w:r w:rsidR="00046E86" w:rsidRPr="00F85A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F85A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Ponadto w załączniku nr 1 do rozporządzenia </w:t>
      </w:r>
      <w:proofErr w:type="spellStart"/>
      <w:r w:rsidR="00E93640">
        <w:rPr>
          <w:rFonts w:ascii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E9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4F46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93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akrylonitrylu dodano odnośnik </w:t>
      </w:r>
      <w:r w:rsidR="00E02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22 w brzmieniu: </w:t>
      </w:r>
      <w:r w:rsidR="00E93640" w:rsidRPr="00E93640">
        <w:rPr>
          <w:rFonts w:ascii="Times New Roman" w:hAnsi="Times New Roman" w:cs="Times New Roman"/>
          <w:color w:val="000000" w:themeColor="text1"/>
          <w:sz w:val="24"/>
          <w:szCs w:val="24"/>
        </w:rPr>
        <w:t>Substancja może mieć działanie uczulające na skórę.</w:t>
      </w:r>
    </w:p>
    <w:p w14:paraId="15BD94BA" w14:textId="450C1480" w:rsidR="00046E86" w:rsidRPr="00861C1D" w:rsidRDefault="006464CC" w:rsidP="006464CC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>Dla n</w:t>
      </w:r>
      <w:r w:rsidR="00046E86"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iklu i jego związków </w:t>
      </w:r>
      <w:r w:rsidR="000731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46E86"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przeliczeniu na Ni, 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wartoś</w:t>
      </w:r>
      <w:r w:rsidR="00515E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ci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NDS </w:t>
      </w:r>
      <w:r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będ</w:t>
      </w:r>
      <w:r w:rsidR="00515E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ą określone osobno dla nik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lu metal</w:t>
      </w:r>
      <w:r w:rsidR="00C53B8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u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E776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7608"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w przeliczeniu na Ni </w:t>
      </w:r>
      <w:r w:rsidR="00E7760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(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zostanie dodany nowy normatyw</w:t>
      </w:r>
      <w:r w:rsidR="00E7760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)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515E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oraz dla związków niklu </w:t>
      </w:r>
      <w:r w:rsidR="00E776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7608"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ED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w przeliczeniu na Ni. 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D</w:t>
      </w:r>
      <w:r w:rsidR="00575C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la związków niklu </w:t>
      </w:r>
      <w:r w:rsidR="00E776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7608"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C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w przeliczeniu na Ni, wartości NDS będą </w:t>
      </w:r>
      <w:r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wynosić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0,01 mg/m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vertAlign w:val="superscript"/>
          <w:lang w:eastAsia="en-GB"/>
        </w:rPr>
        <w:t>3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dla frakcji </w:t>
      </w:r>
      <w:proofErr w:type="spellStart"/>
      <w:r w:rsidR="00861C1D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respirabilnej</w:t>
      </w:r>
      <w:proofErr w:type="spellEnd"/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i 0,05 mg/m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vertAlign w:val="superscript"/>
          <w:lang w:eastAsia="en-GB"/>
        </w:rPr>
        <w:t>3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dla frakcji </w:t>
      </w:r>
      <w:proofErr w:type="spellStart"/>
      <w:r w:rsidR="00861C1D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wdychalnej</w:t>
      </w:r>
      <w:proofErr w:type="spellEnd"/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. Normatywy te, zgodnie z zastosowanym w ww. dyrektywie okresem przejściowym, będą obowiązywały 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od 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lastRenderedPageBreak/>
        <w:t>dnia 18 stycznia 2025 r.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Do ww. daty dla </w:t>
      </w:r>
      <w:r w:rsidR="00575C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związków niklu</w:t>
      </w:r>
      <w:r w:rsidR="00311E2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311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75C3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w przeliczeniu na Ni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,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bę</w:t>
      </w:r>
      <w:r w:rsidR="00861C1D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dzie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obowiązywał</w:t>
      </w:r>
      <w:r w:rsidR="00861C1D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a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nowa </w:t>
      </w:r>
      <w:r w:rsidR="00861C1D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wartość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dopuszczaln</w:t>
      </w:r>
      <w:r w:rsidR="00861C1D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a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wynosząc</w:t>
      </w:r>
      <w:r w:rsidR="00861C1D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a</w:t>
      </w:r>
      <w:r w:rsidR="00917BBE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861C1D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0,1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mg/m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vertAlign w:val="superscript"/>
          <w:lang w:eastAsia="en-GB"/>
        </w:rPr>
        <w:t>3</w:t>
      </w:r>
      <w:r w:rsidR="00917BBE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 (NDS) </w:t>
      </w:r>
      <w:r w:rsidR="00861C1D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 xml:space="preserve">dla frakcji </w:t>
      </w:r>
      <w:proofErr w:type="spellStart"/>
      <w:r w:rsidR="00861C1D" w:rsidRPr="007A586D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wdychalnej</w:t>
      </w:r>
      <w:proofErr w:type="spellEnd"/>
      <w:r w:rsidR="001B629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. Do dnia implementacji przepisów dyrektywy </w:t>
      </w:r>
      <w:r w:rsidR="001B629A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2022/431</w:t>
      </w:r>
      <w:r w:rsidR="001B62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obowiązująca wartość NDS wynosi </w:t>
      </w:r>
      <w:r w:rsidR="001B629A" w:rsidRPr="00B8148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0,25 mg/m</w:t>
      </w:r>
      <w:r w:rsidR="001B629A" w:rsidRPr="00B8148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vertAlign w:val="superscript"/>
        </w:rPr>
        <w:t>3</w:t>
      </w:r>
      <w:r w:rsidR="001B62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B629A" w:rsidRPr="001B62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C7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kolei d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la</w:t>
      </w:r>
      <w:r w:rsidR="004D7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nowododanego normatywu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nik</w:t>
      </w:r>
      <w:r w:rsidR="004D7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iel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metal </w:t>
      </w:r>
      <w:r w:rsidR="00E7760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7608" w:rsidRPr="0086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w przeliczeniu na Ni, wartość NDS pozostanie na poziomie </w:t>
      </w:r>
      <w:r w:rsidR="005C7D88" w:rsidRPr="00515EDE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en-GB"/>
        </w:rPr>
        <w:t>0,25 mg/m</w:t>
      </w:r>
      <w:r w:rsidR="005C7D88" w:rsidRPr="00515EDE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vertAlign w:val="superscript"/>
          <w:lang w:eastAsia="en-GB"/>
        </w:rPr>
        <w:t>3</w:t>
      </w:r>
      <w:r w:rsidR="005C7D8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. </w:t>
      </w:r>
      <w:r w:rsidR="004F4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w załączniku nr 1 do rozporządzenia </w:t>
      </w:r>
      <w:proofErr w:type="spellStart"/>
      <w:r w:rsidR="004F46F3">
        <w:rPr>
          <w:rFonts w:ascii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4F4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57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obu postaci</w:t>
      </w:r>
      <w:r w:rsidR="004F4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niklu dodano odnośnik </w:t>
      </w:r>
      <w:r w:rsidR="00E02FEE">
        <w:rPr>
          <w:rFonts w:ascii="Times New Roman" w:hAnsi="Times New Roman" w:cs="Times New Roman"/>
          <w:color w:val="000000" w:themeColor="text1"/>
          <w:sz w:val="24"/>
          <w:szCs w:val="24"/>
        </w:rPr>
        <w:t>nr 21</w:t>
      </w:r>
      <w:r w:rsidR="00311E22" w:rsidRPr="00311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brzmieniu: </w:t>
      </w:r>
      <w:r w:rsidR="004F46F3" w:rsidRPr="004F46F3">
        <w:rPr>
          <w:rFonts w:ascii="Times New Roman" w:hAnsi="Times New Roman" w:cs="Times New Roman"/>
          <w:color w:val="000000" w:themeColor="text1"/>
          <w:sz w:val="24"/>
          <w:szCs w:val="24"/>
        </w:rPr>
        <w:t>Substancja może mieć działanie uczula</w:t>
      </w:r>
      <w:r w:rsidR="004F46F3">
        <w:rPr>
          <w:rFonts w:ascii="Times New Roman" w:hAnsi="Times New Roman" w:cs="Times New Roman"/>
          <w:color w:val="000000" w:themeColor="text1"/>
          <w:sz w:val="24"/>
          <w:szCs w:val="24"/>
        </w:rPr>
        <w:t>jące na skórę i układ oddechowy</w:t>
      </w:r>
      <w:r w:rsidR="00E4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oraz wykreślono wyłączenie w postaci </w:t>
      </w:r>
      <w:proofErr w:type="spellStart"/>
      <w:r w:rsidR="00E4053F">
        <w:rPr>
          <w:rFonts w:ascii="Times New Roman" w:hAnsi="Times New Roman" w:cs="Times New Roman"/>
          <w:color w:val="000000" w:themeColor="text1"/>
          <w:sz w:val="24"/>
          <w:szCs w:val="24"/>
        </w:rPr>
        <w:t>tetrakarbonylku</w:t>
      </w:r>
      <w:proofErr w:type="spellEnd"/>
      <w:r w:rsidR="00E40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niklu.</w:t>
      </w:r>
      <w:r w:rsidR="001B629A" w:rsidRPr="001B62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EC83304" w14:textId="3E0D4B75" w:rsidR="00BB51F5" w:rsidRPr="0012236D" w:rsidRDefault="005E1981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Benzen występuje naturalnie w ropie naftowej. Naturalne źródła emisji benzenu to emisje gazów z wulkanów i pożarów lasów. W Europie 55% benzenu pochodzi z gazu </w:t>
      </w:r>
      <w:proofErr w:type="spellStart"/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pirolitycznego</w:t>
      </w:r>
      <w:proofErr w:type="spellEnd"/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, 20% z </w:t>
      </w:r>
      <w:proofErr w:type="spellStart"/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reformatu</w:t>
      </w:r>
      <w:proofErr w:type="spellEnd"/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, a kilka procent z destylacji smoły węglowej. Roczna produkcja światowa benzenu jest szacowana na ponad 50 mln t, co sprawia, że jest on trzecim po etylenie (120 mln t/rok) i propylenie (100 mln t/rok) podstawowym półproduktem chemicznym. </w:t>
      </w:r>
      <w:r w:rsidR="002E61FC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Głównymi producentami benzenu w Europie są Niemcy, Holandia i Wielka Brytania. W Polsce zwią</w:t>
      </w:r>
      <w:r w:rsidR="006B3024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zek ten jest</w:t>
      </w:r>
      <w:r w:rsidR="002E61FC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produkowany przez zakłady przemysłu petrochemicznego i koksowniczego. </w:t>
      </w:r>
      <w:r w:rsidR="006B3024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Benzen jest stosowany przede wszystkim jako rozpuszczalnik w przemyśle chemicznym i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6B3024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farmaceutycznym, jako materiał wyjściowy i półprodukt w syntezie wielu chemikaliów</w:t>
      </w:r>
      <w:r w:rsidR="0056430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747FA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które są wykorzystywane do</w:t>
      </w:r>
      <w:r w:rsidR="0056430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produkcji kolejnych substancji</w:t>
      </w:r>
      <w:r w:rsidR="00E747FA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. Benzen jest używany jako rozpuszczalnik dla tłuszczów, wosków, żywic, olejów, tuszy, tworzyw sztucznych i gumy. Jest również stosowany jako półprodukt chemiczny do produkcji gumy, smarów, barwników, środków czyszczących i pestycydów. Ponadto benzen jest stosowany jako dodatek do benzyny w celu zwiększenia liczby oktanowej benzyny bezołowiowej. </w:t>
      </w:r>
    </w:p>
    <w:p w14:paraId="1C13AC79" w14:textId="56266AE6" w:rsidR="005E1981" w:rsidRPr="0012236D" w:rsidRDefault="00E747FA" w:rsidP="00BB51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BB51F5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Benzen jest jedną z najgroźniejszych trucizn przemysłowych, ze względu na dużą lotność i możliwość tworzenia dużych stężeń w powietrzu. Szczególnie niebezpieczne są wszelkie procesy o dużej powierzchni parowania a niewielkiej możliwości hermetyzacji. Zatrucia ostre są zwykle wynikiem wypadków (uwolnienie benzenu) lub jego złego użycia. Według rozporządzenia Parlamentu Europejskiego i Rady 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(WE) nr 1272/2008 z dnia 16 grudnia 2008 r. w sprawie klasyfikacji, oznakowania i pakowania substancji i mieszanin, zmieniające</w:t>
      </w:r>
      <w:r w:rsidR="0056430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go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i uchylającego dyrektywy 67/548/EWG i 1999/45/WE oraz zmieniającego rozporządzenie (WE) nr 1907/2006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887149" w:rsidRPr="006563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dalej: </w:t>
      </w:r>
      <w:r w:rsidR="00887149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rozporządzeni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887149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1272/2008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, benzen jest substancją rakotwórczą kat. 1A (substancja o udowodnionym działaniu rakotwórczym na człowieka) z przypisanym zwrotem wskazującym rodzaj zagrożenia H</w:t>
      </w:r>
      <w:r w:rsidR="00C90B2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35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0 „Może powodować raka” oraz substancją mutagenną kat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egorii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1B</w:t>
      </w:r>
      <w:r w:rsidR="00C6338A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338A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(substancja o udowodnionym działaniu </w:t>
      </w:r>
      <w:r w:rsidR="00C6338A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mutagennym</w:t>
      </w:r>
      <w:r w:rsidR="00C6338A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na człowieka)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7A4622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przypisanym zwrotem H340 „Może powodować wady genetyczne”.</w:t>
      </w:r>
      <w:r w:rsidR="00BB51F5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873C56A" w14:textId="30A91309" w:rsidR="00D676AD" w:rsidRDefault="00EC009C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</w:pP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lastRenderedPageBreak/>
        <w:t>Według danych Głównego Inspektora Sanitarnego (z 2021 r.) dotyczących narażenia zawodowego na benzen, liczba pracowników zatrudnionych w warunkach stanowiących 0,1÷0,5 wartości NDS w 2019 r. oraz w 2020 r. wynosiła odpowiednio 1378 i 779, w warunkach 0,5÷1</w:t>
      </w:r>
      <w:r w:rsidR="00AA496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wartości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NDS wynosiła odpowiednio 896 i 376, zaś w warunkach przekraczających wartości NDS wynosiła odpowiednio 18 i 28. W wykazie chorób zawodowych stwierdzonych w latach 201</w:t>
      </w:r>
      <w:r w:rsidR="004443AC"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-20</w:t>
      </w:r>
      <w:r w:rsidR="004443AC"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20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zarejestrowano </w:t>
      </w:r>
      <w:r w:rsidR="004443AC"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19 przypadków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nowotworów</w:t>
      </w:r>
      <w:r w:rsidR="004443AC"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wynikających z narażenia na benzen: 3 przypadki nowotworów płuca, 15 nowotworów układu krwiotwórczego i jeden </w:t>
      </w:r>
      <w:r w:rsidR="0071113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nowotwór </w:t>
      </w:r>
      <w:r w:rsidR="004443AC"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krtani.</w:t>
      </w:r>
    </w:p>
    <w:p w14:paraId="1AE5AA6D" w14:textId="6AD44E73" w:rsidR="001B62FE" w:rsidRDefault="001B62FE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Opracowana metoda oznaczania zawarta jest w normie PN-Z-04016-10:2005 (</w:t>
      </w:r>
      <w:r w:rsidR="00874DD4">
        <w:rPr>
          <w:rFonts w:ascii="Times New Roman" w:hAnsi="Times New Roman"/>
          <w:color w:val="000000" w:themeColor="text1"/>
          <w:sz w:val="24"/>
          <w:szCs w:val="24"/>
        </w:rPr>
        <w:t xml:space="preserve">metoda </w:t>
      </w:r>
      <w:r>
        <w:rPr>
          <w:rFonts w:ascii="Times New Roman" w:hAnsi="Times New Roman"/>
          <w:color w:val="000000" w:themeColor="text1"/>
          <w:sz w:val="24"/>
          <w:szCs w:val="24"/>
        </w:rPr>
        <w:t>GC-FID)</w:t>
      </w:r>
      <w:r w:rsidR="0071113B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 zakresem oznaczalności na poziomie 0,05-1,5 mg/m</w:t>
      </w:r>
      <w:r w:rsidRPr="0039423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942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533391" w14:textId="21D3B4C5" w:rsidR="006B4E74" w:rsidRDefault="0084387A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Akrylonitryl jest wysoce łatwopalną, lotną cieczą. </w:t>
      </w:r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Głównym źródłem tej substancji w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powietrzu jest przemysł chemiczny. W Europejskiej Agencji Chemikaliów (ECHA) akrylonitryl zarejestrowało ponad 100 producentów i importerów, a roczna produkcja w UE wynosi 750 tys. t. Główne zastosowania to produkcja włókien akrylowych i </w:t>
      </w:r>
      <w:proofErr w:type="spellStart"/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modakrylowych</w:t>
      </w:r>
      <w:proofErr w:type="spellEnd"/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, tworzyw sztucznych ABS (akrylonitryl-butadien-styren) i SAN (</w:t>
      </w:r>
      <w:proofErr w:type="spellStart"/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styrenakronitryl</w:t>
      </w:r>
      <w:proofErr w:type="spellEnd"/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) oraz synteza </w:t>
      </w:r>
      <w:proofErr w:type="spellStart"/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akrylamidu</w:t>
      </w:r>
      <w:proofErr w:type="spellEnd"/>
      <w:r w:rsidR="00035BA1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i nitrylu kwasu adypinowego. </w:t>
      </w:r>
      <w:r w:rsidR="006F498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W warunkach narażenia zawodowego akrylonitryl wchłania się do organizmu głównie drogą oddechową i przez skórę.</w:t>
      </w:r>
    </w:p>
    <w:p w14:paraId="7F22FDF2" w14:textId="68F97304" w:rsidR="006271EE" w:rsidRDefault="006271EE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Akrylonitryl jest substancją toksyczną. Kliniczne objawy ostrego zatrucia akrylonitrylem u ludzi obejmują: bóle i zawroty głowy, nudności, wymioty, ściskające bóle w klatce piersiowej, trudności z oddychaniem, podrażnienie oczu i błon śluzowych gardła, kaszel, przy cięższych zatruciach opisywano zaburzenia akcji serca, zwiększone lub zmniejszone ciśnienie krwi, cyjanozę, śpiączkę. W kontakcie ze skórą i z oczami akrylonitryl działa drażniąco, wykazuje również działanie uczulające na skórę. </w:t>
      </w:r>
      <w:r w:rsidR="006074D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Bezpośredni kontakt akrylonitrylu ze skórą powodował swędzenie i uczucie pieczenia skóry, rumień, niewielki obrzęk, a po 24-72 h pęcherze. </w:t>
      </w:r>
      <w:r w:rsidR="006F498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Wyniki badań toksyczności przewlekłej akrylonitrylu w warunkach narażenia zawodowego wskazują na szkodliwe działanie tego związku na układ nerwowy bez względu na drogę narażenia. U narażonych obserwowano niewielkie, ale istotne statystycznie zmiany w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6F498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testach </w:t>
      </w:r>
      <w:proofErr w:type="spellStart"/>
      <w:r w:rsidR="006F498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neurobehawioralnych</w:t>
      </w:r>
      <w:proofErr w:type="spellEnd"/>
      <w:r w:rsidR="006F498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, negatywne zmiany w teście nastroju oraz zwiększoną częstość zgłaszania objawów subiektywnych (bóle i zawroty głowy, nudności, osłabienie, zmęczenie, bezsenność, nadmierną pobudliwość, uczucie ściskania w klatce piersiowej i w gardle). </w:t>
      </w:r>
    </w:p>
    <w:p w14:paraId="3CF05F87" w14:textId="04EB6937" w:rsidR="006074DD" w:rsidRDefault="006074DD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Międzynarodowa Agencja Badań nad Rakiem (IARC) już w 1999 r. zaklasyfikowała akrylonitryl do grupy 2B (</w:t>
      </w:r>
      <w:r w:rsidR="007A58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substancja 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przypuszczalnie rakotwórcz</w:t>
      </w:r>
      <w:r w:rsidR="007A58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dla ludzi).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Obecnie, według </w:t>
      </w:r>
      <w:r w:rsidR="00887149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rozporządzenia 1272/2008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, akrylonitryl jest substancją rakotwórczą o kategorii 1B</w:t>
      </w:r>
      <w:r w:rsidR="0016415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16415F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substancja o udowodnionym działaniu rakotwórczym na człowieka</w:t>
      </w:r>
      <w:r w:rsidR="0016415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7149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z przypisanym zwrotem H3</w:t>
      </w:r>
      <w:r w:rsidR="00887149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887149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0 „</w:t>
      </w:r>
      <w:r w:rsidR="00C90B2D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Może powodować raka</w:t>
      </w:r>
      <w:r w:rsidR="00887149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C90B2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D1979FA" w14:textId="69101605" w:rsidR="00C90B2D" w:rsidRDefault="00AA4961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</w:pP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lastRenderedPageBreak/>
        <w:t>Według danych Głównego Inspektora Sanitarnego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2016 r. w 29 zakładach pracy ponad 900 osób było narażonych na akrylonitryl. W zakładach pracy objętych nadzorem inspekcji sanitarnej odpowiednio 259 osób w 2016 r. i 287 w 2017 r. było zatrudnionych na stanowiskach pracy, na których zakres stężeń akrylonitrylu wynosił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0,1÷0,5 wartości NDS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. Jeden pracownik w 2016 r. i siedmiu w 2017 r. byli zatrudnieni na stanowiskach pracy, na których stężenie akrylonitrylu wynosiło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0,5÷1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wartości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NDS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. Nie odnotowano żadnego przypadku przekroczenia </w:t>
      </w:r>
      <w:r w:rsidR="00693B9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obowiązujących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wartości NDS lub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NDSCh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 Zgodnie z danymi przekazanymi z</w:t>
      </w:r>
      <w:r w:rsidR="00C53B8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Centralnego Rejestru Chorób Zawodowych </w:t>
      </w:r>
      <w:r w:rsidR="007A58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(IMP Łódź)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, w latach 2013-2017 nie odnotowano żadnego przypadku nowotworu zawodowego spowodowanego narażeniem na akrylonitryl.</w:t>
      </w:r>
    </w:p>
    <w:p w14:paraId="63EC1719" w14:textId="26F1080E" w:rsidR="00821B61" w:rsidRDefault="008F50B2" w:rsidP="008F50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Metoda oznaczania została opracowana w CIOP-PIB w 2021 r. (metoda GC-FID) i</w:t>
      </w:r>
      <w:r w:rsidR="00C53B8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opublikowana w 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kwartalniku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PiMOŚP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2021, nr 4 (110), s. 131-141, </w:t>
      </w:r>
      <w:r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821B6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0,1-2 mg/m</w:t>
      </w:r>
      <w:r w:rsidR="00821B61"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821B6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6ED72720" w14:textId="49EDC495" w:rsidR="00525FBB" w:rsidRDefault="00525FBB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Nikiel jest twardym srebrzystobiałym metalem o charakterystycznym połysku, który wykazuje właściwości magnetyczne. Nikiel występuje na ogół jako dwuwartościowy jon Ni</w:t>
      </w:r>
      <w:r w:rsidRPr="00525FBB">
        <w:rPr>
          <w:rFonts w:ascii="Times New Roman" w:eastAsia="LifeTEE-Regu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2+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zarówno dla substancji organicznych, jak i nieorganicznych. Pierwiastek ten występuje powszechnie w środowisku naturalnym głównie w złożach minerałów, najczęściej w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połączeniu z tlenem (tzw. rudy laterytowe), siarką (rudy siarczkowe), a także arsenem, antymonem i krzemem. </w:t>
      </w:r>
      <w:r w:rsidR="00FA7287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Nikiel znalazł zastosowanie głównie do produkcji stopów odpornych na korozję, wysoką temperaturę oraz charakteryzujących się twardością i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FA7287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wytrzymałością. Stopy niklu są używane w przemysłowych instalacjach wodno-kanalizacyjnych, w przemyśle okrętowym i petrochemicznym, w wymiennikach ciepła, pompach i elektrodach spawalniczych. Stopy niklu (25%) z miedzią (75%) służą także do produkcji monet w USA. Nikiel jest także powszechnie stosowany do produkcji stali nierdzewnej zawierającej najczęściej od 8-10% (sporadycznie 25-30%) niklu. Nikiel metaliczny, jego związki i stopy są wykorzystywane w procesach galwanizacji, do produkcji baterii niklowo-kadmowych, protez chirurgicznych i dentystycznych, pigmentów (np. żółcień niklowo-tytanowa), oraz w przemyśle ceramicznym i komputerowym. Ponadto właściwości magnetyczne niklu sprawiły, że jego stopy znalazły zastosowanie także w produkcji stałych magnesów.</w:t>
      </w:r>
    </w:p>
    <w:p w14:paraId="5D19BD7E" w14:textId="0C3C0882" w:rsidR="00FA7287" w:rsidRDefault="003479DD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Narażenie zawodowe na </w:t>
      </w:r>
      <w:r w:rsidR="00862138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związki niklu 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ma miejsce podczas procesu rafinacji, galwanizacji, przy produkcji stopów niklowych oraz stali szlachetnych. W warunkach zawodowych, znaczenie ma narażenie inhalacyjne na pyły, dymy, aerozole różnych związków zawierających nikiel. Wyjątek stanowi karbonylek niklu, gdzie nikiel występuje w postaci gazu. Narażenie 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przez skórę i 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drogą pokarmową odgrywa drugorzędną rolę. W UE narażonych na związki niklu jest blisko 80 tys. pracowników.</w:t>
      </w:r>
      <w:r w:rsidR="00250382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Opisywane skutki narażenia ludzi na </w:t>
      </w:r>
      <w:r w:rsidR="00862138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związki niklu</w:t>
      </w:r>
      <w:r w:rsidR="00250382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w warunkach zawodowych obejmują głównie jego toksyczny wpływ na układ oddechowy </w:t>
      </w:r>
      <w:r w:rsidR="00250382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lastRenderedPageBreak/>
        <w:t>(w</w:t>
      </w:r>
      <w:r w:rsidR="0071113B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50382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tym zwiększone ryzyko wystąpienia chorób nowotworowych płuc i jamy nosowej, przewlekłe podrażnienie górnych dróg oddechowych, zwłóknienie płuc, pylicę płuc, astmę oskrzelową, zwiększenie zapadalności na infekcje górnych dróg oddechowych) oraz działanie uczulające na skórę i układ oddechowy. </w:t>
      </w:r>
      <w:r w:rsidR="00862138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Związki niklu mają</w:t>
      </w:r>
      <w:r w:rsidR="00250382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silny potencjał uczulający, może także u osób narażonych wywoływać astmę.</w:t>
      </w:r>
    </w:p>
    <w:p w14:paraId="5B23967B" w14:textId="5C18019D" w:rsidR="00250382" w:rsidRDefault="00446DD4" w:rsidP="009003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</w:pPr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Według rozporządzenia 1272/2008, </w:t>
      </w:r>
      <w:r w:rsidR="00492F94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związki niklu są klasyfikowane jako substancje rakotwórcze kategorii 1A</w:t>
      </w:r>
      <w:r w:rsidR="0016415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16415F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substancja o udowodnionym działaniu rakotwórczym na człowieka</w:t>
      </w:r>
      <w:r w:rsidR="0016415F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492F94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z przypisanym zwrotem </w:t>
      </w:r>
      <w:r w:rsidR="00492F94"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wskazującym rodzaj zagrożenia </w:t>
      </w:r>
      <w:r w:rsidR="00492F94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H350i „Wdychanie może powodować raka”, zaś sam 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nikiel</w:t>
      </w:r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j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est </w:t>
      </w:r>
      <w:r w:rsidR="00492F94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zaklasyfikowany jako 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substancj</w:t>
      </w:r>
      <w:r w:rsidR="00492F94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rakotwórcz</w:t>
      </w:r>
      <w:r w:rsidR="00492F94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kategorii 2</w:t>
      </w:r>
      <w:r w:rsidR="005D5458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7A58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substancja przypuszczalnie rakotwórcza</w:t>
      </w:r>
      <w:r w:rsidR="005D5458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 dla ludzi</w:t>
      </w:r>
      <w:r w:rsidRPr="0012236D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) z przypisanym zwrotem wskazującym rodzaj zagrożenia H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351 „</w:t>
      </w:r>
      <w:r w:rsidR="005D5458" w:rsidRPr="005D5458"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Podejrzewa się, że powoduje raka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>”.</w:t>
      </w:r>
    </w:p>
    <w:p w14:paraId="7128C161" w14:textId="330C5864" w:rsidR="003479DD" w:rsidRDefault="0040729E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Według danych </w:t>
      </w:r>
      <w:r w:rsidR="00564309"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Głównego Inspektora Sanitarnego</w:t>
      </w:r>
      <w:r>
        <w:rPr>
          <w:rFonts w:ascii="Times New Roman" w:eastAsia="LifeTEE-Regu" w:hAnsi="Times New Roman" w:cs="Times New Roman"/>
          <w:color w:val="000000" w:themeColor="text1"/>
          <w:sz w:val="24"/>
          <w:szCs w:val="24"/>
          <w:lang w:eastAsia="pl-PL"/>
        </w:rPr>
        <w:t xml:space="preserve">, w latach 2016-2020 liczba pracowników zatrudnionych w warunkach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0,1÷0,5 wartości NDS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wynosiła 3134, w warunkach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0,5÷1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wartości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NDS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wynosiła 51, zaś w warunkach </w:t>
      </w:r>
      <w:r w:rsidRPr="001223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przekraczających wartości NDS wynosiła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13. Według danych z Centralnego rejestru danych o narażeniu na substancje chemiczne, ich mieszaniny, czynniki lub procesy technologiczne o działaniu rakotwórczym lub mutagennym (IMP Łódź), na wybrane związki niklu ogółem w 2019 roku było narażonych 7052 pracowników.</w:t>
      </w:r>
      <w:r w:rsidR="0025038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Z kolei na podstawie danych Centralnego Rejestru Chorób Zawodowych (IMP Łódź) z 2018 r. w Polsce odnotowano łącznie 49 przypadków chorób zawodowych u narażonych na nikiel i jego związki, w tym nowotworów płuc.</w:t>
      </w:r>
    </w:p>
    <w:p w14:paraId="328B9762" w14:textId="12E0701E" w:rsidR="006B7635" w:rsidRDefault="00467B44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Metoda oznaczania została opracowana w CIOP-PIB w 2021 r. (</w:t>
      </w:r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metoda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AAS)</w:t>
      </w:r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i o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publikowana w 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kwartalniku </w:t>
      </w:r>
      <w:proofErr w:type="spellStart"/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PiMOŚP</w:t>
      </w:r>
      <w:proofErr w:type="spellEnd"/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2021, nr 4 (110), s. 179-189</w:t>
      </w:r>
      <w:r w:rsidR="008F50B2">
        <w:rPr>
          <w:rFonts w:ascii="Times New Roman" w:hAnsi="Times New Roman"/>
          <w:color w:val="000000" w:themeColor="text1"/>
          <w:sz w:val="24"/>
          <w:szCs w:val="24"/>
        </w:rPr>
        <w:t>, z zakresem oznaczalności na poziomie</w:t>
      </w:r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0,001-0,02 mg/m</w:t>
      </w:r>
      <w:r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(dla frakcji </w:t>
      </w:r>
      <w:proofErr w:type="spellStart"/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respirabilnej</w:t>
      </w:r>
      <w:proofErr w:type="spellEnd"/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)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i 0,005-0,1 mg/m</w:t>
      </w:r>
      <w:r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(dla frakcji </w:t>
      </w:r>
      <w:proofErr w:type="spellStart"/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wdychalnej</w:t>
      </w:r>
      <w:proofErr w:type="spellEnd"/>
      <w:r w:rsidR="008F50B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433718F3" w14:textId="3CF83B64" w:rsidR="009C7375" w:rsidRDefault="00CF02A0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związku z faktem, że dyrektywa </w:t>
      </w:r>
      <w:r w:rsidR="000C3BE4" w:rsidRPr="009A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2022/431 </w:t>
      </w:r>
      <w:r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na celu ochronę pracowników przed zagrożeniem dla ich zdrowia i bezpieczeństwa wynikającym z narażenia na działanie czynników rakotwórczych lub mutagenów w miejscu pracy</w:t>
      </w:r>
      <w:r w:rsidR="009C6AC9"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wiążące wartości dopuszczalne określone w tej dyrektywie stanowią minimalne wymagania w celu ochrony pracowników na poziomie Unii</w:t>
      </w:r>
      <w:r w:rsidR="009C6AC9"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państwa członkowskie</w:t>
      </w:r>
      <w:r w:rsidR="00666A86"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niezależnie od skutków ekonomicznych</w:t>
      </w:r>
      <w:r w:rsidR="00666A86"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muszą wdrożyć</w:t>
      </w:r>
      <w:r w:rsidR="003F0E1D" w:rsidRPr="009A6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do prawa krajowego. </w:t>
      </w:r>
      <w:r w:rsidR="0071113B" w:rsidRPr="007111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Dyrektywą tą, oprócz obniżenia NDS dla benzenu</w:t>
      </w:r>
      <w:r w:rsidR="009C73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1113B" w:rsidRPr="007111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akrylonitrylu oraz związków</w:t>
      </w:r>
      <w:r w:rsidR="00575C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niklu</w:t>
      </w:r>
      <w:r w:rsidR="0071113B" w:rsidRPr="007111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 załączniku III do dyrektywy 2004/37/WE wprowadzono również zmiany dla innych substancji lub związków. Pozostałe </w:t>
      </w:r>
      <w:r w:rsidR="00CE24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substancje </w:t>
      </w:r>
      <w:r w:rsidR="009A6A1F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działaniu rakotwórczym lub mutagennym </w:t>
      </w:r>
      <w:r w:rsidR="00701B14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wyszczególnion</w:t>
      </w:r>
      <w:r w:rsidR="00CE24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701B14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załączniku do dyrektywy </w:t>
      </w:r>
      <w:r w:rsidR="000C3BE4" w:rsidRPr="006F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2022/431 </w:t>
      </w:r>
      <w:r w:rsidR="00CE24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są </w:t>
      </w:r>
      <w:r w:rsidR="009A6A1F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już</w:t>
      </w:r>
      <w:r w:rsidR="00701B14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wdrożon</w:t>
      </w:r>
      <w:r w:rsidR="00CE24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9A6A1F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polskiego systemu prawnego</w:t>
      </w:r>
      <w:r w:rsidR="001B62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 wartościami dopuszczalnymi zgodnymi lub niższymi.</w:t>
      </w:r>
      <w:r w:rsidR="00C4423E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</w:t>
      </w:r>
      <w:r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rojektowanym rozporządzeni</w:t>
      </w:r>
      <w:r w:rsidR="00C4423E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 w celu pełnej implementacji dyrektywy </w:t>
      </w:r>
      <w:r w:rsidR="006F6996" w:rsidRPr="006F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2022/431 </w:t>
      </w:r>
      <w:r w:rsidR="00057721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konieczne jest wprowadzenie </w:t>
      </w:r>
      <w:r w:rsidR="006F6996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nowych</w:t>
      </w:r>
      <w:r w:rsid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(wymienionych wyżej)</w:t>
      </w:r>
      <w:r w:rsidR="006F6996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normatywów dla benzenu, akrylonitrylu oraz </w:t>
      </w:r>
      <w:r w:rsidR="00575C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związków niklu</w:t>
      </w:r>
      <w:r w:rsidR="00A274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F6996" w:rsidRPr="006F6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przeliczeniu na Ni</w:t>
      </w:r>
      <w:r w:rsidR="00575C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CC46136" w14:textId="1D9C39CA" w:rsidR="00E4053F" w:rsidRPr="00E4053F" w:rsidRDefault="00E4053F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Dodatkowo, zgodnie z przepisami dyrektywy 2022/431, w załączniku nr 1 do rozporządzenia </w:t>
      </w:r>
      <w:proofErr w:type="spellStart"/>
      <w:r w:rsidRPr="00E4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Pr="00E4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wykreślono wyłączenia do</w:t>
      </w:r>
      <w:r w:rsidR="00845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tyczące</w:t>
      </w:r>
      <w:r w:rsidRPr="00E405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ołowiu, czyli arsenian(V) ołowiu(II) oraz chromian(VI) ołowiu(II).</w:t>
      </w:r>
      <w:r w:rsidR="00575C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związku z tym </w:t>
      </w:r>
      <w:r w:rsidR="0057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załączniku nr 1 do rozporządzenia </w:t>
      </w:r>
      <w:proofErr w:type="spellStart"/>
      <w:r w:rsidR="00575C33">
        <w:rPr>
          <w:rFonts w:ascii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575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ołowiu dodano odnośnik</w:t>
      </w:r>
      <w:r w:rsidR="005E1A34" w:rsidRPr="0073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34">
        <w:rPr>
          <w:rFonts w:ascii="Times New Roman" w:hAnsi="Times New Roman" w:cs="Times New Roman"/>
          <w:color w:val="000000" w:themeColor="text1"/>
          <w:sz w:val="24"/>
          <w:szCs w:val="24"/>
        </w:rPr>
        <w:t>nr 26 w brzmieniu:</w:t>
      </w:r>
      <w:r w:rsidR="00575C3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575C33" w:rsidRPr="00575C33">
        <w:rPr>
          <w:rFonts w:ascii="Times New Roman" w:hAnsi="Times New Roman" w:cs="Times New Roman"/>
          <w:color w:val="000000" w:themeColor="text1"/>
          <w:sz w:val="24"/>
          <w:szCs w:val="24"/>
        </w:rPr>
        <w:t>W przypadku związków ołowiu sklasyfikowanych jako rakotwórcze/mutagenne kat. 1A lub 1B ocenę narażenia zawodowego należy przeprowadzić w odniesieniu do substancji o niższej wartości NDS.</w:t>
      </w:r>
    </w:p>
    <w:p w14:paraId="1FF3A3E9" w14:textId="1011FA84" w:rsidR="00FD18E5" w:rsidRDefault="00246306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Należy dodać, że now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normatyw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tych substancji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6A8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był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="00666A8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rozpatrywan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posiedzeni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Międzyresortowej Komisji do Spraw Najwyższych Dopuszczalnych Stężeń i</w:t>
      </w:r>
      <w:r w:rsidR="0071113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Natężeń Czynników Szkodliwych dla Zdrowia w Środowisku Pracy (</w:t>
      </w:r>
      <w:r w:rsidR="006F699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dalej: Komisja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powołanej </w:t>
      </w:r>
      <w:r w:rsidR="009C6AC9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</w:t>
      </w:r>
      <w:r w:rsidR="00900356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Prezesa Rady Ministrów z dnia 1</w:t>
      </w:r>
      <w:r w:rsidR="009C6AC9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grudnia 2008 r. (Dz. U. z 2015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 1772, z </w:t>
      </w:r>
      <w:proofErr w:type="spellStart"/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zm.) i znalazł</w:t>
      </w:r>
      <w:r w:rsidR="00FD18E5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uzasadnienie we wniosk</w:t>
      </w:r>
      <w:r w:rsidR="00FD18E5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ach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skierowany</w:t>
      </w:r>
      <w:r w:rsidR="00FD18E5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05B34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przez Komisję </w:t>
      </w:r>
      <w:r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min</w:t>
      </w:r>
      <w:r w:rsidR="00FD18E5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istra właściwego do spraw pracy. W przypadku akrylonitrylu, w 2020 r. Komisja zaproponowała wartość </w:t>
      </w:r>
      <w:proofErr w:type="spellStart"/>
      <w:r w:rsidR="00FD18E5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NDSCh</w:t>
      </w:r>
      <w:proofErr w:type="spellEnd"/>
      <w:r w:rsidR="00FD18E5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poziomie </w:t>
      </w:r>
      <w:r w:rsidR="00FD18E5" w:rsidRPr="000C1618">
        <w:rPr>
          <w:rFonts w:ascii="Times New Roman" w:hAnsi="Times New Roman" w:cs="Times New Roman"/>
          <w:color w:val="000000" w:themeColor="text1"/>
          <w:sz w:val="24"/>
          <w:szCs w:val="24"/>
        </w:rPr>
        <w:t>3 mg/m</w:t>
      </w:r>
      <w:r w:rsidR="00FD18E5" w:rsidRPr="000C16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FD18E5" w:rsidRPr="000C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(niższa wartość w porównaniu z</w:t>
      </w:r>
      <w:r w:rsidR="0071113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C1618" w:rsidRPr="000C1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propozycją zawartą w </w:t>
      </w:r>
      <w:r w:rsidR="000C1618" w:rsidRPr="000C16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dyrektywie 2022/431 wynoszącą </w:t>
      </w:r>
      <w:r w:rsidR="000C1618" w:rsidRPr="000C1618">
        <w:rPr>
          <w:rFonts w:ascii="Times New Roman" w:hAnsi="Times New Roman" w:cs="Times New Roman"/>
          <w:color w:val="000000" w:themeColor="text1"/>
          <w:sz w:val="24"/>
          <w:szCs w:val="24"/>
        </w:rPr>
        <w:t>4 mg/m</w:t>
      </w:r>
      <w:r w:rsidR="000C1618" w:rsidRPr="000C16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C1618" w:rsidRPr="000C161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B0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</w:rPr>
        <w:t>Dla każdego czynnika chemicznego, dla którego ustalono dopuszczaln</w:t>
      </w:r>
      <w:r w:rsidR="005B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wartość narażenia zawodowego </w:t>
      </w:r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</w:rPr>
        <w:t>na poziomie Unii, państwa członkowskie są zobowiązane ustanowić krajową dopuszczalną wartość narażenia zawodowego</w:t>
      </w:r>
      <w:r w:rsidR="005B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zgodną lub niższą. Biorąc pod uwagę doniesienia o działaniu drażniącym i neurotoksycznym akrylonitrylu, w projektowanym rozporządzeniu, od </w:t>
      </w:r>
      <w:r w:rsidR="005B50BD" w:rsidRPr="009A6A1F">
        <w:rPr>
          <w:rFonts w:ascii="Times New Roman" w:hAnsi="Times New Roman" w:cs="Times New Roman"/>
          <w:color w:val="000000" w:themeColor="text1"/>
          <w:sz w:val="24"/>
          <w:szCs w:val="24"/>
        </w:rPr>
        <w:t>dnia 5</w:t>
      </w:r>
      <w:r w:rsidR="00294AF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B50BD" w:rsidRPr="009A6A1F">
        <w:rPr>
          <w:rFonts w:ascii="Times New Roman" w:hAnsi="Times New Roman" w:cs="Times New Roman"/>
          <w:color w:val="000000" w:themeColor="text1"/>
          <w:sz w:val="24"/>
          <w:szCs w:val="24"/>
        </w:rPr>
        <w:t>kwietnia 2026 r.</w:t>
      </w:r>
      <w:r w:rsidR="005B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wartość </w:t>
      </w:r>
      <w:proofErr w:type="spellStart"/>
      <w:r w:rsidR="005B50BD">
        <w:rPr>
          <w:rFonts w:ascii="Times New Roman" w:hAnsi="Times New Roman" w:cs="Times New Roman"/>
          <w:color w:val="000000" w:themeColor="text1"/>
          <w:sz w:val="24"/>
          <w:szCs w:val="24"/>
        </w:rPr>
        <w:t>NDSCh</w:t>
      </w:r>
      <w:proofErr w:type="spellEnd"/>
      <w:r w:rsidR="005B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wynosiła </w:t>
      </w:r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</w:rPr>
        <w:t>3 mg/m</w:t>
      </w:r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(1,4 </w:t>
      </w:r>
      <w:proofErr w:type="spellStart"/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 w:rsidR="005B50BD" w:rsidRPr="005B50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5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EE511A" w14:textId="4A13CBCF" w:rsidR="0035231C" w:rsidRDefault="00294AF5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4AF5">
        <w:rPr>
          <w:rFonts w:ascii="Times New Roman" w:hAnsi="Times New Roman"/>
          <w:color w:val="000000" w:themeColor="text1"/>
          <w:sz w:val="24"/>
          <w:szCs w:val="24"/>
        </w:rPr>
        <w:t>Poza wdrożeniem nowych wartości dopusz</w:t>
      </w:r>
      <w:r>
        <w:rPr>
          <w:rFonts w:ascii="Times New Roman" w:hAnsi="Times New Roman"/>
          <w:color w:val="000000" w:themeColor="text1"/>
          <w:sz w:val="24"/>
          <w:szCs w:val="24"/>
        </w:rPr>
        <w:t>cz</w:t>
      </w:r>
      <w:r w:rsidRPr="00294AF5">
        <w:rPr>
          <w:rFonts w:ascii="Times New Roman" w:hAnsi="Times New Roman"/>
          <w:color w:val="000000" w:themeColor="text1"/>
          <w:sz w:val="24"/>
          <w:szCs w:val="24"/>
        </w:rPr>
        <w:t>alnych dla ww. substancji, w</w:t>
      </w:r>
      <w:r w:rsidR="0035231C"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związku z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uzasadnionymi </w:t>
      </w:r>
      <w:r w:rsidR="0035231C" w:rsidRPr="00FD62C8">
        <w:rPr>
          <w:rFonts w:ascii="Times New Roman" w:hAnsi="Times New Roman"/>
          <w:color w:val="000000" w:themeColor="text1"/>
          <w:sz w:val="24"/>
          <w:szCs w:val="24"/>
        </w:rPr>
        <w:t>wnioskami (nr 114, 115 i 119) Komisji w wykazie czynników chemiczn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>ych zawartych w załączniku</w:t>
      </w:r>
      <w:r w:rsidR="007F1C57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E41CF2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35231C"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rozporządzenia </w:t>
      </w:r>
      <w:proofErr w:type="spellStart"/>
      <w:r w:rsidR="004F0C6A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4F0C6A"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31C"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zostały zmienione 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>normatywy</w:t>
      </w:r>
      <w:r w:rsidR="0035231C"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dla czterech substancji:</w:t>
      </w:r>
    </w:p>
    <w:p w14:paraId="67AA1654" w14:textId="20DFD67A" w:rsidR="0035231C" w:rsidRDefault="0035231C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1-Naftyloamina 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dotychczasowa wartość NDS dla 1-naftyloaminy wynosi 0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5021D">
        <w:rPr>
          <w:rFonts w:ascii="Times New Roman" w:hAnsi="Times New Roman"/>
          <w:color w:val="000000" w:themeColor="text1"/>
          <w:sz w:val="24"/>
          <w:szCs w:val="24"/>
        </w:rPr>
        <w:t xml:space="preserve">Jest stosowana między innymi do syntezy barwników i pimentów w przemyśle farmaceutycznym, tekstylnym, spożywczym i drukarskim. Substancja została zarejestrowana przez ECHA i zaklasyfikowana pod względem zagrożeń dla zdrowia do kategorii 4 toksyczności ostrej, z przypisanym zwrotem H302 „Działa szkodliwie po połknięciu”.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Obecnie Komisja zaproponowała wartość NDS dla 1-naftyloaminy na poziomie 3,5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, bez ustanawiania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4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Metoda oznaczania została opracowana w CIOP-PIB w 2020 r. (metoda HPLC) i opublikowana w czasopiśmie </w:t>
      </w:r>
      <w:r w:rsidR="00C146C6" w:rsidRP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Medycyna Pracy 2021;72(2):145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</w:t>
      </w:r>
      <w:r w:rsidR="00C146C6" w:rsidRP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154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, </w:t>
      </w:r>
      <w:r w:rsidR="00C146C6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0,0003-0,006 mg/m</w:t>
      </w:r>
      <w:r w:rsidR="00C146C6"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C146C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03278416" w14:textId="7B071F88" w:rsidR="0035231C" w:rsidRDefault="0035231C" w:rsidP="00FC390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Ftalan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dibutylu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dotychczasowa wartość NDS dla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ftalanu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dibutylu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wynosi 5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42D3F">
        <w:rPr>
          <w:rFonts w:ascii="Times New Roman" w:hAnsi="Times New Roman"/>
          <w:color w:val="000000" w:themeColor="text1"/>
          <w:sz w:val="24"/>
          <w:szCs w:val="24"/>
        </w:rPr>
        <w:t xml:space="preserve">Jest stosowany jako dodatek zmiękczający do żywic i polimerów, plastyfikator, środek żelujący, rozpuszczalnik, środek </w:t>
      </w:r>
      <w:proofErr w:type="spellStart"/>
      <w:r w:rsidR="00742D3F">
        <w:rPr>
          <w:rFonts w:ascii="Times New Roman" w:hAnsi="Times New Roman"/>
          <w:color w:val="000000" w:themeColor="text1"/>
          <w:sz w:val="24"/>
          <w:szCs w:val="24"/>
        </w:rPr>
        <w:t>przeciwpieniący</w:t>
      </w:r>
      <w:proofErr w:type="spellEnd"/>
      <w:r w:rsidR="00742D3F">
        <w:rPr>
          <w:rFonts w:ascii="Times New Roman" w:hAnsi="Times New Roman"/>
          <w:color w:val="000000" w:themeColor="text1"/>
          <w:sz w:val="24"/>
          <w:szCs w:val="24"/>
        </w:rPr>
        <w:t xml:space="preserve">, w sprzęcie elektrycznym i elektronicznym oraz przy wytwarzaniu kosmetyków, osłonek leków i insektycydów. </w:t>
      </w:r>
      <w:r w:rsidR="002F53E1">
        <w:rPr>
          <w:rFonts w:ascii="Times New Roman" w:hAnsi="Times New Roman"/>
          <w:color w:val="000000" w:themeColor="text1"/>
          <w:sz w:val="24"/>
          <w:szCs w:val="24"/>
        </w:rPr>
        <w:t>Zgodnie z</w:t>
      </w:r>
      <w:r w:rsidR="002032F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F53E1" w:rsidRPr="002F53E1">
        <w:rPr>
          <w:rFonts w:ascii="Times New Roman" w:hAnsi="Times New Roman"/>
          <w:color w:val="000000" w:themeColor="text1"/>
          <w:sz w:val="24"/>
          <w:szCs w:val="24"/>
        </w:rPr>
        <w:t>rozporządzeni</w:t>
      </w:r>
      <w:r w:rsidR="002F53E1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2F53E1" w:rsidRPr="002F53E1">
        <w:rPr>
          <w:rFonts w:ascii="Times New Roman" w:hAnsi="Times New Roman"/>
          <w:color w:val="000000" w:themeColor="text1"/>
          <w:sz w:val="24"/>
          <w:szCs w:val="24"/>
        </w:rPr>
        <w:t xml:space="preserve"> (WE) nr 1907/2006 Parlamentu Europejskiego i Rady z dnia 18 grudnia 2006 r. w sprawie rejestracji, oceny, udzielania zezwoleń i stosowanych ograniczeń w zakresie chemikaliów (REACH)</w:t>
      </w:r>
      <w:r w:rsidR="002F53E1">
        <w:rPr>
          <w:rFonts w:ascii="Times New Roman" w:hAnsi="Times New Roman"/>
          <w:color w:val="000000" w:themeColor="text1"/>
          <w:sz w:val="24"/>
          <w:szCs w:val="24"/>
        </w:rPr>
        <w:t xml:space="preserve"> stosowanie </w:t>
      </w:r>
      <w:proofErr w:type="spellStart"/>
      <w:r w:rsidR="002F53E1">
        <w:rPr>
          <w:rFonts w:ascii="Times New Roman" w:hAnsi="Times New Roman"/>
          <w:color w:val="000000" w:themeColor="text1"/>
          <w:sz w:val="24"/>
          <w:szCs w:val="24"/>
        </w:rPr>
        <w:t>ftalanu</w:t>
      </w:r>
      <w:proofErr w:type="spellEnd"/>
      <w:r w:rsidR="002F53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F53E1">
        <w:rPr>
          <w:rFonts w:ascii="Times New Roman" w:hAnsi="Times New Roman"/>
          <w:color w:val="000000" w:themeColor="text1"/>
          <w:sz w:val="24"/>
          <w:szCs w:val="24"/>
        </w:rPr>
        <w:t>dibutylu</w:t>
      </w:r>
      <w:proofErr w:type="spellEnd"/>
      <w:r w:rsidR="002F53E1">
        <w:rPr>
          <w:rFonts w:ascii="Times New Roman" w:hAnsi="Times New Roman"/>
          <w:color w:val="000000" w:themeColor="text1"/>
          <w:sz w:val="24"/>
          <w:szCs w:val="24"/>
        </w:rPr>
        <w:t xml:space="preserve">, jako substancji działającej szkodliwie na rozrodczość kategorii 1B, jest ograniczone.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Obecnie Komisja zaproponowała wartość NDS dla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ftalanu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dibutylu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na poziomie 0,6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, bez ustanawiania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 xml:space="preserve"> Metoda oznaczania została opracowana w CIOP-PIB </w:t>
      </w:r>
      <w:r w:rsidR="00DD2585">
        <w:rPr>
          <w:rFonts w:ascii="Times New Roman" w:hAnsi="Times New Roman"/>
          <w:color w:val="000000" w:themeColor="text1"/>
          <w:sz w:val="24"/>
          <w:szCs w:val="24"/>
        </w:rPr>
        <w:t xml:space="preserve">i złożona do redakcji czasopisma </w:t>
      </w:r>
      <w:proofErr w:type="spellStart"/>
      <w:r w:rsidR="00DD2585">
        <w:rPr>
          <w:rFonts w:ascii="Times New Roman" w:hAnsi="Times New Roman"/>
          <w:color w:val="000000" w:themeColor="text1"/>
          <w:sz w:val="24"/>
          <w:szCs w:val="24"/>
        </w:rPr>
        <w:t>PiMOŚP</w:t>
      </w:r>
      <w:proofErr w:type="spellEnd"/>
      <w:r w:rsidR="00DD25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43571">
        <w:rPr>
          <w:rFonts w:ascii="Times New Roman" w:hAnsi="Times New Roman"/>
          <w:color w:val="000000" w:themeColor="text1"/>
          <w:sz w:val="24"/>
          <w:szCs w:val="24"/>
        </w:rPr>
        <w:t xml:space="preserve">2022 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>r. (</w:t>
      </w:r>
      <w:r w:rsidR="002F53E1">
        <w:rPr>
          <w:rFonts w:ascii="Times New Roman" w:hAnsi="Times New Roman"/>
          <w:color w:val="000000" w:themeColor="text1"/>
          <w:sz w:val="24"/>
          <w:szCs w:val="24"/>
        </w:rPr>
        <w:t xml:space="preserve">metoda 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>GC-MS)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 xml:space="preserve"> z zakresem oznaczalności na poziomie 0,</w:t>
      </w:r>
      <w:r w:rsidR="00743571">
        <w:rPr>
          <w:rFonts w:ascii="Times New Roman" w:hAnsi="Times New Roman"/>
          <w:color w:val="000000" w:themeColor="text1"/>
          <w:sz w:val="24"/>
          <w:szCs w:val="24"/>
        </w:rPr>
        <w:t>06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43571">
        <w:rPr>
          <w:rFonts w:ascii="Times New Roman" w:hAnsi="Times New Roman"/>
          <w:color w:val="000000" w:themeColor="text1"/>
          <w:sz w:val="24"/>
          <w:szCs w:val="24"/>
        </w:rPr>
        <w:t xml:space="preserve">1,2 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="00467B44" w:rsidRPr="0039423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817CE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03053A" w14:textId="1B12671D" w:rsidR="0035231C" w:rsidRDefault="0035231C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Ftalan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bis(2-etyloheksylu) 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dotychczasowa wartość NDS dla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ftalanu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bis(2-etyloheksylu) wynosi 1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, zaś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5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D2585">
        <w:rPr>
          <w:rFonts w:ascii="Times New Roman" w:hAnsi="Times New Roman"/>
          <w:color w:val="000000" w:themeColor="text1"/>
          <w:sz w:val="24"/>
          <w:szCs w:val="24"/>
        </w:rPr>
        <w:t xml:space="preserve">Substancja znalazła zastosowanie w wielu gałęziach przemysłu głównie jako plastyfikator przy produkcji obuwia, zabawek i sprzętu medycznego. Został zaklasyfikowany jako substancja działająca szkodliwie na rozrodczość, kategorii 1B, z przypisanym zwrotem określającym rodzaj zagrożenia H360FD </w:t>
      </w:r>
      <w:r w:rsidR="005B1596">
        <w:rPr>
          <w:rFonts w:ascii="Times New Roman" w:hAnsi="Times New Roman"/>
          <w:color w:val="000000" w:themeColor="text1"/>
          <w:sz w:val="24"/>
          <w:szCs w:val="24"/>
        </w:rPr>
        <w:t>„M</w:t>
      </w:r>
      <w:r w:rsidR="00DD2585">
        <w:rPr>
          <w:rFonts w:ascii="Times New Roman" w:hAnsi="Times New Roman"/>
          <w:color w:val="000000" w:themeColor="text1"/>
          <w:sz w:val="24"/>
          <w:szCs w:val="24"/>
        </w:rPr>
        <w:t xml:space="preserve">oże działać szkodliwie </w:t>
      </w:r>
      <w:r w:rsidR="00D33F8B">
        <w:rPr>
          <w:rFonts w:ascii="Times New Roman" w:hAnsi="Times New Roman"/>
          <w:color w:val="000000" w:themeColor="text1"/>
          <w:sz w:val="24"/>
          <w:szCs w:val="24"/>
        </w:rPr>
        <w:t>na płodność; może działać szkodliwie na dziecko w łonie matki</w:t>
      </w:r>
      <w:r w:rsidR="005B159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D33F8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Obecnie Komisja zaproponowała wartość NDS dla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ftalanu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bis(2-etyloheksylu) na poziomie 0,8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, bez ustanawiania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7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3F8B">
        <w:rPr>
          <w:rFonts w:ascii="Times New Roman" w:hAnsi="Times New Roman"/>
          <w:color w:val="000000" w:themeColor="text1"/>
          <w:sz w:val="24"/>
          <w:szCs w:val="24"/>
        </w:rPr>
        <w:t xml:space="preserve">Metoda oznaczania została opracowana w CIOP-PIB i złożona do redakcji czasopisma </w:t>
      </w:r>
      <w:proofErr w:type="spellStart"/>
      <w:r w:rsidR="00D33F8B">
        <w:rPr>
          <w:rFonts w:ascii="Times New Roman" w:hAnsi="Times New Roman"/>
          <w:color w:val="000000" w:themeColor="text1"/>
          <w:sz w:val="24"/>
          <w:szCs w:val="24"/>
        </w:rPr>
        <w:t>PiMOŚP</w:t>
      </w:r>
      <w:proofErr w:type="spellEnd"/>
      <w:r w:rsidR="00D33F8B">
        <w:rPr>
          <w:rFonts w:ascii="Times New Roman" w:hAnsi="Times New Roman"/>
          <w:color w:val="000000" w:themeColor="text1"/>
          <w:sz w:val="24"/>
          <w:szCs w:val="24"/>
        </w:rPr>
        <w:t xml:space="preserve"> w 2022 r. (metoda GC-MS), z zakresem oznaczalności na poziomie 0,08-1,6 mg/m</w:t>
      </w:r>
      <w:r w:rsidR="00D33F8B" w:rsidRPr="0039423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D33F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EC559D" w14:textId="4BE8FD3A" w:rsidR="0035231C" w:rsidRPr="00FD62C8" w:rsidRDefault="0035231C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Izopren 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dotychczasowa wartość NDS dla izoprenu wynosi 100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, zaś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300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F0C6A">
        <w:rPr>
          <w:rFonts w:ascii="Times New Roman" w:hAnsi="Times New Roman"/>
          <w:color w:val="000000" w:themeColor="text1"/>
          <w:sz w:val="24"/>
          <w:szCs w:val="24"/>
        </w:rPr>
        <w:t xml:space="preserve">Jest stosowany głównie w produkcji polimerów.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Izopren został sklasyfikowany jako substancja rakotwórcza kategorii 1B oraz mutagenna kategorii 2. Zgodnie z przyjętą opinią Komitetu Doradczego ds. Bezpieczeństwa, Higieny i Ochrony Zdrowia w Miejscu Pracy (ACSH) izopren znalazł się w grupie substancji priorytetowych, dla których należy ustalić lub zrewidować wiążące normatywy higieniczne w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miejscu pracy. Obecnie Komisja zaproponowała wartość NDS dla izoprenu na poziomie 8 mg/m</w:t>
      </w:r>
      <w:r w:rsidRPr="00FD62C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(2,8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ppm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), bez ustanawiania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B6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C6A">
        <w:rPr>
          <w:rFonts w:ascii="Times New Roman" w:hAnsi="Times New Roman"/>
          <w:color w:val="000000" w:themeColor="text1"/>
          <w:sz w:val="24"/>
          <w:szCs w:val="24"/>
        </w:rPr>
        <w:t xml:space="preserve">Metoda oznaczania została opracowana w CIOP-PIB i złożona do redakcji czasopisma </w:t>
      </w:r>
      <w:proofErr w:type="spellStart"/>
      <w:r w:rsidR="004F0C6A">
        <w:rPr>
          <w:rFonts w:ascii="Times New Roman" w:hAnsi="Times New Roman"/>
          <w:color w:val="000000" w:themeColor="text1"/>
          <w:sz w:val="24"/>
          <w:szCs w:val="24"/>
        </w:rPr>
        <w:t>PiMOŚP</w:t>
      </w:r>
      <w:proofErr w:type="spellEnd"/>
      <w:r w:rsidR="004F0C6A">
        <w:rPr>
          <w:rFonts w:ascii="Times New Roman" w:hAnsi="Times New Roman"/>
          <w:color w:val="000000" w:themeColor="text1"/>
          <w:sz w:val="24"/>
          <w:szCs w:val="24"/>
        </w:rPr>
        <w:t xml:space="preserve"> w 2022 r. (metoda GC-FID), z zakresem oznaczalności na poziomie 0,8-16 mg/m</w:t>
      </w:r>
      <w:r w:rsidR="004F0C6A" w:rsidRPr="0039423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4F0C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145D48F" w14:textId="20BB7F93" w:rsidR="0035231C" w:rsidRPr="003D62F3" w:rsidRDefault="00294AF5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Dodatkowo, w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związku z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uzasadnionymi 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>wnioskami (nr 112, 113, 114, 116, 117, 118 i 119) Komisji</w:t>
      </w:r>
      <w:r>
        <w:rPr>
          <w:rFonts w:ascii="Times New Roman" w:hAnsi="Times New Roman"/>
          <w:color w:val="000000" w:themeColor="text1"/>
          <w:sz w:val="24"/>
          <w:szCs w:val="24"/>
        </w:rPr>
        <w:t>, do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wykaz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czynników chemic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>znych zawart</w:t>
      </w:r>
      <w:r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w załączniku</w:t>
      </w:r>
      <w:r w:rsidR="007F1C57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rozporządzenia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>dodan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12 nowych substancji chemicznych: </w:t>
      </w:r>
    </w:p>
    <w:p w14:paraId="3EF823A1" w14:textId="743CDBC5" w:rsidR="0035231C" w:rsidRDefault="0035231C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1. Czerwień zasadowa 9 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wartość NDS 0,02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, bez ustalania wartości </w:t>
      </w:r>
      <w:proofErr w:type="spellStart"/>
      <w:r w:rsidRPr="003D62F3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NDSP (najwyższe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dopuszczalne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stężeni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pułapowe</w:t>
      </w:r>
      <w:r>
        <w:rPr>
          <w:rFonts w:ascii="Times New Roman" w:hAnsi="Times New Roman"/>
          <w:color w:val="000000" w:themeColor="text1"/>
          <w:sz w:val="24"/>
          <w:szCs w:val="24"/>
        </w:rPr>
        <w:t>go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0D4C54">
        <w:rPr>
          <w:rFonts w:ascii="Times New Roman" w:hAnsi="Times New Roman"/>
          <w:color w:val="000000" w:themeColor="text1"/>
          <w:sz w:val="24"/>
          <w:szCs w:val="24"/>
        </w:rPr>
        <w:t xml:space="preserve">Stosowana jako barwnik </w:t>
      </w:r>
      <w:r w:rsidR="000D4C54">
        <w:rPr>
          <w:rFonts w:ascii="Times New Roman" w:hAnsi="Times New Roman"/>
          <w:color w:val="000000" w:themeColor="text1"/>
          <w:sz w:val="24"/>
          <w:szCs w:val="24"/>
        </w:rPr>
        <w:lastRenderedPageBreak/>
        <w:t>w</w:t>
      </w:r>
      <w:r w:rsidR="00C213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D4C54">
        <w:rPr>
          <w:rFonts w:ascii="Times New Roman" w:hAnsi="Times New Roman"/>
          <w:color w:val="000000" w:themeColor="text1"/>
          <w:sz w:val="24"/>
          <w:szCs w:val="24"/>
        </w:rPr>
        <w:t xml:space="preserve">przemyśle papierniczym, tekstylnym, medycznym. </w:t>
      </w:r>
      <w:r>
        <w:rPr>
          <w:rFonts w:ascii="Times New Roman" w:hAnsi="Times New Roman"/>
          <w:color w:val="000000" w:themeColor="text1"/>
          <w:sz w:val="24"/>
          <w:szCs w:val="24"/>
        </w:rPr>
        <w:t>Jest to substancja rakotwórcza kategorii 1B, a od listopada 2020 r. jest objęta ograniczeniami zgodnie z przepisami REACH.</w:t>
      </w:r>
      <w:r w:rsidR="003942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C6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Metoda oznaczania została opracowana </w:t>
      </w:r>
      <w:r w:rsidR="00E30C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i opublikowana </w:t>
      </w:r>
      <w:r w:rsidR="004F0C6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w CIOP-PIB (metoda </w:t>
      </w:r>
      <w:r w:rsidR="00E30C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HPLC; </w:t>
      </w:r>
      <w:r w:rsidR="00167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opublikowana w: </w:t>
      </w:r>
      <w:r w:rsidR="00E30CBC">
        <w:rPr>
          <w:rFonts w:ascii="Times New Roman" w:hAnsi="Times New Roman"/>
          <w:color w:val="000000" w:themeColor="text1"/>
          <w:sz w:val="24"/>
          <w:szCs w:val="24"/>
        </w:rPr>
        <w:t>J. Kowalska, A. Jeżewska, A Woźnica, Narażenia zawodowe na substancje rakotwórcze i</w:t>
      </w:r>
      <w:r w:rsidR="00C213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30CBC">
        <w:rPr>
          <w:rFonts w:ascii="Times New Roman" w:hAnsi="Times New Roman"/>
          <w:color w:val="000000" w:themeColor="text1"/>
          <w:sz w:val="24"/>
          <w:szCs w:val="24"/>
        </w:rPr>
        <w:t>mutagenne. Metody oznaczania wybranych substancji chemicznych, CIOP-PIB, Warszawa 2019</w:t>
      </w:r>
      <w:r w:rsidR="004F0C6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)</w:t>
      </w:r>
      <w:r w:rsidR="00E30C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, </w:t>
      </w:r>
      <w:r w:rsidR="004F0C6A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4F0C6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E30CBC">
        <w:rPr>
          <w:rFonts w:ascii="Times New Roman" w:hAnsi="Times New Roman"/>
          <w:color w:val="000000" w:themeColor="text1"/>
          <w:sz w:val="24"/>
          <w:szCs w:val="24"/>
        </w:rPr>
        <w:t>0,002 m</w:t>
      </w:r>
      <w:r w:rsidR="0073687A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E30CBC">
        <w:rPr>
          <w:rFonts w:ascii="Times New Roman" w:hAnsi="Times New Roman"/>
          <w:color w:val="000000" w:themeColor="text1"/>
          <w:sz w:val="24"/>
          <w:szCs w:val="24"/>
        </w:rPr>
        <w:t>/m</w:t>
      </w:r>
      <w:r w:rsidR="00E30CBC" w:rsidRPr="0039423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4F0C6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. </w:t>
      </w:r>
    </w:p>
    <w:p w14:paraId="507B9B5F" w14:textId="2F20E2F6" w:rsidR="0035231C" w:rsidRDefault="0035231C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>N-</w:t>
      </w:r>
      <w:proofErr w:type="spellStart"/>
      <w:r w:rsidRPr="00697CA9">
        <w:rPr>
          <w:rFonts w:ascii="Times New Roman" w:hAnsi="Times New Roman"/>
          <w:color w:val="000000" w:themeColor="text1"/>
          <w:sz w:val="24"/>
          <w:szCs w:val="24"/>
        </w:rPr>
        <w:t>Metyloformamid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3,3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, bez ustalania wartości </w:t>
      </w:r>
      <w:proofErr w:type="spellStart"/>
      <w:r w:rsidRPr="003D62F3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294AF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NDSP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 adnotacją </w:t>
      </w:r>
      <w:r w:rsidR="00EF5608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skóra</w:t>
      </w:r>
      <w:r w:rsidR="00EF5608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4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5608">
        <w:rPr>
          <w:rFonts w:ascii="Times New Roman" w:hAnsi="Times New Roman"/>
          <w:color w:val="000000" w:themeColor="text1"/>
          <w:sz w:val="24"/>
          <w:szCs w:val="24"/>
        </w:rPr>
        <w:t xml:space="preserve">Stosowany jest jako rozpuszczalnik i półprodukt do reakcji chemicznych oraz w tuszach drukarskich. Substancja została zarejestrowana przez ECHA i zaklasyfikowana </w:t>
      </w:r>
      <w:r w:rsidR="00FF22F6">
        <w:rPr>
          <w:rFonts w:ascii="Times New Roman" w:hAnsi="Times New Roman"/>
          <w:color w:val="000000" w:themeColor="text1"/>
          <w:sz w:val="24"/>
          <w:szCs w:val="24"/>
        </w:rPr>
        <w:t>jako działająca szkodliwie na rozrodczość kategorii 1B, z przypisanym zwrotem H360D „Może działać szkodliwie na dziecko w łonie matki”, oraz pod względem zagrożeń dla zdrowia do kategorii 4 toksyczności ostrej, z przypisanym zwrotem H302 „Działa szkodliwie w kontakcie ze skórą”.</w:t>
      </w:r>
      <w:r w:rsidR="00EF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F9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Metoda oznaczania została opracowana w IMP w 2022 r. (metoda HPLC/UV-VIS) i opublikowana w kwartalniku </w:t>
      </w:r>
      <w:proofErr w:type="spellStart"/>
      <w:r w:rsidR="00EA0F9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PiMOŚP</w:t>
      </w:r>
      <w:proofErr w:type="spellEnd"/>
      <w:r w:rsidR="00EA0F9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2022, nr 2 (112), s. 143-157,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EA0F9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0,33-6,6 mg/m</w:t>
      </w:r>
      <w:r w:rsidR="00EA0F95"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EA0F9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31047B15" w14:textId="76C0482E" w:rsidR="0035231C" w:rsidRDefault="0035231C" w:rsidP="00FC39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>2-Metoksypropan-1-ol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bez ustalania wartości NDSP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 adnotacją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skóra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354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 xml:space="preserve">Substancja jest </w:t>
      </w:r>
      <w:r w:rsidR="00CA1E71">
        <w:rPr>
          <w:rFonts w:ascii="Times New Roman" w:hAnsi="Times New Roman"/>
          <w:color w:val="000000" w:themeColor="text1"/>
          <w:sz w:val="24"/>
          <w:szCs w:val="24"/>
        </w:rPr>
        <w:t xml:space="preserve">produktem ubocznym w procesie wytwarzania eteru </w:t>
      </w:r>
      <w:proofErr w:type="spellStart"/>
      <w:r w:rsidR="00CA1E71">
        <w:rPr>
          <w:rFonts w:ascii="Times New Roman" w:hAnsi="Times New Roman"/>
          <w:color w:val="000000" w:themeColor="text1"/>
          <w:sz w:val="24"/>
          <w:szCs w:val="24"/>
        </w:rPr>
        <w:t>monometylowego</w:t>
      </w:r>
      <w:proofErr w:type="spellEnd"/>
      <w:r w:rsidR="00CA1E71">
        <w:rPr>
          <w:rFonts w:ascii="Times New Roman" w:hAnsi="Times New Roman"/>
          <w:color w:val="000000" w:themeColor="text1"/>
          <w:sz w:val="24"/>
          <w:szCs w:val="24"/>
        </w:rPr>
        <w:t xml:space="preserve"> glikolu propylenowego (PGME), w którym stanowi zanieczyszczenie o stężeniu do 5%. </w:t>
      </w:r>
      <w:r w:rsidR="000C4958" w:rsidRPr="00697CA9">
        <w:rPr>
          <w:rFonts w:ascii="Times New Roman" w:hAnsi="Times New Roman"/>
          <w:color w:val="000000" w:themeColor="text1"/>
          <w:sz w:val="24"/>
          <w:szCs w:val="24"/>
        </w:rPr>
        <w:t>2-Metoksypropan-1-ol</w:t>
      </w:r>
      <w:r w:rsidR="000C4958">
        <w:rPr>
          <w:rFonts w:ascii="Times New Roman" w:hAnsi="Times New Roman"/>
          <w:color w:val="000000" w:themeColor="text1"/>
          <w:sz w:val="24"/>
          <w:szCs w:val="24"/>
        </w:rPr>
        <w:t xml:space="preserve">  jako zanieczyszczenie może występować w przemyśle w produktach kosmetycznych, rozpuszczalnikach farb, lakierów, barwników, atramentów i czynników adhezyjnych oraz składnikach preparatów czyszczących i</w:t>
      </w:r>
      <w:r w:rsidR="00C213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C4958">
        <w:rPr>
          <w:rFonts w:ascii="Times New Roman" w:hAnsi="Times New Roman"/>
          <w:color w:val="000000" w:themeColor="text1"/>
          <w:sz w:val="24"/>
          <w:szCs w:val="24"/>
        </w:rPr>
        <w:t>półproduktach do syntezy chemicznej. Substancja została zarejestrowana przez ECHA i</w:t>
      </w:r>
      <w:r w:rsidR="00C2132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C4958">
        <w:rPr>
          <w:rFonts w:ascii="Times New Roman" w:hAnsi="Times New Roman"/>
          <w:color w:val="000000" w:themeColor="text1"/>
          <w:sz w:val="24"/>
          <w:szCs w:val="24"/>
        </w:rPr>
        <w:t xml:space="preserve">zaklasyfikowana jako działająca szkodliwie na rozrodczość kategorii 1B, z przypisanym zwrotem H360D „Może działać szkodliwie na dziecko w łonie matki”, oraz mogąca powodować podrażnienie dróg oddechowych, działającą drażniąco na skórę i powodującą poważne uszkodzenie oczu. 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Metoda oznaczania została opracowana w IMP w 2022 r. (metoda 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GC-MS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) i opublikowana w kwartalniku </w:t>
      </w:r>
      <w:proofErr w:type="spellStart"/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PiMOŚP</w:t>
      </w:r>
      <w:proofErr w:type="spellEnd"/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2022, nr 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(11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), s. 14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7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-1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62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, </w:t>
      </w:r>
      <w:r w:rsidR="000C4958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</w:t>
      </w:r>
      <w:r w:rsidR="005A393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40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mg/m</w:t>
      </w:r>
      <w:r w:rsidR="000C4958"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0C495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13F299DE" w14:textId="57211C8F" w:rsidR="0035231C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Dekan-1-ol i jego izomery: </w:t>
      </w:r>
      <w:r w:rsidRPr="00F22479">
        <w:rPr>
          <w:rFonts w:ascii="Times New Roman" w:hAnsi="Times New Roman"/>
          <w:color w:val="000000" w:themeColor="text1"/>
          <w:sz w:val="24"/>
          <w:szCs w:val="24"/>
        </w:rPr>
        <w:t>dekan-2-ol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22479">
        <w:rPr>
          <w:rFonts w:ascii="Times New Roman" w:hAnsi="Times New Roman"/>
          <w:color w:val="000000" w:themeColor="text1"/>
          <w:sz w:val="24"/>
          <w:szCs w:val="24"/>
        </w:rPr>
        <w:t>dekan-3-ol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22479">
        <w:rPr>
          <w:rFonts w:ascii="Times New Roman" w:hAnsi="Times New Roman"/>
          <w:color w:val="000000" w:themeColor="text1"/>
          <w:sz w:val="24"/>
          <w:szCs w:val="24"/>
        </w:rPr>
        <w:t>dekan-4-ol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F22479">
        <w:rPr>
          <w:rFonts w:ascii="Times New Roman" w:hAnsi="Times New Roman"/>
          <w:color w:val="000000" w:themeColor="text1"/>
          <w:sz w:val="24"/>
          <w:szCs w:val="24"/>
        </w:rPr>
        <w:t>dekan-5-ol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60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bez ustalania wartości NDSP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A3938">
        <w:rPr>
          <w:rFonts w:ascii="Times New Roman" w:hAnsi="Times New Roman"/>
          <w:color w:val="000000" w:themeColor="text1"/>
          <w:sz w:val="24"/>
          <w:szCs w:val="24"/>
        </w:rPr>
        <w:t xml:space="preserve"> Związki te znalazły zastosowanie w produkcji rozpuszczalników, środków powierzchniowo czynnych, pestycydów, smarów, wosków, kremów, kosmetyków i syntetycznych substancji smakowo-zapachowych dodawanych do żywności. Substancj</w:t>
      </w:r>
      <w:r w:rsidR="006900B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A3938">
        <w:rPr>
          <w:rFonts w:ascii="Times New Roman" w:hAnsi="Times New Roman"/>
          <w:color w:val="000000" w:themeColor="text1"/>
          <w:sz w:val="24"/>
          <w:szCs w:val="24"/>
        </w:rPr>
        <w:t xml:space="preserve"> został</w:t>
      </w:r>
      <w:r w:rsidR="006900BA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5A3938">
        <w:rPr>
          <w:rFonts w:ascii="Times New Roman" w:hAnsi="Times New Roman"/>
          <w:color w:val="000000" w:themeColor="text1"/>
          <w:sz w:val="24"/>
          <w:szCs w:val="24"/>
        </w:rPr>
        <w:t xml:space="preserve"> zarejestrowana przez ECHA</w:t>
      </w:r>
      <w:r w:rsidR="006900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713AD">
        <w:rPr>
          <w:rFonts w:ascii="Times New Roman" w:hAnsi="Times New Roman"/>
          <w:color w:val="000000" w:themeColor="text1"/>
          <w:sz w:val="24"/>
          <w:szCs w:val="24"/>
        </w:rPr>
        <w:t xml:space="preserve">Mają działanie drażniące. </w:t>
      </w:r>
      <w:r w:rsidR="00D2689E">
        <w:rPr>
          <w:rFonts w:ascii="Times New Roman" w:hAnsi="Times New Roman"/>
          <w:color w:val="000000" w:themeColor="text1"/>
          <w:sz w:val="24"/>
          <w:szCs w:val="24"/>
        </w:rPr>
        <w:t>Metoda oznaczania zostanie opracowana przez IMP w 2023 roku.</w:t>
      </w:r>
    </w:p>
    <w:p w14:paraId="5D0586D4" w14:textId="02E19E78" w:rsidR="0035231C" w:rsidRPr="00C63694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 </w:t>
      </w:r>
      <w:r w:rsidRPr="004F70B8">
        <w:rPr>
          <w:rFonts w:ascii="Times New Roman" w:hAnsi="Times New Roman"/>
          <w:color w:val="000000" w:themeColor="text1"/>
          <w:sz w:val="24"/>
          <w:szCs w:val="24"/>
        </w:rPr>
        <w:t>5-Chloro-2-metylo-2H-izotiazol-3-on i 2-metylo-2H-izotiazol-3-on (masa poreakcyjna 3:1)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0,2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0,4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bez ustalania wartości NDSP</w:t>
      </w:r>
      <w:r>
        <w:rPr>
          <w:rFonts w:ascii="Times New Roman" w:hAnsi="Times New Roman"/>
          <w:color w:val="000000" w:themeColor="text1"/>
          <w:sz w:val="24"/>
          <w:szCs w:val="24"/>
        </w:rPr>
        <w:t>, z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adnotacją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skóra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. Substancja zarejestrowana w ECHA w 2021 roku. Ma działanie drażniące. Narażenie na aerozole lub pary może występować podczas produkcji substancji oraz podczas stosowania w płynach do obróbki metali.</w:t>
      </w:r>
      <w:r w:rsidR="00C200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Metoda oznaczania została opracowana w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D2689E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IMP </w:t>
      </w:r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070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 xml:space="preserve">złożona do redakcji czasopisma </w:t>
      </w:r>
      <w:proofErr w:type="spellStart"/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>PiMOŚP</w:t>
      </w:r>
      <w:proofErr w:type="spellEnd"/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D2689E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w 2022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r. (metoda </w:t>
      </w:r>
      <w:r w:rsidR="00D2689E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HPLC/UV-VIS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), </w:t>
      </w:r>
      <w:r w:rsidR="005B1596" w:rsidRPr="00C63694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0,2-4,0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mg/m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5B1596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38126129" w14:textId="517B1D07" w:rsidR="0035231C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4D4334">
        <w:rPr>
          <w:rFonts w:ascii="Times New Roman" w:hAnsi="Times New Roman"/>
          <w:color w:val="000000" w:themeColor="text1"/>
          <w:sz w:val="24"/>
          <w:szCs w:val="24"/>
        </w:rPr>
        <w:t>2,6-Di-tert-butylo-4-metylofenol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bez ustalania wartości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NDSP</w:t>
      </w:r>
      <w:r>
        <w:rPr>
          <w:rFonts w:ascii="Times New Roman" w:hAnsi="Times New Roman"/>
          <w:color w:val="000000" w:themeColor="text1"/>
          <w:sz w:val="24"/>
          <w:szCs w:val="24"/>
        </w:rPr>
        <w:t>. Ze względu na właściwości przeciwutleniające jest stosowany w przemyśle spożywczym, farmaceutycznym, kosmetycznym i wielu innych, gdzie konieczna jest ochrona materiałów przed utlenianiem.</w:t>
      </w:r>
      <w:r w:rsidRPr="003523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Substancja zarejestrowana w ECHA.</w:t>
      </w:r>
      <w:r w:rsidR="005B15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Metoda oznaczania została opracowana w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CIOP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 xml:space="preserve">i złożona do redakcji czasopisma </w:t>
      </w:r>
      <w:proofErr w:type="spellStart"/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>PiMOŚP</w:t>
      </w:r>
      <w:proofErr w:type="spellEnd"/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 2022 r. (metoda 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GC-FID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), </w:t>
      </w:r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20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mg/m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1DD8D00E" w14:textId="53DDE165" w:rsidR="00394239" w:rsidRPr="00394239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4A4893">
        <w:rPr>
          <w:rFonts w:ascii="Times New Roman" w:hAnsi="Times New Roman"/>
          <w:color w:val="000000" w:themeColor="text1"/>
          <w:sz w:val="24"/>
          <w:szCs w:val="24"/>
        </w:rPr>
        <w:t>1-Etylo-2-pirolidon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60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bez ustalania wartości NDSP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 adnotacją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skóra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Stosowany jako rozpuszczalnik, w przemyśle elektronicznym, składnik pestycydów. Substancja jest zarejestrowana w ECHA i w ramach rozporządzenia REACH, zaklasyfikowana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także jako działająca szkodliwie na rozrodczość kategorii 1B, z przypisanym zwrotem zagrożenia H360D </w:t>
      </w:r>
      <w:r w:rsidR="005B1596">
        <w:rPr>
          <w:rFonts w:ascii="Times New Roman" w:hAnsi="Times New Roman"/>
          <w:color w:val="000000" w:themeColor="text1"/>
          <w:sz w:val="24"/>
          <w:szCs w:val="24"/>
        </w:rPr>
        <w:t>„M</w:t>
      </w:r>
      <w:r>
        <w:rPr>
          <w:rFonts w:ascii="Times New Roman" w:hAnsi="Times New Roman"/>
          <w:color w:val="000000" w:themeColor="text1"/>
          <w:sz w:val="24"/>
          <w:szCs w:val="24"/>
        </w:rPr>
        <w:t>oże działać szkodliwie na dziecko w łonie matki</w:t>
      </w:r>
      <w:r w:rsidR="005B1596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Metoda oznaczania została opracowana w IMP w 2021 r. (metoda GC-MS) i</w:t>
      </w:r>
      <w:r w:rsidR="0020704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 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opublikowana w kwartalniku </w:t>
      </w:r>
      <w:proofErr w:type="spellStart"/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PiMOŚP</w:t>
      </w:r>
      <w:proofErr w:type="spellEnd"/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2022, nr </w:t>
      </w:r>
      <w:r w:rsidR="00167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(11</w:t>
      </w:r>
      <w:r w:rsidR="00167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), s. </w:t>
      </w:r>
      <w:r w:rsidR="00167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111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-1</w:t>
      </w:r>
      <w:r w:rsidR="001679A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26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, </w:t>
      </w:r>
      <w:r w:rsidR="005B1596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1,5-32 mg/m</w:t>
      </w:r>
      <w:r w:rsidR="005B1596"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5B1596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. </w:t>
      </w:r>
    </w:p>
    <w:p w14:paraId="39DFAC32" w14:textId="66624DAD" w:rsidR="0035231C" w:rsidRDefault="00394239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proofErr w:type="spellStart"/>
      <w:r w:rsidR="0035231C" w:rsidRPr="00590F2E">
        <w:rPr>
          <w:rFonts w:ascii="Times New Roman" w:hAnsi="Times New Roman"/>
          <w:color w:val="000000" w:themeColor="text1"/>
          <w:sz w:val="24"/>
          <w:szCs w:val="24"/>
        </w:rPr>
        <w:t>Enfluran</w:t>
      </w:r>
      <w:proofErr w:type="spellEnd"/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="0035231C"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(5 </w:t>
      </w:r>
      <w:proofErr w:type="spellStart"/>
      <w:r w:rsidR="0035231C">
        <w:rPr>
          <w:rFonts w:ascii="Times New Roman" w:hAnsi="Times New Roman"/>
          <w:color w:val="000000" w:themeColor="text1"/>
          <w:sz w:val="24"/>
          <w:szCs w:val="24"/>
        </w:rPr>
        <w:t>ppm</w:t>
      </w:r>
      <w:proofErr w:type="spellEnd"/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bez ustalania wartości </w:t>
      </w:r>
      <w:proofErr w:type="spellStart"/>
      <w:r w:rsidR="0035231C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35231C" w:rsidRPr="003D62F3">
        <w:rPr>
          <w:rFonts w:ascii="Times New Roman" w:hAnsi="Times New Roman"/>
          <w:color w:val="000000" w:themeColor="text1"/>
          <w:sz w:val="24"/>
          <w:szCs w:val="24"/>
        </w:rPr>
        <w:t>NDSP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>. Substancja ta jest fluorowanym eterem, anestetykiem wziewnym, szeroko stosowanym obok innych lotnych środków znieczulających. Narażenie zawodowe w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ystępuje głównie u personelu </w:t>
      </w:r>
      <w:r w:rsidR="008108C5">
        <w:rPr>
          <w:rFonts w:ascii="Times New Roman" w:hAnsi="Times New Roman"/>
          <w:color w:val="000000" w:themeColor="text1"/>
          <w:sz w:val="24"/>
          <w:szCs w:val="24"/>
        </w:rPr>
        <w:t xml:space="preserve">medycznego w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>sal</w:t>
      </w:r>
      <w:r w:rsidR="008108C5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35231C">
        <w:rPr>
          <w:rFonts w:ascii="Times New Roman" w:hAnsi="Times New Roman"/>
          <w:color w:val="000000" w:themeColor="text1"/>
          <w:sz w:val="24"/>
          <w:szCs w:val="24"/>
        </w:rPr>
        <w:t xml:space="preserve"> operacyjnych.</w:t>
      </w:r>
      <w:r w:rsidR="001679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Metoda oznaczania została opracowana w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IMP </w:t>
      </w:r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 xml:space="preserve">i złożona do redakcji czasopisma </w:t>
      </w:r>
      <w:proofErr w:type="spellStart"/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>PiMOŚP</w:t>
      </w:r>
      <w:proofErr w:type="spellEnd"/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w 2022 r. (metoda 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GC-MS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), </w:t>
      </w:r>
      <w:r w:rsidR="00C63694" w:rsidRPr="00C63694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2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-</w:t>
      </w:r>
      <w:r w:rsid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80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mg/m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C63694" w:rsidRPr="00C6369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54DDBAD4" w14:textId="3DCD6CC9" w:rsidR="0035231C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Pr="00755ADD">
        <w:rPr>
          <w:rFonts w:ascii="Times New Roman" w:hAnsi="Times New Roman"/>
          <w:color w:val="000000" w:themeColor="text1"/>
          <w:sz w:val="24"/>
          <w:szCs w:val="24"/>
        </w:rPr>
        <w:t xml:space="preserve">Fosforan </w:t>
      </w:r>
      <w:proofErr w:type="spellStart"/>
      <w:r w:rsidRPr="00755ADD">
        <w:rPr>
          <w:rFonts w:ascii="Times New Roman" w:hAnsi="Times New Roman"/>
          <w:color w:val="000000" w:themeColor="text1"/>
          <w:sz w:val="24"/>
          <w:szCs w:val="24"/>
        </w:rPr>
        <w:t>trifenylu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bez ustalania wartości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NDSP</w:t>
      </w:r>
      <w:r>
        <w:rPr>
          <w:rFonts w:ascii="Times New Roman" w:hAnsi="Times New Roman"/>
          <w:color w:val="000000" w:themeColor="text1"/>
          <w:sz w:val="24"/>
          <w:szCs w:val="24"/>
        </w:rPr>
        <w:t>. Stosowany do produkcji oprawek okularów, żywic, wosków, klejów, jako plastyfikator w</w:t>
      </w:r>
      <w:r w:rsidR="008A15F4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tapicerstwie, składnik płynów hydraulicznych i środków smarnych oraz kosmetyków. Wykorzystywany jest też jako środek przeciwzapalny. Używany również jako zamiennik szkodliwego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bifenolu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A, co było głównym kryterium do opracowania dokumentacji NDS oraz oszacowania ryzyka dla zdrowia wynikającego z narażenia zawodowego na tę substancję.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Znajduje się na liście potencjalnych substancji o działaniu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endokrynnym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B62FE">
        <w:rPr>
          <w:rFonts w:ascii="Times New Roman" w:hAnsi="Times New Roman"/>
          <w:color w:val="000000" w:themeColor="text1"/>
          <w:sz w:val="24"/>
          <w:szCs w:val="24"/>
        </w:rPr>
        <w:t xml:space="preserve"> Metoda oznaczania zostanie opracowana przez CIOP-PIB w 2023 roku.</w:t>
      </w:r>
    </w:p>
    <w:p w14:paraId="5955277D" w14:textId="40A7BED6" w:rsidR="0035231C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proofErr w:type="spellStart"/>
      <w:r w:rsidRPr="00427BC7">
        <w:rPr>
          <w:rFonts w:ascii="Times New Roman" w:hAnsi="Times New Roman"/>
          <w:color w:val="000000" w:themeColor="text1"/>
          <w:sz w:val="24"/>
          <w:szCs w:val="24"/>
        </w:rPr>
        <w:t>Ftalan</w:t>
      </w:r>
      <w:proofErr w:type="spellEnd"/>
      <w:r w:rsidRPr="00427B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27BC7">
        <w:rPr>
          <w:rFonts w:ascii="Times New Roman" w:hAnsi="Times New Roman"/>
          <w:color w:val="000000" w:themeColor="text1"/>
          <w:sz w:val="24"/>
          <w:szCs w:val="24"/>
        </w:rPr>
        <w:t>diizobutylu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818" w:rsidRPr="0075127F">
        <w:rPr>
          <w:rFonts w:ascii="Times New Roman" w:hAnsi="Times New Roman"/>
          <w:color w:val="000000" w:themeColor="text1"/>
          <w:sz w:val="24"/>
          <w:szCs w:val="24"/>
        </w:rPr>
        <w:t>(DBP)</w:t>
      </w:r>
      <w:r w:rsidR="007368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146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bez ustalania wartości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NDSP</w:t>
      </w:r>
      <w:r>
        <w:rPr>
          <w:rFonts w:ascii="Times New Roman" w:hAnsi="Times New Roman"/>
          <w:color w:val="000000" w:themeColor="text1"/>
          <w:sz w:val="24"/>
          <w:szCs w:val="24"/>
        </w:rPr>
        <w:t>. Stosowany w przemyśle tekstylnym i skórzanym, elektrycznym, w budownictwie, w</w:t>
      </w:r>
      <w:r w:rsidR="0020614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produktach użytku domowego, w produktach do czyszczenia i pielęgnacji samochodów, w</w:t>
      </w:r>
      <w:r w:rsidR="0020614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tuszach i tonerach. Jest zaklasyfikowany jako substancja działająca szkodliwie na rozrodczość kategorii 1B z przypisanym zwrotem H360Df </w:t>
      </w:r>
      <w:r w:rsidR="001679A2">
        <w:rPr>
          <w:rFonts w:ascii="Times New Roman" w:hAnsi="Times New Roman"/>
          <w:color w:val="000000" w:themeColor="text1"/>
          <w:sz w:val="24"/>
          <w:szCs w:val="24"/>
        </w:rPr>
        <w:t>„M</w:t>
      </w:r>
      <w:r>
        <w:rPr>
          <w:rFonts w:ascii="Times New Roman" w:hAnsi="Times New Roman"/>
          <w:color w:val="000000" w:themeColor="text1"/>
          <w:sz w:val="24"/>
          <w:szCs w:val="24"/>
        </w:rPr>
        <w:t>oże działać szkodliwie na dziecko w łonie matki; podejrzewa się, że działa szkodliwie na płodność</w:t>
      </w:r>
      <w:r w:rsidR="001679A2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Jest też umieszczony na liście kandydackiej substancji wzbudzających szczególnie duże obawy ze względu na właściwości zaburzające gospodarkę hormonalną. </w:t>
      </w:r>
      <w:r w:rsidR="001B62FE">
        <w:rPr>
          <w:rFonts w:ascii="Times New Roman" w:hAnsi="Times New Roman"/>
          <w:color w:val="000000" w:themeColor="text1"/>
          <w:sz w:val="24"/>
          <w:szCs w:val="24"/>
        </w:rPr>
        <w:t>Metoda oznaczania zostanie opracowana przez CIOP-PIB w 2023 roku.</w:t>
      </w:r>
    </w:p>
    <w:p w14:paraId="32D8C366" w14:textId="5940E206" w:rsidR="0035231C" w:rsidRDefault="0035231C" w:rsidP="0035231C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proofErr w:type="spellStart"/>
      <w:r w:rsidRPr="00A01D19">
        <w:rPr>
          <w:rFonts w:ascii="Times New Roman" w:hAnsi="Times New Roman"/>
          <w:color w:val="000000" w:themeColor="text1"/>
          <w:sz w:val="24"/>
          <w:szCs w:val="24"/>
        </w:rPr>
        <w:t>Metakrylan</w:t>
      </w:r>
      <w:proofErr w:type="spellEnd"/>
      <w:r w:rsidRPr="00A01D19">
        <w:rPr>
          <w:rFonts w:ascii="Times New Roman" w:hAnsi="Times New Roman"/>
          <w:color w:val="000000" w:themeColor="text1"/>
          <w:sz w:val="24"/>
          <w:szCs w:val="24"/>
        </w:rPr>
        <w:t xml:space="preserve"> 2,3-epoksypropylu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146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0,3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(0,05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ppm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0,6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(0,1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ppm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bez ustalania wartości NDSP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 adnotacją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skóra/działanie uczulające na skórę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Jest stosowany do produkcji żywic i polimerów.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Substancja rakotwórcza kategorii 1B oraz mutagenna kategorii 2. Znajduje się na liście priorytetowej ACSH do ustalenia wartości dopuszczalnej narażenia zawodowego. </w:t>
      </w:r>
      <w:r w:rsidR="001B62FE">
        <w:rPr>
          <w:rFonts w:ascii="Times New Roman" w:hAnsi="Times New Roman"/>
          <w:color w:val="000000" w:themeColor="text1"/>
          <w:sz w:val="24"/>
          <w:szCs w:val="24"/>
        </w:rPr>
        <w:t>Metoda oznaczania zostanie opracowana przez IMP w 2023 roku.</w:t>
      </w:r>
    </w:p>
    <w:p w14:paraId="1FC01F47" w14:textId="3A306533" w:rsidR="0035231C" w:rsidRDefault="0035231C" w:rsidP="0035231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Pr="00A01D19">
        <w:rPr>
          <w:rFonts w:ascii="Times New Roman" w:hAnsi="Times New Roman"/>
          <w:color w:val="000000" w:themeColor="text1"/>
          <w:sz w:val="24"/>
          <w:szCs w:val="24"/>
        </w:rPr>
        <w:t>Oksym butan-2-onu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6146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wartość NDS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(0,3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ppm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wartość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697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mg/m</w:t>
      </w:r>
      <w:r w:rsidRPr="00697CA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(0,9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ppm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3D62F3">
        <w:rPr>
          <w:rFonts w:ascii="Times New Roman" w:hAnsi="Times New Roman"/>
          <w:color w:val="000000" w:themeColor="text1"/>
          <w:sz w:val="24"/>
          <w:szCs w:val="24"/>
        </w:rPr>
        <w:t>bez ustalania wartości NDSP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 adnotacją 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skóra/działanie uczulające na skórę</w:t>
      </w:r>
      <w:r w:rsidR="00EA0F95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Jest stosowany jako składnik lakierów, farb, żywic.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Substancja rakotwórcza kategorii 1B. Znajduje się na liście priorytetowej ACSH do ustalenia wartości dopuszczalnej narażenia zawodowego. </w:t>
      </w:r>
      <w:r w:rsidR="001B62FE">
        <w:rPr>
          <w:rFonts w:ascii="Times New Roman" w:hAnsi="Times New Roman"/>
          <w:color w:val="000000" w:themeColor="text1"/>
          <w:sz w:val="24"/>
          <w:szCs w:val="24"/>
        </w:rPr>
        <w:t>Metoda oznaczania zostanie opracowana przez CIOP-PIB w 2023 roku.</w:t>
      </w:r>
    </w:p>
    <w:p w14:paraId="299D6D2F" w14:textId="252BD0F1" w:rsidR="0035231C" w:rsidRPr="00FD62C8" w:rsidRDefault="0035231C" w:rsidP="0035231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W związku z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uzasadnionym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wnioskiem (nr 117) Komisji w wykazie czynników chemiczn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ych zawartych </w:t>
      </w:r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 xml:space="preserve">w załączniku nr 1 do rozporządzenia </w:t>
      </w:r>
      <w:proofErr w:type="spellStart"/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7F1C57" w:rsidRPr="007F1C57" w:rsidDel="007F1C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pozostawiono </w:t>
      </w:r>
      <w:r w:rsidR="009836BA">
        <w:rPr>
          <w:rFonts w:ascii="Times New Roman" w:hAnsi="Times New Roman"/>
          <w:color w:val="000000" w:themeColor="text1"/>
          <w:sz w:val="24"/>
          <w:szCs w:val="24"/>
        </w:rPr>
        <w:t xml:space="preserve">na dotychczasowym poziomie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wartości NDS i </w:t>
      </w:r>
      <w:proofErr w:type="spellStart"/>
      <w:r w:rsidRPr="00FD62C8">
        <w:rPr>
          <w:rFonts w:ascii="Times New Roman" w:hAnsi="Times New Roman"/>
          <w:color w:val="000000" w:themeColor="text1"/>
          <w:sz w:val="24"/>
          <w:szCs w:val="24"/>
        </w:rPr>
        <w:t>NDSCh</w:t>
      </w:r>
      <w:proofErr w:type="spellEnd"/>
      <w:r w:rsidRPr="00FD62C8">
        <w:rPr>
          <w:rFonts w:ascii="Times New Roman" w:hAnsi="Times New Roman"/>
          <w:color w:val="000000" w:themeColor="text1"/>
          <w:sz w:val="24"/>
          <w:szCs w:val="24"/>
        </w:rPr>
        <w:t xml:space="preserve"> dla 1-metylo-2-pirolidonu, odpowiednio </w:t>
      </w:r>
      <w:r w:rsidRPr="00FD62C8">
        <w:rPr>
          <w:rFonts w:ascii="Times New Roman" w:hAnsi="Times New Roman" w:cs="Times New Roman"/>
          <w:color w:val="000000" w:themeColor="text1"/>
          <w:sz w:val="24"/>
          <w:szCs w:val="24"/>
        </w:rPr>
        <w:t>40 mg/m</w:t>
      </w:r>
      <w:r w:rsidRPr="00FD62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 mg/m</w:t>
      </w:r>
      <w:r w:rsidRPr="00FD62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FD6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1-</w:t>
      </w: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etylo-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2-pirolidon został zaklasyfikowany jako substancja działająca szkodliwie na rozrodczość kategorii 1B z przypisanym zwrotem zagrożenia H360D </w:t>
      </w:r>
      <w:r w:rsidR="007F1C57">
        <w:rPr>
          <w:rFonts w:ascii="Times New Roman" w:hAnsi="Times New Roman"/>
          <w:color w:val="000000" w:themeColor="text1"/>
          <w:sz w:val="24"/>
          <w:szCs w:val="24"/>
        </w:rPr>
        <w:t>„M</w:t>
      </w:r>
      <w:r>
        <w:rPr>
          <w:rFonts w:ascii="Times New Roman" w:hAnsi="Times New Roman"/>
          <w:color w:val="000000" w:themeColor="text1"/>
          <w:sz w:val="24"/>
          <w:szCs w:val="24"/>
        </w:rPr>
        <w:t>oże działać szkodliwie na dziecko w łonie matki</w:t>
      </w:r>
      <w:r w:rsidR="007F1C57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Propozycję normatywu higienicznego dla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1-metylo-2-pirolidonu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opracowano ponownie ze względu na brak zgodności obowiązującej w</w:t>
      </w:r>
      <w:r w:rsidR="0020614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Polsce i UE wartości NDS z wartością DNEL (poziom bez obserwowanego ryzyka dla ludzi narażonych na działanie substancji) zalecaną w przepisach REACH, a wyliczoną przez Komitet ds. Oceny Ryzyka. Ze względu na właściwości </w:t>
      </w:r>
      <w:r w:rsidRPr="00FD62C8">
        <w:rPr>
          <w:rFonts w:ascii="Times New Roman" w:hAnsi="Times New Roman"/>
          <w:color w:val="000000" w:themeColor="text1"/>
          <w:sz w:val="24"/>
          <w:szCs w:val="24"/>
        </w:rPr>
        <w:t>1-metylo-2-pirolidonu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stwarzające zagrożenie dla zdrowia człowieka, w kwietniu 2018 r. Komisja Europejska ograniczyła jego stosowanie (ograniczenie nr 71 załącznika XVII do rozporządzenia REACH).</w:t>
      </w:r>
      <w:r w:rsidR="001B6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C5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Metoda oznaczania została </w:t>
      </w:r>
      <w:r w:rsidR="007F1C5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lastRenderedPageBreak/>
        <w:t xml:space="preserve">opracowana w IMP w 2021 r. (metoda GC-MS) i opublikowana w kwartalniku </w:t>
      </w:r>
      <w:proofErr w:type="spellStart"/>
      <w:r w:rsidR="007F1C5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PiMOŚP</w:t>
      </w:r>
      <w:proofErr w:type="spellEnd"/>
      <w:r w:rsidR="007F1C5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2022, nr 2 (112), s. 127-142, </w:t>
      </w:r>
      <w:r w:rsidR="007F1C57">
        <w:rPr>
          <w:rFonts w:ascii="Times New Roman" w:hAnsi="Times New Roman"/>
          <w:color w:val="000000" w:themeColor="text1"/>
          <w:sz w:val="24"/>
          <w:szCs w:val="24"/>
        </w:rPr>
        <w:t>z zakresem oznaczalności na poziomie</w:t>
      </w:r>
      <w:r w:rsidR="007F1C5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4-80 mg/m</w:t>
      </w:r>
      <w:r w:rsidR="007F1C57" w:rsidRPr="00467B4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vertAlign w:val="superscript"/>
          <w:lang w:eastAsia="ar-SA"/>
        </w:rPr>
        <w:t>3</w:t>
      </w:r>
      <w:r w:rsidR="007F1C5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.</w:t>
      </w:r>
    </w:p>
    <w:p w14:paraId="1A8EF8FD" w14:textId="65220D81" w:rsidR="004F391F" w:rsidRDefault="002C7260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uzasadnionym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wnioskiem </w:t>
      </w:r>
      <w:r w:rsidR="003C5D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119</w:t>
      </w:r>
      <w:r w:rsidR="003C5D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Komisji, do 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 xml:space="preserve">wykazu czynników chemicznych zawartych </w:t>
      </w:r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 xml:space="preserve">w załączniku nr 1 do rozporządzenia </w:t>
      </w:r>
      <w:proofErr w:type="spellStart"/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7F1C57" w:rsidRPr="007F1C57" w:rsidDel="007F1C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5816">
        <w:rPr>
          <w:rFonts w:ascii="Times New Roman" w:hAnsi="Times New Roman" w:cs="Times New Roman"/>
          <w:color w:val="000000" w:themeColor="text1"/>
          <w:sz w:val="24"/>
          <w:szCs w:val="24"/>
        </w:rPr>
        <w:t>została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wprowadzona dodatkowa jednostka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(</w:t>
      </w:r>
      <w:r w:rsidRPr="002C7260">
        <w:rPr>
          <w:rFonts w:ascii="Times New Roman" w:hAnsi="Times New Roman" w:cs="Times New Roman"/>
          <w:color w:val="000000" w:themeColor="text1"/>
          <w:sz w:val="24"/>
          <w:szCs w:val="24"/>
        </w:rPr>
        <w:t>jednostka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oznaczająca</w:t>
      </w:r>
      <w:r w:rsidRPr="002C7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liczb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2C7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cząstek na milion (ang. </w:t>
      </w:r>
      <w:proofErr w:type="spellStart"/>
      <w:r w:rsidRPr="002C7260">
        <w:rPr>
          <w:rFonts w:ascii="Times New Roman" w:hAnsi="Times New Roman" w:cs="Times New Roman"/>
          <w:color w:val="000000" w:themeColor="text1"/>
          <w:sz w:val="24"/>
          <w:szCs w:val="24"/>
        </w:rPr>
        <w:t>parts</w:t>
      </w:r>
      <w:proofErr w:type="spellEnd"/>
      <w:r w:rsidRPr="002C7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milion) w jednostce objętości powietrza (ml/m</w:t>
      </w:r>
      <w:r w:rsidRPr="002C72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2C72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W pierwszej kolejności zmiany zosta</w:t>
      </w:r>
      <w:r w:rsidR="00015816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wprowadzone dla substancji wymienionych w</w:t>
      </w:r>
      <w:r w:rsidR="004F39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7A0863A" w14:textId="18BFF549" w:rsidR="004F391F" w:rsidRDefault="004F391F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Dyrektyw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Parlamentu Europejskiego i Rady (UE) 2017/2398 z dnia 12 grudnia 2017 r. zmieniając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dyrektywę 2004/37/WE w sprawie ochrony pracowników przed zagrożeniem dotyczącym narażenia na działanie czynników rakotwórczych lub mutagenów podczas pracy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(dalej: dyrektywa 2017/2398)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13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7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enzen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hloroeten</w:t>
      </w:r>
      <w:proofErr w:type="spellEnd"/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(chlorek winylu)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poksyetan</w:t>
      </w:r>
      <w:proofErr w:type="spellEnd"/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(tlenek etylenu)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1,2-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poksypropan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itropropan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61423">
        <w:rPr>
          <w:rFonts w:ascii="Times New Roman" w:hAnsi="Times New Roman" w:cs="Times New Roman"/>
          <w:color w:val="000000" w:themeColor="text1"/>
          <w:sz w:val="24"/>
          <w:szCs w:val="24"/>
        </w:rPr>
        <w:t>oliloamina (o-toluidyna)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uta-1,3-dien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ydrazyna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romoeten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304F2E" w14:textId="0D3E3974" w:rsidR="004F391F" w:rsidRDefault="004F391F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Dyrektyw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(UE) 2017/164 z dnia 31 stycznia 2017 r. ustanawiając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czwarty wykaz wskaźnikowych dopuszczalnych wartości narażenia zawodowego zgodnie z dyrektywą Rady 98/24/WE oraz zmieniając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dyrektywy Komisji 91/322/EWG, 2000/39/WE i</w:t>
      </w:r>
      <w:r w:rsidR="007841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2009/161/UE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(dalej: dyrektywa 2017/164) </w:t>
      </w:r>
      <w:r w:rsidR="00E17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riazotan</w:t>
      </w:r>
      <w:proofErr w:type="spellEnd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glicerolu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etrachlorek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węgla (</w:t>
      </w:r>
      <w:proofErr w:type="spellStart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tetrachlorometan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was octowy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yjanowodór (jako cyjanek)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hlorek metylenu (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dichlorometan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hlorek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winylidenu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1,1-dichloroetylen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rtokrzemian</w:t>
      </w:r>
      <w:proofErr w:type="spellEnd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(tetra)etylu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 akrylowy (kwas prop-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2-enowy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itroetan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</w:t>
      </w:r>
      <w:proofErr w:type="spellStart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difenylu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2-etyloheksan-1-ol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1,4-dichlorobenzen (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p-</w:t>
      </w:r>
      <w:proofErr w:type="spellStart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dichlorobenzen</w:t>
      </w:r>
      <w:proofErr w:type="spellEnd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);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kroleina (</w:t>
      </w:r>
      <w:proofErr w:type="spellStart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akryloaldehyd</w:t>
      </w:r>
      <w:proofErr w:type="spellEnd"/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; prop-2-enal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F391F">
        <w:rPr>
          <w:rFonts w:ascii="Times New Roman" w:hAnsi="Times New Roman" w:cs="Times New Roman"/>
          <w:color w:val="000000" w:themeColor="text1"/>
          <w:sz w:val="24"/>
          <w:szCs w:val="24"/>
        </w:rPr>
        <w:t>rówczan metylu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1D6C" w:rsidRPr="003F1D6C">
        <w:rPr>
          <w:rFonts w:ascii="Times New Roman" w:hAnsi="Times New Roman" w:cs="Times New Roman"/>
          <w:color w:val="000000" w:themeColor="text1"/>
          <w:sz w:val="24"/>
          <w:szCs w:val="24"/>
        </w:rPr>
        <w:t>etrachloroetylen</w:t>
      </w:r>
      <w:proofErr w:type="spellEnd"/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F1D6C" w:rsidRPr="003F1D6C">
        <w:rPr>
          <w:rFonts w:ascii="Times New Roman" w:hAnsi="Times New Roman" w:cs="Times New Roman"/>
          <w:color w:val="000000" w:themeColor="text1"/>
          <w:sz w:val="24"/>
          <w:szCs w:val="24"/>
        </w:rPr>
        <w:t>ctan etylu</w:t>
      </w:r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F1D6C" w:rsidRPr="003F1D6C">
        <w:rPr>
          <w:rFonts w:ascii="Times New Roman" w:hAnsi="Times New Roman" w:cs="Times New Roman"/>
          <w:color w:val="000000" w:themeColor="text1"/>
          <w:sz w:val="24"/>
          <w:szCs w:val="24"/>
        </w:rPr>
        <w:t>yjanek sodu (jako cyjanek)</w:t>
      </w:r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F1D6C" w:rsidRPr="003F1D6C">
        <w:rPr>
          <w:rFonts w:ascii="Times New Roman" w:hAnsi="Times New Roman" w:cs="Times New Roman"/>
          <w:color w:val="000000" w:themeColor="text1"/>
          <w:sz w:val="24"/>
          <w:szCs w:val="24"/>
        </w:rPr>
        <w:t>yjanek potasu (jako cyjanek)</w:t>
      </w:r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>iacetyl</w:t>
      </w:r>
      <w:proofErr w:type="spellEnd"/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F1D6C" w:rsidRPr="003F1D6C">
        <w:rPr>
          <w:rFonts w:ascii="Times New Roman" w:hAnsi="Times New Roman" w:cs="Times New Roman"/>
          <w:color w:val="000000" w:themeColor="text1"/>
          <w:sz w:val="24"/>
          <w:szCs w:val="24"/>
        </w:rPr>
        <w:t>butanodion</w:t>
      </w:r>
      <w:proofErr w:type="spellEnd"/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1D6C" w:rsidRPr="003F1D6C">
        <w:rPr>
          <w:rFonts w:ascii="Times New Roman" w:hAnsi="Times New Roman" w:cs="Times New Roman"/>
          <w:color w:val="000000" w:themeColor="text1"/>
          <w:sz w:val="24"/>
          <w:szCs w:val="24"/>
        </w:rPr>
        <w:t>lenek węgla</w:t>
      </w:r>
      <w:r w:rsidR="003F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itlenek</w:t>
      </w:r>
      <w:proofErr w:type="spellEnd"/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siarki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onotlenek</w:t>
      </w:r>
      <w:proofErr w:type="spellEnd"/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azotu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itlenek</w:t>
      </w:r>
      <w:proofErr w:type="spellEnd"/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azotu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erfenyl</w:t>
      </w:r>
      <w:proofErr w:type="spellEnd"/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, uwodorniony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6B5734" w14:textId="4534C6F8" w:rsidR="00A61423" w:rsidRDefault="004F391F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</w:t>
      </w:r>
      <w:r w:rsidR="00A6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yrektywie 2022/431 </w:t>
      </w:r>
      <w:r w:rsidR="0078413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61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krylonitryl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N,N-</w:t>
      </w:r>
      <w:proofErr w:type="spellStart"/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dimetyloacetamid</w:t>
      </w:r>
      <w:proofErr w:type="spellEnd"/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itrobenzen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>; N,N-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dimetyloformamid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2-metoksyetanol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ctan 2-metoksyetylu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2-etoksyetanol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51B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ctan 2-etoksyetylu</w:t>
      </w:r>
      <w:r w:rsidR="004F6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F6BCF" w:rsidRPr="004F6BCF">
        <w:rPr>
          <w:rFonts w:ascii="Times New Roman" w:hAnsi="Times New Roman" w:cs="Times New Roman"/>
          <w:color w:val="000000" w:themeColor="text1"/>
          <w:sz w:val="24"/>
          <w:szCs w:val="24"/>
        </w:rPr>
        <w:t>1-metylo-2-pirolidon</w:t>
      </w:r>
      <w:r w:rsidR="00E936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77CB95" w14:textId="7FF2419D" w:rsidR="002C7260" w:rsidRDefault="00A61423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astępnie, w trakcie kolejnych nowelizacji 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rozporządzeni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1D70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NDSiN</w:t>
      </w:r>
      <w:proofErr w:type="spellEnd"/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 </w:t>
      </w:r>
      <w:r w:rsidR="007F1C5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 w:rsidR="007F1C5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zostanie wprowadzona 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pozostałych substancji chemicznych i pyłowych, </w:t>
      </w:r>
      <w:r w:rsidR="00784130" w:rsidRPr="00784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mają określoną taką wartość, </w:t>
      </w:r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wymienionych </w:t>
      </w:r>
      <w:r w:rsidR="0082305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F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>wykaz</w:t>
      </w:r>
      <w:r w:rsidR="00823053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 xml:space="preserve"> czynników chemicznych zawartych </w:t>
      </w:r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1781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 xml:space="preserve">załączniku nr 1 do rozporządzenia </w:t>
      </w:r>
      <w:proofErr w:type="spellStart"/>
      <w:r w:rsidR="007F1C57" w:rsidRPr="007F1C57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011D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54CDE1" w14:textId="1C951BA7" w:rsidR="001E555D" w:rsidRDefault="004F6BCF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Zmiana ta została podyktowana zaleceniami </w:t>
      </w:r>
      <w:r w:rsidR="00235A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łużb Komisji Europejskiej, zgodnie z</w:t>
      </w:r>
      <w:r w:rsidR="007841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którymi transpozycja dopuszczalnych wartości narażenia zawodowego wyrażonych w obu jednostkach </w:t>
      </w:r>
      <w:r w:rsidR="001E5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miary dla czynników chemicznych zapewnia jasność, jednolite stosowanie </w:t>
      </w:r>
      <w:r w:rsidR="001E57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r w:rsidR="0078413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E570A">
        <w:rPr>
          <w:rFonts w:ascii="Times New Roman" w:hAnsi="Times New Roman" w:cs="Times New Roman"/>
          <w:color w:val="000000" w:themeColor="text1"/>
          <w:sz w:val="24"/>
          <w:szCs w:val="24"/>
        </w:rPr>
        <w:t>dostępność w całej UE.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Pozwoli to też na pełną transpozycję dyrektyw </w:t>
      </w:r>
      <w:r w:rsidR="009836BA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2017/2398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36BA" w:rsidRPr="00011D70">
        <w:rPr>
          <w:rFonts w:ascii="Times New Roman" w:hAnsi="Times New Roman" w:cs="Times New Roman"/>
          <w:color w:val="000000" w:themeColor="text1"/>
          <w:sz w:val="24"/>
          <w:szCs w:val="24"/>
        </w:rPr>
        <w:t>2017/164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2022/431.</w:t>
      </w:r>
    </w:p>
    <w:p w14:paraId="453A3030" w14:textId="46D63C2F" w:rsidR="007C3CD5" w:rsidRDefault="007C3CD5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uzasadnionym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wnioskiem </w:t>
      </w:r>
      <w:r w:rsidR="003C5D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nr 11</w:t>
      </w:r>
      <w:r w:rsidR="003C5D6A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Komisji, </w:t>
      </w:r>
      <w:r w:rsidR="008F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>wykaz</w:t>
      </w:r>
      <w:r w:rsidR="008F123F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 xml:space="preserve"> czynników chemicznych zawartych </w:t>
      </w:r>
      <w:r w:rsidR="0015335D" w:rsidRPr="0015335D">
        <w:rPr>
          <w:rFonts w:ascii="Times New Roman" w:hAnsi="Times New Roman"/>
          <w:color w:val="000000" w:themeColor="text1"/>
          <w:sz w:val="24"/>
          <w:szCs w:val="24"/>
        </w:rPr>
        <w:t xml:space="preserve">w załączniku nr 1 do rozporządzenia </w:t>
      </w:r>
      <w:proofErr w:type="spellStart"/>
      <w:r w:rsidR="0015335D" w:rsidRPr="0015335D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15335D" w:rsidRPr="0015335D" w:rsidDel="001533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wprowadzone następujące zmiany dotyczące adnotacji „7</w:t>
      </w:r>
      <w:bookmarkStart w:id="4" w:name="_Hlk139659988"/>
      <w:r>
        <w:rPr>
          <w:rFonts w:ascii="Times New Roman" w:hAnsi="Times New Roman" w:cs="Times New Roman"/>
          <w:color w:val="000000" w:themeColor="text1"/>
          <w:sz w:val="24"/>
          <w:szCs w:val="24"/>
        </w:rPr>
        <w:t>)”:</w:t>
      </w:r>
    </w:p>
    <w:bookmarkEnd w:id="4"/>
    <w:p w14:paraId="697F16F0" w14:textId="522DA427" w:rsidR="007C3CD5" w:rsidRPr="000D4C54" w:rsidRDefault="007C3CD5" w:rsidP="000D4C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„Pyły niesklasyfikowane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ze względu na toksyczność</w:t>
      </w:r>
      <w:r w:rsidR="00015816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” adnotacja ta została</w:t>
      </w:r>
      <w:r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usunięta.</w:t>
      </w:r>
    </w:p>
    <w:p w14:paraId="73384B68" w14:textId="74ED3D5A" w:rsidR="007C3CD5" w:rsidRPr="000D4C54" w:rsidRDefault="007C3CD5" w:rsidP="000D4C5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W punktach „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Apatyty i fosforyty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„Cement portlandzki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Ditlenek</w:t>
      </w:r>
      <w:proofErr w:type="spellEnd"/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tytanu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„Kaolin”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„Siarczan(VI) wapnia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„Węgiel (kamienny, brunatny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)”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„Węglan magnezu wapnia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E11AA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„Węglik krzemu, niewłóknisty” </w:t>
      </w:r>
      <w:r w:rsidR="005B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treść zosta</w:t>
      </w:r>
      <w:r w:rsidR="00015816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zmieniona na „Obowiązuje oznaczanie frakcji </w:t>
      </w:r>
      <w:proofErr w:type="spellStart"/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F165CC" w:rsidRPr="000D4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krystalicznej krzemionki”. </w:t>
      </w:r>
    </w:p>
    <w:p w14:paraId="7B27EDB4" w14:textId="1E00624A" w:rsidR="005F4986" w:rsidRDefault="00707652" w:rsidP="001533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5B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obowiązującym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rozporządzeniem </w:t>
      </w:r>
      <w:proofErr w:type="spellStart"/>
      <w:r w:rsidR="005B0257">
        <w:rPr>
          <w:rFonts w:ascii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5B0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ww. czynników 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obowiązuje jednoczesne oznaczanie frakcji </w:t>
      </w:r>
      <w:proofErr w:type="spellStart"/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krzemionki krystalicznej. </w:t>
      </w:r>
      <w:r w:rsidR="00745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Natomiast zgodnie</w:t>
      </w:r>
      <w:r w:rsidR="005B02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rozporządzeniem </w:t>
      </w:r>
      <w:r w:rsidR="00D26FA3" w:rsidRP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Ministra Zdrowia 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dnia 24 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lipca </w:t>
      </w:r>
      <w:r w:rsidR="00D26FA3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D26FA3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 w sprawie substancji chemicznych, ich mieszanin, czynników lub procesów technologicznych o działaniu rakotwórczym lub mutagennym w środowisku pracy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U. z </w:t>
      </w:r>
      <w:r w:rsidR="00D26FA3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D26FA3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poz. 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2235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</w:t>
      </w:r>
      <w:r w:rsidR="00645F48" w:rsidRP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645F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734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(dalej: rozporządzenie MZ) za czynnik o działaniu rakotwórczym uważa się frakcję </w:t>
      </w:r>
      <w:proofErr w:type="spellStart"/>
      <w:r w:rsidR="003734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respirabilną</w:t>
      </w:r>
      <w:proofErr w:type="spellEnd"/>
      <w:r w:rsidR="003734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krzemionki krystalicznej powstającą w przypadk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3734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 i procesów, podczas których jest 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uwalniana</w:t>
      </w:r>
      <w:r w:rsidR="003734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Przepis w rozporządzeniu MZ </w:t>
      </w:r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umożliwia pracodawcom odstąpienie od wykonywania pomiarów wszystkich substancji chemicznych i pyłów w przypadku, gdy dwukrotnie wykonane badania wykażą stężenie większe, bądź równe 0,1 wartości NDS. Natomiast dotychczasowy zapis adnotacji „7)” w rozporządzeniu </w:t>
      </w:r>
      <w:proofErr w:type="spellStart"/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przypadku frakcji </w:t>
      </w:r>
      <w:proofErr w:type="spellStart"/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krzemionki krystalicznej nie pozwala na odstąpienie od pomiarów w takich przypadkach. Zapis ten jest również bardzo często przyczyną błędnej klasyfikacji prac, w</w:t>
      </w:r>
      <w:r w:rsidR="00E178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których dochodzi do uwalniania frakcji </w:t>
      </w:r>
      <w:proofErr w:type="spellStart"/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krzemionki krystalicznej </w:t>
      </w:r>
      <w:r w:rsidR="00D26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12303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czynnika</w:t>
      </w:r>
      <w:r w:rsidR="0098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rakotwórczego. Sam fakt obligatoryjnego oznaczania frakcji </w:t>
      </w:r>
      <w:proofErr w:type="spellStart"/>
      <w:r w:rsidR="0098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980E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krzemionki krystalicznej podczas oceny narażenia na p</w:t>
      </w:r>
      <w:r w:rsidR="0098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yły niesklasyfikowane ze względu na toksyczność nie może być uznany jako występowanie </w:t>
      </w:r>
      <w:r w:rsidR="0046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czynnika rakotwórczego w przypadkach, gdy krzemionka krystaliczna nie jest stosowana na danym stanowisku, jak również gdy na nim nie powstaje frakcja </w:t>
      </w:r>
      <w:proofErr w:type="spellStart"/>
      <w:r w:rsidR="00461A7B">
        <w:rPr>
          <w:rFonts w:ascii="Times New Roman" w:hAnsi="Times New Roman" w:cs="Times New Roman"/>
          <w:color w:val="000000" w:themeColor="text1"/>
          <w:sz w:val="24"/>
          <w:szCs w:val="24"/>
        </w:rPr>
        <w:t>respirabilna</w:t>
      </w:r>
      <w:proofErr w:type="spellEnd"/>
      <w:r w:rsidR="0046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krzemionki krystalicznej. Obligatoryjne oznaczanie frakcji </w:t>
      </w:r>
      <w:proofErr w:type="spellStart"/>
      <w:r w:rsidR="00461A7B">
        <w:rPr>
          <w:rFonts w:ascii="Times New Roman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46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krzemionki krystalicznej i tego rodzaju pyłu powoduje, że pracodawcy uznają, że frakcja </w:t>
      </w:r>
      <w:proofErr w:type="spellStart"/>
      <w:r w:rsidR="00831DA5">
        <w:rPr>
          <w:rFonts w:ascii="Times New Roman" w:hAnsi="Times New Roman" w:cs="Times New Roman"/>
          <w:color w:val="000000" w:themeColor="text1"/>
          <w:sz w:val="24"/>
          <w:szCs w:val="24"/>
        </w:rPr>
        <w:t>respirabilna</w:t>
      </w:r>
      <w:proofErr w:type="spellEnd"/>
      <w:r w:rsidR="00831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krzemionki krystalicznej jest czynnikiem rakotwórczym i zgłaszają tego rodzaju stanowiska pracy do rejestru czynników i procesów rakotwórczych/mutagennych.</w:t>
      </w:r>
    </w:p>
    <w:p w14:paraId="6511AF40" w14:textId="30A29E0C" w:rsidR="00CE246C" w:rsidRDefault="00FB1004" w:rsidP="009003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Europejska zwróciła uwagę na nieustanowienie w polskich przepisach wartości NDS dla wszystkich postaci frakcji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krzemionki krystalicznej (których jest ponad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10), a jedynie dla kwarcu i krystobalitu.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Dlatego też z</w:t>
      </w:r>
      <w:r w:rsidR="00CE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godnie z </w:t>
      </w:r>
      <w:r w:rsidR="00983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uzasadnionym </w:t>
      </w:r>
      <w:r w:rsidR="00CE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wnioskiem </w:t>
      </w:r>
      <w:r w:rsidR="003C5D6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E246C">
        <w:rPr>
          <w:rFonts w:ascii="Times New Roman" w:hAnsi="Times New Roman" w:cs="Times New Roman"/>
          <w:color w:val="000000" w:themeColor="text1"/>
          <w:sz w:val="24"/>
          <w:szCs w:val="24"/>
        </w:rPr>
        <w:t>nr 119</w:t>
      </w:r>
      <w:r w:rsidR="003C5D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E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Komisji, </w:t>
      </w:r>
      <w:r w:rsidR="008F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>wykaz</w:t>
      </w:r>
      <w:r w:rsidR="008F123F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8F123F" w:rsidRPr="008F123F">
        <w:rPr>
          <w:rFonts w:ascii="Times New Roman" w:hAnsi="Times New Roman"/>
          <w:color w:val="000000" w:themeColor="text1"/>
          <w:sz w:val="24"/>
          <w:szCs w:val="24"/>
        </w:rPr>
        <w:t xml:space="preserve"> czynników chemicznych zawartych w</w:t>
      </w:r>
      <w:r w:rsidR="008F123F" w:rsidRPr="008F12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załączniku</w:t>
      </w:r>
      <w:r w:rsidR="008F12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45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nr 1 rozporządzenia </w:t>
      </w:r>
      <w:proofErr w:type="spellStart"/>
      <w:r w:rsidR="00745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745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>zosta</w:t>
      </w:r>
      <w:r w:rsidR="00015816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CE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zmieniony zapis z „Krzemionka krystaliczna </w:t>
      </w:r>
      <w:r w:rsidR="00E31E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kwarc [14808-60-7]; krystobalit [14464-46-1] </w:t>
      </w:r>
      <w:r w:rsidR="00E31E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frakcja </w:t>
      </w:r>
      <w:proofErr w:type="spellStart"/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>respirabilna</w:t>
      </w:r>
      <w:proofErr w:type="spellEnd"/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na „Krzemionka krystaliczna </w:t>
      </w:r>
      <w:r w:rsidR="00E31E2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frakcja </w:t>
      </w:r>
      <w:proofErr w:type="spellStart"/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>respirabilna</w:t>
      </w:r>
      <w:proofErr w:type="spellEnd"/>
      <w:r w:rsidR="00A97A0E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931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F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73F2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wiązku z tym </w:t>
      </w:r>
      <w:r w:rsidR="00E31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nastąpi </w:t>
      </w:r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przegląd zalecanych metod oznaczania frakcji </w:t>
      </w:r>
      <w:proofErr w:type="spellStart"/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krzemionki krystalicznej oraz opracowanie nowej metody analitycznej oznaczania frakcji </w:t>
      </w:r>
      <w:proofErr w:type="spellStart"/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="00F26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krzemionki krystalicznej, pozwalającej na oznaczenie różnych postaci krzemionki.</w:t>
      </w:r>
    </w:p>
    <w:p w14:paraId="1E799434" w14:textId="67E16408" w:rsidR="009C7F56" w:rsidRDefault="009836BA" w:rsidP="00C73329">
      <w:pPr>
        <w:tabs>
          <w:tab w:val="left" w:pos="509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9C7F56">
        <w:rPr>
          <w:rFonts w:ascii="Times New Roman" w:hAnsi="Times New Roman"/>
          <w:color w:val="000000" w:themeColor="text1"/>
          <w:sz w:val="24"/>
          <w:szCs w:val="24"/>
        </w:rPr>
        <w:t xml:space="preserve">projekcie rozporządzenia </w:t>
      </w:r>
      <w:proofErr w:type="spellStart"/>
      <w:r w:rsidR="009C7F56">
        <w:rPr>
          <w:rFonts w:ascii="Times New Roman" w:hAnsi="Times New Roman"/>
          <w:color w:val="000000" w:themeColor="text1"/>
          <w:sz w:val="24"/>
          <w:szCs w:val="24"/>
        </w:rPr>
        <w:t>NDSiN</w:t>
      </w:r>
      <w:proofErr w:type="spellEnd"/>
      <w:r w:rsidR="009C7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1E2A">
        <w:rPr>
          <w:rFonts w:ascii="Times New Roman" w:hAnsi="Times New Roman"/>
          <w:color w:val="000000" w:themeColor="text1"/>
          <w:sz w:val="24"/>
          <w:szCs w:val="24"/>
        </w:rPr>
        <w:t xml:space="preserve">zmieniono 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również kolejność </w:t>
      </w:r>
      <w:r w:rsidR="00E31E2A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14 substancji, układając je w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wykaz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 xml:space="preserve"> czynników chemicznych zawarty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 xml:space="preserve"> w załączniku </w:t>
      </w:r>
      <w:r w:rsidR="007456AF">
        <w:rPr>
          <w:rFonts w:ascii="Times New Roman" w:hAnsi="Times New Roman"/>
          <w:color w:val="000000" w:themeColor="text1"/>
          <w:sz w:val="24"/>
          <w:szCs w:val="24"/>
        </w:rPr>
        <w:t xml:space="preserve">nr 1 </w:t>
      </w:r>
      <w:r w:rsidR="00E41CF2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7456AF">
        <w:rPr>
          <w:rFonts w:ascii="Times New Roman" w:hAnsi="Times New Roman"/>
          <w:color w:val="000000" w:themeColor="text1"/>
          <w:sz w:val="24"/>
          <w:szCs w:val="24"/>
        </w:rPr>
        <w:t xml:space="preserve">rozporządzenia </w:t>
      </w:r>
      <w:proofErr w:type="spellStart"/>
      <w:r w:rsidR="007456AF">
        <w:rPr>
          <w:rFonts w:ascii="Times New Roman" w:hAnsi="Times New Roman"/>
          <w:color w:val="000000" w:themeColor="text1"/>
          <w:sz w:val="24"/>
          <w:szCs w:val="24"/>
        </w:rPr>
        <w:t>MRPiPS</w:t>
      </w:r>
      <w:proofErr w:type="spellEnd"/>
      <w:r w:rsidR="007456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w kolejności alfabetycznej </w:t>
      </w:r>
      <w:r w:rsidR="00E31E2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 dotyczy to następujących substancji</w:t>
      </w:r>
      <w:r w:rsidR="00E1781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Chinolina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Cisplatyna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N-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Hydroksymocznik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Bromian(V) potasu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3,3'-Dimetylobenzydyna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 i jej sole oraz 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Dichlorowodorek</w:t>
      </w:r>
      <w:proofErr w:type="spellEnd"/>
      <w:r w:rsidR="00E178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3,3'-dimetylobenzydyny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Fenoloftaleina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Etopozyd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Fluorouracyl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2-Nitroanizol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N-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Nitrozodimetyloamina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4-Chloro-2-toliloamina i je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j chlorowodorek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(w</w:t>
      </w:r>
      <w:r w:rsidR="00E31E2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przeliczeniu na 4-chloro-2-toliloaminę)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C73329">
        <w:rPr>
          <w:rFonts w:ascii="Times New Roman" w:hAnsi="Times New Roman"/>
          <w:color w:val="000000" w:themeColor="text1"/>
          <w:sz w:val="24"/>
          <w:szCs w:val="24"/>
        </w:rPr>
        <w:t>Doksorubicyna</w:t>
      </w:r>
      <w:proofErr w:type="spellEnd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 xml:space="preserve"> i chlorowodorek </w:t>
      </w:r>
      <w:proofErr w:type="spellStart"/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doksorubicyny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Furan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; Kwas </w:t>
      </w:r>
      <w:proofErr w:type="spellStart"/>
      <w:r w:rsidR="00C73329">
        <w:rPr>
          <w:rFonts w:ascii="Times New Roman" w:hAnsi="Times New Roman"/>
          <w:color w:val="000000" w:themeColor="text1"/>
          <w:sz w:val="24"/>
          <w:szCs w:val="24"/>
        </w:rPr>
        <w:t>nitrylotrioctowy</w:t>
      </w:r>
      <w:proofErr w:type="spellEnd"/>
      <w:r w:rsidR="00C733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3329" w:rsidRPr="00C73329">
        <w:rPr>
          <w:rFonts w:ascii="Times New Roman" w:hAnsi="Times New Roman"/>
          <w:color w:val="000000" w:themeColor="text1"/>
          <w:sz w:val="24"/>
          <w:szCs w:val="24"/>
        </w:rPr>
        <w:t>i jego sole</w:t>
      </w:r>
      <w:r w:rsidR="00C7332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8984C8" w14:textId="2A008F3B" w:rsidR="00C73329" w:rsidRPr="00052166" w:rsidRDefault="00C73329" w:rsidP="00C733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166">
        <w:rPr>
          <w:rFonts w:ascii="Times New Roman" w:hAnsi="Times New Roman"/>
          <w:color w:val="000000" w:themeColor="text1"/>
          <w:sz w:val="24"/>
          <w:szCs w:val="24"/>
        </w:rPr>
        <w:t xml:space="preserve">Łącznie </w:t>
      </w:r>
      <w:r w:rsidR="00BA08A4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052166">
        <w:rPr>
          <w:rFonts w:ascii="Times New Roman" w:hAnsi="Times New Roman"/>
          <w:color w:val="000000" w:themeColor="text1"/>
          <w:sz w:val="24"/>
          <w:szCs w:val="24"/>
        </w:rPr>
        <w:t>projektowanym rozporządzeni</w:t>
      </w:r>
      <w:r w:rsidR="00BA08A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0521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52166">
        <w:rPr>
          <w:rFonts w:ascii="Times New Roman" w:hAnsi="Times New Roman" w:cs="Times New Roman"/>
          <w:color w:val="000000" w:themeColor="text1"/>
          <w:sz w:val="24"/>
          <w:szCs w:val="24"/>
        </w:rPr>
        <w:t>w zakresie czynników chemicznych</w:t>
      </w:r>
      <w:r w:rsidR="00B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dokonano następujących zmian</w:t>
      </w:r>
      <w:r w:rsidRPr="0005216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66970D2" w14:textId="4B7BE07F" w:rsidR="00D2689E" w:rsidRPr="00D2689E" w:rsidRDefault="00BA08A4" w:rsidP="00D268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BA08A4">
        <w:rPr>
          <w:rFonts w:ascii="Times New Roman" w:hAnsi="Times New Roman" w:cs="Times New Roman"/>
          <w:color w:val="000000" w:themeColor="text1"/>
          <w:sz w:val="24"/>
          <w:szCs w:val="24"/>
        </w:rPr>
        <w:t>treści odnośnika</w:t>
      </w:r>
      <w:r w:rsidR="005E1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</w:t>
      </w:r>
      <w:r w:rsidRPr="00B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E11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tytułu rozporządzenia </w:t>
      </w:r>
      <w:r w:rsidR="00D2689E">
        <w:rPr>
          <w:rFonts w:ascii="Times New Roman" w:hAnsi="Times New Roman" w:cs="Times New Roman"/>
          <w:color w:val="000000" w:themeColor="text1"/>
          <w:sz w:val="24"/>
          <w:szCs w:val="24"/>
        </w:rPr>
        <w:t>dodano</w:t>
      </w:r>
      <w:r w:rsidR="00D2689E"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14) w brzmieni</w:t>
      </w:r>
      <w:r w:rsidR="00D2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D2689E"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>„14) dyrektywę Parlamentu Europejskiego i Rady (UE) 2022/431 z dnia 9 marca 2022 r. zmieniającą dyrektywę 2004/37/WE w sprawie ochrony pracowników przed zagrożeniem dotyczącym narażenia na działanie czynników rakotwórczych lub mutagenów podczas pracy (Dz. Urz. UE L 88 z 16.03.2022 r., str. 1).”</w:t>
      </w:r>
      <w:r w:rsidR="00D26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4B9295" w14:textId="02832338" w:rsidR="0035231C" w:rsidRPr="00D2689E" w:rsidRDefault="00BA08A4" w:rsidP="00A8432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>Zmieniono</w:t>
      </w:r>
      <w:r w:rsidR="0035231C"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 normatywn</w:t>
      </w:r>
      <w:r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5231C"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7 substancji chemicznych, 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 cz</w:t>
      </w:r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ym zmiany wartości NDS dla benzenu, akrylonitrylu oraz </w:t>
      </w:r>
      <w:r w:rsidR="00A274ED">
        <w:rPr>
          <w:rFonts w:ascii="Times New Roman" w:hAnsi="Times New Roman" w:cs="Times New Roman"/>
          <w:color w:val="000000" w:themeColor="text1"/>
          <w:sz w:val="24"/>
          <w:szCs w:val="24"/>
        </w:rPr>
        <w:t>związków niklu</w:t>
      </w:r>
      <w:r w:rsidR="00A8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95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8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31C"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1781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5231C" w:rsidRPr="00D2689E">
        <w:rPr>
          <w:rFonts w:ascii="Times New Roman" w:hAnsi="Times New Roman" w:cs="Times New Roman"/>
          <w:color w:val="000000" w:themeColor="text1"/>
          <w:sz w:val="24"/>
          <w:szCs w:val="24"/>
        </w:rPr>
        <w:t>przeliczeniu na Ni</w:t>
      </w:r>
      <w:r w:rsidR="00D84A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wynikały z przepisów dyrektywy 2022/431 oraz wniosków Komisji, 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natomiast</w:t>
      </w:r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zmiany wartości NDS 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dla </w:t>
      </w:r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1-naftyloamin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="009E11AA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ftalan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dibutylu</w:t>
      </w:r>
      <w:proofErr w:type="spellEnd"/>
      <w:r w:rsidR="009E11AA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ftalan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bis(2-etyloheksylu)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</w:t>
      </w:r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izopren</w:t>
      </w:r>
      <w:r w:rsidR="00D932C8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35231C" w:rsidRPr="00D268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wynikały z wniosków Komisji.</w:t>
      </w:r>
      <w:r w:rsid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Ponadto w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załączniku nr 1 do rozporządzenia </w:t>
      </w:r>
      <w:proofErr w:type="spellStart"/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D84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niklu </w:t>
      </w:r>
      <w:r w:rsidR="00D84AC9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wartoś</w:t>
      </w:r>
      <w:r w:rsidR="00D84AC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ci</w:t>
      </w:r>
      <w:r w:rsidR="00D84AC9" w:rsidRPr="00861C1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NDS będ</w:t>
      </w:r>
      <w:r w:rsidR="00D84AC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ą określone osobno dla niklu metal</w:t>
      </w:r>
      <w:r w:rsidR="006E0A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u</w:t>
      </w:r>
      <w:r w:rsidR="00FB695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FB6958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84AC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w przeliczeniu na Ni</w:t>
      </w:r>
      <w:r w:rsidR="004D7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(dodany jako nowa substancja</w:t>
      </w:r>
      <w:r w:rsidR="00695AD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, zgodnie z wnioskiem Komisji nr 122</w:t>
      </w:r>
      <w:r w:rsidR="004D7EC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)</w:t>
      </w:r>
      <w:r w:rsidR="00D84AC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, oraz dla związków niklu</w:t>
      </w:r>
      <w:r w:rsidR="00A8432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 xml:space="preserve"> </w:t>
      </w:r>
      <w:r w:rsidR="00A84323" w:rsidRPr="00A8432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–</w:t>
      </w:r>
      <w:r w:rsidR="00D84AC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w</w:t>
      </w:r>
      <w:r w:rsidR="006E0A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 </w:t>
      </w:r>
      <w:r w:rsidR="00D84AC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en-GB"/>
        </w:rPr>
        <w:t>przeliczeniu na Ni</w:t>
      </w:r>
      <w:r w:rsidR="00D84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do obu postaci niklu 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dodano odnośnik </w:t>
      </w:r>
      <w:r w:rsidR="006E0AA1" w:rsidRPr="00A84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21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brzmieniu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Substancja może mieć działanie uczulające na skórę i układ oddechowy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845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45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wykreślono wyłączenie </w:t>
      </w:r>
      <w:r w:rsidR="00E4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postaci </w:t>
      </w:r>
      <w:proofErr w:type="spellStart"/>
      <w:r w:rsidR="00E469EE">
        <w:rPr>
          <w:rFonts w:ascii="Times New Roman" w:hAnsi="Times New Roman" w:cs="Times New Roman"/>
          <w:color w:val="000000" w:themeColor="text1"/>
          <w:sz w:val="24"/>
          <w:szCs w:val="24"/>
        </w:rPr>
        <w:t>tetrakarbonylku</w:t>
      </w:r>
      <w:proofErr w:type="spellEnd"/>
      <w:r w:rsidR="00E46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niklu</w:t>
      </w:r>
      <w:r w:rsid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zaś do akrylonitrylu 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dodano odnośnik</w:t>
      </w:r>
      <w:r w:rsid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19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nr 22 w brzmieniu 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Substancja może mieć działanie uczulające 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na skórę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4F46F3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45249" w:rsidRPr="00845249">
        <w:t xml:space="preserve"> </w:t>
      </w:r>
      <w:r w:rsidR="00845249" w:rsidRPr="00845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Dodatkowo</w:t>
      </w:r>
      <w:r w:rsidR="00845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45249" w:rsidRPr="008452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wykreślono wyłączenia dotyczące ołowiu, czyli arsenian(V) ołowiu(I</w:t>
      </w:r>
      <w:r w:rsidR="00D84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I) oraz chromian(VI) ołowiu(II), </w:t>
      </w:r>
      <w:r w:rsidR="00E469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oraz</w:t>
      </w:r>
      <w:r w:rsidR="00D84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dodano odnośnik </w:t>
      </w:r>
      <w:r w:rsidR="006E0AA1" w:rsidRPr="00B11B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nr </w:t>
      </w:r>
      <w:r w:rsidR="00A84323" w:rsidRPr="00B11B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A84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 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brzmieniu</w:t>
      </w:r>
      <w:r w:rsidR="006E0AA1" w:rsidRPr="004F46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0A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D84AC9" w:rsidRPr="00575C33">
        <w:rPr>
          <w:rFonts w:ascii="Times New Roman" w:hAnsi="Times New Roman" w:cs="Times New Roman"/>
          <w:color w:val="000000" w:themeColor="text1"/>
          <w:sz w:val="24"/>
          <w:szCs w:val="24"/>
        </w:rPr>
        <w:t>W przypadku związków ołowiu sklasyfikowanych jako rakotwórcze/mutagenne kat. 1A lub 1B ocenę narażenia zawodowego należy przeprowadzić w odniesieniu do substancji o niższej wartości NDS</w:t>
      </w:r>
      <w:r w:rsidR="006E0AA1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84AC9" w:rsidRPr="00575C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0803AF" w14:textId="6415B740" w:rsidR="00052166" w:rsidRPr="009E11AA" w:rsidRDefault="00E110B8" w:rsidP="00D268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Ustalono wartości normatywne dla</w:t>
      </w:r>
      <w:r w:rsidR="00C73329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15B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73329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nowych substancji chemicznych (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zerwień zasadowa 9; N-</w:t>
      </w:r>
      <w:proofErr w:type="spellStart"/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etyloformamid</w:t>
      </w:r>
      <w:proofErr w:type="spellEnd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; 2-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etoksypropan-1-ol; 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ekan-1-ol i jego izomery: dekan-2-ol, dekan-3-ol, dekan-4-ol i dekan-5-ol; 5-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hloro-2-metylo-2H-izotiazol-3-on i 2-metylo-2H-izotiazol-3-on (masa poreakcyjna 3:1); 2,6-Di-tert-butylo-4-metylofenol; 1-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tylo-2-pirolidon; </w:t>
      </w:r>
      <w:proofErr w:type="spellStart"/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nfluran</w:t>
      </w:r>
      <w:proofErr w:type="spellEnd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osforan </w:t>
      </w:r>
      <w:proofErr w:type="spellStart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trifenylu</w:t>
      </w:r>
      <w:proofErr w:type="spellEnd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talan</w:t>
      </w:r>
      <w:proofErr w:type="spellEnd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diizobutylu</w:t>
      </w:r>
      <w:proofErr w:type="spellEnd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etakrylan</w:t>
      </w:r>
      <w:proofErr w:type="spellEnd"/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 2,3-epoksypropylu; 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C73329" w:rsidRPr="009E11AA">
        <w:rPr>
          <w:rFonts w:ascii="Times New Roman" w:hAnsi="Times New Roman"/>
          <w:color w:val="000000" w:themeColor="text1"/>
          <w:sz w:val="24"/>
          <w:szCs w:val="24"/>
        </w:rPr>
        <w:t>ksym butan-2-onu</w:t>
      </w:r>
      <w:r w:rsidR="00615BE5">
        <w:rPr>
          <w:rFonts w:ascii="Times New Roman" w:hAnsi="Times New Roman"/>
          <w:color w:val="000000" w:themeColor="text1"/>
          <w:sz w:val="24"/>
          <w:szCs w:val="24"/>
        </w:rPr>
        <w:t xml:space="preserve"> oraz nikiel metal, w przeliczeniu na Ni</w:t>
      </w:r>
      <w:r w:rsidR="00C73329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2166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AD0F20" w14:textId="2B3BD1DD" w:rsidR="00052166" w:rsidRPr="009E11AA" w:rsidRDefault="004651BF" w:rsidP="00D268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Pozostawiono wartości normatywne dla jednej substancji chemicznej (1-metylo-2-pirolidonu) </w:t>
      </w:r>
      <w:r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ujętej już w obowiązującym rozporządzeniu </w:t>
      </w:r>
      <w:proofErr w:type="spellStart"/>
      <w:r w:rsidR="00D932C8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MRPiPS</w:t>
      </w:r>
      <w:proofErr w:type="spellEnd"/>
      <w:r w:rsidR="00D932C8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dotychczas obowiązującym poziomie.</w:t>
      </w:r>
    </w:p>
    <w:p w14:paraId="6FAE8B23" w14:textId="43BB3AAF" w:rsidR="00052166" w:rsidRPr="009E11AA" w:rsidRDefault="00B41AA0" w:rsidP="001324D3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4651BF" w:rsidRPr="009E11AA">
        <w:rPr>
          <w:rFonts w:ascii="Times New Roman" w:hAnsi="Times New Roman"/>
          <w:color w:val="000000" w:themeColor="text1"/>
          <w:sz w:val="24"/>
          <w:szCs w:val="24"/>
        </w:rPr>
        <w:t xml:space="preserve">wykazu czynników chemicznych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Pr="001627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prowadzono </w:t>
      </w:r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dodatkową jednostkę „</w:t>
      </w:r>
      <w:proofErr w:type="spellStart"/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ppm</w:t>
      </w:r>
      <w:proofErr w:type="spellEnd"/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3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objaśnienie nr 25 w brzmieniu </w:t>
      </w:r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„ppm </w:t>
      </w:r>
      <w:r w:rsidR="006E0AA1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 </w:t>
      </w:r>
      <w:r w:rsidR="0084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oznaczająca </w:t>
      </w:r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>liczb</w:t>
      </w:r>
      <w:r w:rsidR="0084105B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cząstek na milion (ang. </w:t>
      </w:r>
      <w:proofErr w:type="spellStart"/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>parts</w:t>
      </w:r>
      <w:proofErr w:type="spellEnd"/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milion) w jednostce objętości powietrza (ml/m</w:t>
      </w:r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1324D3" w:rsidRPr="001324D3">
        <w:rPr>
          <w:rFonts w:ascii="Times New Roman" w:hAnsi="Times New Roman" w:cs="Times New Roman"/>
          <w:color w:val="000000" w:themeColor="text1"/>
          <w:sz w:val="24"/>
          <w:szCs w:val="24"/>
        </w:rPr>
        <w:t>).”</w:t>
      </w:r>
      <w:r w:rsidR="00132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C8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pierwszej kolejności zmiany </w:t>
      </w:r>
      <w:r w:rsidR="005C6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 </w:t>
      </w:r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substancji wymienionych w</w:t>
      </w:r>
      <w:r w:rsidR="00BA08A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651BF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dyrektywach 2017/2398, 2017/164 i 2022/431</w:t>
      </w:r>
      <w:r w:rsidR="00823053" w:rsidRPr="009E1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00E589" w14:textId="0C6B7BFE" w:rsidR="00052166" w:rsidRPr="009E11AA" w:rsidRDefault="00823053" w:rsidP="00D268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_Hlk139656083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5382" w:rsidRPr="002C07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wykazie czynników chemicznych</w:t>
      </w:r>
      <w:r w:rsidR="002C5382" w:rsidRP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prowadzono zmiany dotyczące adnotacji „7)” </w:t>
      </w:r>
      <w:r w:rsidR="00D932C8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punkcie „Pyły niesklasyfikowane ze względu na toksyczność” adnotacja ta została usunięta, zaś w punktach „Apatyty i fosforyty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„Cement portlandzki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Ditlenek</w:t>
      </w:r>
      <w:proofErr w:type="spellEnd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tytanu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„Kaolin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„Siarczan(VI) wapnia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„Węgiel (kamienny, brunatny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„Węglan magnezu wapnia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</w:t>
      </w:r>
      <w:r w:rsid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9E11AA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„Węglik krzemu, niewłóknisty” </w:t>
      </w:r>
      <w:r w:rsid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jej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treść została zmieniona na „Obowiązuje oznaczanie frakcji </w:t>
      </w:r>
      <w:proofErr w:type="spellStart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respirabilnej</w:t>
      </w:r>
      <w:proofErr w:type="spellEnd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krystalicznej krzemionki”.</w:t>
      </w:r>
    </w:p>
    <w:bookmarkEnd w:id="5"/>
    <w:p w14:paraId="75A80B50" w14:textId="5AEE2E29" w:rsidR="00052166" w:rsidRPr="009E11AA" w:rsidRDefault="00823053" w:rsidP="00D268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Zmieniono zapis </w:t>
      </w:r>
      <w:r w:rsid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dotyczący krzemionki krystalicznej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„Krzemionka krystaliczna </w:t>
      </w:r>
      <w:r w:rsidR="00D932C8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kwarc [14808-60-7]; krystobalit [14464-46-1] </w:t>
      </w:r>
      <w:r w:rsid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frakcja </w:t>
      </w:r>
      <w:proofErr w:type="spellStart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respirabilna</w:t>
      </w:r>
      <w:proofErr w:type="spellEnd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” na „Krzemionka krystaliczna </w:t>
      </w:r>
      <w:r w:rsidR="00D932C8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frakcja </w:t>
      </w:r>
      <w:proofErr w:type="spellStart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respirabilna</w:t>
      </w:r>
      <w:proofErr w:type="spellEnd"/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”.</w:t>
      </w:r>
    </w:p>
    <w:p w14:paraId="2A20517D" w14:textId="6BA16119" w:rsidR="00823053" w:rsidRPr="009E11AA" w:rsidRDefault="006E315B" w:rsidP="00D2689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823053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awart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823053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</w:t>
      </w:r>
      <w:r w:rsidR="002C53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wykazie </w:t>
      </w:r>
      <w:r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czynniki chemiczne uporządkowano w kolejności alfabetycznej</w:t>
      </w:r>
      <w:r w:rsidR="00823053" w:rsidRPr="009E11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4E2EE52" w14:textId="77777777" w:rsidR="00823053" w:rsidRPr="00656333" w:rsidRDefault="00823053" w:rsidP="00823053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66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Wprowadzane zmiany w wykazie wartości dopuszczalnych są zgodne w tym zakresie z prawem Unii Europejskiej i mają na celu, w oparciu o aktualną wiedzę naukową, lepszą </w:t>
      </w:r>
      <w:r w:rsidRPr="00C66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ochronę zdrowia i życia pracowników narażonych na oddziaływanie szkodliwych czynników w środowisku pracy.</w:t>
      </w:r>
    </w:p>
    <w:p w14:paraId="3F064473" w14:textId="781E14B9" w:rsidR="009746DD" w:rsidRPr="009746DD" w:rsidRDefault="00823053" w:rsidP="009746DD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6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Przyjęcie w projekcie rozporządzenia terminu wejścia w życie w dniu </w:t>
      </w:r>
      <w:r w:rsidR="0035231C" w:rsidRPr="00C6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kwietnia 2024</w:t>
      </w:r>
      <w:r w:rsidRPr="00C6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 wynika z terminu wdrożenia przez państwa członkowskie przepisów wykonujących postanowienia </w:t>
      </w:r>
      <w:r w:rsidR="0035231C" w:rsidRPr="00C66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dyrektywy 2022/431</w:t>
      </w:r>
      <w:r w:rsidRPr="00C666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666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083A6608" w14:textId="080CD7BA" w:rsidR="009746DD" w:rsidRPr="00A84323" w:rsidRDefault="006B577D" w:rsidP="00A8432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Jednocześnie, w przypadku benz</w:t>
      </w:r>
      <w:r w:rsidR="0084105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nu, akrylonitrylu i związków niklu</w:t>
      </w:r>
      <w:r w:rsidR="00A8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323" w:rsidRPr="00A843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8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4323" w:rsidRPr="009746DD">
        <w:rPr>
          <w:rFonts w:ascii="Times New Roman" w:hAnsi="Times New Roman" w:cs="Times New Roman"/>
          <w:color w:val="000000" w:themeColor="text1"/>
          <w:sz w:val="24"/>
          <w:szCs w:val="24"/>
        </w:rPr>
        <w:t>w przeliczeniu na 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uwzględniając okresy przejściowe, dla </w:t>
      </w:r>
      <w:r w:rsidR="00841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przyjętych wartości określono terminy stosowania tych wartości, a mianowicie:</w:t>
      </w:r>
      <w:r w:rsidR="009746DD" w:rsidRPr="009746DD">
        <w:t xml:space="preserve"> </w:t>
      </w:r>
    </w:p>
    <w:p w14:paraId="4266D43B" w14:textId="470E3CAC" w:rsidR="009746DD" w:rsidRPr="009746DD" w:rsidRDefault="009746DD" w:rsidP="009746DD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6DD">
        <w:rPr>
          <w:rFonts w:ascii="Times New Roman" w:hAnsi="Times New Roman" w:cs="Times New Roman"/>
          <w:color w:val="000000" w:themeColor="text1"/>
          <w:sz w:val="24"/>
          <w:szCs w:val="24"/>
        </w:rPr>
        <w:t>od dnia 5 kwietnia 2026 r. dla benzenu;</w:t>
      </w:r>
    </w:p>
    <w:p w14:paraId="7DE8A8E8" w14:textId="77777777" w:rsidR="009746DD" w:rsidRPr="009746DD" w:rsidRDefault="009746DD" w:rsidP="009746DD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6DD">
        <w:rPr>
          <w:rFonts w:ascii="Times New Roman" w:hAnsi="Times New Roman" w:cs="Times New Roman"/>
          <w:color w:val="000000" w:themeColor="text1"/>
          <w:sz w:val="24"/>
          <w:szCs w:val="24"/>
        </w:rPr>
        <w:t>od dnia 5 kwietnia 2026 r. dla akrylonitrylu;</w:t>
      </w:r>
    </w:p>
    <w:p w14:paraId="03AC269F" w14:textId="02EBE09D" w:rsidR="006B577D" w:rsidRPr="00A84323" w:rsidRDefault="009746DD" w:rsidP="00A84323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6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18 stycznia 2025 r. dla związków niklu </w:t>
      </w:r>
      <w:r w:rsidR="00A84323" w:rsidRPr="00A843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8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6DD">
        <w:rPr>
          <w:rFonts w:ascii="Times New Roman" w:hAnsi="Times New Roman" w:cs="Times New Roman"/>
          <w:color w:val="000000" w:themeColor="text1"/>
          <w:sz w:val="24"/>
          <w:szCs w:val="24"/>
        </w:rPr>
        <w:t>w przeliczeniu na 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565A79" w14:textId="30CF2D2B" w:rsidR="009746DD" w:rsidRPr="00A84323" w:rsidRDefault="009746DD" w:rsidP="00A84323">
      <w:pPr>
        <w:pStyle w:val="Akapitzlist"/>
        <w:spacing w:before="120"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tym celu, w § </w:t>
      </w:r>
      <w:r w:rsidR="00A84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A84323" w:rsidRPr="00A8432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A84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wprowadzono regulacje określające wartości NDS dla tych substancji </w:t>
      </w:r>
      <w:r w:rsidR="00A843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związków, które będą obowiązywały do tego czasu.</w:t>
      </w:r>
    </w:p>
    <w:p w14:paraId="1822515B" w14:textId="695AAC29" w:rsidR="00823053" w:rsidRDefault="00823053" w:rsidP="00823053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11B6">
        <w:rPr>
          <w:rFonts w:ascii="Times New Roman" w:hAnsi="Times New Roman" w:cs="Times New Roman"/>
          <w:color w:val="000000" w:themeColor="text1"/>
          <w:sz w:val="24"/>
          <w:szCs w:val="24"/>
        </w:rPr>
        <w:t>Niezależnie od obowiązku państwa członkowskiego dotyczącego terminowego transponowania przepisów dyrektyw do krajowego porządku prawnego warto też mieć na uwadze fakt, że treść ww. dyrektyw jest dostępna dla obywateli w Dzienniku Urzędowym Unii Europejskiej, a zainteresowane osoby i środowiska zawodowe z wyprzedzeniem uzyskują informacje o planowanym określeniu normatywów dla konkretnych substancji chemicznych.</w:t>
      </w:r>
    </w:p>
    <w:p w14:paraId="568B99E7" w14:textId="3105A786" w:rsidR="004C015E" w:rsidRDefault="004C015E" w:rsidP="00823053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nie będzie miało wpływu na zasady podejmowania, wykonywania lub zakończenia działalności gospodarczej przez </w:t>
      </w:r>
      <w:proofErr w:type="spellStart"/>
      <w:r w:rsidRPr="004C015E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mikroprzedsiębiorców</w:t>
      </w:r>
      <w:proofErr w:type="spellEnd"/>
      <w:r w:rsidRPr="004C0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małych i średnich przedsiębiorców w rozumieniu art. 66 ust. 1 ustawy z dnia 6 marca 2018 r. – Prawo przedsiębiorców  (Dz. U. z 2023 r. poz. 221, z </w:t>
      </w:r>
      <w:proofErr w:type="spellStart"/>
      <w:r w:rsidRPr="004C015E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4C015E">
        <w:rPr>
          <w:rFonts w:ascii="Times New Roman" w:hAnsi="Times New Roman" w:cs="Times New Roman"/>
          <w:color w:val="000000" w:themeColor="text1"/>
          <w:sz w:val="24"/>
          <w:szCs w:val="24"/>
        </w:rPr>
        <w:t>. zm.), z wyjątkiem  przedsiębiorców, których działalność wiąże się z narażeniem pracowników na działanie czynników szkodliwych dla zdrowia. W związku z rozszerzeniem katalogu ww. czynników ww. przedsiębiorcy będą zobligowani do wykonywania pomiarów tych czynników, jeżeli występują one na stanowiskach pracy. Jednocześnie wiąże się to z większą ochroną pracowników zatrudnionych na takich stanowiskach pracy.</w:t>
      </w:r>
    </w:p>
    <w:p w14:paraId="20765D3F" w14:textId="5118D318" w:rsidR="004C015E" w:rsidRPr="000811B6" w:rsidRDefault="004C015E" w:rsidP="00823053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nie jest sprzeczny z prawem Unii Europejskiej.</w:t>
      </w:r>
    </w:p>
    <w:p w14:paraId="7797E0AE" w14:textId="77777777" w:rsidR="00823053" w:rsidRPr="000811B6" w:rsidRDefault="00823053" w:rsidP="00823053">
      <w:pPr>
        <w:tabs>
          <w:tab w:val="left" w:pos="567"/>
        </w:tabs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11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Projekt nie wymaga przedstawienia właściwym organom i instytucjom Unii Europejskiej, w tym Europejskiemu Bankowi Centralnemu, w celu uzyskania opinii, dokonania powiadomienia, konsultacji lub uzgodnienia.</w:t>
      </w:r>
    </w:p>
    <w:p w14:paraId="688F1FFB" w14:textId="77777777" w:rsidR="00823053" w:rsidRPr="000811B6" w:rsidRDefault="00823053" w:rsidP="00823053">
      <w:pPr>
        <w:spacing w:before="120"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11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Projekt rozporządzenia nie podlega procedurze notyfikacji zgodnie z  rozporządzeniem Rady Ministrów z dnia 23 grudnia 2002 r. w sprawie sposobu funkcjonowania krajowego systemu notyfikacji norm i aktów prawnych </w:t>
      </w:r>
      <w:r w:rsidRPr="000811B6">
        <w:rPr>
          <w:rFonts w:ascii="Times New Roman" w:eastAsia="Calibri" w:hAnsi="Times New Roman" w:cs="Times New Roman"/>
          <w:caps/>
          <w:color w:val="000000" w:themeColor="text1"/>
          <w:sz w:val="24"/>
          <w:szCs w:val="24"/>
        </w:rPr>
        <w:t>(D</w:t>
      </w:r>
      <w:r w:rsidRPr="000811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z. U. poz. 2039, z </w:t>
      </w:r>
      <w:proofErr w:type="spellStart"/>
      <w:r w:rsidRPr="000811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0811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zm.).</w:t>
      </w:r>
    </w:p>
    <w:p w14:paraId="6134BCF9" w14:textId="505DBE72" w:rsidR="00823053" w:rsidRPr="000811B6" w:rsidRDefault="00823053" w:rsidP="00823053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rozporządzenia zostanie udostępniony w Biuletynie Informacji Publicznej na stronie podmiotowej Rządowego Centrum Legislacji, w serwisie Rządowy Proces Legislacyjny, zgodnie z § 52 ust. 1 uchwały nr 190 Rady Ministrów z dnia 29 października 2013 r. – Regulamin pracy Rady Ministrów (M.P. z </w:t>
      </w:r>
      <w:r w:rsidR="008961E3" w:rsidRP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896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</w:t>
      </w:r>
      <w:r w:rsidR="008961E3" w:rsidRP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</w:t>
      </w:r>
      <w:r w:rsidR="00896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348</w:t>
      </w:r>
      <w:r w:rsidRP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w Biuletynie Informacji Publicz</w:t>
      </w:r>
      <w:r w:rsid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nej </w:t>
      </w:r>
      <w:r w:rsidR="000811B6" w:rsidRPr="00A84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Ministerstwa Rodziny</w:t>
      </w:r>
      <w:r w:rsidR="00045E1E" w:rsidRPr="00A84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Pracy</w:t>
      </w:r>
      <w:r w:rsidR="000811B6" w:rsidRPr="00A84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84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Polityki Społecznej</w:t>
      </w:r>
      <w:r w:rsidRPr="0008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zgodnie z art. 5 ustawy z dnia 7 lipca 2005 r. o działalności lobbingowej w procesie stanowienia prawa (Dz. U. z 2017 r. poz. 248). </w:t>
      </w:r>
    </w:p>
    <w:p w14:paraId="3252C886" w14:textId="434E77A8" w:rsidR="00016DAC" w:rsidRPr="00656333" w:rsidRDefault="00131223" w:rsidP="0057251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5633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016DAC" w:rsidRPr="00656333" w:rsidSect="007E2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B49B" w14:textId="77777777" w:rsidR="00D70A02" w:rsidRDefault="00D70A02" w:rsidP="00480AF1">
      <w:pPr>
        <w:spacing w:after="0" w:line="240" w:lineRule="auto"/>
      </w:pPr>
      <w:r>
        <w:separator/>
      </w:r>
    </w:p>
  </w:endnote>
  <w:endnote w:type="continuationSeparator" w:id="0">
    <w:p w14:paraId="6BAFE39B" w14:textId="77777777" w:rsidR="00D70A02" w:rsidRDefault="00D70A02" w:rsidP="0048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feTEE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0F8" w14:textId="77777777" w:rsidR="00082936" w:rsidRDefault="00082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125777"/>
      <w:docPartObj>
        <w:docPartGallery w:val="Page Numbers (Bottom of Page)"/>
        <w:docPartUnique/>
      </w:docPartObj>
    </w:sdtPr>
    <w:sdtEndPr>
      <w:rPr>
        <w:rStyle w:val="Nagwek1Znak"/>
        <w:rFonts w:ascii="Times New Roman" w:eastAsiaTheme="majorEastAsia" w:hAnsi="Times New Roman" w:cs="Times New Roman"/>
        <w:b/>
        <w:bCs/>
        <w:color w:val="365F91" w:themeColor="accent1" w:themeShade="BF"/>
        <w:sz w:val="28"/>
        <w:szCs w:val="28"/>
      </w:rPr>
    </w:sdtEndPr>
    <w:sdtContent>
      <w:p w14:paraId="5970F649" w14:textId="77777777" w:rsidR="005F4986" w:rsidRPr="00187CE0" w:rsidRDefault="005F4986" w:rsidP="004275C9">
        <w:pPr>
          <w:pStyle w:val="Stopka"/>
          <w:jc w:val="center"/>
        </w:pPr>
      </w:p>
      <w:p w14:paraId="5DA52450" w14:textId="1C97D567" w:rsidR="005F4986" w:rsidRPr="00187CE0" w:rsidRDefault="005F4986" w:rsidP="00187CE0">
        <w:pPr>
          <w:pStyle w:val="Stopka"/>
          <w:jc w:val="center"/>
          <w:rPr>
            <w:rFonts w:ascii="Times New Roman" w:eastAsiaTheme="majorEastAsia" w:hAnsi="Times New Roman" w:cs="Times New Roman"/>
            <w:bCs/>
            <w:color w:val="365F91" w:themeColor="accent1" w:themeShade="BF"/>
          </w:rPr>
        </w:pPr>
        <w:r w:rsidRPr="00187CE0">
          <w:rPr>
            <w:rStyle w:val="Nagwek1Znak"/>
            <w:rFonts w:ascii="Times New Roman" w:hAnsi="Times New Roman" w:cs="Times New Roman"/>
            <w:b w:val="0"/>
            <w:sz w:val="22"/>
            <w:szCs w:val="22"/>
          </w:rPr>
          <w:fldChar w:fldCharType="begin"/>
        </w:r>
        <w:r w:rsidRPr="00187CE0">
          <w:rPr>
            <w:rStyle w:val="Nagwek1Znak"/>
            <w:rFonts w:ascii="Times New Roman" w:hAnsi="Times New Roman" w:cs="Times New Roman"/>
            <w:b w:val="0"/>
            <w:sz w:val="22"/>
            <w:szCs w:val="22"/>
          </w:rPr>
          <w:instrText>PAGE   \* MERGEFORMAT</w:instrText>
        </w:r>
        <w:r w:rsidRPr="00187CE0">
          <w:rPr>
            <w:rStyle w:val="Nagwek1Znak"/>
            <w:rFonts w:ascii="Times New Roman" w:hAnsi="Times New Roman" w:cs="Times New Roman"/>
            <w:b w:val="0"/>
            <w:sz w:val="22"/>
            <w:szCs w:val="22"/>
          </w:rPr>
          <w:fldChar w:fldCharType="separate"/>
        </w:r>
        <w:r w:rsidR="00FB6958">
          <w:rPr>
            <w:rStyle w:val="Nagwek1Znak"/>
            <w:rFonts w:ascii="Times New Roman" w:hAnsi="Times New Roman" w:cs="Times New Roman"/>
            <w:b w:val="0"/>
            <w:noProof/>
            <w:sz w:val="22"/>
            <w:szCs w:val="22"/>
          </w:rPr>
          <w:t>16</w:t>
        </w:r>
        <w:r w:rsidRPr="00187CE0">
          <w:rPr>
            <w:rStyle w:val="Nagwek1Znak"/>
            <w:rFonts w:ascii="Times New Roman" w:hAnsi="Times New Roman" w:cs="Times New Roman"/>
            <w:b w:val="0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4576" w14:textId="77777777" w:rsidR="00082936" w:rsidRDefault="00082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DB4A" w14:textId="77777777" w:rsidR="00D70A02" w:rsidRDefault="00D70A02" w:rsidP="00480AF1">
      <w:pPr>
        <w:spacing w:after="0" w:line="240" w:lineRule="auto"/>
      </w:pPr>
      <w:r>
        <w:separator/>
      </w:r>
    </w:p>
  </w:footnote>
  <w:footnote w:type="continuationSeparator" w:id="0">
    <w:p w14:paraId="43D18980" w14:textId="77777777" w:rsidR="00D70A02" w:rsidRDefault="00D70A02" w:rsidP="0048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6B25" w14:textId="77777777" w:rsidR="00082936" w:rsidRDefault="000829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2444" w14:textId="77777777" w:rsidR="00082936" w:rsidRDefault="000829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C071" w14:textId="77777777" w:rsidR="00082936" w:rsidRDefault="00082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D7D"/>
    <w:multiLevelType w:val="hybridMultilevel"/>
    <w:tmpl w:val="7128A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AB9"/>
    <w:multiLevelType w:val="hybridMultilevel"/>
    <w:tmpl w:val="3F32C9B2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47FE"/>
    <w:multiLevelType w:val="hybridMultilevel"/>
    <w:tmpl w:val="59686ED4"/>
    <w:lvl w:ilvl="0" w:tplc="606EE3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F31F58"/>
    <w:multiLevelType w:val="hybridMultilevel"/>
    <w:tmpl w:val="69D221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AF7DA2"/>
    <w:multiLevelType w:val="hybridMultilevel"/>
    <w:tmpl w:val="98880978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4D1A"/>
    <w:multiLevelType w:val="hybridMultilevel"/>
    <w:tmpl w:val="D354DB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C848E3"/>
    <w:multiLevelType w:val="hybridMultilevel"/>
    <w:tmpl w:val="C80C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6A0E"/>
    <w:multiLevelType w:val="hybridMultilevel"/>
    <w:tmpl w:val="B3B82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4F38"/>
    <w:multiLevelType w:val="hybridMultilevel"/>
    <w:tmpl w:val="A1D4D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80CFB"/>
    <w:multiLevelType w:val="hybridMultilevel"/>
    <w:tmpl w:val="63D206FE"/>
    <w:lvl w:ilvl="0" w:tplc="EF90F10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15CD013D"/>
    <w:multiLevelType w:val="hybridMultilevel"/>
    <w:tmpl w:val="DD5EDA4A"/>
    <w:lvl w:ilvl="0" w:tplc="422AC58E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17145A"/>
    <w:multiLevelType w:val="hybridMultilevel"/>
    <w:tmpl w:val="067C33BA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E43E0"/>
    <w:multiLevelType w:val="hybridMultilevel"/>
    <w:tmpl w:val="5538D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75DA0"/>
    <w:multiLevelType w:val="hybridMultilevel"/>
    <w:tmpl w:val="A92A621A"/>
    <w:lvl w:ilvl="0" w:tplc="CA20BB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957B2"/>
    <w:multiLevelType w:val="hybridMultilevel"/>
    <w:tmpl w:val="A1943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7322A"/>
    <w:multiLevelType w:val="hybridMultilevel"/>
    <w:tmpl w:val="870E881A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D4A53"/>
    <w:multiLevelType w:val="hybridMultilevel"/>
    <w:tmpl w:val="2238353C"/>
    <w:lvl w:ilvl="0" w:tplc="E398F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B22FD"/>
    <w:multiLevelType w:val="hybridMultilevel"/>
    <w:tmpl w:val="C510A98A"/>
    <w:lvl w:ilvl="0" w:tplc="422AC58E">
      <w:start w:val="1"/>
      <w:numFmt w:val="lowerLetter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2784" w:hanging="180"/>
      </w:pPr>
    </w:lvl>
    <w:lvl w:ilvl="3" w:tplc="0415000F">
      <w:start w:val="1"/>
      <w:numFmt w:val="decimal"/>
      <w:lvlText w:val="%4."/>
      <w:lvlJc w:val="left"/>
      <w:pPr>
        <w:ind w:left="3504" w:hanging="360"/>
      </w:pPr>
    </w:lvl>
    <w:lvl w:ilvl="4" w:tplc="04150019">
      <w:start w:val="1"/>
      <w:numFmt w:val="lowerLetter"/>
      <w:lvlText w:val="%5."/>
      <w:lvlJc w:val="left"/>
      <w:pPr>
        <w:ind w:left="4224" w:hanging="360"/>
      </w:pPr>
    </w:lvl>
    <w:lvl w:ilvl="5" w:tplc="0415001B">
      <w:start w:val="1"/>
      <w:numFmt w:val="lowerRoman"/>
      <w:lvlText w:val="%6."/>
      <w:lvlJc w:val="right"/>
      <w:pPr>
        <w:ind w:left="4944" w:hanging="180"/>
      </w:pPr>
    </w:lvl>
    <w:lvl w:ilvl="6" w:tplc="0415000F">
      <w:start w:val="1"/>
      <w:numFmt w:val="decimal"/>
      <w:lvlText w:val="%7."/>
      <w:lvlJc w:val="left"/>
      <w:pPr>
        <w:ind w:left="5664" w:hanging="360"/>
      </w:pPr>
    </w:lvl>
    <w:lvl w:ilvl="7" w:tplc="04150019">
      <w:start w:val="1"/>
      <w:numFmt w:val="lowerLetter"/>
      <w:lvlText w:val="%8."/>
      <w:lvlJc w:val="left"/>
      <w:pPr>
        <w:ind w:left="6384" w:hanging="360"/>
      </w:pPr>
    </w:lvl>
    <w:lvl w:ilvl="8" w:tplc="0415001B">
      <w:start w:val="1"/>
      <w:numFmt w:val="lowerRoman"/>
      <w:lvlText w:val="%9."/>
      <w:lvlJc w:val="right"/>
      <w:pPr>
        <w:ind w:left="7104" w:hanging="180"/>
      </w:pPr>
    </w:lvl>
  </w:abstractNum>
  <w:abstractNum w:abstractNumId="18" w15:restartNumberingAfterBreak="0">
    <w:nsid w:val="2DD341FC"/>
    <w:multiLevelType w:val="hybridMultilevel"/>
    <w:tmpl w:val="F0429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43B4"/>
    <w:multiLevelType w:val="hybridMultilevel"/>
    <w:tmpl w:val="0E309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41CC1"/>
    <w:multiLevelType w:val="hybridMultilevel"/>
    <w:tmpl w:val="71B0F1C4"/>
    <w:lvl w:ilvl="0" w:tplc="606EE3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298304F"/>
    <w:multiLevelType w:val="hybridMultilevel"/>
    <w:tmpl w:val="EA62442C"/>
    <w:lvl w:ilvl="0" w:tplc="0010A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D14FA"/>
    <w:multiLevelType w:val="hybridMultilevel"/>
    <w:tmpl w:val="EEC6DE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DA215E"/>
    <w:multiLevelType w:val="hybridMultilevel"/>
    <w:tmpl w:val="B4F81A48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7C34"/>
    <w:multiLevelType w:val="hybridMultilevel"/>
    <w:tmpl w:val="3892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E6FD8"/>
    <w:multiLevelType w:val="hybridMultilevel"/>
    <w:tmpl w:val="5194E9D2"/>
    <w:lvl w:ilvl="0" w:tplc="2DDC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48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A2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60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E1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C1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2D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0C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02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6A32BA"/>
    <w:multiLevelType w:val="hybridMultilevel"/>
    <w:tmpl w:val="716A5B46"/>
    <w:lvl w:ilvl="0" w:tplc="0B3EB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C5A73"/>
    <w:multiLevelType w:val="hybridMultilevel"/>
    <w:tmpl w:val="983018AC"/>
    <w:lvl w:ilvl="0" w:tplc="F9E8D88E">
      <w:start w:val="1"/>
      <w:numFmt w:val="lowerLetter"/>
      <w:lvlText w:val="%1)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7270E"/>
    <w:multiLevelType w:val="hybridMultilevel"/>
    <w:tmpl w:val="F1166AF0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02FC1"/>
    <w:multiLevelType w:val="hybridMultilevel"/>
    <w:tmpl w:val="A5FE9E5E"/>
    <w:lvl w:ilvl="0" w:tplc="63147A62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4354A9"/>
    <w:multiLevelType w:val="hybridMultilevel"/>
    <w:tmpl w:val="80FA61D4"/>
    <w:lvl w:ilvl="0" w:tplc="3AB48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2A023C"/>
    <w:multiLevelType w:val="hybridMultilevel"/>
    <w:tmpl w:val="75465990"/>
    <w:lvl w:ilvl="0" w:tplc="422AC5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90F77"/>
    <w:multiLevelType w:val="hybridMultilevel"/>
    <w:tmpl w:val="7258FB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E0273"/>
    <w:multiLevelType w:val="hybridMultilevel"/>
    <w:tmpl w:val="7F5A3222"/>
    <w:lvl w:ilvl="0" w:tplc="606EE32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46E153B"/>
    <w:multiLevelType w:val="hybridMultilevel"/>
    <w:tmpl w:val="F49A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46C9C"/>
    <w:multiLevelType w:val="hybridMultilevel"/>
    <w:tmpl w:val="E34A21DE"/>
    <w:lvl w:ilvl="0" w:tplc="606EE3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4F3E77"/>
    <w:multiLevelType w:val="hybridMultilevel"/>
    <w:tmpl w:val="16CCFF62"/>
    <w:lvl w:ilvl="0" w:tplc="606EE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60F86"/>
    <w:multiLevelType w:val="hybridMultilevel"/>
    <w:tmpl w:val="457888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0251ADF"/>
    <w:multiLevelType w:val="hybridMultilevel"/>
    <w:tmpl w:val="330E0AB8"/>
    <w:lvl w:ilvl="0" w:tplc="606EE32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49C4CAE"/>
    <w:multiLevelType w:val="hybridMultilevel"/>
    <w:tmpl w:val="898AF7DA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8594" w:hanging="360"/>
      </w:pPr>
    </w:lvl>
    <w:lvl w:ilvl="2" w:tplc="0415001B">
      <w:start w:val="1"/>
      <w:numFmt w:val="lowerRoman"/>
      <w:lvlText w:val="%3."/>
      <w:lvlJc w:val="right"/>
      <w:pPr>
        <w:ind w:left="9314" w:hanging="180"/>
      </w:pPr>
    </w:lvl>
    <w:lvl w:ilvl="3" w:tplc="0415000F">
      <w:start w:val="1"/>
      <w:numFmt w:val="decimal"/>
      <w:lvlText w:val="%4."/>
      <w:lvlJc w:val="left"/>
      <w:pPr>
        <w:ind w:left="10034" w:hanging="360"/>
      </w:pPr>
    </w:lvl>
    <w:lvl w:ilvl="4" w:tplc="04150019">
      <w:start w:val="1"/>
      <w:numFmt w:val="lowerLetter"/>
      <w:lvlText w:val="%5."/>
      <w:lvlJc w:val="left"/>
      <w:pPr>
        <w:ind w:left="10754" w:hanging="360"/>
      </w:pPr>
    </w:lvl>
    <w:lvl w:ilvl="5" w:tplc="0415001B">
      <w:start w:val="1"/>
      <w:numFmt w:val="lowerRoman"/>
      <w:lvlText w:val="%6."/>
      <w:lvlJc w:val="right"/>
      <w:pPr>
        <w:ind w:left="11474" w:hanging="180"/>
      </w:pPr>
    </w:lvl>
    <w:lvl w:ilvl="6" w:tplc="0415000F">
      <w:start w:val="1"/>
      <w:numFmt w:val="decimal"/>
      <w:lvlText w:val="%7."/>
      <w:lvlJc w:val="left"/>
      <w:pPr>
        <w:ind w:left="12194" w:hanging="360"/>
      </w:pPr>
    </w:lvl>
    <w:lvl w:ilvl="7" w:tplc="04150019">
      <w:start w:val="1"/>
      <w:numFmt w:val="lowerLetter"/>
      <w:lvlText w:val="%8."/>
      <w:lvlJc w:val="left"/>
      <w:pPr>
        <w:ind w:left="12914" w:hanging="360"/>
      </w:pPr>
    </w:lvl>
    <w:lvl w:ilvl="8" w:tplc="0415001B">
      <w:start w:val="1"/>
      <w:numFmt w:val="lowerRoman"/>
      <w:lvlText w:val="%9."/>
      <w:lvlJc w:val="right"/>
      <w:pPr>
        <w:ind w:left="13634" w:hanging="180"/>
      </w:pPr>
    </w:lvl>
  </w:abstractNum>
  <w:abstractNum w:abstractNumId="40" w15:restartNumberingAfterBreak="0">
    <w:nsid w:val="76783366"/>
    <w:multiLevelType w:val="hybridMultilevel"/>
    <w:tmpl w:val="3DF07FB0"/>
    <w:lvl w:ilvl="0" w:tplc="606EE3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13"/>
  </w:num>
  <w:num w:numId="18">
    <w:abstractNumId w:val="0"/>
  </w:num>
  <w:num w:numId="19">
    <w:abstractNumId w:val="9"/>
  </w:num>
  <w:num w:numId="20">
    <w:abstractNumId w:val="14"/>
  </w:num>
  <w:num w:numId="21">
    <w:abstractNumId w:val="2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"/>
  </w:num>
  <w:num w:numId="27">
    <w:abstractNumId w:val="8"/>
  </w:num>
  <w:num w:numId="28">
    <w:abstractNumId w:val="4"/>
  </w:num>
  <w:num w:numId="29">
    <w:abstractNumId w:val="36"/>
  </w:num>
  <w:num w:numId="30">
    <w:abstractNumId w:val="15"/>
  </w:num>
  <w:num w:numId="31">
    <w:abstractNumId w:val="33"/>
  </w:num>
  <w:num w:numId="32">
    <w:abstractNumId w:val="28"/>
  </w:num>
  <w:num w:numId="33">
    <w:abstractNumId w:val="20"/>
  </w:num>
  <w:num w:numId="34">
    <w:abstractNumId w:val="2"/>
  </w:num>
  <w:num w:numId="35">
    <w:abstractNumId w:val="40"/>
  </w:num>
  <w:num w:numId="36">
    <w:abstractNumId w:val="35"/>
  </w:num>
  <w:num w:numId="37">
    <w:abstractNumId w:val="23"/>
  </w:num>
  <w:num w:numId="38">
    <w:abstractNumId w:val="38"/>
  </w:num>
  <w:num w:numId="39">
    <w:abstractNumId w:val="11"/>
  </w:num>
  <w:num w:numId="40">
    <w:abstractNumId w:val="32"/>
  </w:num>
  <w:num w:numId="41">
    <w:abstractNumId w:val="19"/>
  </w:num>
  <w:num w:numId="42">
    <w:abstractNumId w:val="21"/>
  </w:num>
  <w:num w:numId="43">
    <w:abstractNumId w:val="3"/>
  </w:num>
  <w:num w:numId="44">
    <w:abstractNumId w:val="22"/>
  </w:num>
  <w:num w:numId="45">
    <w:abstractNumId w:val="37"/>
  </w:num>
  <w:num w:numId="46">
    <w:abstractNumId w:val="3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1"/>
    <w:rsid w:val="000001CB"/>
    <w:rsid w:val="0000317B"/>
    <w:rsid w:val="00004CBF"/>
    <w:rsid w:val="00007F32"/>
    <w:rsid w:val="00011D70"/>
    <w:rsid w:val="00011F54"/>
    <w:rsid w:val="00015816"/>
    <w:rsid w:val="00016211"/>
    <w:rsid w:val="00016DAC"/>
    <w:rsid w:val="00023D6F"/>
    <w:rsid w:val="000249C4"/>
    <w:rsid w:val="00025B57"/>
    <w:rsid w:val="00027B8E"/>
    <w:rsid w:val="00027BCC"/>
    <w:rsid w:val="00030647"/>
    <w:rsid w:val="00031540"/>
    <w:rsid w:val="00035BA1"/>
    <w:rsid w:val="0003671E"/>
    <w:rsid w:val="000378C5"/>
    <w:rsid w:val="00042C74"/>
    <w:rsid w:val="0004389C"/>
    <w:rsid w:val="00045E1E"/>
    <w:rsid w:val="00046E86"/>
    <w:rsid w:val="00047911"/>
    <w:rsid w:val="00050A78"/>
    <w:rsid w:val="00052166"/>
    <w:rsid w:val="000522FC"/>
    <w:rsid w:val="00053F60"/>
    <w:rsid w:val="0005417A"/>
    <w:rsid w:val="000559C7"/>
    <w:rsid w:val="0005726D"/>
    <w:rsid w:val="00057721"/>
    <w:rsid w:val="00062FC2"/>
    <w:rsid w:val="000666C0"/>
    <w:rsid w:val="0007182B"/>
    <w:rsid w:val="0007319D"/>
    <w:rsid w:val="0008057D"/>
    <w:rsid w:val="000811B6"/>
    <w:rsid w:val="0008208F"/>
    <w:rsid w:val="00082936"/>
    <w:rsid w:val="00083003"/>
    <w:rsid w:val="00083FA7"/>
    <w:rsid w:val="00084C3F"/>
    <w:rsid w:val="00087149"/>
    <w:rsid w:val="00090F6D"/>
    <w:rsid w:val="00093B9B"/>
    <w:rsid w:val="00095202"/>
    <w:rsid w:val="00096E16"/>
    <w:rsid w:val="00097105"/>
    <w:rsid w:val="00097479"/>
    <w:rsid w:val="000A255B"/>
    <w:rsid w:val="000A25EA"/>
    <w:rsid w:val="000B480B"/>
    <w:rsid w:val="000B720E"/>
    <w:rsid w:val="000C00B5"/>
    <w:rsid w:val="000C0C5C"/>
    <w:rsid w:val="000C1215"/>
    <w:rsid w:val="000C1618"/>
    <w:rsid w:val="000C3BE4"/>
    <w:rsid w:val="000C43AF"/>
    <w:rsid w:val="000C4958"/>
    <w:rsid w:val="000C542E"/>
    <w:rsid w:val="000D3402"/>
    <w:rsid w:val="000D3515"/>
    <w:rsid w:val="000D41CD"/>
    <w:rsid w:val="000D434D"/>
    <w:rsid w:val="000D4C54"/>
    <w:rsid w:val="000D619B"/>
    <w:rsid w:val="000E14BF"/>
    <w:rsid w:val="000E5D75"/>
    <w:rsid w:val="000E6450"/>
    <w:rsid w:val="000F1C39"/>
    <w:rsid w:val="00105770"/>
    <w:rsid w:val="00105EE1"/>
    <w:rsid w:val="001060DC"/>
    <w:rsid w:val="00107CD9"/>
    <w:rsid w:val="001101D2"/>
    <w:rsid w:val="00111560"/>
    <w:rsid w:val="00112256"/>
    <w:rsid w:val="00112AA9"/>
    <w:rsid w:val="00117015"/>
    <w:rsid w:val="0012236D"/>
    <w:rsid w:val="00123032"/>
    <w:rsid w:val="001238D1"/>
    <w:rsid w:val="0012656D"/>
    <w:rsid w:val="00131223"/>
    <w:rsid w:val="00131D72"/>
    <w:rsid w:val="001324D3"/>
    <w:rsid w:val="0013540E"/>
    <w:rsid w:val="001373C0"/>
    <w:rsid w:val="001416E1"/>
    <w:rsid w:val="00142805"/>
    <w:rsid w:val="0015335D"/>
    <w:rsid w:val="00156B4A"/>
    <w:rsid w:val="00157B3B"/>
    <w:rsid w:val="0016128A"/>
    <w:rsid w:val="001640A8"/>
    <w:rsid w:val="0016415F"/>
    <w:rsid w:val="001658BA"/>
    <w:rsid w:val="00165963"/>
    <w:rsid w:val="001679A2"/>
    <w:rsid w:val="00170502"/>
    <w:rsid w:val="00170FCA"/>
    <w:rsid w:val="001710FD"/>
    <w:rsid w:val="00172C33"/>
    <w:rsid w:val="00175B01"/>
    <w:rsid w:val="00180E56"/>
    <w:rsid w:val="0018239C"/>
    <w:rsid w:val="0018516C"/>
    <w:rsid w:val="001868AB"/>
    <w:rsid w:val="00187CE0"/>
    <w:rsid w:val="00191BF2"/>
    <w:rsid w:val="0019265B"/>
    <w:rsid w:val="001926EC"/>
    <w:rsid w:val="00194F82"/>
    <w:rsid w:val="001953AD"/>
    <w:rsid w:val="00195D48"/>
    <w:rsid w:val="00196849"/>
    <w:rsid w:val="001A1368"/>
    <w:rsid w:val="001A236D"/>
    <w:rsid w:val="001A26A3"/>
    <w:rsid w:val="001A45FA"/>
    <w:rsid w:val="001A735F"/>
    <w:rsid w:val="001A7C3F"/>
    <w:rsid w:val="001B0863"/>
    <w:rsid w:val="001B101C"/>
    <w:rsid w:val="001B2577"/>
    <w:rsid w:val="001B32E7"/>
    <w:rsid w:val="001B3F98"/>
    <w:rsid w:val="001B3FC8"/>
    <w:rsid w:val="001B49D4"/>
    <w:rsid w:val="001B5868"/>
    <w:rsid w:val="001B629A"/>
    <w:rsid w:val="001B62FE"/>
    <w:rsid w:val="001C340F"/>
    <w:rsid w:val="001D15CB"/>
    <w:rsid w:val="001D16A4"/>
    <w:rsid w:val="001D5114"/>
    <w:rsid w:val="001D53CE"/>
    <w:rsid w:val="001D5675"/>
    <w:rsid w:val="001D5E1D"/>
    <w:rsid w:val="001D637C"/>
    <w:rsid w:val="001E555D"/>
    <w:rsid w:val="001E5610"/>
    <w:rsid w:val="001E570A"/>
    <w:rsid w:val="001F215C"/>
    <w:rsid w:val="001F48B9"/>
    <w:rsid w:val="001F59AD"/>
    <w:rsid w:val="001F6EF1"/>
    <w:rsid w:val="002008EA"/>
    <w:rsid w:val="00201A77"/>
    <w:rsid w:val="002032F5"/>
    <w:rsid w:val="0020479D"/>
    <w:rsid w:val="00206146"/>
    <w:rsid w:val="00207046"/>
    <w:rsid w:val="00207AEC"/>
    <w:rsid w:val="00212399"/>
    <w:rsid w:val="002158A4"/>
    <w:rsid w:val="00216DA6"/>
    <w:rsid w:val="00216F47"/>
    <w:rsid w:val="00217AB0"/>
    <w:rsid w:val="00217C0F"/>
    <w:rsid w:val="00222C43"/>
    <w:rsid w:val="00223C6F"/>
    <w:rsid w:val="00225EA9"/>
    <w:rsid w:val="00226331"/>
    <w:rsid w:val="002331C3"/>
    <w:rsid w:val="0023469C"/>
    <w:rsid w:val="002349CA"/>
    <w:rsid w:val="002350F1"/>
    <w:rsid w:val="00235AB4"/>
    <w:rsid w:val="002379E0"/>
    <w:rsid w:val="00241FBD"/>
    <w:rsid w:val="002422CE"/>
    <w:rsid w:val="00242665"/>
    <w:rsid w:val="00246306"/>
    <w:rsid w:val="002465B1"/>
    <w:rsid w:val="00250382"/>
    <w:rsid w:val="00250D9B"/>
    <w:rsid w:val="00251CE0"/>
    <w:rsid w:val="00252220"/>
    <w:rsid w:val="00254D50"/>
    <w:rsid w:val="00262B83"/>
    <w:rsid w:val="00271360"/>
    <w:rsid w:val="00271973"/>
    <w:rsid w:val="002813AE"/>
    <w:rsid w:val="0028219D"/>
    <w:rsid w:val="0028457E"/>
    <w:rsid w:val="00286D40"/>
    <w:rsid w:val="0028723F"/>
    <w:rsid w:val="002913F5"/>
    <w:rsid w:val="00291998"/>
    <w:rsid w:val="00294528"/>
    <w:rsid w:val="00294AF5"/>
    <w:rsid w:val="00294E74"/>
    <w:rsid w:val="002963C9"/>
    <w:rsid w:val="002A5497"/>
    <w:rsid w:val="002A79D8"/>
    <w:rsid w:val="002B020F"/>
    <w:rsid w:val="002B2125"/>
    <w:rsid w:val="002B28D8"/>
    <w:rsid w:val="002B3E7C"/>
    <w:rsid w:val="002B6E27"/>
    <w:rsid w:val="002B734E"/>
    <w:rsid w:val="002C3B2F"/>
    <w:rsid w:val="002C5382"/>
    <w:rsid w:val="002C7260"/>
    <w:rsid w:val="002D29F1"/>
    <w:rsid w:val="002D6313"/>
    <w:rsid w:val="002D753A"/>
    <w:rsid w:val="002E0C22"/>
    <w:rsid w:val="002E43E9"/>
    <w:rsid w:val="002E45FA"/>
    <w:rsid w:val="002E5E5F"/>
    <w:rsid w:val="002E61FC"/>
    <w:rsid w:val="002F05BF"/>
    <w:rsid w:val="002F3E72"/>
    <w:rsid w:val="002F4290"/>
    <w:rsid w:val="002F51F0"/>
    <w:rsid w:val="002F53E1"/>
    <w:rsid w:val="003037E7"/>
    <w:rsid w:val="003055A5"/>
    <w:rsid w:val="00307725"/>
    <w:rsid w:val="00311E22"/>
    <w:rsid w:val="00315152"/>
    <w:rsid w:val="00316BF8"/>
    <w:rsid w:val="00320658"/>
    <w:rsid w:val="0032183F"/>
    <w:rsid w:val="0032305F"/>
    <w:rsid w:val="00324C40"/>
    <w:rsid w:val="00325AAD"/>
    <w:rsid w:val="00331F3E"/>
    <w:rsid w:val="00333418"/>
    <w:rsid w:val="00334B25"/>
    <w:rsid w:val="00336AE3"/>
    <w:rsid w:val="0034425F"/>
    <w:rsid w:val="00346AB5"/>
    <w:rsid w:val="003478C7"/>
    <w:rsid w:val="003479DD"/>
    <w:rsid w:val="00350DAE"/>
    <w:rsid w:val="0035191D"/>
    <w:rsid w:val="0035231C"/>
    <w:rsid w:val="00356472"/>
    <w:rsid w:val="00361306"/>
    <w:rsid w:val="00366FFC"/>
    <w:rsid w:val="0036700B"/>
    <w:rsid w:val="0036733A"/>
    <w:rsid w:val="00370181"/>
    <w:rsid w:val="00373406"/>
    <w:rsid w:val="00374C15"/>
    <w:rsid w:val="003754EA"/>
    <w:rsid w:val="00375B23"/>
    <w:rsid w:val="003768C6"/>
    <w:rsid w:val="00383F5B"/>
    <w:rsid w:val="003854E8"/>
    <w:rsid w:val="003858F9"/>
    <w:rsid w:val="003910DA"/>
    <w:rsid w:val="0039231A"/>
    <w:rsid w:val="00392BF1"/>
    <w:rsid w:val="00393202"/>
    <w:rsid w:val="00394239"/>
    <w:rsid w:val="003A6DAA"/>
    <w:rsid w:val="003A7AB4"/>
    <w:rsid w:val="003B30D7"/>
    <w:rsid w:val="003B4AA8"/>
    <w:rsid w:val="003C00B2"/>
    <w:rsid w:val="003C228A"/>
    <w:rsid w:val="003C5655"/>
    <w:rsid w:val="003C5D6A"/>
    <w:rsid w:val="003C5E53"/>
    <w:rsid w:val="003D05F7"/>
    <w:rsid w:val="003D62F3"/>
    <w:rsid w:val="003D6F9E"/>
    <w:rsid w:val="003E18E2"/>
    <w:rsid w:val="003E2574"/>
    <w:rsid w:val="003E4F21"/>
    <w:rsid w:val="003E758C"/>
    <w:rsid w:val="003F05E6"/>
    <w:rsid w:val="003F0E1D"/>
    <w:rsid w:val="003F1D6C"/>
    <w:rsid w:val="003F4DC7"/>
    <w:rsid w:val="003F68C8"/>
    <w:rsid w:val="003F7979"/>
    <w:rsid w:val="00401191"/>
    <w:rsid w:val="004033CC"/>
    <w:rsid w:val="00403D3F"/>
    <w:rsid w:val="00404641"/>
    <w:rsid w:val="0040729E"/>
    <w:rsid w:val="00410B6E"/>
    <w:rsid w:val="00414F94"/>
    <w:rsid w:val="00416CF7"/>
    <w:rsid w:val="00417AEA"/>
    <w:rsid w:val="00422286"/>
    <w:rsid w:val="00423133"/>
    <w:rsid w:val="00423754"/>
    <w:rsid w:val="00425DCC"/>
    <w:rsid w:val="004268A8"/>
    <w:rsid w:val="00426BA3"/>
    <w:rsid w:val="004275C9"/>
    <w:rsid w:val="00427BC7"/>
    <w:rsid w:val="00427CF1"/>
    <w:rsid w:val="00427FFB"/>
    <w:rsid w:val="00431410"/>
    <w:rsid w:val="00433937"/>
    <w:rsid w:val="0043424B"/>
    <w:rsid w:val="004367FE"/>
    <w:rsid w:val="00437D55"/>
    <w:rsid w:val="00443D08"/>
    <w:rsid w:val="004443AC"/>
    <w:rsid w:val="00444439"/>
    <w:rsid w:val="00446DD4"/>
    <w:rsid w:val="00447003"/>
    <w:rsid w:val="00450EF9"/>
    <w:rsid w:val="0045313F"/>
    <w:rsid w:val="004563EE"/>
    <w:rsid w:val="0046109A"/>
    <w:rsid w:val="00461A7B"/>
    <w:rsid w:val="0046465E"/>
    <w:rsid w:val="004651BF"/>
    <w:rsid w:val="00467B44"/>
    <w:rsid w:val="00471AEC"/>
    <w:rsid w:val="004737ED"/>
    <w:rsid w:val="00474496"/>
    <w:rsid w:val="00477254"/>
    <w:rsid w:val="00480AF1"/>
    <w:rsid w:val="004852B4"/>
    <w:rsid w:val="00485B8A"/>
    <w:rsid w:val="0049023F"/>
    <w:rsid w:val="0049063A"/>
    <w:rsid w:val="004922F3"/>
    <w:rsid w:val="00492F94"/>
    <w:rsid w:val="00494559"/>
    <w:rsid w:val="0049541E"/>
    <w:rsid w:val="004A1CA3"/>
    <w:rsid w:val="004A4893"/>
    <w:rsid w:val="004B3761"/>
    <w:rsid w:val="004B666F"/>
    <w:rsid w:val="004B7E94"/>
    <w:rsid w:val="004C015E"/>
    <w:rsid w:val="004C1C16"/>
    <w:rsid w:val="004C3CD9"/>
    <w:rsid w:val="004C5401"/>
    <w:rsid w:val="004C5824"/>
    <w:rsid w:val="004D185E"/>
    <w:rsid w:val="004D4334"/>
    <w:rsid w:val="004D4DF0"/>
    <w:rsid w:val="004D7EC7"/>
    <w:rsid w:val="004E04F0"/>
    <w:rsid w:val="004E18B0"/>
    <w:rsid w:val="004E355E"/>
    <w:rsid w:val="004E37E1"/>
    <w:rsid w:val="004E70E6"/>
    <w:rsid w:val="004F0C6A"/>
    <w:rsid w:val="004F2B3C"/>
    <w:rsid w:val="004F391F"/>
    <w:rsid w:val="004F396C"/>
    <w:rsid w:val="004F43C4"/>
    <w:rsid w:val="004F46F3"/>
    <w:rsid w:val="004F5A63"/>
    <w:rsid w:val="004F5C3C"/>
    <w:rsid w:val="004F6BCF"/>
    <w:rsid w:val="004F70B8"/>
    <w:rsid w:val="00501EF9"/>
    <w:rsid w:val="0050218F"/>
    <w:rsid w:val="005077DB"/>
    <w:rsid w:val="00510420"/>
    <w:rsid w:val="005111DE"/>
    <w:rsid w:val="00513857"/>
    <w:rsid w:val="00514A96"/>
    <w:rsid w:val="00514ED2"/>
    <w:rsid w:val="00515EDE"/>
    <w:rsid w:val="0051640B"/>
    <w:rsid w:val="00517904"/>
    <w:rsid w:val="005219A5"/>
    <w:rsid w:val="00521ECD"/>
    <w:rsid w:val="0052560F"/>
    <w:rsid w:val="00525F46"/>
    <w:rsid w:val="00525FBB"/>
    <w:rsid w:val="00527E85"/>
    <w:rsid w:val="00533532"/>
    <w:rsid w:val="005348A5"/>
    <w:rsid w:val="00535FA7"/>
    <w:rsid w:val="0054331C"/>
    <w:rsid w:val="00544D35"/>
    <w:rsid w:val="00544D82"/>
    <w:rsid w:val="00545C47"/>
    <w:rsid w:val="00546820"/>
    <w:rsid w:val="00546AF7"/>
    <w:rsid w:val="00547949"/>
    <w:rsid w:val="00553039"/>
    <w:rsid w:val="0055652D"/>
    <w:rsid w:val="005578D3"/>
    <w:rsid w:val="00564309"/>
    <w:rsid w:val="00564CD5"/>
    <w:rsid w:val="00567726"/>
    <w:rsid w:val="00570351"/>
    <w:rsid w:val="005713AD"/>
    <w:rsid w:val="00572514"/>
    <w:rsid w:val="00575C33"/>
    <w:rsid w:val="00577A8B"/>
    <w:rsid w:val="00584992"/>
    <w:rsid w:val="005865D5"/>
    <w:rsid w:val="00590F2E"/>
    <w:rsid w:val="00592675"/>
    <w:rsid w:val="005939E8"/>
    <w:rsid w:val="00593C1E"/>
    <w:rsid w:val="005954AC"/>
    <w:rsid w:val="00597504"/>
    <w:rsid w:val="005A0A50"/>
    <w:rsid w:val="005A3938"/>
    <w:rsid w:val="005A3AE2"/>
    <w:rsid w:val="005B0257"/>
    <w:rsid w:val="005B1596"/>
    <w:rsid w:val="005B4CBA"/>
    <w:rsid w:val="005B50BD"/>
    <w:rsid w:val="005B5222"/>
    <w:rsid w:val="005B653C"/>
    <w:rsid w:val="005B6BE3"/>
    <w:rsid w:val="005C5816"/>
    <w:rsid w:val="005C6A98"/>
    <w:rsid w:val="005C7D88"/>
    <w:rsid w:val="005D1032"/>
    <w:rsid w:val="005D2CCD"/>
    <w:rsid w:val="005D5458"/>
    <w:rsid w:val="005E1981"/>
    <w:rsid w:val="005E1A34"/>
    <w:rsid w:val="005E56C6"/>
    <w:rsid w:val="005E69E7"/>
    <w:rsid w:val="005E6A12"/>
    <w:rsid w:val="005F4986"/>
    <w:rsid w:val="005F4FED"/>
    <w:rsid w:val="005F5D2C"/>
    <w:rsid w:val="005F69B2"/>
    <w:rsid w:val="005F78ED"/>
    <w:rsid w:val="005F7DF7"/>
    <w:rsid w:val="00603667"/>
    <w:rsid w:val="00606F8B"/>
    <w:rsid w:val="006074DD"/>
    <w:rsid w:val="006113BF"/>
    <w:rsid w:val="00615BE5"/>
    <w:rsid w:val="0061655F"/>
    <w:rsid w:val="00622354"/>
    <w:rsid w:val="00624968"/>
    <w:rsid w:val="0062516D"/>
    <w:rsid w:val="006271EE"/>
    <w:rsid w:val="00631DD4"/>
    <w:rsid w:val="0063279C"/>
    <w:rsid w:val="00633C94"/>
    <w:rsid w:val="006342D5"/>
    <w:rsid w:val="0063521F"/>
    <w:rsid w:val="006353EC"/>
    <w:rsid w:val="00635AA7"/>
    <w:rsid w:val="00643123"/>
    <w:rsid w:val="00645F48"/>
    <w:rsid w:val="006464CC"/>
    <w:rsid w:val="00647284"/>
    <w:rsid w:val="0065021D"/>
    <w:rsid w:val="00651237"/>
    <w:rsid w:val="00653245"/>
    <w:rsid w:val="00656333"/>
    <w:rsid w:val="00657B76"/>
    <w:rsid w:val="00657C57"/>
    <w:rsid w:val="00661B3A"/>
    <w:rsid w:val="00661CB4"/>
    <w:rsid w:val="00662A80"/>
    <w:rsid w:val="006646E2"/>
    <w:rsid w:val="00666A86"/>
    <w:rsid w:val="006706FC"/>
    <w:rsid w:val="00681373"/>
    <w:rsid w:val="00681FB6"/>
    <w:rsid w:val="00684463"/>
    <w:rsid w:val="00684B51"/>
    <w:rsid w:val="006861CA"/>
    <w:rsid w:val="0068682F"/>
    <w:rsid w:val="006900BA"/>
    <w:rsid w:val="00691616"/>
    <w:rsid w:val="00693B9B"/>
    <w:rsid w:val="00695AD5"/>
    <w:rsid w:val="00697181"/>
    <w:rsid w:val="0069799D"/>
    <w:rsid w:val="00697CA9"/>
    <w:rsid w:val="006A189C"/>
    <w:rsid w:val="006B0129"/>
    <w:rsid w:val="006B1E0A"/>
    <w:rsid w:val="006B3024"/>
    <w:rsid w:val="006B39CD"/>
    <w:rsid w:val="006B499F"/>
    <w:rsid w:val="006B4E74"/>
    <w:rsid w:val="006B577D"/>
    <w:rsid w:val="006B5B41"/>
    <w:rsid w:val="006B7635"/>
    <w:rsid w:val="006C6B5E"/>
    <w:rsid w:val="006D1669"/>
    <w:rsid w:val="006D1E1D"/>
    <w:rsid w:val="006D405E"/>
    <w:rsid w:val="006D622B"/>
    <w:rsid w:val="006D7413"/>
    <w:rsid w:val="006E0AA1"/>
    <w:rsid w:val="006E1F96"/>
    <w:rsid w:val="006E315B"/>
    <w:rsid w:val="006E347F"/>
    <w:rsid w:val="006E4073"/>
    <w:rsid w:val="006E4BC4"/>
    <w:rsid w:val="006E5E88"/>
    <w:rsid w:val="006F02B6"/>
    <w:rsid w:val="006F070A"/>
    <w:rsid w:val="006F46DF"/>
    <w:rsid w:val="006F498F"/>
    <w:rsid w:val="006F51BD"/>
    <w:rsid w:val="006F653C"/>
    <w:rsid w:val="006F6996"/>
    <w:rsid w:val="006F6E5E"/>
    <w:rsid w:val="006F7EDE"/>
    <w:rsid w:val="00700B7B"/>
    <w:rsid w:val="00701B14"/>
    <w:rsid w:val="007035EF"/>
    <w:rsid w:val="00707652"/>
    <w:rsid w:val="0071113B"/>
    <w:rsid w:val="007111DE"/>
    <w:rsid w:val="00714DA8"/>
    <w:rsid w:val="00714EBB"/>
    <w:rsid w:val="00716108"/>
    <w:rsid w:val="00721A51"/>
    <w:rsid w:val="007221C9"/>
    <w:rsid w:val="00723D37"/>
    <w:rsid w:val="00724401"/>
    <w:rsid w:val="00725501"/>
    <w:rsid w:val="00725736"/>
    <w:rsid w:val="00731959"/>
    <w:rsid w:val="0073202F"/>
    <w:rsid w:val="00735593"/>
    <w:rsid w:val="00735851"/>
    <w:rsid w:val="00736686"/>
    <w:rsid w:val="0073687A"/>
    <w:rsid w:val="00740C3E"/>
    <w:rsid w:val="00742C1F"/>
    <w:rsid w:val="00742D3F"/>
    <w:rsid w:val="00743141"/>
    <w:rsid w:val="00743571"/>
    <w:rsid w:val="007456AF"/>
    <w:rsid w:val="00745ACF"/>
    <w:rsid w:val="00746657"/>
    <w:rsid w:val="007467B6"/>
    <w:rsid w:val="0075127F"/>
    <w:rsid w:val="00751530"/>
    <w:rsid w:val="00751F53"/>
    <w:rsid w:val="00755ADD"/>
    <w:rsid w:val="00755BB7"/>
    <w:rsid w:val="007560FC"/>
    <w:rsid w:val="007561DE"/>
    <w:rsid w:val="00760BD7"/>
    <w:rsid w:val="0076218F"/>
    <w:rsid w:val="007637B5"/>
    <w:rsid w:val="007656A2"/>
    <w:rsid w:val="00771341"/>
    <w:rsid w:val="00773F7C"/>
    <w:rsid w:val="0077466C"/>
    <w:rsid w:val="00774678"/>
    <w:rsid w:val="0078181F"/>
    <w:rsid w:val="00782D48"/>
    <w:rsid w:val="0078311A"/>
    <w:rsid w:val="00784130"/>
    <w:rsid w:val="00787AEC"/>
    <w:rsid w:val="00787FBF"/>
    <w:rsid w:val="00790637"/>
    <w:rsid w:val="007907FF"/>
    <w:rsid w:val="0079796E"/>
    <w:rsid w:val="007A3C45"/>
    <w:rsid w:val="007A4622"/>
    <w:rsid w:val="007A5014"/>
    <w:rsid w:val="007A586D"/>
    <w:rsid w:val="007A79D7"/>
    <w:rsid w:val="007B3058"/>
    <w:rsid w:val="007B3554"/>
    <w:rsid w:val="007B39F8"/>
    <w:rsid w:val="007B4239"/>
    <w:rsid w:val="007B5408"/>
    <w:rsid w:val="007B5518"/>
    <w:rsid w:val="007B56D7"/>
    <w:rsid w:val="007B7F16"/>
    <w:rsid w:val="007C3CD5"/>
    <w:rsid w:val="007D0ACA"/>
    <w:rsid w:val="007D2716"/>
    <w:rsid w:val="007D51F2"/>
    <w:rsid w:val="007D7BB1"/>
    <w:rsid w:val="007E1D76"/>
    <w:rsid w:val="007E2726"/>
    <w:rsid w:val="007F1C57"/>
    <w:rsid w:val="007F3331"/>
    <w:rsid w:val="007F5B20"/>
    <w:rsid w:val="007F6497"/>
    <w:rsid w:val="007F6EC5"/>
    <w:rsid w:val="007F758F"/>
    <w:rsid w:val="0080041E"/>
    <w:rsid w:val="00804170"/>
    <w:rsid w:val="00804724"/>
    <w:rsid w:val="00806C7B"/>
    <w:rsid w:val="008108C5"/>
    <w:rsid w:val="00812A7C"/>
    <w:rsid w:val="0081568A"/>
    <w:rsid w:val="008159F5"/>
    <w:rsid w:val="00817CE6"/>
    <w:rsid w:val="00821B61"/>
    <w:rsid w:val="00823053"/>
    <w:rsid w:val="008266FE"/>
    <w:rsid w:val="00827D7E"/>
    <w:rsid w:val="008315E7"/>
    <w:rsid w:val="00831DA5"/>
    <w:rsid w:val="00837C2C"/>
    <w:rsid w:val="0084105B"/>
    <w:rsid w:val="00842FC0"/>
    <w:rsid w:val="0084387A"/>
    <w:rsid w:val="00845249"/>
    <w:rsid w:val="00847569"/>
    <w:rsid w:val="00850540"/>
    <w:rsid w:val="00851915"/>
    <w:rsid w:val="00852168"/>
    <w:rsid w:val="00852E11"/>
    <w:rsid w:val="00853F06"/>
    <w:rsid w:val="00861773"/>
    <w:rsid w:val="0086183E"/>
    <w:rsid w:val="00861C1D"/>
    <w:rsid w:val="00862138"/>
    <w:rsid w:val="00862217"/>
    <w:rsid w:val="0086272A"/>
    <w:rsid w:val="00862C53"/>
    <w:rsid w:val="0086336B"/>
    <w:rsid w:val="00865E6B"/>
    <w:rsid w:val="00870CAF"/>
    <w:rsid w:val="00873F27"/>
    <w:rsid w:val="00874AB9"/>
    <w:rsid w:val="00874DD4"/>
    <w:rsid w:val="008754D9"/>
    <w:rsid w:val="008759A8"/>
    <w:rsid w:val="00877892"/>
    <w:rsid w:val="00882C0A"/>
    <w:rsid w:val="00885835"/>
    <w:rsid w:val="00887149"/>
    <w:rsid w:val="00887297"/>
    <w:rsid w:val="00891022"/>
    <w:rsid w:val="00894137"/>
    <w:rsid w:val="008961E3"/>
    <w:rsid w:val="008971A8"/>
    <w:rsid w:val="00897F4D"/>
    <w:rsid w:val="008A0615"/>
    <w:rsid w:val="008A0D76"/>
    <w:rsid w:val="008A15F4"/>
    <w:rsid w:val="008A2C24"/>
    <w:rsid w:val="008A381A"/>
    <w:rsid w:val="008A3CDE"/>
    <w:rsid w:val="008A51BA"/>
    <w:rsid w:val="008A5923"/>
    <w:rsid w:val="008A5F7B"/>
    <w:rsid w:val="008A64A3"/>
    <w:rsid w:val="008B06B2"/>
    <w:rsid w:val="008B200F"/>
    <w:rsid w:val="008B5423"/>
    <w:rsid w:val="008C130F"/>
    <w:rsid w:val="008C23EE"/>
    <w:rsid w:val="008C4B61"/>
    <w:rsid w:val="008C4E96"/>
    <w:rsid w:val="008D2B23"/>
    <w:rsid w:val="008E1410"/>
    <w:rsid w:val="008E29DE"/>
    <w:rsid w:val="008E3759"/>
    <w:rsid w:val="008F123F"/>
    <w:rsid w:val="008F3323"/>
    <w:rsid w:val="008F458E"/>
    <w:rsid w:val="008F4B3B"/>
    <w:rsid w:val="008F50B2"/>
    <w:rsid w:val="008F7720"/>
    <w:rsid w:val="00900356"/>
    <w:rsid w:val="009021EC"/>
    <w:rsid w:val="009032FC"/>
    <w:rsid w:val="00905B34"/>
    <w:rsid w:val="009063AA"/>
    <w:rsid w:val="0091041E"/>
    <w:rsid w:val="009105DE"/>
    <w:rsid w:val="00911D53"/>
    <w:rsid w:val="0091381B"/>
    <w:rsid w:val="00916798"/>
    <w:rsid w:val="00917BBE"/>
    <w:rsid w:val="00917BCF"/>
    <w:rsid w:val="00920911"/>
    <w:rsid w:val="00925897"/>
    <w:rsid w:val="00927C7E"/>
    <w:rsid w:val="00931020"/>
    <w:rsid w:val="0093110C"/>
    <w:rsid w:val="009334FE"/>
    <w:rsid w:val="0093417D"/>
    <w:rsid w:val="00942DCD"/>
    <w:rsid w:val="00945F35"/>
    <w:rsid w:val="00956A27"/>
    <w:rsid w:val="00960FBF"/>
    <w:rsid w:val="0096132E"/>
    <w:rsid w:val="00961FFD"/>
    <w:rsid w:val="00962FAE"/>
    <w:rsid w:val="009668CE"/>
    <w:rsid w:val="00971B37"/>
    <w:rsid w:val="00974135"/>
    <w:rsid w:val="009746DD"/>
    <w:rsid w:val="00974C42"/>
    <w:rsid w:val="009752EF"/>
    <w:rsid w:val="00976D96"/>
    <w:rsid w:val="00980EB7"/>
    <w:rsid w:val="009818A2"/>
    <w:rsid w:val="00981B4E"/>
    <w:rsid w:val="009836BA"/>
    <w:rsid w:val="00983852"/>
    <w:rsid w:val="00990B88"/>
    <w:rsid w:val="00990F62"/>
    <w:rsid w:val="0099103C"/>
    <w:rsid w:val="009926E1"/>
    <w:rsid w:val="00992741"/>
    <w:rsid w:val="00992D3F"/>
    <w:rsid w:val="00994FA5"/>
    <w:rsid w:val="00995CD0"/>
    <w:rsid w:val="00996D9B"/>
    <w:rsid w:val="009A1020"/>
    <w:rsid w:val="009A3279"/>
    <w:rsid w:val="009A6A1F"/>
    <w:rsid w:val="009A76C8"/>
    <w:rsid w:val="009A7843"/>
    <w:rsid w:val="009B1407"/>
    <w:rsid w:val="009B3250"/>
    <w:rsid w:val="009B78BA"/>
    <w:rsid w:val="009C23C8"/>
    <w:rsid w:val="009C3A90"/>
    <w:rsid w:val="009C3E45"/>
    <w:rsid w:val="009C5770"/>
    <w:rsid w:val="009C6AC9"/>
    <w:rsid w:val="009C7375"/>
    <w:rsid w:val="009C7F56"/>
    <w:rsid w:val="009D0293"/>
    <w:rsid w:val="009D1AA6"/>
    <w:rsid w:val="009D74C3"/>
    <w:rsid w:val="009E115A"/>
    <w:rsid w:val="009E11AA"/>
    <w:rsid w:val="009E5D11"/>
    <w:rsid w:val="009F2C20"/>
    <w:rsid w:val="009F2E9E"/>
    <w:rsid w:val="009F6F93"/>
    <w:rsid w:val="00A01D19"/>
    <w:rsid w:val="00A020B3"/>
    <w:rsid w:val="00A0370B"/>
    <w:rsid w:val="00A04A3F"/>
    <w:rsid w:val="00A1175D"/>
    <w:rsid w:val="00A13270"/>
    <w:rsid w:val="00A14535"/>
    <w:rsid w:val="00A2460F"/>
    <w:rsid w:val="00A248F9"/>
    <w:rsid w:val="00A24EB9"/>
    <w:rsid w:val="00A274ED"/>
    <w:rsid w:val="00A31C60"/>
    <w:rsid w:val="00A33BD1"/>
    <w:rsid w:val="00A33E83"/>
    <w:rsid w:val="00A36E41"/>
    <w:rsid w:val="00A372BE"/>
    <w:rsid w:val="00A37AA0"/>
    <w:rsid w:val="00A42B5B"/>
    <w:rsid w:val="00A45602"/>
    <w:rsid w:val="00A471B8"/>
    <w:rsid w:val="00A47F03"/>
    <w:rsid w:val="00A52CA8"/>
    <w:rsid w:val="00A61423"/>
    <w:rsid w:val="00A62714"/>
    <w:rsid w:val="00A654F0"/>
    <w:rsid w:val="00A72ABF"/>
    <w:rsid w:val="00A7367A"/>
    <w:rsid w:val="00A77705"/>
    <w:rsid w:val="00A779FD"/>
    <w:rsid w:val="00A801A2"/>
    <w:rsid w:val="00A810C8"/>
    <w:rsid w:val="00A81530"/>
    <w:rsid w:val="00A81D3D"/>
    <w:rsid w:val="00A81E9C"/>
    <w:rsid w:val="00A82BA9"/>
    <w:rsid w:val="00A84323"/>
    <w:rsid w:val="00A87217"/>
    <w:rsid w:val="00A87532"/>
    <w:rsid w:val="00A93D9F"/>
    <w:rsid w:val="00A95201"/>
    <w:rsid w:val="00A979EB"/>
    <w:rsid w:val="00A97A0E"/>
    <w:rsid w:val="00AA2885"/>
    <w:rsid w:val="00AA3466"/>
    <w:rsid w:val="00AA4961"/>
    <w:rsid w:val="00AA50ED"/>
    <w:rsid w:val="00AB127B"/>
    <w:rsid w:val="00AB20EB"/>
    <w:rsid w:val="00AB2900"/>
    <w:rsid w:val="00AB30E1"/>
    <w:rsid w:val="00AB3E50"/>
    <w:rsid w:val="00AB534C"/>
    <w:rsid w:val="00AC2A14"/>
    <w:rsid w:val="00AC2E5D"/>
    <w:rsid w:val="00AC4FE6"/>
    <w:rsid w:val="00AC7156"/>
    <w:rsid w:val="00AD343F"/>
    <w:rsid w:val="00AD46AD"/>
    <w:rsid w:val="00AD580E"/>
    <w:rsid w:val="00AE3353"/>
    <w:rsid w:val="00AE36F2"/>
    <w:rsid w:val="00AF2AE7"/>
    <w:rsid w:val="00AF2AF1"/>
    <w:rsid w:val="00AF3448"/>
    <w:rsid w:val="00AF6297"/>
    <w:rsid w:val="00AF6C18"/>
    <w:rsid w:val="00B0181C"/>
    <w:rsid w:val="00B0245C"/>
    <w:rsid w:val="00B0366C"/>
    <w:rsid w:val="00B05766"/>
    <w:rsid w:val="00B0613B"/>
    <w:rsid w:val="00B06917"/>
    <w:rsid w:val="00B10962"/>
    <w:rsid w:val="00B1229A"/>
    <w:rsid w:val="00B13928"/>
    <w:rsid w:val="00B20F4A"/>
    <w:rsid w:val="00B237A1"/>
    <w:rsid w:val="00B27888"/>
    <w:rsid w:val="00B340E0"/>
    <w:rsid w:val="00B34150"/>
    <w:rsid w:val="00B35426"/>
    <w:rsid w:val="00B356E1"/>
    <w:rsid w:val="00B358D7"/>
    <w:rsid w:val="00B35E48"/>
    <w:rsid w:val="00B36B25"/>
    <w:rsid w:val="00B40051"/>
    <w:rsid w:val="00B405FA"/>
    <w:rsid w:val="00B40D31"/>
    <w:rsid w:val="00B40D68"/>
    <w:rsid w:val="00B416DE"/>
    <w:rsid w:val="00B41AA0"/>
    <w:rsid w:val="00B45EF3"/>
    <w:rsid w:val="00B504C9"/>
    <w:rsid w:val="00B5069B"/>
    <w:rsid w:val="00B532AC"/>
    <w:rsid w:val="00B55872"/>
    <w:rsid w:val="00B56333"/>
    <w:rsid w:val="00B617D5"/>
    <w:rsid w:val="00B61F70"/>
    <w:rsid w:val="00B62FAD"/>
    <w:rsid w:val="00B631E4"/>
    <w:rsid w:val="00B6466E"/>
    <w:rsid w:val="00B66327"/>
    <w:rsid w:val="00B67034"/>
    <w:rsid w:val="00B674EE"/>
    <w:rsid w:val="00B71BC1"/>
    <w:rsid w:val="00B72ACE"/>
    <w:rsid w:val="00B75EB4"/>
    <w:rsid w:val="00B764A4"/>
    <w:rsid w:val="00B81488"/>
    <w:rsid w:val="00B83249"/>
    <w:rsid w:val="00B837C9"/>
    <w:rsid w:val="00B84ACB"/>
    <w:rsid w:val="00B85BB8"/>
    <w:rsid w:val="00B86AE5"/>
    <w:rsid w:val="00B9151D"/>
    <w:rsid w:val="00B95A9C"/>
    <w:rsid w:val="00B95DCB"/>
    <w:rsid w:val="00B9762D"/>
    <w:rsid w:val="00BA08A4"/>
    <w:rsid w:val="00BA2470"/>
    <w:rsid w:val="00BA3B0C"/>
    <w:rsid w:val="00BB1666"/>
    <w:rsid w:val="00BB2645"/>
    <w:rsid w:val="00BB51F5"/>
    <w:rsid w:val="00BB56C6"/>
    <w:rsid w:val="00BC1298"/>
    <w:rsid w:val="00BC341A"/>
    <w:rsid w:val="00BC47F4"/>
    <w:rsid w:val="00BC4AC6"/>
    <w:rsid w:val="00BD0B1B"/>
    <w:rsid w:val="00BD17F2"/>
    <w:rsid w:val="00BD25F3"/>
    <w:rsid w:val="00BD39C3"/>
    <w:rsid w:val="00BD3AF0"/>
    <w:rsid w:val="00BD6B8E"/>
    <w:rsid w:val="00BD7D6D"/>
    <w:rsid w:val="00BE7140"/>
    <w:rsid w:val="00BE7D68"/>
    <w:rsid w:val="00BF1C5D"/>
    <w:rsid w:val="00BF4281"/>
    <w:rsid w:val="00BF5911"/>
    <w:rsid w:val="00BF5E9F"/>
    <w:rsid w:val="00C042CC"/>
    <w:rsid w:val="00C04FE3"/>
    <w:rsid w:val="00C05972"/>
    <w:rsid w:val="00C05B5A"/>
    <w:rsid w:val="00C079A0"/>
    <w:rsid w:val="00C120A2"/>
    <w:rsid w:val="00C146C6"/>
    <w:rsid w:val="00C17D69"/>
    <w:rsid w:val="00C200A2"/>
    <w:rsid w:val="00C20E1C"/>
    <w:rsid w:val="00C21321"/>
    <w:rsid w:val="00C22955"/>
    <w:rsid w:val="00C23336"/>
    <w:rsid w:val="00C271C5"/>
    <w:rsid w:val="00C31616"/>
    <w:rsid w:val="00C3176C"/>
    <w:rsid w:val="00C37AF3"/>
    <w:rsid w:val="00C41856"/>
    <w:rsid w:val="00C418A1"/>
    <w:rsid w:val="00C42FBD"/>
    <w:rsid w:val="00C434D8"/>
    <w:rsid w:val="00C43641"/>
    <w:rsid w:val="00C4423E"/>
    <w:rsid w:val="00C4562A"/>
    <w:rsid w:val="00C46553"/>
    <w:rsid w:val="00C50198"/>
    <w:rsid w:val="00C50FE4"/>
    <w:rsid w:val="00C52551"/>
    <w:rsid w:val="00C53B8B"/>
    <w:rsid w:val="00C569DC"/>
    <w:rsid w:val="00C616D9"/>
    <w:rsid w:val="00C6338A"/>
    <w:rsid w:val="00C63694"/>
    <w:rsid w:val="00C664F7"/>
    <w:rsid w:val="00C666E6"/>
    <w:rsid w:val="00C6732E"/>
    <w:rsid w:val="00C71009"/>
    <w:rsid w:val="00C71F98"/>
    <w:rsid w:val="00C73329"/>
    <w:rsid w:val="00C74EEC"/>
    <w:rsid w:val="00C809F9"/>
    <w:rsid w:val="00C80F97"/>
    <w:rsid w:val="00C86936"/>
    <w:rsid w:val="00C90B2D"/>
    <w:rsid w:val="00C92CA1"/>
    <w:rsid w:val="00C938E5"/>
    <w:rsid w:val="00CA013F"/>
    <w:rsid w:val="00CA1E71"/>
    <w:rsid w:val="00CA43A3"/>
    <w:rsid w:val="00CA4B79"/>
    <w:rsid w:val="00CA5F7D"/>
    <w:rsid w:val="00CB150C"/>
    <w:rsid w:val="00CC1D9D"/>
    <w:rsid w:val="00CC3942"/>
    <w:rsid w:val="00CC44B5"/>
    <w:rsid w:val="00CC6B13"/>
    <w:rsid w:val="00CD086A"/>
    <w:rsid w:val="00CD101C"/>
    <w:rsid w:val="00CD2845"/>
    <w:rsid w:val="00CD414C"/>
    <w:rsid w:val="00CD420F"/>
    <w:rsid w:val="00CE07F8"/>
    <w:rsid w:val="00CE246C"/>
    <w:rsid w:val="00CE2E0C"/>
    <w:rsid w:val="00CE5399"/>
    <w:rsid w:val="00CE53C8"/>
    <w:rsid w:val="00CF02A0"/>
    <w:rsid w:val="00CF11FF"/>
    <w:rsid w:val="00CF3FCF"/>
    <w:rsid w:val="00CF44DF"/>
    <w:rsid w:val="00CF5747"/>
    <w:rsid w:val="00CF5BFC"/>
    <w:rsid w:val="00D04782"/>
    <w:rsid w:val="00D056E3"/>
    <w:rsid w:val="00D05752"/>
    <w:rsid w:val="00D078B9"/>
    <w:rsid w:val="00D10A18"/>
    <w:rsid w:val="00D12712"/>
    <w:rsid w:val="00D178DC"/>
    <w:rsid w:val="00D23146"/>
    <w:rsid w:val="00D23C7F"/>
    <w:rsid w:val="00D25895"/>
    <w:rsid w:val="00D2689E"/>
    <w:rsid w:val="00D26FA3"/>
    <w:rsid w:val="00D3074A"/>
    <w:rsid w:val="00D30AD4"/>
    <w:rsid w:val="00D31968"/>
    <w:rsid w:val="00D33F8B"/>
    <w:rsid w:val="00D35C43"/>
    <w:rsid w:val="00D36BBA"/>
    <w:rsid w:val="00D37AB9"/>
    <w:rsid w:val="00D413A8"/>
    <w:rsid w:val="00D43071"/>
    <w:rsid w:val="00D44CBF"/>
    <w:rsid w:val="00D45618"/>
    <w:rsid w:val="00D4594D"/>
    <w:rsid w:val="00D555F4"/>
    <w:rsid w:val="00D66649"/>
    <w:rsid w:val="00D676AD"/>
    <w:rsid w:val="00D70044"/>
    <w:rsid w:val="00D70A02"/>
    <w:rsid w:val="00D800D9"/>
    <w:rsid w:val="00D81F26"/>
    <w:rsid w:val="00D84AC9"/>
    <w:rsid w:val="00D8577E"/>
    <w:rsid w:val="00D861CB"/>
    <w:rsid w:val="00D86EB4"/>
    <w:rsid w:val="00D91035"/>
    <w:rsid w:val="00D932C8"/>
    <w:rsid w:val="00D93D0D"/>
    <w:rsid w:val="00D95530"/>
    <w:rsid w:val="00DA28C0"/>
    <w:rsid w:val="00DA7A16"/>
    <w:rsid w:val="00DB205A"/>
    <w:rsid w:val="00DB2480"/>
    <w:rsid w:val="00DB4708"/>
    <w:rsid w:val="00DB5134"/>
    <w:rsid w:val="00DB775B"/>
    <w:rsid w:val="00DC238A"/>
    <w:rsid w:val="00DC2B0B"/>
    <w:rsid w:val="00DC56B3"/>
    <w:rsid w:val="00DC6B9C"/>
    <w:rsid w:val="00DC75AD"/>
    <w:rsid w:val="00DC7788"/>
    <w:rsid w:val="00DD2585"/>
    <w:rsid w:val="00DD3DC7"/>
    <w:rsid w:val="00DD46D2"/>
    <w:rsid w:val="00DD5C46"/>
    <w:rsid w:val="00DE0E55"/>
    <w:rsid w:val="00DE1828"/>
    <w:rsid w:val="00DE57FC"/>
    <w:rsid w:val="00DE70BE"/>
    <w:rsid w:val="00DF4466"/>
    <w:rsid w:val="00E00D46"/>
    <w:rsid w:val="00E00D5F"/>
    <w:rsid w:val="00E02FEE"/>
    <w:rsid w:val="00E110B8"/>
    <w:rsid w:val="00E12CF2"/>
    <w:rsid w:val="00E16339"/>
    <w:rsid w:val="00E1722B"/>
    <w:rsid w:val="00E17818"/>
    <w:rsid w:val="00E22595"/>
    <w:rsid w:val="00E23E76"/>
    <w:rsid w:val="00E240DE"/>
    <w:rsid w:val="00E2478A"/>
    <w:rsid w:val="00E24D62"/>
    <w:rsid w:val="00E250A3"/>
    <w:rsid w:val="00E2537B"/>
    <w:rsid w:val="00E25A8F"/>
    <w:rsid w:val="00E268CD"/>
    <w:rsid w:val="00E30CBC"/>
    <w:rsid w:val="00E311EB"/>
    <w:rsid w:val="00E31E2A"/>
    <w:rsid w:val="00E3269E"/>
    <w:rsid w:val="00E354EA"/>
    <w:rsid w:val="00E4053F"/>
    <w:rsid w:val="00E41CF2"/>
    <w:rsid w:val="00E4218F"/>
    <w:rsid w:val="00E422DA"/>
    <w:rsid w:val="00E4298C"/>
    <w:rsid w:val="00E43512"/>
    <w:rsid w:val="00E469EE"/>
    <w:rsid w:val="00E51AC3"/>
    <w:rsid w:val="00E524B5"/>
    <w:rsid w:val="00E52CD8"/>
    <w:rsid w:val="00E538FC"/>
    <w:rsid w:val="00E545FE"/>
    <w:rsid w:val="00E55630"/>
    <w:rsid w:val="00E572A2"/>
    <w:rsid w:val="00E60779"/>
    <w:rsid w:val="00E619A7"/>
    <w:rsid w:val="00E67034"/>
    <w:rsid w:val="00E674DF"/>
    <w:rsid w:val="00E677F2"/>
    <w:rsid w:val="00E67B77"/>
    <w:rsid w:val="00E71BF6"/>
    <w:rsid w:val="00E72670"/>
    <w:rsid w:val="00E747FA"/>
    <w:rsid w:val="00E7749A"/>
    <w:rsid w:val="00E77608"/>
    <w:rsid w:val="00E80CBD"/>
    <w:rsid w:val="00E82508"/>
    <w:rsid w:val="00E827D5"/>
    <w:rsid w:val="00E82ADE"/>
    <w:rsid w:val="00E87B1E"/>
    <w:rsid w:val="00E9078F"/>
    <w:rsid w:val="00E90B94"/>
    <w:rsid w:val="00E93640"/>
    <w:rsid w:val="00E93EDE"/>
    <w:rsid w:val="00E940EF"/>
    <w:rsid w:val="00EA00C7"/>
    <w:rsid w:val="00EA0103"/>
    <w:rsid w:val="00EA0F95"/>
    <w:rsid w:val="00EA3055"/>
    <w:rsid w:val="00EA3E0B"/>
    <w:rsid w:val="00EA45FE"/>
    <w:rsid w:val="00EA4DF9"/>
    <w:rsid w:val="00EA5771"/>
    <w:rsid w:val="00EB35BA"/>
    <w:rsid w:val="00EB396F"/>
    <w:rsid w:val="00EB3BF5"/>
    <w:rsid w:val="00EB7B26"/>
    <w:rsid w:val="00EC009C"/>
    <w:rsid w:val="00EC0373"/>
    <w:rsid w:val="00EC1C40"/>
    <w:rsid w:val="00EC4C9D"/>
    <w:rsid w:val="00EC6502"/>
    <w:rsid w:val="00ED438E"/>
    <w:rsid w:val="00ED7515"/>
    <w:rsid w:val="00EE0F87"/>
    <w:rsid w:val="00EE517F"/>
    <w:rsid w:val="00EE7941"/>
    <w:rsid w:val="00EF5608"/>
    <w:rsid w:val="00F00A69"/>
    <w:rsid w:val="00F00FFD"/>
    <w:rsid w:val="00F044EA"/>
    <w:rsid w:val="00F068C9"/>
    <w:rsid w:val="00F13BAA"/>
    <w:rsid w:val="00F13E87"/>
    <w:rsid w:val="00F143B9"/>
    <w:rsid w:val="00F147D7"/>
    <w:rsid w:val="00F155FA"/>
    <w:rsid w:val="00F165CC"/>
    <w:rsid w:val="00F169EF"/>
    <w:rsid w:val="00F21B1A"/>
    <w:rsid w:val="00F223BC"/>
    <w:rsid w:val="00F22479"/>
    <w:rsid w:val="00F26148"/>
    <w:rsid w:val="00F32830"/>
    <w:rsid w:val="00F3714C"/>
    <w:rsid w:val="00F42C94"/>
    <w:rsid w:val="00F53DC3"/>
    <w:rsid w:val="00F57D1D"/>
    <w:rsid w:val="00F60AFF"/>
    <w:rsid w:val="00F60C91"/>
    <w:rsid w:val="00F61062"/>
    <w:rsid w:val="00F639B1"/>
    <w:rsid w:val="00F671B1"/>
    <w:rsid w:val="00F671B8"/>
    <w:rsid w:val="00F67F94"/>
    <w:rsid w:val="00F7140A"/>
    <w:rsid w:val="00F72F04"/>
    <w:rsid w:val="00F733ED"/>
    <w:rsid w:val="00F75270"/>
    <w:rsid w:val="00F80A2C"/>
    <w:rsid w:val="00F85AFA"/>
    <w:rsid w:val="00F86705"/>
    <w:rsid w:val="00F917F3"/>
    <w:rsid w:val="00F94287"/>
    <w:rsid w:val="00F978BE"/>
    <w:rsid w:val="00F97E8D"/>
    <w:rsid w:val="00FA1573"/>
    <w:rsid w:val="00FA166C"/>
    <w:rsid w:val="00FA3584"/>
    <w:rsid w:val="00FA5755"/>
    <w:rsid w:val="00FA6E44"/>
    <w:rsid w:val="00FA7287"/>
    <w:rsid w:val="00FB1004"/>
    <w:rsid w:val="00FB2ECE"/>
    <w:rsid w:val="00FB3338"/>
    <w:rsid w:val="00FB68B3"/>
    <w:rsid w:val="00FB6958"/>
    <w:rsid w:val="00FC0220"/>
    <w:rsid w:val="00FC3137"/>
    <w:rsid w:val="00FC3500"/>
    <w:rsid w:val="00FC3780"/>
    <w:rsid w:val="00FC3904"/>
    <w:rsid w:val="00FC6C14"/>
    <w:rsid w:val="00FD18E5"/>
    <w:rsid w:val="00FD62C8"/>
    <w:rsid w:val="00FE066A"/>
    <w:rsid w:val="00FE18C9"/>
    <w:rsid w:val="00FF22F6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9D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86"/>
  </w:style>
  <w:style w:type="paragraph" w:styleId="Nagwek1">
    <w:name w:val="heading 1"/>
    <w:basedOn w:val="Normalny"/>
    <w:next w:val="Normalny"/>
    <w:link w:val="Nagwek1Znak"/>
    <w:uiPriority w:val="9"/>
    <w:qFormat/>
    <w:rsid w:val="00187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AF1"/>
    <w:rPr>
      <w:sz w:val="20"/>
      <w:szCs w:val="20"/>
    </w:rPr>
  </w:style>
  <w:style w:type="character" w:styleId="Odwoanieprzypisudolnego">
    <w:name w:val="footnote reference"/>
    <w:semiHidden/>
    <w:unhideWhenUsed/>
    <w:rsid w:val="00480A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7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B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D9"/>
  </w:style>
  <w:style w:type="paragraph" w:styleId="Stopka">
    <w:name w:val="footer"/>
    <w:basedOn w:val="Normalny"/>
    <w:link w:val="StopkaZnak"/>
    <w:uiPriority w:val="99"/>
    <w:unhideWhenUsed/>
    <w:rsid w:val="00875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D9"/>
  </w:style>
  <w:style w:type="character" w:styleId="Pogrubienie">
    <w:name w:val="Strong"/>
    <w:basedOn w:val="Domylnaczcionkaakapitu"/>
    <w:uiPriority w:val="22"/>
    <w:qFormat/>
    <w:rsid w:val="008266FE"/>
    <w:rPr>
      <w:b/>
      <w:bCs/>
    </w:rPr>
  </w:style>
  <w:style w:type="paragraph" w:customStyle="1" w:styleId="ODNONIKtreodnonika">
    <w:name w:val="ODNOŚNIK – treść odnośnika"/>
    <w:uiPriority w:val="24"/>
    <w:qFormat/>
    <w:rsid w:val="00981B4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31515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423133"/>
    <w:pPr>
      <w:spacing w:after="0" w:line="240" w:lineRule="auto"/>
    </w:pPr>
    <w:rPr>
      <w:rFonts w:ascii="Calibri" w:eastAsia="Times New Roman" w:hAnsi="Calibri" w:cs="Arial"/>
      <w:bCs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4367F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7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65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8CED-6AD3-42E9-BC3E-A6624217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5853</Words>
  <Characters>35124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2024-01-08T12:25:00Z</dcterms:created>
  <dcterms:modified xsi:type="dcterms:W3CDTF">2024-01-08T12:25:00Z</dcterms:modified>
</cp:coreProperties>
</file>