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AF17" w14:textId="4493FC99" w:rsidR="00464D95" w:rsidRDefault="00464D95" w:rsidP="00A85B08">
      <w:pPr>
        <w:pStyle w:val="OZNPROJEKTUwskazaniedatylubwersjiprojektu"/>
      </w:pPr>
      <w:r>
        <w:t>Projekt</w:t>
      </w:r>
      <w:r w:rsidR="00A24E2B">
        <w:t xml:space="preserve"> z </w:t>
      </w:r>
      <w:r>
        <w:t xml:space="preserve">dnia </w:t>
      </w:r>
      <w:r w:rsidR="00BD0B5F">
        <w:t>31</w:t>
      </w:r>
      <w:r w:rsidR="00DF63CA">
        <w:t>.10</w:t>
      </w:r>
      <w:r>
        <w:t>.202</w:t>
      </w:r>
      <w:r w:rsidR="00A24E2B">
        <w:t>3 </w:t>
      </w:r>
      <w:r>
        <w:t>r.</w:t>
      </w:r>
    </w:p>
    <w:p w14:paraId="2443AF2B" w14:textId="77777777" w:rsidR="00464D95" w:rsidRDefault="00464D95" w:rsidP="00A85B08">
      <w:pPr>
        <w:pStyle w:val="OZNRODZAKTUtznustawalubrozporzdzenieiorganwydajcy"/>
      </w:pPr>
      <w:r w:rsidRPr="00224B3C">
        <w:t xml:space="preserve">Rozporządzenie </w:t>
      </w:r>
    </w:p>
    <w:p w14:paraId="53A3C5BC" w14:textId="700D5CAE" w:rsidR="00464D95" w:rsidRPr="00A8403A" w:rsidRDefault="00464D95" w:rsidP="00A8403A">
      <w:pPr>
        <w:pStyle w:val="OZNRODZAKTUtznustawalubrozporzdzenieiorganwydajcy"/>
      </w:pPr>
      <w:r w:rsidRPr="00224B3C">
        <w:t>Ministra</w:t>
      </w:r>
      <w:r>
        <w:t xml:space="preserve"> </w:t>
      </w:r>
      <w:r w:rsidRPr="00A85B08">
        <w:t>Rozwoju</w:t>
      </w:r>
      <w:r>
        <w:t xml:space="preserve"> i </w:t>
      </w:r>
      <w:r w:rsidR="00DD5426">
        <w:t>T</w:t>
      </w:r>
      <w:r w:rsidR="00DD5426" w:rsidRPr="00C04E19">
        <w:t>ECHNOLOGII</w:t>
      </w:r>
      <w:r w:rsidR="00A8403A">
        <w:rPr>
          <w:rStyle w:val="Odwoanieprzypisudolnego"/>
          <w:b w:val="0"/>
          <w:spacing w:val="0"/>
        </w:rPr>
        <w:footnoteReference w:id="1"/>
      </w:r>
      <w:r w:rsidR="00A8403A">
        <w:rPr>
          <w:rStyle w:val="IGindeksgrny"/>
        </w:rPr>
        <w:t>)</w:t>
      </w:r>
    </w:p>
    <w:p w14:paraId="4CE59137" w14:textId="6705A939" w:rsidR="00464D95" w:rsidRPr="001F663E" w:rsidRDefault="00464D95" w:rsidP="00A85B08">
      <w:pPr>
        <w:pStyle w:val="DATAAKTUdatauchwalenialubwydaniaaktu"/>
      </w:pPr>
      <w:r w:rsidRPr="001F663E">
        <w:t>z dnia ………..</w:t>
      </w:r>
      <w:r w:rsidR="00A8403A">
        <w:t xml:space="preserve"> </w:t>
      </w:r>
      <w:r w:rsidRPr="001F663E">
        <w:t>202</w:t>
      </w:r>
      <w:r w:rsidR="00A24E2B">
        <w:t>3 </w:t>
      </w:r>
      <w:r w:rsidRPr="001F663E">
        <w:t>r.</w:t>
      </w:r>
    </w:p>
    <w:p w14:paraId="1E00D59B" w14:textId="353C1550" w:rsidR="00464D95" w:rsidRPr="001F663E" w:rsidRDefault="00464D95" w:rsidP="00A85B08">
      <w:pPr>
        <w:pStyle w:val="TYTUAKTUprzedmiotregulacjiustawylubrozporzdzenia"/>
      </w:pPr>
      <w:r w:rsidRPr="007B6D2A">
        <w:t xml:space="preserve">w sprawie sposobu </w:t>
      </w:r>
      <w:r>
        <w:t xml:space="preserve">wyznaczania </w:t>
      </w:r>
      <w:r w:rsidRPr="00A85B08">
        <w:t>granic</w:t>
      </w:r>
      <w:r>
        <w:t xml:space="preserve"> obszaru uzupełnienia zabudowy</w:t>
      </w:r>
      <w:r w:rsidR="00A24E2B">
        <w:t xml:space="preserve"> w </w:t>
      </w:r>
      <w:r>
        <w:t xml:space="preserve">planie ogólnym </w:t>
      </w:r>
      <w:r w:rsidRPr="007B6D2A">
        <w:t>gminy</w:t>
      </w:r>
    </w:p>
    <w:p w14:paraId="210F60FE" w14:textId="12CC1005" w:rsidR="00464D95" w:rsidRPr="00A85B08" w:rsidRDefault="00464D95" w:rsidP="00A85B08">
      <w:pPr>
        <w:pStyle w:val="NIEARTTEKSTtekstnieartykuowanynppodstprawnarozplubpreambua"/>
      </w:pPr>
      <w:r w:rsidRPr="00A85B08">
        <w:t>Na podstawie</w:t>
      </w:r>
      <w:r w:rsidR="00A24E2B">
        <w:t xml:space="preserve"> art. </w:t>
      </w:r>
      <w:r w:rsidRPr="00A85B08">
        <w:t>13m</w:t>
      </w:r>
      <w:r w:rsidR="00A24E2B">
        <w:t xml:space="preserve"> ust. </w:t>
      </w:r>
      <w:r w:rsidR="00A24E2B" w:rsidRPr="00A85B08">
        <w:t>1</w:t>
      </w:r>
      <w:r w:rsidR="00A24E2B">
        <w:t> </w:t>
      </w:r>
      <w:r w:rsidRPr="00A85B08">
        <w:t>ustawy</w:t>
      </w:r>
      <w:r w:rsidR="00A24E2B" w:rsidRPr="00A85B08">
        <w:t xml:space="preserve"> z</w:t>
      </w:r>
      <w:r w:rsidR="00A24E2B">
        <w:t> </w:t>
      </w:r>
      <w:r w:rsidRPr="00A85B08">
        <w:t>dnia 2</w:t>
      </w:r>
      <w:r w:rsidR="00A24E2B" w:rsidRPr="00A85B08">
        <w:t>7</w:t>
      </w:r>
      <w:r w:rsidR="00A24E2B">
        <w:t> </w:t>
      </w:r>
      <w:r w:rsidRPr="00A85B08">
        <w:t>marca 200</w:t>
      </w:r>
      <w:r w:rsidR="00A24E2B" w:rsidRPr="00A85B08">
        <w:t>3</w:t>
      </w:r>
      <w:r w:rsidR="00A24E2B">
        <w:t> </w:t>
      </w:r>
      <w:r w:rsidRPr="00A85B08">
        <w:t>r.</w:t>
      </w:r>
      <w:r w:rsidR="00A24E2B" w:rsidRPr="00A85B08">
        <w:t xml:space="preserve"> o</w:t>
      </w:r>
      <w:r w:rsidR="00A24E2B">
        <w:t> </w:t>
      </w:r>
      <w:r w:rsidRPr="00A85B08">
        <w:t>planowaniu i zagospodarowaniu przestrzennym (</w:t>
      </w:r>
      <w:r w:rsidR="00A24E2B">
        <w:t>Dz. U.</w:t>
      </w:r>
      <w:r w:rsidR="00A24E2B" w:rsidRPr="00A85B08">
        <w:t xml:space="preserve"> z</w:t>
      </w:r>
      <w:r w:rsidR="00A24E2B">
        <w:t> </w:t>
      </w:r>
      <w:r w:rsidRPr="00A85B08">
        <w:t>202</w:t>
      </w:r>
      <w:r w:rsidR="00A24E2B" w:rsidRPr="00A85B08">
        <w:t>3</w:t>
      </w:r>
      <w:r w:rsidR="00A24E2B">
        <w:t> </w:t>
      </w:r>
      <w:r w:rsidRPr="00A85B08">
        <w:t>r.</w:t>
      </w:r>
      <w:r w:rsidR="00A24E2B">
        <w:t xml:space="preserve"> poz. </w:t>
      </w:r>
      <w:r w:rsidRPr="00A85B08">
        <w:t>977, 1506, 1597, 1688</w:t>
      </w:r>
      <w:r w:rsidR="00E66160">
        <w:t>,</w:t>
      </w:r>
      <w:r w:rsidRPr="00A85B08">
        <w:t xml:space="preserve"> 189</w:t>
      </w:r>
      <w:r w:rsidR="00A24E2B" w:rsidRPr="00A85B08">
        <w:t>0</w:t>
      </w:r>
      <w:r w:rsidR="00A24E2B">
        <w:t xml:space="preserve"> i </w:t>
      </w:r>
      <w:r w:rsidR="00E66160">
        <w:t>2029</w:t>
      </w:r>
      <w:r w:rsidRPr="00A85B08">
        <w:t>) zarządza się, co następuje:</w:t>
      </w:r>
    </w:p>
    <w:p w14:paraId="6608C743" w14:textId="7D8C59ED" w:rsidR="00464D95" w:rsidRDefault="00464D95" w:rsidP="00A85B08">
      <w:pPr>
        <w:pStyle w:val="ARTartustawynprozporzdzenia"/>
      </w:pPr>
      <w:r w:rsidRPr="007B6D2A">
        <w:rPr>
          <w:rStyle w:val="Ppogrubienie"/>
        </w:rPr>
        <w:t>§</w:t>
      </w:r>
      <w:r>
        <w:rPr>
          <w:rStyle w:val="Ppogrubienie"/>
        </w:rPr>
        <w:t> </w:t>
      </w:r>
      <w:r w:rsidRPr="007B6D2A">
        <w:rPr>
          <w:rStyle w:val="Ppogrubienie"/>
        </w:rPr>
        <w:t>1.</w:t>
      </w:r>
      <w:r>
        <w:t xml:space="preserve"> 1.</w:t>
      </w:r>
      <w:r w:rsidR="00A24E2B">
        <w:t xml:space="preserve"> W </w:t>
      </w:r>
      <w:r>
        <w:t>celu wyznaczenia granic obszaru uzupełnienia zabudowy</w:t>
      </w:r>
      <w:r w:rsidR="00A24E2B">
        <w:t xml:space="preserve"> w </w:t>
      </w:r>
      <w:r>
        <w:t>planie ogólnym gminy:</w:t>
      </w:r>
    </w:p>
    <w:p w14:paraId="79D1511E" w14:textId="7C88E024" w:rsidR="00464D95" w:rsidRPr="00464D95" w:rsidRDefault="00464D95" w:rsidP="00A85B08">
      <w:pPr>
        <w:pStyle w:val="PKTpunkt"/>
      </w:pPr>
      <w:r>
        <w:t>1)</w:t>
      </w:r>
      <w:r>
        <w:tab/>
        <w:t xml:space="preserve">określa się zgrupowania nie mniej niż </w:t>
      </w:r>
      <w:r w:rsidR="00A24E2B">
        <w:t>5 </w:t>
      </w:r>
      <w:r>
        <w:t>budynków</w:t>
      </w:r>
      <w:r w:rsidRPr="00464D95">
        <w:t>,</w:t>
      </w:r>
      <w:r w:rsidR="00A24E2B" w:rsidRPr="00464D95">
        <w:t xml:space="preserve"> w</w:t>
      </w:r>
      <w:r w:rsidR="00A24E2B">
        <w:t> </w:t>
      </w:r>
      <w:r w:rsidRPr="00464D95">
        <w:t>których odległość między sąsiadującymi ze sobą budynkami nie przekracza 10</w:t>
      </w:r>
      <w:r w:rsidR="00A24E2B" w:rsidRPr="00464D95">
        <w:t>0</w:t>
      </w:r>
      <w:r w:rsidR="00A24E2B">
        <w:t> </w:t>
      </w:r>
      <w:r w:rsidRPr="00464D95">
        <w:t>m, przy czym uwzględnia się następujące rodzaje budynków według Klasyfikacji Środków Trwałych,</w:t>
      </w:r>
      <w:r w:rsidR="00A24E2B" w:rsidRPr="00464D95">
        <w:t xml:space="preserve"> o</w:t>
      </w:r>
      <w:r w:rsidR="00A24E2B">
        <w:t> </w:t>
      </w:r>
      <w:r w:rsidRPr="00464D95">
        <w:t>której mowa w przepisach wydanych na podstawie</w:t>
      </w:r>
      <w:r w:rsidR="00A24E2B">
        <w:t xml:space="preserve"> art. </w:t>
      </w:r>
      <w:r w:rsidRPr="00464D95">
        <w:t>4</w:t>
      </w:r>
      <w:r w:rsidR="00A24E2B" w:rsidRPr="00464D95">
        <w:t>0</w:t>
      </w:r>
      <w:r w:rsidR="00A24E2B">
        <w:t xml:space="preserve"> ust. </w:t>
      </w:r>
      <w:r w:rsidR="00A24E2B" w:rsidRPr="00464D95">
        <w:t>2</w:t>
      </w:r>
      <w:r w:rsidR="00A24E2B">
        <w:t> </w:t>
      </w:r>
      <w:r w:rsidRPr="00464D95">
        <w:t>ustawy</w:t>
      </w:r>
      <w:r w:rsidR="00A24E2B" w:rsidRPr="00464D95">
        <w:t xml:space="preserve"> z</w:t>
      </w:r>
      <w:r w:rsidR="00A24E2B">
        <w:t> </w:t>
      </w:r>
      <w:r w:rsidRPr="00464D95">
        <w:t>dnia 2</w:t>
      </w:r>
      <w:r w:rsidR="00A24E2B" w:rsidRPr="00464D95">
        <w:t>9</w:t>
      </w:r>
      <w:r w:rsidR="00A24E2B">
        <w:t> </w:t>
      </w:r>
      <w:r w:rsidRPr="00464D95">
        <w:t>czerwca 199</w:t>
      </w:r>
      <w:r w:rsidR="00A24E2B" w:rsidRPr="00464D95">
        <w:t>5</w:t>
      </w:r>
      <w:r w:rsidR="00A24E2B">
        <w:t> </w:t>
      </w:r>
      <w:r w:rsidRPr="00464D95">
        <w:t>r. o statystyce publicznej (</w:t>
      </w:r>
      <w:r w:rsidR="00A24E2B">
        <w:t>Dz. U.</w:t>
      </w:r>
      <w:r w:rsidR="00A24E2B" w:rsidRPr="00464D95">
        <w:t xml:space="preserve"> z</w:t>
      </w:r>
      <w:r w:rsidR="00A24E2B">
        <w:t> </w:t>
      </w:r>
      <w:r w:rsidRPr="00464D95">
        <w:t>202</w:t>
      </w:r>
      <w:r w:rsidR="00A24E2B" w:rsidRPr="00464D95">
        <w:t>3</w:t>
      </w:r>
      <w:r w:rsidR="00A24E2B">
        <w:t> </w:t>
      </w:r>
      <w:r w:rsidRPr="00464D95">
        <w:t>r.</w:t>
      </w:r>
      <w:r w:rsidR="00A24E2B">
        <w:t xml:space="preserve"> poz. </w:t>
      </w:r>
      <w:r w:rsidRPr="00464D95">
        <w:t>773):</w:t>
      </w:r>
    </w:p>
    <w:p w14:paraId="6E21EECC" w14:textId="77FB9838" w:rsidR="00464D95" w:rsidRDefault="00464D95" w:rsidP="00F902A6">
      <w:pPr>
        <w:pStyle w:val="LITlitera"/>
      </w:pPr>
      <w:r>
        <w:t>a)</w:t>
      </w:r>
      <w:r>
        <w:tab/>
      </w:r>
      <w:r w:rsidRPr="00F902A6">
        <w:t>budynki</w:t>
      </w:r>
      <w:r>
        <w:t xml:space="preserve"> przemysłowe</w:t>
      </w:r>
      <w:r w:rsidR="00A24E2B">
        <w:t xml:space="preserve"> o </w:t>
      </w:r>
      <w:r>
        <w:t>symbolu 101,</w:t>
      </w:r>
    </w:p>
    <w:p w14:paraId="26D2EE8A" w14:textId="66DFF5E8" w:rsidR="00464D95" w:rsidRDefault="00464D95" w:rsidP="00F902A6">
      <w:pPr>
        <w:pStyle w:val="LITlitera"/>
      </w:pPr>
      <w:r>
        <w:t>b)</w:t>
      </w:r>
      <w:r>
        <w:tab/>
      </w:r>
      <w:r w:rsidRPr="00F902A6">
        <w:t>budynki</w:t>
      </w:r>
      <w:r>
        <w:t xml:space="preserve"> handlowo</w:t>
      </w:r>
      <w:r w:rsidR="00A24E2B">
        <w:softHyphen/>
      </w:r>
      <w:r w:rsidR="00A24E2B">
        <w:noBreakHyphen/>
      </w:r>
      <w:r>
        <w:t>usługowe</w:t>
      </w:r>
      <w:r w:rsidR="00A24E2B">
        <w:t xml:space="preserve"> o </w:t>
      </w:r>
      <w:r>
        <w:t>symbolu 103,</w:t>
      </w:r>
    </w:p>
    <w:p w14:paraId="0515E34D" w14:textId="75BE5FAD" w:rsidR="00464D95" w:rsidRDefault="00464D95" w:rsidP="00F902A6">
      <w:pPr>
        <w:pStyle w:val="LITlitera"/>
      </w:pPr>
      <w:r>
        <w:t>c)</w:t>
      </w:r>
      <w:r>
        <w:tab/>
        <w:t>budynki biurowe</w:t>
      </w:r>
      <w:r w:rsidR="00A24E2B">
        <w:t xml:space="preserve"> o </w:t>
      </w:r>
      <w:r w:rsidRPr="00F902A6">
        <w:t>symbolu</w:t>
      </w:r>
      <w:r>
        <w:t xml:space="preserve"> 105,</w:t>
      </w:r>
    </w:p>
    <w:p w14:paraId="33BDB92C" w14:textId="2EDD38A6" w:rsidR="00464D95" w:rsidRDefault="00464D95" w:rsidP="00F902A6">
      <w:pPr>
        <w:pStyle w:val="LITlitera"/>
      </w:pPr>
      <w:r>
        <w:t>d)</w:t>
      </w:r>
      <w:r>
        <w:tab/>
        <w:t>budynki szpitali</w:t>
      </w:r>
      <w:r w:rsidR="00A24E2B">
        <w:t xml:space="preserve"> i </w:t>
      </w:r>
      <w:r w:rsidRPr="00F902A6">
        <w:t>inne</w:t>
      </w:r>
      <w:r>
        <w:t xml:space="preserve"> opieki zdrowotnej</w:t>
      </w:r>
      <w:r w:rsidR="00A24E2B">
        <w:t xml:space="preserve"> o </w:t>
      </w:r>
      <w:r>
        <w:t>symbolu 106,</w:t>
      </w:r>
    </w:p>
    <w:p w14:paraId="1075894E" w14:textId="1FB1024B" w:rsidR="00464D95" w:rsidRDefault="00464D95" w:rsidP="00F902A6">
      <w:pPr>
        <w:pStyle w:val="LITlitera"/>
      </w:pPr>
      <w:r>
        <w:t>e)</w:t>
      </w:r>
      <w:r>
        <w:tab/>
        <w:t xml:space="preserve">budynki oświaty, </w:t>
      </w:r>
      <w:r w:rsidRPr="00F902A6">
        <w:t>nauki</w:t>
      </w:r>
      <w:r w:rsidR="00A24E2B">
        <w:t xml:space="preserve"> i </w:t>
      </w:r>
      <w:r>
        <w:t>kultury oraz budynki sportowe</w:t>
      </w:r>
      <w:r w:rsidR="00A24E2B">
        <w:t xml:space="preserve"> o </w:t>
      </w:r>
      <w:r>
        <w:t>symbolu 107,</w:t>
      </w:r>
    </w:p>
    <w:p w14:paraId="08213148" w14:textId="27C931CE" w:rsidR="00464D95" w:rsidRDefault="00464D95" w:rsidP="00F902A6">
      <w:pPr>
        <w:pStyle w:val="LITlitera"/>
      </w:pPr>
      <w:r>
        <w:t>f)</w:t>
      </w:r>
      <w:r>
        <w:tab/>
        <w:t xml:space="preserve">pozostałe budynki </w:t>
      </w:r>
      <w:r w:rsidRPr="00F902A6">
        <w:t>niemieszkalne</w:t>
      </w:r>
      <w:r w:rsidR="00A24E2B">
        <w:t xml:space="preserve"> o </w:t>
      </w:r>
      <w:r>
        <w:t>symbolu 109,</w:t>
      </w:r>
    </w:p>
    <w:p w14:paraId="7C6C569E" w14:textId="54B8CA3B" w:rsidR="00464D95" w:rsidRDefault="00464D95" w:rsidP="00F902A6">
      <w:pPr>
        <w:pStyle w:val="LITlitera"/>
      </w:pPr>
      <w:r>
        <w:t>g)</w:t>
      </w:r>
      <w:r>
        <w:tab/>
        <w:t>budynki mieszkalne</w:t>
      </w:r>
      <w:r w:rsidR="00A24E2B">
        <w:t xml:space="preserve"> o </w:t>
      </w:r>
      <w:r>
        <w:t>symbolu 110;</w:t>
      </w:r>
    </w:p>
    <w:p w14:paraId="6343E5D4" w14:textId="1E586B67" w:rsidR="00464D95" w:rsidRDefault="00464D95" w:rsidP="00F902A6">
      <w:pPr>
        <w:pStyle w:val="PKTpunkt"/>
      </w:pPr>
      <w:r>
        <w:t>2)</w:t>
      </w:r>
      <w:r>
        <w:tab/>
        <w:t>wyznacza się obszar ograniczony krzywą poprowadzoną</w:t>
      </w:r>
      <w:r w:rsidR="00A24E2B">
        <w:t xml:space="preserve"> w </w:t>
      </w:r>
      <w:r>
        <w:t>odległości 5</w:t>
      </w:r>
      <w:r w:rsidR="00A24E2B">
        <w:t>0 </w:t>
      </w:r>
      <w:r>
        <w:t>m od obrysu budynków położonych</w:t>
      </w:r>
      <w:r w:rsidR="00A24E2B">
        <w:t xml:space="preserve"> w </w:t>
      </w:r>
      <w:r>
        <w:t>zgrupowaniach,</w:t>
      </w:r>
      <w:r w:rsidR="00A24E2B">
        <w:t xml:space="preserve"> o </w:t>
      </w:r>
      <w:r>
        <w:t>których mowa</w:t>
      </w:r>
      <w:r w:rsidR="00A24E2B">
        <w:t xml:space="preserve"> pkt </w:t>
      </w:r>
      <w:r>
        <w:t>1;</w:t>
      </w:r>
    </w:p>
    <w:p w14:paraId="3ED4EEBA" w14:textId="1506C906" w:rsidR="00464D95" w:rsidRDefault="00464D95" w:rsidP="00F902A6">
      <w:pPr>
        <w:pStyle w:val="PKTpunkt"/>
      </w:pPr>
      <w:r>
        <w:t>3)</w:t>
      </w:r>
      <w:r>
        <w:tab/>
        <w:t>do wyznaczonego</w:t>
      </w:r>
      <w:r w:rsidR="00A24E2B">
        <w:t xml:space="preserve"> w pkt 2 </w:t>
      </w:r>
      <w:r>
        <w:t>obszaru dodaje się obszary</w:t>
      </w:r>
      <w:r w:rsidR="00A24E2B">
        <w:t xml:space="preserve"> o </w:t>
      </w:r>
      <w:r>
        <w:t xml:space="preserve">jednostkowej powierzchni nie większej niż </w:t>
      </w:r>
      <w:r w:rsidR="00A24E2B">
        <w:t>5 </w:t>
      </w:r>
      <w:r>
        <w:t>00</w:t>
      </w:r>
      <w:r w:rsidR="00A24E2B">
        <w:t>0 </w:t>
      </w:r>
      <w:r>
        <w:t>m² ograniczone</w:t>
      </w:r>
      <w:r w:rsidR="00A24E2B">
        <w:t xml:space="preserve"> z </w:t>
      </w:r>
      <w:r>
        <w:t>każdej strony krzywą,</w:t>
      </w:r>
      <w:r w:rsidR="00A24E2B">
        <w:t xml:space="preserve"> o </w:t>
      </w:r>
      <w:r>
        <w:t>której mowa</w:t>
      </w:r>
      <w:r w:rsidR="00A24E2B">
        <w:t xml:space="preserve"> w pkt </w:t>
      </w:r>
      <w:r>
        <w:t>2;</w:t>
      </w:r>
    </w:p>
    <w:p w14:paraId="09D720F4" w14:textId="79333396" w:rsidR="00464D95" w:rsidRDefault="00464D95" w:rsidP="00F902A6">
      <w:pPr>
        <w:pStyle w:val="PKTpunkt"/>
      </w:pPr>
      <w:r>
        <w:lastRenderedPageBreak/>
        <w:t>4)</w:t>
      </w:r>
      <w:r>
        <w:tab/>
        <w:t xml:space="preserve">wewnątrz obszaru, który </w:t>
      </w:r>
      <w:r w:rsidRPr="00F902A6">
        <w:t>powstał</w:t>
      </w:r>
      <w:r w:rsidR="00A24E2B">
        <w:t xml:space="preserve"> w </w:t>
      </w:r>
      <w:r>
        <w:t>wyniku wykonania czynności,</w:t>
      </w:r>
      <w:r w:rsidR="00A24E2B">
        <w:t xml:space="preserve"> o </w:t>
      </w:r>
      <w:r>
        <w:t>których mowa</w:t>
      </w:r>
      <w:r w:rsidR="00A24E2B">
        <w:t xml:space="preserve"> w pkt 2 i </w:t>
      </w:r>
      <w:r>
        <w:t>3, wyznacza się krzywą poprowadzoną</w:t>
      </w:r>
      <w:r w:rsidR="00A24E2B">
        <w:t xml:space="preserve"> w </w:t>
      </w:r>
      <w:r>
        <w:t>odległości 4</w:t>
      </w:r>
      <w:r w:rsidR="00A24E2B">
        <w:t>0 </w:t>
      </w:r>
      <w:r>
        <w:t>m od granicy tego obszaru;</w:t>
      </w:r>
    </w:p>
    <w:p w14:paraId="1D17D9C7" w14:textId="0B4C2B57" w:rsidR="00464D95" w:rsidRDefault="00464D95" w:rsidP="00464D95">
      <w:pPr>
        <w:pStyle w:val="PKTpunkt"/>
      </w:pPr>
      <w:r>
        <w:t>5)</w:t>
      </w:r>
      <w:r>
        <w:tab/>
        <w:t>od obszaru, który powstał</w:t>
      </w:r>
      <w:r w:rsidR="00A24E2B">
        <w:t xml:space="preserve"> w </w:t>
      </w:r>
      <w:r>
        <w:t>wyniku wykonania czynności,</w:t>
      </w:r>
      <w:r w:rsidR="00A24E2B">
        <w:t xml:space="preserve"> o </w:t>
      </w:r>
      <w:r>
        <w:t>których mowa</w:t>
      </w:r>
      <w:r w:rsidR="00A24E2B">
        <w:t xml:space="preserve"> w pkt 2 i </w:t>
      </w:r>
      <w:r>
        <w:t>3</w:t>
      </w:r>
      <w:r w:rsidRPr="00784D08">
        <w:t xml:space="preserve">, odejmuje się </w:t>
      </w:r>
      <w:r>
        <w:t>obszar znajdujący się między krzywą,</w:t>
      </w:r>
      <w:r w:rsidR="00A24E2B">
        <w:t xml:space="preserve"> o </w:t>
      </w:r>
      <w:r>
        <w:t>której mowa</w:t>
      </w:r>
      <w:r w:rsidR="00A24E2B">
        <w:t xml:space="preserve"> w pkt </w:t>
      </w:r>
      <w:r>
        <w:t>2, oraz krzywą,</w:t>
      </w:r>
      <w:r w:rsidR="00A24E2B">
        <w:t xml:space="preserve"> o </w:t>
      </w:r>
      <w:r>
        <w:t>której mowa</w:t>
      </w:r>
      <w:r w:rsidR="00A24E2B">
        <w:t xml:space="preserve"> w pkt </w:t>
      </w:r>
      <w:r>
        <w:t>4.</w:t>
      </w:r>
    </w:p>
    <w:p w14:paraId="370A766B" w14:textId="5D8DA72F" w:rsidR="00464D95" w:rsidRDefault="00464D95" w:rsidP="00F902A6">
      <w:pPr>
        <w:pStyle w:val="USTustnpkodeksu"/>
      </w:pPr>
      <w:r>
        <w:t xml:space="preserve">2. Obszar uzupełnienia </w:t>
      </w:r>
      <w:r w:rsidRPr="00F902A6">
        <w:t>zabudowy</w:t>
      </w:r>
      <w:r>
        <w:t xml:space="preserve"> wyznaczony</w:t>
      </w:r>
      <w:r w:rsidR="00A24E2B">
        <w:t xml:space="preserve"> w </w:t>
      </w:r>
      <w:r>
        <w:t>sposób,</w:t>
      </w:r>
      <w:r w:rsidR="00A24E2B">
        <w:t xml:space="preserve"> o </w:t>
      </w:r>
      <w:r>
        <w:t>którym mowa</w:t>
      </w:r>
      <w:r w:rsidR="00A24E2B">
        <w:t xml:space="preserve"> w ust. </w:t>
      </w:r>
      <w:r>
        <w:t>1, można ograniczać</w:t>
      </w:r>
      <w:r w:rsidR="00F902A6">
        <w:t>.</w:t>
      </w:r>
    </w:p>
    <w:p w14:paraId="276DB985" w14:textId="799D106D" w:rsidR="00464D95" w:rsidRDefault="00464D95" w:rsidP="00F902A6">
      <w:pPr>
        <w:pStyle w:val="USTustnpkodeksu"/>
      </w:pPr>
      <w:r>
        <w:t xml:space="preserve">3. Dopuszcza się </w:t>
      </w:r>
      <w:r w:rsidRPr="00F902A6">
        <w:t>rozszerzenie</w:t>
      </w:r>
      <w:r>
        <w:t xml:space="preserve"> granic obszaru </w:t>
      </w:r>
      <w:r w:rsidRPr="00F902A6">
        <w:t>uzupełnienia</w:t>
      </w:r>
      <w:r>
        <w:t xml:space="preserve"> zabudowy wyznaczonego w sposób,</w:t>
      </w:r>
      <w:r w:rsidR="00A24E2B">
        <w:t xml:space="preserve"> o </w:t>
      </w:r>
      <w:r>
        <w:t>którym mowa</w:t>
      </w:r>
      <w:r w:rsidR="00A24E2B">
        <w:t xml:space="preserve"> w ust. </w:t>
      </w:r>
      <w:r>
        <w:t>1, uwzględniając lokalne uwarunkowania, jednak nie więcej niż</w:t>
      </w:r>
      <w:r w:rsidR="00A24E2B">
        <w:t xml:space="preserve"> o </w:t>
      </w:r>
      <w:r w:rsidRPr="00586502">
        <w:t>obszar</w:t>
      </w:r>
      <w:r w:rsidR="00A24E2B" w:rsidRPr="00586502">
        <w:t xml:space="preserve"> o</w:t>
      </w:r>
      <w:r w:rsidR="00A24E2B">
        <w:t> </w:t>
      </w:r>
      <w:r w:rsidRPr="00586502">
        <w:t>powierzchni obliczonej na podstawie wzoru:</w:t>
      </w:r>
    </w:p>
    <w:p w14:paraId="3772E435" w14:textId="1E2ABBB2" w:rsidR="00464D95" w:rsidRDefault="00464D95" w:rsidP="00A8403A">
      <w:pPr>
        <w:pStyle w:val="WMATFIZCHEMwzrmatfizlubchem"/>
      </w:pPr>
      <w:r>
        <w:t>P</w:t>
      </w:r>
      <w:r w:rsidRPr="00464D95">
        <w:rPr>
          <w:rStyle w:val="IDindeksdolny"/>
        </w:rPr>
        <w:t>p</w:t>
      </w:r>
      <w:r w:rsidRPr="00464D95">
        <w:t xml:space="preserve"> = 25% * (P</w:t>
      </w:r>
      <w:r w:rsidRPr="00464D95">
        <w:rPr>
          <w:rStyle w:val="IDindeksdolny"/>
        </w:rPr>
        <w:t>b</w:t>
      </w:r>
      <w:r w:rsidRPr="00464D95">
        <w:t xml:space="preserve"> – P</w:t>
      </w:r>
      <w:r w:rsidRPr="00464D95">
        <w:rPr>
          <w:rStyle w:val="IDindeksdolny"/>
        </w:rPr>
        <w:t>u</w:t>
      </w:r>
      <w:r w:rsidRPr="00464D95">
        <w:t>)</w:t>
      </w:r>
    </w:p>
    <w:p w14:paraId="69399B27" w14:textId="777950F2" w:rsidR="0042459C" w:rsidRPr="0042459C" w:rsidRDefault="0042459C" w:rsidP="00A8403A">
      <w:pPr>
        <w:pStyle w:val="NIEARTTEKSTtekstnieartykuowanynppodstprawnarozplubpreambua"/>
      </w:pPr>
      <w:r>
        <w:t>gdzie:</w:t>
      </w:r>
    </w:p>
    <w:p w14:paraId="4DA98445" w14:textId="745352D8" w:rsidR="00464D95" w:rsidRPr="00586502" w:rsidRDefault="00464D95" w:rsidP="00A8403A">
      <w:pPr>
        <w:pStyle w:val="LEGWMATFIZCHEMlegendawzorumatfizlubchem"/>
      </w:pPr>
      <w:r w:rsidRPr="00586502">
        <w:t>P</w:t>
      </w:r>
      <w:r>
        <w:rPr>
          <w:rStyle w:val="IDindeksdolny"/>
        </w:rPr>
        <w:t>p</w:t>
      </w:r>
      <w:r>
        <w:t xml:space="preserve"> </w:t>
      </w:r>
      <w:r w:rsidRPr="00586502">
        <w:t>–</w:t>
      </w:r>
      <w:r w:rsidR="00A24E2B">
        <w:tab/>
      </w:r>
      <w:r w:rsidRPr="00586502">
        <w:t>maksymalna powierzchnia powiększenia obszaru uzupełnienia zabudowy wyznaczonego</w:t>
      </w:r>
      <w:r w:rsidR="00A24E2B" w:rsidRPr="00586502">
        <w:t xml:space="preserve"> w</w:t>
      </w:r>
      <w:r w:rsidR="00A24E2B">
        <w:t> </w:t>
      </w:r>
      <w:r w:rsidRPr="00586502">
        <w:t>sposób</w:t>
      </w:r>
      <w:r>
        <w:t>,</w:t>
      </w:r>
      <w:r w:rsidR="00A24E2B" w:rsidRPr="00586502">
        <w:t xml:space="preserve"> </w:t>
      </w:r>
      <w:r w:rsidR="00A24E2B">
        <w:t>o </w:t>
      </w:r>
      <w:r>
        <w:t>którym mowa</w:t>
      </w:r>
      <w:r w:rsidR="00A24E2B">
        <w:t xml:space="preserve"> </w:t>
      </w:r>
      <w:r w:rsidR="00A24E2B" w:rsidRPr="00586502">
        <w:t>w</w:t>
      </w:r>
      <w:r w:rsidR="00A24E2B">
        <w:t> ust. </w:t>
      </w:r>
      <w:r w:rsidRPr="00586502">
        <w:t>1</w:t>
      </w:r>
      <w:r>
        <w:t>,</w:t>
      </w:r>
      <w:r w:rsidR="00A24E2B" w:rsidRPr="00586502">
        <w:t xml:space="preserve"> w</w:t>
      </w:r>
      <w:r w:rsidR="00A24E2B">
        <w:t> </w:t>
      </w:r>
      <w:r w:rsidRPr="00586502">
        <w:t>wyniku rozszerzenia jego granic</w:t>
      </w:r>
      <w:r w:rsidR="00E66160">
        <w:t>,</w:t>
      </w:r>
      <w:r w:rsidRPr="00586502">
        <w:t xml:space="preserve"> </w:t>
      </w:r>
    </w:p>
    <w:p w14:paraId="7B441BB0" w14:textId="3E51773C" w:rsidR="00464D95" w:rsidRPr="00586502" w:rsidRDefault="00464D95" w:rsidP="00A8403A">
      <w:pPr>
        <w:pStyle w:val="LEGWMATFIZCHEMlegendawzorumatfizlubchem"/>
      </w:pPr>
      <w:r w:rsidRPr="00586502">
        <w:t>P</w:t>
      </w:r>
      <w:r>
        <w:rPr>
          <w:rStyle w:val="IDindeksdolny"/>
        </w:rPr>
        <w:t>b</w:t>
      </w:r>
      <w:r w:rsidRPr="00586502">
        <w:t xml:space="preserve"> –</w:t>
      </w:r>
      <w:r w:rsidR="00A24E2B">
        <w:tab/>
      </w:r>
      <w:r>
        <w:t xml:space="preserve">powierzchnia obszaru </w:t>
      </w:r>
      <w:r w:rsidRPr="00F902A6">
        <w:t>wyznaczonego</w:t>
      </w:r>
      <w:r w:rsidR="00A24E2B">
        <w:t xml:space="preserve"> w </w:t>
      </w:r>
      <w:r>
        <w:t>sposób,</w:t>
      </w:r>
      <w:r w:rsidR="00A24E2B">
        <w:t xml:space="preserve"> o </w:t>
      </w:r>
      <w:r>
        <w:t>którym mowa</w:t>
      </w:r>
      <w:r w:rsidR="00A24E2B">
        <w:t xml:space="preserve"> w ust. 1 pkt </w:t>
      </w:r>
      <w:r>
        <w:t>1–3</w:t>
      </w:r>
      <w:r w:rsidR="00E66160">
        <w:t>,</w:t>
      </w:r>
    </w:p>
    <w:p w14:paraId="7EE719DB" w14:textId="096004F4" w:rsidR="00464D95" w:rsidRDefault="00464D95" w:rsidP="00A8403A">
      <w:pPr>
        <w:pStyle w:val="LEGWMATFIZCHEMlegendawzorumatfizlubchem"/>
      </w:pPr>
      <w:r>
        <w:t>P</w:t>
      </w:r>
      <w:r>
        <w:rPr>
          <w:rStyle w:val="IDindeksdolny"/>
        </w:rPr>
        <w:t>u</w:t>
      </w:r>
      <w:r w:rsidRPr="00586502">
        <w:t xml:space="preserve"> –</w:t>
      </w:r>
      <w:r w:rsidR="00A24E2B">
        <w:tab/>
      </w:r>
      <w:r w:rsidRPr="00586502">
        <w:t>powierzchnia obszaru uzupełnienia zabudowy wyznaczonego</w:t>
      </w:r>
      <w:r w:rsidR="00A24E2B" w:rsidRPr="00586502">
        <w:t xml:space="preserve"> w</w:t>
      </w:r>
      <w:r w:rsidR="00A24E2B">
        <w:t> </w:t>
      </w:r>
      <w:r w:rsidRPr="00586502">
        <w:t>sposób</w:t>
      </w:r>
      <w:r>
        <w:t>,</w:t>
      </w:r>
      <w:r w:rsidR="00A24E2B">
        <w:t xml:space="preserve"> o </w:t>
      </w:r>
      <w:r>
        <w:t>którym mowa</w:t>
      </w:r>
      <w:r w:rsidR="00A24E2B">
        <w:t xml:space="preserve"> w ust. </w:t>
      </w:r>
      <w:r w:rsidRPr="00586502">
        <w:t>1</w:t>
      </w:r>
    </w:p>
    <w:p w14:paraId="02D7EE8F" w14:textId="531342A7" w:rsidR="00464D95" w:rsidRPr="00586502" w:rsidRDefault="00A82770" w:rsidP="00F902A6">
      <w:pPr>
        <w:pStyle w:val="USTustnpkodeksu"/>
      </w:pPr>
      <w:r>
        <w:t>4</w:t>
      </w:r>
      <w:r w:rsidR="00464D95">
        <w:t>. Dopuszcza się rozszerzenie granic obszaru uzupełnienia zabudowy wyznaczonego w sposób,</w:t>
      </w:r>
      <w:r w:rsidR="00A24E2B">
        <w:t xml:space="preserve"> o </w:t>
      </w:r>
      <w:r w:rsidR="00464D95">
        <w:t>którym mowa</w:t>
      </w:r>
      <w:r w:rsidR="00A24E2B">
        <w:t xml:space="preserve"> w ust. </w:t>
      </w:r>
      <w:r w:rsidR="00464D95">
        <w:t>1, uwzględniając lokalne uwarunkowania,</w:t>
      </w:r>
      <w:r w:rsidR="00A24E2B">
        <w:t xml:space="preserve"> o </w:t>
      </w:r>
      <w:r w:rsidR="00464D95">
        <w:t>obszar o powierzchni nie większej niż połowa różnicy między powierzchnią obszaru wyznaczonego</w:t>
      </w:r>
      <w:r w:rsidR="00A24E2B">
        <w:t xml:space="preserve"> w </w:t>
      </w:r>
      <w:r w:rsidR="00464D95">
        <w:t>sposób,</w:t>
      </w:r>
      <w:r w:rsidR="00A24E2B">
        <w:t xml:space="preserve"> o </w:t>
      </w:r>
      <w:r w:rsidR="00464D95">
        <w:t>którym mowa</w:t>
      </w:r>
      <w:r w:rsidR="00A24E2B">
        <w:t xml:space="preserve"> w ust. 1 pkt </w:t>
      </w:r>
      <w:r w:rsidR="00464D95">
        <w:t>1–3,</w:t>
      </w:r>
      <w:r w:rsidR="00A24E2B">
        <w:t xml:space="preserve"> a </w:t>
      </w:r>
      <w:r w:rsidR="00464D95">
        <w:t>powierzchnią obszaru uzupełnienia zabudowy wyznaczonego</w:t>
      </w:r>
      <w:r w:rsidR="00A24E2B">
        <w:t xml:space="preserve"> w </w:t>
      </w:r>
      <w:r w:rsidR="00464D95">
        <w:t>sposób,</w:t>
      </w:r>
      <w:r w:rsidR="00A24E2B">
        <w:t xml:space="preserve"> o </w:t>
      </w:r>
      <w:r w:rsidR="00464D95">
        <w:t>którym mowa</w:t>
      </w:r>
      <w:r w:rsidR="00A24E2B">
        <w:t xml:space="preserve"> w ust. </w:t>
      </w:r>
      <w:r w:rsidR="00464D95">
        <w:t>1.</w:t>
      </w:r>
    </w:p>
    <w:p w14:paraId="4C34BEEA" w14:textId="5F7B6960" w:rsidR="00DF63CA" w:rsidRPr="0091030D" w:rsidRDefault="00A82770" w:rsidP="00DF63CA">
      <w:pPr>
        <w:pStyle w:val="USTustnpkodeksu"/>
      </w:pPr>
      <w:r>
        <w:t>5</w:t>
      </w:r>
      <w:r w:rsidR="00464D95">
        <w:t xml:space="preserve">. Na użytkach rolnych klas I–III dopuszcza się </w:t>
      </w:r>
      <w:r w:rsidR="00464D95" w:rsidRPr="00F902A6">
        <w:t>rozszerzenie</w:t>
      </w:r>
      <w:r w:rsidR="00464D95">
        <w:t xml:space="preserve"> granic,</w:t>
      </w:r>
      <w:r w:rsidR="00A24E2B">
        <w:t xml:space="preserve"> o </w:t>
      </w:r>
      <w:r w:rsidR="00464D95">
        <w:t>którym mowa</w:t>
      </w:r>
      <w:r w:rsidR="00A24E2B">
        <w:t xml:space="preserve"> w ust. </w:t>
      </w:r>
      <w:r w:rsidR="00464D95">
        <w:t>3, na obszarze wyznaczonym</w:t>
      </w:r>
      <w:r w:rsidR="00A24E2B">
        <w:t xml:space="preserve"> w </w:t>
      </w:r>
      <w:r w:rsidR="00464D95">
        <w:t>wyniku wykonania czynności,</w:t>
      </w:r>
      <w:r w:rsidR="00A24E2B">
        <w:t xml:space="preserve"> o </w:t>
      </w:r>
      <w:r w:rsidR="00464D95">
        <w:t>których mowa</w:t>
      </w:r>
      <w:r w:rsidR="00A24E2B">
        <w:t xml:space="preserve"> w ust. 1 pkt </w:t>
      </w:r>
      <w:r w:rsidR="00464D95">
        <w:t>1–3, położonym</w:t>
      </w:r>
      <w:r w:rsidR="00A24E2B">
        <w:t xml:space="preserve"> w </w:t>
      </w:r>
      <w:r w:rsidR="00464D95">
        <w:t>odległości nie większej niż 5</w:t>
      </w:r>
      <w:r w:rsidR="00A24E2B">
        <w:t>0 </w:t>
      </w:r>
      <w:r w:rsidR="00464D95">
        <w:t xml:space="preserve">m od </w:t>
      </w:r>
      <w:r w:rsidR="00512CA2">
        <w:t xml:space="preserve">granicy </w:t>
      </w:r>
      <w:r w:rsidR="00464D95">
        <w:t>pasa drogowego drogi publicznej w rozumieniu przepisów ustawy</w:t>
      </w:r>
      <w:r w:rsidR="00A24E2B">
        <w:t xml:space="preserve"> z </w:t>
      </w:r>
      <w:r w:rsidR="00464D95">
        <w:t>dnia 2</w:t>
      </w:r>
      <w:r w:rsidR="00A24E2B">
        <w:t>1 </w:t>
      </w:r>
      <w:r w:rsidR="00464D95">
        <w:t>marca 198</w:t>
      </w:r>
      <w:r w:rsidR="00A24E2B">
        <w:t>5 </w:t>
      </w:r>
      <w:r w:rsidR="00464D95">
        <w:t>r.</w:t>
      </w:r>
      <w:r w:rsidR="00A24E2B">
        <w:t xml:space="preserve"> o </w:t>
      </w:r>
      <w:r w:rsidR="00464D95">
        <w:t>drogach publicznych (</w:t>
      </w:r>
      <w:r w:rsidR="00A24E2B">
        <w:t>Dz. U.</w:t>
      </w:r>
      <w:r w:rsidR="00464D95">
        <w:t xml:space="preserve"> z 2023 r.</w:t>
      </w:r>
      <w:r w:rsidR="00A24E2B">
        <w:t xml:space="preserve"> poz. </w:t>
      </w:r>
      <w:r w:rsidR="00E66160">
        <w:t>1047,</w:t>
      </w:r>
      <w:r w:rsidR="00A24E2B">
        <w:t xml:space="preserve"> z </w:t>
      </w:r>
      <w:proofErr w:type="spellStart"/>
      <w:r w:rsidR="00E66160">
        <w:t>późn</w:t>
      </w:r>
      <w:proofErr w:type="spellEnd"/>
      <w:r w:rsidR="00E66160">
        <w:t>. zm.</w:t>
      </w:r>
      <w:r w:rsidR="00A8403A">
        <w:rPr>
          <w:rStyle w:val="Odwoanieprzypisudolnego"/>
        </w:rPr>
        <w:footnoteReference w:id="2"/>
      </w:r>
      <w:r w:rsidR="00A8403A">
        <w:rPr>
          <w:rStyle w:val="IGindeksgrny"/>
        </w:rPr>
        <w:t>)</w:t>
      </w:r>
      <w:r w:rsidR="00E66160">
        <w:t>)</w:t>
      </w:r>
      <w:r w:rsidR="00464D95">
        <w:t>,</w:t>
      </w:r>
      <w:r w:rsidR="00A24E2B">
        <w:t xml:space="preserve"> z </w:t>
      </w:r>
      <w:r w:rsidR="00464D95">
        <w:t>wyłączeniem dróg ekspresowych</w:t>
      </w:r>
      <w:r w:rsidR="00A24E2B">
        <w:t xml:space="preserve"> i </w:t>
      </w:r>
      <w:r w:rsidR="00464D95">
        <w:t>autostrad.</w:t>
      </w:r>
    </w:p>
    <w:p w14:paraId="2CAD2B64" w14:textId="12021D8F" w:rsidR="00464D95" w:rsidRDefault="00464D95" w:rsidP="00A24E2B">
      <w:pPr>
        <w:pStyle w:val="ARTartustawynprozporzdzenia"/>
      </w:pPr>
      <w:r w:rsidRPr="003E0916">
        <w:rPr>
          <w:rStyle w:val="Ppogrubienie"/>
        </w:rPr>
        <w:lastRenderedPageBreak/>
        <w:t>§</w:t>
      </w:r>
      <w:r w:rsidR="00277542">
        <w:rPr>
          <w:rStyle w:val="Ppogrubienie"/>
        </w:rPr>
        <w:t> </w:t>
      </w:r>
      <w:r>
        <w:rPr>
          <w:rStyle w:val="Ppogrubienie"/>
        </w:rPr>
        <w:t>2</w:t>
      </w:r>
      <w:r w:rsidRPr="001F663E">
        <w:t>. Rozporządzenie wchodzi</w:t>
      </w:r>
      <w:r w:rsidR="00A24E2B" w:rsidRPr="001F663E">
        <w:t xml:space="preserve"> w</w:t>
      </w:r>
      <w:r w:rsidR="00A24E2B">
        <w:t> </w:t>
      </w:r>
      <w:r w:rsidRPr="001F663E">
        <w:t>życie</w:t>
      </w:r>
      <w:r w:rsidR="00A24E2B" w:rsidRPr="001F663E">
        <w:t xml:space="preserve"> z</w:t>
      </w:r>
      <w:r w:rsidR="00A24E2B">
        <w:t> </w:t>
      </w:r>
      <w:r w:rsidRPr="001F663E">
        <w:t>dniem</w:t>
      </w:r>
      <w:r w:rsidRPr="00A264AF">
        <w:t xml:space="preserve"> następującym po dniu ogłoszenia</w:t>
      </w:r>
      <w:r>
        <w:t>.</w:t>
      </w:r>
    </w:p>
    <w:p w14:paraId="0A666FC7" w14:textId="77777777" w:rsidR="00464D95" w:rsidRDefault="00464D95" w:rsidP="00F902A6">
      <w:pPr>
        <w:pStyle w:val="NAZORGWYDnazwaorganuwydajcegoprojektowanyakt"/>
      </w:pPr>
      <w:r w:rsidRPr="00F902A6">
        <w:t>Minister</w:t>
      </w:r>
      <w:r>
        <w:t xml:space="preserve"> Rozwoju </w:t>
      </w:r>
    </w:p>
    <w:p w14:paraId="16DACD9B" w14:textId="77777777" w:rsidR="00464D95" w:rsidRDefault="00464D95" w:rsidP="00F902A6">
      <w:pPr>
        <w:pStyle w:val="NAZORGWYDnazwaorganuwydajcegoprojektowanyakt"/>
      </w:pPr>
      <w:r>
        <w:t xml:space="preserve">i </w:t>
      </w:r>
      <w:r w:rsidRPr="00F902A6">
        <w:t>Technologii</w:t>
      </w:r>
    </w:p>
    <w:p w14:paraId="630E8282" w14:textId="75BBA345" w:rsidR="00464D95" w:rsidRDefault="00454661" w:rsidP="00F902A6">
      <w:pPr>
        <w:pStyle w:val="TEKSTwporozumieniu"/>
      </w:pPr>
      <w:r>
        <w:t>w</w:t>
      </w:r>
      <w:r w:rsidR="00464D95">
        <w:t xml:space="preserve"> </w:t>
      </w:r>
      <w:r w:rsidR="00464D95" w:rsidRPr="00F902A6">
        <w:t>porozumieniu</w:t>
      </w:r>
      <w:r w:rsidR="00464D95">
        <w:t>:</w:t>
      </w:r>
    </w:p>
    <w:p w14:paraId="3EB18ED7" w14:textId="77777777" w:rsidR="00464D95" w:rsidRDefault="00464D95" w:rsidP="00F902A6">
      <w:pPr>
        <w:pStyle w:val="NAZORGWPOROZUMIENIUnazwaorganuwporozumieniuzktrymaktjestwydawany"/>
      </w:pPr>
      <w:r>
        <w:t xml:space="preserve">Minister </w:t>
      </w:r>
      <w:r w:rsidRPr="00F902A6">
        <w:t>Rolnictwa</w:t>
      </w:r>
      <w:r>
        <w:t xml:space="preserve"> </w:t>
      </w:r>
    </w:p>
    <w:p w14:paraId="3CC1B13C" w14:textId="77777777" w:rsidR="00464D95" w:rsidRDefault="00464D95" w:rsidP="00F902A6">
      <w:pPr>
        <w:pStyle w:val="NAZORGWPOROZUMIENIUnazwaorganuwporozumieniuzktrymaktjestwydawany"/>
      </w:pPr>
      <w:r>
        <w:t xml:space="preserve">i Rozwoju </w:t>
      </w:r>
      <w:r w:rsidRPr="00F902A6">
        <w:t>Wsi</w:t>
      </w:r>
    </w:p>
    <w:p w14:paraId="4F578593" w14:textId="77777777" w:rsidR="00A9466E" w:rsidRDefault="00A9466E" w:rsidP="00A9466E">
      <w:pPr>
        <w:pStyle w:val="OZNPARAFYADNOTACJE"/>
      </w:pPr>
    </w:p>
    <w:p w14:paraId="5D448BB3" w14:textId="77777777" w:rsidR="00A24E2B" w:rsidRDefault="00A24E2B" w:rsidP="00A9466E">
      <w:pPr>
        <w:pStyle w:val="OZNPARAFYADNOTACJE"/>
      </w:pPr>
    </w:p>
    <w:p w14:paraId="67A968A5" w14:textId="77777777" w:rsidR="00A24E2B" w:rsidRDefault="00A24E2B" w:rsidP="00A9466E">
      <w:pPr>
        <w:pStyle w:val="OZNPARAFYADNOTACJE"/>
      </w:pPr>
    </w:p>
    <w:p w14:paraId="5C7C8324" w14:textId="08C02BA8" w:rsidR="00A9466E" w:rsidRPr="00056BD6" w:rsidRDefault="00A9466E" w:rsidP="00A9466E">
      <w:pPr>
        <w:pStyle w:val="OZNPARAFYADNOTACJE"/>
      </w:pPr>
      <w:r w:rsidRPr="00056BD6">
        <w:t>ZA ZGODNOŚĆ POD WZGLĘDEM PRAWNYM,</w:t>
      </w:r>
    </w:p>
    <w:p w14:paraId="2FBFEB20" w14:textId="40E3A838" w:rsidR="00A9466E" w:rsidRPr="00056BD6" w:rsidRDefault="00A9466E" w:rsidP="00A9466E">
      <w:pPr>
        <w:pStyle w:val="OZNPARAFYADNOTACJE"/>
      </w:pPr>
      <w:r w:rsidRPr="00056BD6">
        <w:t>LEGISLACYJNYM</w:t>
      </w:r>
      <w:r w:rsidR="00A24E2B" w:rsidRPr="00056BD6">
        <w:t xml:space="preserve"> I</w:t>
      </w:r>
      <w:r w:rsidR="00A24E2B">
        <w:t> </w:t>
      </w:r>
      <w:r w:rsidRPr="00056BD6">
        <w:t xml:space="preserve">REDAKCYJNYM </w:t>
      </w:r>
    </w:p>
    <w:p w14:paraId="70ABE571" w14:textId="77777777" w:rsidR="00A9466E" w:rsidRPr="00056BD6" w:rsidRDefault="00A9466E" w:rsidP="00A9466E">
      <w:pPr>
        <w:pStyle w:val="OZNPARAFYADNOTACJE"/>
      </w:pPr>
      <w:r w:rsidRPr="00056BD6">
        <w:t>Aneta Mijal</w:t>
      </w:r>
    </w:p>
    <w:p w14:paraId="0D8E1072" w14:textId="77777777" w:rsidR="00A9466E" w:rsidRPr="00056BD6" w:rsidRDefault="00A9466E" w:rsidP="00A9466E">
      <w:pPr>
        <w:pStyle w:val="OZNPARAFYADNOTACJE"/>
      </w:pPr>
      <w:r w:rsidRPr="00056BD6">
        <w:t>Dyrektor Departamentu Prawnego</w:t>
      </w:r>
    </w:p>
    <w:p w14:paraId="1E19AA93" w14:textId="5F39BF60" w:rsidR="00A9466E" w:rsidRPr="00056BD6" w:rsidRDefault="00A9466E" w:rsidP="00A9466E">
      <w:pPr>
        <w:pStyle w:val="OZNPARAFYADNOTACJE"/>
      </w:pPr>
      <w:r w:rsidRPr="00056BD6">
        <w:t>w Ministerstwie Rozwoju</w:t>
      </w:r>
      <w:r w:rsidR="00A24E2B" w:rsidRPr="00056BD6">
        <w:t xml:space="preserve"> i</w:t>
      </w:r>
      <w:r w:rsidR="00A24E2B">
        <w:t> </w:t>
      </w:r>
      <w:r w:rsidRPr="00056BD6">
        <w:t>Technologii</w:t>
      </w:r>
    </w:p>
    <w:p w14:paraId="75013188" w14:textId="43AAC395" w:rsidR="00261A16" w:rsidRPr="00737F6A" w:rsidRDefault="00A9466E" w:rsidP="00A24E2B">
      <w:pPr>
        <w:pStyle w:val="OZNPARAFYADNOTACJE"/>
      </w:pPr>
      <w:r w:rsidRPr="00056BD6">
        <w:t>/podpisano elektronicznie/</w:t>
      </w:r>
    </w:p>
    <w:sectPr w:rsidR="00261A16" w:rsidRPr="00737F6A" w:rsidSect="00696959">
      <w:headerReference w:type="default" r:id="rId9"/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12F6" w14:textId="77777777" w:rsidR="0060229D" w:rsidRDefault="0060229D">
      <w:r>
        <w:separator/>
      </w:r>
    </w:p>
  </w:endnote>
  <w:endnote w:type="continuationSeparator" w:id="0">
    <w:p w14:paraId="0E3DDD58" w14:textId="77777777" w:rsidR="0060229D" w:rsidRDefault="0060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97D6" w14:textId="77777777" w:rsidR="0060229D" w:rsidRDefault="0060229D">
      <w:r>
        <w:separator/>
      </w:r>
    </w:p>
  </w:footnote>
  <w:footnote w:type="continuationSeparator" w:id="0">
    <w:p w14:paraId="67765C39" w14:textId="77777777" w:rsidR="0060229D" w:rsidRDefault="0060229D">
      <w:r>
        <w:continuationSeparator/>
      </w:r>
    </w:p>
  </w:footnote>
  <w:footnote w:id="1">
    <w:p w14:paraId="5FF7086A" w14:textId="03031715" w:rsidR="00A8403A" w:rsidRPr="00A8403A" w:rsidRDefault="00A8403A" w:rsidP="00A8403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bookmarkStart w:id="0" w:name="_Hlk149557334"/>
      <w:r>
        <w:t xml:space="preserve">Minister Rozwoju </w:t>
      </w:r>
      <w:bookmarkEnd w:id="0"/>
      <w:r>
        <w:t>i Technologii kieruje działem administracji rządowej – budownictwo, planowanie i zagospodarowanie przestrzenne oraz mieszkalnictwo, na podstawie § 1 ust. 2 pkt 1 rozporządzenia Prezesa Rady Ministrów z dnia 15 kwietnia 2022 r. w sprawie szczegółowego zakresu działania Ministra Rozwoju i Technologii (Dz. U. poz. 838).</w:t>
      </w:r>
    </w:p>
  </w:footnote>
  <w:footnote w:id="2">
    <w:p w14:paraId="45052286" w14:textId="4B4B6797" w:rsidR="00A8403A" w:rsidRPr="00A8403A" w:rsidRDefault="00A8403A" w:rsidP="00A8403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12792">
        <w:t>Zmiany tekstu jednolitego wymienionej ustawy zostały ogłoszone w Dz. U. poz. 919, 1053, 1088, 1123, 1193, 1234, 1720, 1723 i 2029.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2C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2797028">
    <w:abstractNumId w:val="23"/>
  </w:num>
  <w:num w:numId="2" w16cid:durableId="2083217691">
    <w:abstractNumId w:val="23"/>
  </w:num>
  <w:num w:numId="3" w16cid:durableId="283660998">
    <w:abstractNumId w:val="18"/>
  </w:num>
  <w:num w:numId="4" w16cid:durableId="944918331">
    <w:abstractNumId w:val="18"/>
  </w:num>
  <w:num w:numId="5" w16cid:durableId="737363231">
    <w:abstractNumId w:val="35"/>
  </w:num>
  <w:num w:numId="6" w16cid:durableId="1303148359">
    <w:abstractNumId w:val="31"/>
  </w:num>
  <w:num w:numId="7" w16cid:durableId="1382242157">
    <w:abstractNumId w:val="35"/>
  </w:num>
  <w:num w:numId="8" w16cid:durableId="1309821072">
    <w:abstractNumId w:val="31"/>
  </w:num>
  <w:num w:numId="9" w16cid:durableId="832531510">
    <w:abstractNumId w:val="35"/>
  </w:num>
  <w:num w:numId="10" w16cid:durableId="1261261577">
    <w:abstractNumId w:val="31"/>
  </w:num>
  <w:num w:numId="11" w16cid:durableId="1327439878">
    <w:abstractNumId w:val="14"/>
  </w:num>
  <w:num w:numId="12" w16cid:durableId="172384787">
    <w:abstractNumId w:val="10"/>
  </w:num>
  <w:num w:numId="13" w16cid:durableId="2005737022">
    <w:abstractNumId w:val="15"/>
  </w:num>
  <w:num w:numId="14" w16cid:durableId="262684706">
    <w:abstractNumId w:val="26"/>
  </w:num>
  <w:num w:numId="15" w16cid:durableId="456222340">
    <w:abstractNumId w:val="14"/>
  </w:num>
  <w:num w:numId="16" w16cid:durableId="2099936948">
    <w:abstractNumId w:val="16"/>
  </w:num>
  <w:num w:numId="17" w16cid:durableId="1549955509">
    <w:abstractNumId w:val="8"/>
  </w:num>
  <w:num w:numId="18" w16cid:durableId="1563561703">
    <w:abstractNumId w:val="3"/>
  </w:num>
  <w:num w:numId="19" w16cid:durableId="629634378">
    <w:abstractNumId w:val="2"/>
  </w:num>
  <w:num w:numId="20" w16cid:durableId="1439178258">
    <w:abstractNumId w:val="1"/>
  </w:num>
  <w:num w:numId="21" w16cid:durableId="1314064614">
    <w:abstractNumId w:val="0"/>
  </w:num>
  <w:num w:numId="22" w16cid:durableId="1940601000">
    <w:abstractNumId w:val="9"/>
  </w:num>
  <w:num w:numId="23" w16cid:durableId="1381202841">
    <w:abstractNumId w:val="7"/>
  </w:num>
  <w:num w:numId="24" w16cid:durableId="1133719366">
    <w:abstractNumId w:val="6"/>
  </w:num>
  <w:num w:numId="25" w16cid:durableId="228660936">
    <w:abstractNumId w:val="5"/>
  </w:num>
  <w:num w:numId="26" w16cid:durableId="1338843921">
    <w:abstractNumId w:val="4"/>
  </w:num>
  <w:num w:numId="27" w16cid:durableId="287009910">
    <w:abstractNumId w:val="33"/>
  </w:num>
  <w:num w:numId="28" w16cid:durableId="1673920951">
    <w:abstractNumId w:val="25"/>
  </w:num>
  <w:num w:numId="29" w16cid:durableId="1116366739">
    <w:abstractNumId w:val="36"/>
  </w:num>
  <w:num w:numId="30" w16cid:durableId="1501769296">
    <w:abstractNumId w:val="32"/>
  </w:num>
  <w:num w:numId="31" w16cid:durableId="1570381387">
    <w:abstractNumId w:val="19"/>
  </w:num>
  <w:num w:numId="32" w16cid:durableId="11763314">
    <w:abstractNumId w:val="11"/>
  </w:num>
  <w:num w:numId="33" w16cid:durableId="1000159520">
    <w:abstractNumId w:val="30"/>
  </w:num>
  <w:num w:numId="34" w16cid:durableId="587346038">
    <w:abstractNumId w:val="20"/>
  </w:num>
  <w:num w:numId="35" w16cid:durableId="2008897970">
    <w:abstractNumId w:val="17"/>
  </w:num>
  <w:num w:numId="36" w16cid:durableId="1714117437">
    <w:abstractNumId w:val="22"/>
  </w:num>
  <w:num w:numId="37" w16cid:durableId="1491748810">
    <w:abstractNumId w:val="27"/>
  </w:num>
  <w:num w:numId="38" w16cid:durableId="1121220952">
    <w:abstractNumId w:val="24"/>
  </w:num>
  <w:num w:numId="39" w16cid:durableId="738017870">
    <w:abstractNumId w:val="13"/>
  </w:num>
  <w:num w:numId="40" w16cid:durableId="1627852449">
    <w:abstractNumId w:val="29"/>
  </w:num>
  <w:num w:numId="41" w16cid:durableId="1530100091">
    <w:abstractNumId w:val="28"/>
  </w:num>
  <w:num w:numId="42" w16cid:durableId="654257307">
    <w:abstractNumId w:val="21"/>
  </w:num>
  <w:num w:numId="43" w16cid:durableId="206256332">
    <w:abstractNumId w:val="34"/>
  </w:num>
  <w:num w:numId="44" w16cid:durableId="12532719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9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37A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D09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542"/>
    <w:rsid w:val="002861D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3DED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02F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59C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661"/>
    <w:rsid w:val="004550FB"/>
    <w:rsid w:val="0046111A"/>
    <w:rsid w:val="00462946"/>
    <w:rsid w:val="00463F43"/>
    <w:rsid w:val="00464B94"/>
    <w:rsid w:val="00464D95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0E4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CA2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C0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80D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29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59"/>
    <w:rsid w:val="006969FA"/>
    <w:rsid w:val="006A35D5"/>
    <w:rsid w:val="006A748A"/>
    <w:rsid w:val="006C008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792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9F5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940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9AE"/>
    <w:rsid w:val="00A13D6D"/>
    <w:rsid w:val="00A14769"/>
    <w:rsid w:val="00A16151"/>
    <w:rsid w:val="00A16EC6"/>
    <w:rsid w:val="00A17C06"/>
    <w:rsid w:val="00A2126E"/>
    <w:rsid w:val="00A21706"/>
    <w:rsid w:val="00A24E2B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445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770"/>
    <w:rsid w:val="00A83676"/>
    <w:rsid w:val="00A83B7B"/>
    <w:rsid w:val="00A8403A"/>
    <w:rsid w:val="00A84274"/>
    <w:rsid w:val="00A850F3"/>
    <w:rsid w:val="00A85B08"/>
    <w:rsid w:val="00A864E3"/>
    <w:rsid w:val="00A93173"/>
    <w:rsid w:val="00A94574"/>
    <w:rsid w:val="00A9466E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5FA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E53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41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B5F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CA8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C49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26"/>
    <w:rsid w:val="00DE1554"/>
    <w:rsid w:val="00DE2901"/>
    <w:rsid w:val="00DE590F"/>
    <w:rsid w:val="00DE7DC1"/>
    <w:rsid w:val="00DF3F7E"/>
    <w:rsid w:val="00DF63CA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160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2A6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885A"/>
  <w15:docId w15:val="{E0326D00-38DF-4EA8-8685-DAD0B33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9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6616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592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Renata Rustecka-Banach</dc:creator>
  <cp:lastModifiedBy>Miszczak-Michalak Sylwia</cp:lastModifiedBy>
  <cp:revision>2</cp:revision>
  <cp:lastPrinted>2012-04-23T06:39:00Z</cp:lastPrinted>
  <dcterms:created xsi:type="dcterms:W3CDTF">2023-11-09T09:33:00Z</dcterms:created>
  <dcterms:modified xsi:type="dcterms:W3CDTF">2023-11-09T09:33:00Z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