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FD76F" w14:textId="5B54E6DC" w:rsidR="005B19EE" w:rsidRPr="00FB4E68" w:rsidRDefault="0005555C" w:rsidP="00BA16CB">
      <w:pPr>
        <w:pStyle w:val="OZNRODZAKTUtznustawalubrozporzdzenieiorganwydajcy"/>
        <w:spacing w:after="0" w:line="240" w:lineRule="auto"/>
        <w:jc w:val="right"/>
        <w:rPr>
          <w:rFonts w:ascii="Times New Roman" w:hAnsi="Times New Roman"/>
          <w:b w:val="0"/>
          <w:bCs w:val="0"/>
          <w:spacing w:val="0"/>
        </w:rPr>
      </w:pPr>
      <w:r>
        <w:rPr>
          <w:rFonts w:ascii="Times New Roman" w:hAnsi="Times New Roman"/>
          <w:b w:val="0"/>
          <w:bCs w:val="0"/>
          <w:spacing w:val="0"/>
        </w:rPr>
        <w:t>24</w:t>
      </w:r>
      <w:r w:rsidR="005C1DD0">
        <w:rPr>
          <w:rFonts w:ascii="Times New Roman" w:hAnsi="Times New Roman"/>
          <w:b w:val="0"/>
          <w:bCs w:val="0"/>
          <w:spacing w:val="0"/>
        </w:rPr>
        <w:t>.</w:t>
      </w:r>
      <w:r w:rsidR="00804624">
        <w:rPr>
          <w:rFonts w:ascii="Times New Roman" w:hAnsi="Times New Roman"/>
          <w:b w:val="0"/>
          <w:bCs w:val="0"/>
          <w:spacing w:val="0"/>
        </w:rPr>
        <w:t>10</w:t>
      </w:r>
      <w:r w:rsidR="005C1DD0">
        <w:rPr>
          <w:rFonts w:ascii="Times New Roman" w:hAnsi="Times New Roman"/>
          <w:b w:val="0"/>
          <w:bCs w:val="0"/>
          <w:spacing w:val="0"/>
        </w:rPr>
        <w:t>.2023</w:t>
      </w:r>
      <w:r w:rsidR="00867FD7">
        <w:rPr>
          <w:rFonts w:ascii="Times New Roman" w:hAnsi="Times New Roman"/>
          <w:b w:val="0"/>
          <w:bCs w:val="0"/>
          <w:spacing w:val="0"/>
        </w:rPr>
        <w:t xml:space="preserve"> </w:t>
      </w:r>
      <w:r w:rsidR="00867FD7">
        <w:rPr>
          <w:rFonts w:ascii="Times New Roman" w:hAnsi="Times New Roman"/>
          <w:b w:val="0"/>
          <w:bCs w:val="0"/>
          <w:caps w:val="0"/>
          <w:spacing w:val="0"/>
        </w:rPr>
        <w:t>r</w:t>
      </w:r>
      <w:r w:rsidR="00867FD7">
        <w:rPr>
          <w:rFonts w:ascii="Times New Roman" w:hAnsi="Times New Roman"/>
          <w:b w:val="0"/>
          <w:bCs w:val="0"/>
          <w:spacing w:val="0"/>
        </w:rPr>
        <w:t>.</w:t>
      </w:r>
    </w:p>
    <w:p w14:paraId="5F54ECBC" w14:textId="77777777" w:rsidR="005B19EE" w:rsidRPr="00FB4E68" w:rsidRDefault="005B19EE" w:rsidP="00BA16CB">
      <w:pPr>
        <w:pStyle w:val="OZNRODZAKTUtznustawalubrozporzdzenieiorganwydajcy"/>
        <w:spacing w:after="0" w:line="240" w:lineRule="auto"/>
        <w:rPr>
          <w:rFonts w:ascii="Times New Roman" w:hAnsi="Times New Roman"/>
          <w:spacing w:val="0"/>
        </w:rPr>
      </w:pPr>
    </w:p>
    <w:p w14:paraId="4C7CD8DB" w14:textId="21F8C2C6" w:rsidR="004E3550" w:rsidRPr="00FB4E68" w:rsidRDefault="004E3550" w:rsidP="00BA16CB">
      <w:pPr>
        <w:pStyle w:val="OZNRODZAKTUtznustawalubrozporzdzenieiorganwydajcy"/>
        <w:spacing w:after="0" w:line="240" w:lineRule="auto"/>
        <w:rPr>
          <w:rFonts w:ascii="Times New Roman" w:hAnsi="Times New Roman"/>
          <w:spacing w:val="0"/>
        </w:rPr>
      </w:pPr>
      <w:r w:rsidRPr="00FB4E68">
        <w:rPr>
          <w:rFonts w:ascii="Times New Roman" w:hAnsi="Times New Roman"/>
          <w:spacing w:val="0"/>
        </w:rPr>
        <w:t>UZASADNIENIE</w:t>
      </w:r>
    </w:p>
    <w:p w14:paraId="6C9816F5" w14:textId="77777777" w:rsidR="004E3550" w:rsidRPr="00FB4E68" w:rsidRDefault="004E3550" w:rsidP="00BA16CB">
      <w:pPr>
        <w:spacing w:line="240" w:lineRule="auto"/>
        <w:ind w:firstLine="426"/>
        <w:jc w:val="both"/>
        <w:rPr>
          <w:rFonts w:cs="Times New Roman"/>
          <w:szCs w:val="24"/>
        </w:rPr>
      </w:pPr>
    </w:p>
    <w:p w14:paraId="14E6E17D" w14:textId="2D031AA6" w:rsidR="00947D0E" w:rsidRDefault="004E3550" w:rsidP="0005555C">
      <w:pPr>
        <w:ind w:firstLine="708"/>
        <w:jc w:val="both"/>
        <w:rPr>
          <w:rFonts w:cs="Times New Roman"/>
          <w:szCs w:val="24"/>
        </w:rPr>
      </w:pPr>
      <w:r w:rsidRPr="00FB4E68">
        <w:rPr>
          <w:rFonts w:cs="Times New Roman"/>
          <w:szCs w:val="24"/>
        </w:rPr>
        <w:t>Celem wydania projektowanego rozporządzenia</w:t>
      </w:r>
      <w:r w:rsidR="005C1DD0" w:rsidRPr="005C1DD0">
        <w:rPr>
          <w:rFonts w:cs="Times New Roman"/>
          <w:szCs w:val="24"/>
        </w:rPr>
        <w:t xml:space="preserve"> </w:t>
      </w:r>
      <w:r w:rsidR="005C1DD0" w:rsidRPr="00B324F1">
        <w:rPr>
          <w:rFonts w:cs="Times New Roman"/>
          <w:i/>
          <w:iCs/>
          <w:szCs w:val="24"/>
        </w:rPr>
        <w:t>Ministra Klimatu i Środowiska zmieniającego rozporządzenie w sprawie szczegółowych wymagań technicznych dla stacji gazu ziemnego</w:t>
      </w:r>
      <w:r w:rsidRPr="00FB4E68">
        <w:rPr>
          <w:rFonts w:cs="Times New Roman"/>
          <w:szCs w:val="24"/>
        </w:rPr>
        <w:t xml:space="preserve"> jest</w:t>
      </w:r>
      <w:r w:rsidR="005C1DD0">
        <w:rPr>
          <w:rFonts w:cs="Times New Roman"/>
          <w:szCs w:val="24"/>
        </w:rPr>
        <w:t xml:space="preserve"> </w:t>
      </w:r>
      <w:r w:rsidR="00F106E2">
        <w:rPr>
          <w:rFonts w:cs="Times New Roman"/>
          <w:szCs w:val="24"/>
        </w:rPr>
        <w:t xml:space="preserve">określenie dodatkowych wymogów technicznych dla punktów tankowania </w:t>
      </w:r>
      <w:r w:rsidR="00B21650" w:rsidRPr="00B21650">
        <w:rPr>
          <w:rFonts w:cs="Times New Roman"/>
          <w:szCs w:val="24"/>
        </w:rPr>
        <w:t>sprężonego gazu ziemnego (CNG)</w:t>
      </w:r>
      <w:r w:rsidR="00F106E2">
        <w:rPr>
          <w:rFonts w:cs="Times New Roman"/>
          <w:szCs w:val="24"/>
        </w:rPr>
        <w:t>, które będą przeznaczone do tankowania przeprowadzanego przez osoby nieposiadające  uprawnień (</w:t>
      </w:r>
      <w:r w:rsidR="00CF5B7D">
        <w:rPr>
          <w:rFonts w:cs="Times New Roman"/>
          <w:szCs w:val="24"/>
        </w:rPr>
        <w:t>dalej:</w:t>
      </w:r>
      <w:r w:rsidR="00F106E2">
        <w:rPr>
          <w:rFonts w:cs="Times New Roman"/>
          <w:szCs w:val="24"/>
        </w:rPr>
        <w:t xml:space="preserve"> </w:t>
      </w:r>
      <w:r w:rsidR="00CF5B7D">
        <w:rPr>
          <w:rFonts w:cs="Times New Roman"/>
          <w:szCs w:val="24"/>
        </w:rPr>
        <w:t>„</w:t>
      </w:r>
      <w:r w:rsidR="00F106E2">
        <w:rPr>
          <w:rFonts w:cs="Times New Roman"/>
          <w:szCs w:val="24"/>
        </w:rPr>
        <w:t>tankowanie samoobsługowe</w:t>
      </w:r>
      <w:r w:rsidR="00CF5B7D">
        <w:rPr>
          <w:rFonts w:cs="Times New Roman"/>
          <w:szCs w:val="24"/>
        </w:rPr>
        <w:t>”</w:t>
      </w:r>
      <w:r w:rsidR="00F106E2">
        <w:rPr>
          <w:rFonts w:cs="Times New Roman"/>
          <w:szCs w:val="24"/>
        </w:rPr>
        <w:t xml:space="preserve">) wydanych przez Transportowy Dozór Techniczny (dalej: „TDT”). </w:t>
      </w:r>
      <w:r w:rsidR="0024603A">
        <w:rPr>
          <w:rFonts w:cs="Times New Roman"/>
          <w:szCs w:val="24"/>
        </w:rPr>
        <w:t>W chwili obecnej w polskim porządku prawnym, zgodnie z §15a ust. 1 rozporządzenia</w:t>
      </w:r>
      <w:r w:rsidR="0024603A" w:rsidRPr="0024603A">
        <w:t xml:space="preserve"> </w:t>
      </w:r>
      <w:r w:rsidR="0024603A" w:rsidRPr="0024603A">
        <w:rPr>
          <w:rFonts w:cs="Times New Roman"/>
          <w:i/>
          <w:iCs/>
          <w:szCs w:val="24"/>
        </w:rPr>
        <w:t>Ministra Transportu z dnia 20 października 2006 r. w sprawie warunków technicznych dozoru technicznego w zakresie projektowania, wytwarzania, eksploatacji, naprawy i modernizacji specjalistycznych urządzeń ciśnieniowych</w:t>
      </w:r>
      <w:r w:rsidR="0024603A" w:rsidRPr="0024603A">
        <w:rPr>
          <w:rFonts w:cs="Times New Roman"/>
          <w:szCs w:val="24"/>
        </w:rPr>
        <w:t xml:space="preserve"> (Dz.</w:t>
      </w:r>
      <w:r w:rsidR="00E97FD2">
        <w:rPr>
          <w:rFonts w:cs="Times New Roman"/>
          <w:szCs w:val="24"/>
        </w:rPr>
        <w:t xml:space="preserve"> </w:t>
      </w:r>
      <w:r w:rsidR="0024603A" w:rsidRPr="0024603A">
        <w:rPr>
          <w:rFonts w:cs="Times New Roman"/>
          <w:szCs w:val="24"/>
        </w:rPr>
        <w:t>U. z 2014 r. poz. 1465</w:t>
      </w:r>
      <w:r w:rsidR="00D51815" w:rsidRPr="00D51815">
        <w:rPr>
          <w:rFonts w:cs="Times New Roman"/>
          <w:szCs w:val="24"/>
        </w:rPr>
        <w:t xml:space="preserve"> </w:t>
      </w:r>
      <w:r w:rsidR="00D51815">
        <w:rPr>
          <w:rFonts w:cs="Times New Roman"/>
          <w:szCs w:val="24"/>
        </w:rPr>
        <w:t>i Dz. U. z 2023 r. poz. 1833</w:t>
      </w:r>
      <w:r w:rsidR="0024603A" w:rsidRPr="0024603A">
        <w:rPr>
          <w:rFonts w:cs="Times New Roman"/>
          <w:szCs w:val="24"/>
        </w:rPr>
        <w:t>)</w:t>
      </w:r>
      <w:r w:rsidR="00947D0E">
        <w:rPr>
          <w:rFonts w:cs="Times New Roman"/>
          <w:szCs w:val="24"/>
        </w:rPr>
        <w:t xml:space="preserve"> (dalej: „rozporządzenie ws. urządzeń ciśnieniowych”)</w:t>
      </w:r>
      <w:r w:rsidR="0024603A">
        <w:rPr>
          <w:rFonts w:cs="Times New Roman"/>
          <w:szCs w:val="24"/>
        </w:rPr>
        <w:t xml:space="preserve"> napełniania zbiorników CNG </w:t>
      </w:r>
      <w:r w:rsidR="0024603A" w:rsidRPr="0024603A">
        <w:rPr>
          <w:rFonts w:cs="Times New Roman"/>
          <w:szCs w:val="24"/>
        </w:rPr>
        <w:t>zamontowan</w:t>
      </w:r>
      <w:r w:rsidR="0024603A">
        <w:rPr>
          <w:rFonts w:cs="Times New Roman"/>
          <w:szCs w:val="24"/>
        </w:rPr>
        <w:t>ych</w:t>
      </w:r>
      <w:r w:rsidR="0024603A" w:rsidRPr="0024603A">
        <w:rPr>
          <w:rFonts w:cs="Times New Roman"/>
          <w:szCs w:val="24"/>
        </w:rPr>
        <w:t xml:space="preserve"> w instalacjach zasilania pojazdów</w:t>
      </w:r>
      <w:r w:rsidR="0024603A">
        <w:rPr>
          <w:rFonts w:cs="Times New Roman"/>
          <w:szCs w:val="24"/>
        </w:rPr>
        <w:t xml:space="preserve"> mogą dokonywać jedynie o</w:t>
      </w:r>
      <w:r w:rsidR="0024603A" w:rsidRPr="0024603A">
        <w:rPr>
          <w:rFonts w:cs="Times New Roman"/>
          <w:szCs w:val="24"/>
        </w:rPr>
        <w:t>soby posiada</w:t>
      </w:r>
      <w:r w:rsidR="0024603A">
        <w:rPr>
          <w:rFonts w:cs="Times New Roman"/>
          <w:szCs w:val="24"/>
        </w:rPr>
        <w:t>jące</w:t>
      </w:r>
      <w:r w:rsidR="0024603A" w:rsidRPr="0024603A">
        <w:rPr>
          <w:rFonts w:cs="Times New Roman"/>
          <w:szCs w:val="24"/>
        </w:rPr>
        <w:t xml:space="preserve"> odpowiednie uprawnienia wydane przez TDT</w:t>
      </w:r>
      <w:r w:rsidR="0024603A">
        <w:rPr>
          <w:rFonts w:cs="Times New Roman"/>
          <w:szCs w:val="24"/>
        </w:rPr>
        <w:t xml:space="preserve">. Oznacza to, że tankowanie CNG może być przeprowadzone wyłącznie przez personel stacji posiadający odpowiednie uprawnienia, co wyklucza tankowanie samoobsługowe. </w:t>
      </w:r>
      <w:r w:rsidR="006610F1">
        <w:rPr>
          <w:rFonts w:cs="Times New Roman"/>
          <w:szCs w:val="24"/>
        </w:rPr>
        <w:t>W</w:t>
      </w:r>
      <w:r w:rsidR="007D7DC3">
        <w:rPr>
          <w:rFonts w:cs="Times New Roman"/>
          <w:szCs w:val="24"/>
        </w:rPr>
        <w:t> </w:t>
      </w:r>
      <w:r w:rsidR="006610F1">
        <w:rPr>
          <w:rFonts w:cs="Times New Roman"/>
          <w:szCs w:val="24"/>
        </w:rPr>
        <w:t xml:space="preserve">krajach Unii </w:t>
      </w:r>
      <w:r w:rsidR="009C065A">
        <w:rPr>
          <w:rFonts w:cs="Times New Roman"/>
          <w:szCs w:val="24"/>
        </w:rPr>
        <w:t>E</w:t>
      </w:r>
      <w:r w:rsidR="006610F1">
        <w:rPr>
          <w:rFonts w:cs="Times New Roman"/>
          <w:szCs w:val="24"/>
        </w:rPr>
        <w:t>uropejskiej powszechn</w:t>
      </w:r>
      <w:r w:rsidR="007D7DC3">
        <w:rPr>
          <w:rFonts w:cs="Times New Roman"/>
          <w:szCs w:val="24"/>
        </w:rPr>
        <w:t>ą</w:t>
      </w:r>
      <w:r w:rsidR="006610F1">
        <w:rPr>
          <w:rFonts w:cs="Times New Roman"/>
          <w:szCs w:val="24"/>
        </w:rPr>
        <w:t xml:space="preserve"> praktyką (wyjątkiem jest Łotwa) jest dopuszczenie samoobsługowego tankowania CNG pod warunkiem odpowiedniego przystosowania stanowiska, co ma zapewnić odpowiednie bezpieczeństwo użytkowania. </w:t>
      </w:r>
      <w:r w:rsidR="00947D0E">
        <w:rPr>
          <w:rFonts w:cs="Times New Roman"/>
          <w:szCs w:val="24"/>
        </w:rPr>
        <w:t>W celu umożliwienia dokonania zmian przez ministra ds. transportu w rozporządzeniu ws. urządzeń ciśnieniowych, które dopuszczą możliwość napełniania zbiorników CNG w pojazdach przez osoby nieposiadające uprawnień wydanych przez TDT, w zmienianym rozporządzeniu należy określić dodatkowe warunki bezpieczeństwa.</w:t>
      </w:r>
      <w:r w:rsidR="00231CCA">
        <w:rPr>
          <w:rFonts w:cs="Times New Roman"/>
          <w:szCs w:val="24"/>
        </w:rPr>
        <w:t xml:space="preserve"> W chwili obecnej zmieniane rozporządzenie nie przewiduje dodatkowych środków bezpieczeństwa dla stanowisk samoobsługowych. </w:t>
      </w:r>
      <w:r w:rsidR="00947D0E">
        <w:rPr>
          <w:rFonts w:cs="Times New Roman"/>
          <w:szCs w:val="24"/>
        </w:rPr>
        <w:t xml:space="preserve">Umożliwienie samoobsługowego tankowania CNG przy jednoczesnym zachowaniu odpowiednich środków bezpieczeństwa przyczyni się do zwiększenia konkurencyjności polskich stacji gazu ziemnego w stosunku do zagranicznych odpowiedników oraz wpłynie pozytywnie na rozwój </w:t>
      </w:r>
      <w:r w:rsidR="00A65BE3">
        <w:rPr>
          <w:rFonts w:cs="Times New Roman"/>
          <w:szCs w:val="24"/>
        </w:rPr>
        <w:t xml:space="preserve">zastosowania </w:t>
      </w:r>
      <w:r w:rsidR="00947D0E">
        <w:rPr>
          <w:rFonts w:cs="Times New Roman"/>
          <w:szCs w:val="24"/>
        </w:rPr>
        <w:t xml:space="preserve">sprężonego gazu ziemnego w transporcie. Należy pamiętać, że </w:t>
      </w:r>
      <w:r w:rsidR="00035DBE">
        <w:rPr>
          <w:rFonts w:cs="Times New Roman"/>
          <w:szCs w:val="24"/>
        </w:rPr>
        <w:t>CNG cechuje się znacznie mniejszymi emisjami gazów cieplarnianych niż olej napędowy i benzyna silnikowa przy zachowaniu zbliżonej wartości opałowej</w:t>
      </w:r>
      <w:r w:rsidR="00FF1F55">
        <w:rPr>
          <w:rFonts w:cs="Times New Roman"/>
          <w:szCs w:val="24"/>
        </w:rPr>
        <w:t xml:space="preserve">. Ponadto, CNG może być skutecznie zastąpione przez biometan – odnawialne, zeroemisyjne paliwo, którego zastosowanie nie będzie niosło ze sobą </w:t>
      </w:r>
      <w:r w:rsidR="00A87178">
        <w:rPr>
          <w:rFonts w:cs="Times New Roman"/>
          <w:szCs w:val="24"/>
        </w:rPr>
        <w:t xml:space="preserve">potrzeby </w:t>
      </w:r>
      <w:r w:rsidR="00FF1F55">
        <w:rPr>
          <w:rFonts w:cs="Times New Roman"/>
          <w:szCs w:val="24"/>
        </w:rPr>
        <w:t>zmiany floty pojazdów i infrastruktury.</w:t>
      </w:r>
    </w:p>
    <w:p w14:paraId="7B4F2DB4" w14:textId="77777777" w:rsidR="00947D0E" w:rsidRDefault="00947D0E" w:rsidP="0005555C">
      <w:pPr>
        <w:ind w:firstLine="426"/>
        <w:jc w:val="both"/>
        <w:rPr>
          <w:rFonts w:cs="Times New Roman"/>
          <w:szCs w:val="24"/>
        </w:rPr>
      </w:pPr>
    </w:p>
    <w:p w14:paraId="19199372" w14:textId="6B95F331" w:rsidR="00804412" w:rsidRDefault="00947D0E" w:rsidP="0005555C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W związku z powyższym</w:t>
      </w:r>
      <w:r w:rsidR="008411BC">
        <w:rPr>
          <w:rFonts w:cs="Times New Roman"/>
          <w:szCs w:val="24"/>
        </w:rPr>
        <w:t xml:space="preserve"> projektowane rozporządzenie wprowadza dodatkowe wymagania dla stanowisk CNG, które będą przeznaczone do tankowania samoobsługowego. O</w:t>
      </w:r>
      <w:r w:rsidR="00333B25">
        <w:rPr>
          <w:rFonts w:cs="Times New Roman"/>
          <w:szCs w:val="24"/>
        </w:rPr>
        <w:t> </w:t>
      </w:r>
      <w:r w:rsidR="008411BC">
        <w:rPr>
          <w:rFonts w:cs="Times New Roman"/>
          <w:szCs w:val="24"/>
        </w:rPr>
        <w:t xml:space="preserve">tym czy dane stanowisko będzie przeznaczone do tankowania samoobsługowego zadecydują przedsiębiorcy prowadzący stacje gazu ziemnego – w przypadku pozostania przy dotychczasowym modelu tankowania, tj. przez personel stacji posiadający uprawnienia, wymagania techniczne pozostają niezmienione. Projektowane zmiany mają na celu określenie dodatkowych wymogów wyłącznie dla </w:t>
      </w:r>
      <w:r w:rsidR="002664BA">
        <w:t xml:space="preserve">punktów tankowania </w:t>
      </w:r>
      <w:r w:rsidR="002664BA" w:rsidRPr="004013BF">
        <w:t>sprężon</w:t>
      </w:r>
      <w:r w:rsidR="002664BA">
        <w:t>ego</w:t>
      </w:r>
      <w:r w:rsidR="002664BA" w:rsidRPr="004013BF">
        <w:t xml:space="preserve"> gaz</w:t>
      </w:r>
      <w:r w:rsidR="002664BA">
        <w:t>u</w:t>
      </w:r>
      <w:r w:rsidR="002664BA" w:rsidRPr="004013BF">
        <w:t xml:space="preserve"> ziemn</w:t>
      </w:r>
      <w:r w:rsidR="002664BA">
        <w:t>ego</w:t>
      </w:r>
      <w:r w:rsidR="008411BC">
        <w:rPr>
          <w:rFonts w:cs="Times New Roman"/>
          <w:szCs w:val="24"/>
        </w:rPr>
        <w:t xml:space="preserve"> przeznaczonych do samoobsługowego tankowania </w:t>
      </w:r>
      <w:r w:rsidR="002664BA">
        <w:rPr>
          <w:rFonts w:cs="Times New Roman"/>
          <w:szCs w:val="24"/>
        </w:rPr>
        <w:t>gazu ziemnego</w:t>
      </w:r>
      <w:r w:rsidR="008411BC">
        <w:rPr>
          <w:rFonts w:cs="Times New Roman"/>
          <w:szCs w:val="24"/>
        </w:rPr>
        <w:t>, co zapewni odpowiedni poziom bezpieczeństwa dla użytkowników tych stanowisk.</w:t>
      </w:r>
      <w:r w:rsidR="00B67C0B">
        <w:rPr>
          <w:rFonts w:cs="Times New Roman"/>
          <w:szCs w:val="24"/>
        </w:rPr>
        <w:t xml:space="preserve"> </w:t>
      </w:r>
      <w:r w:rsidR="00B67C0B" w:rsidRPr="00B67C0B">
        <w:rPr>
          <w:rFonts w:cs="Times New Roman"/>
          <w:szCs w:val="24"/>
        </w:rPr>
        <w:t xml:space="preserve">Projektowane zmiany wprowadzają dla </w:t>
      </w:r>
      <w:r w:rsidR="002664BA">
        <w:rPr>
          <w:rFonts w:cs="Times New Roman"/>
          <w:szCs w:val="24"/>
        </w:rPr>
        <w:t>punktów tankowania</w:t>
      </w:r>
      <w:r w:rsidR="00B67C0B" w:rsidRPr="00B67C0B">
        <w:rPr>
          <w:rFonts w:cs="Times New Roman"/>
          <w:szCs w:val="24"/>
        </w:rPr>
        <w:t xml:space="preserve"> CNG przeznaczonych do samoobsługowego tankowania dodatkowe wymagania </w:t>
      </w:r>
      <w:r w:rsidR="00333B25">
        <w:rPr>
          <w:rFonts w:cs="Times New Roman"/>
          <w:szCs w:val="24"/>
        </w:rPr>
        <w:t>techniczne</w:t>
      </w:r>
      <w:r w:rsidR="00B67C0B" w:rsidRPr="00B67C0B">
        <w:rPr>
          <w:rFonts w:cs="Times New Roman"/>
          <w:szCs w:val="24"/>
        </w:rPr>
        <w:t xml:space="preserve"> polegające na:</w:t>
      </w:r>
    </w:p>
    <w:p w14:paraId="7C963D1C" w14:textId="098FEACF" w:rsidR="00804412" w:rsidRDefault="00804412" w:rsidP="0005555C">
      <w:pPr>
        <w:pStyle w:val="Akapitzlist"/>
        <w:widowControl/>
        <w:numPr>
          <w:ilvl w:val="0"/>
          <w:numId w:val="8"/>
        </w:numPr>
        <w:autoSpaceDE/>
        <w:autoSpaceDN/>
        <w:adjustRightInd/>
        <w:jc w:val="both"/>
        <w:rPr>
          <w:color w:val="000000"/>
          <w:spacing w:val="-2"/>
        </w:rPr>
      </w:pPr>
      <w:r>
        <w:rPr>
          <w:color w:val="000000"/>
          <w:spacing w:val="-2"/>
        </w:rPr>
        <w:t>w</w:t>
      </w:r>
      <w:r w:rsidRPr="00F41344">
        <w:rPr>
          <w:color w:val="000000"/>
          <w:spacing w:val="-2"/>
        </w:rPr>
        <w:t xml:space="preserve">yposażeniu w odpowiednie oznaczenia informujące </w:t>
      </w:r>
      <w:r>
        <w:rPr>
          <w:color w:val="000000"/>
          <w:spacing w:val="-2"/>
        </w:rPr>
        <w:t xml:space="preserve">o przeznaczeniu </w:t>
      </w:r>
      <w:r w:rsidR="002664BA">
        <w:rPr>
          <w:color w:val="000000"/>
          <w:spacing w:val="-2"/>
        </w:rPr>
        <w:t>punktu tankowania</w:t>
      </w:r>
      <w:r>
        <w:rPr>
          <w:color w:val="000000"/>
          <w:spacing w:val="-2"/>
        </w:rPr>
        <w:t xml:space="preserve"> CNG do tankowania samoobsługowego oraz w instrukcje obsługi w postaci tekstu i piktogramów</w:t>
      </w:r>
      <w:r w:rsidR="00B67C0B">
        <w:rPr>
          <w:color w:val="000000"/>
          <w:spacing w:val="-2"/>
        </w:rPr>
        <w:t xml:space="preserve">. Instrukcje obsługi mają informować użytkownika </w:t>
      </w:r>
      <w:r w:rsidR="00A65BE3">
        <w:rPr>
          <w:color w:val="000000"/>
          <w:spacing w:val="-2"/>
        </w:rPr>
        <w:t xml:space="preserve">jak </w:t>
      </w:r>
      <w:r w:rsidR="00B67C0B">
        <w:rPr>
          <w:color w:val="000000"/>
          <w:spacing w:val="-2"/>
        </w:rPr>
        <w:t>prawidłow</w:t>
      </w:r>
      <w:r w:rsidR="00A65BE3">
        <w:rPr>
          <w:color w:val="000000"/>
          <w:spacing w:val="-2"/>
        </w:rPr>
        <w:t>o</w:t>
      </w:r>
      <w:r w:rsidR="00B67C0B">
        <w:rPr>
          <w:color w:val="000000"/>
          <w:spacing w:val="-2"/>
        </w:rPr>
        <w:t xml:space="preserve"> przeprowadz</w:t>
      </w:r>
      <w:r w:rsidR="00A65BE3">
        <w:rPr>
          <w:color w:val="000000"/>
          <w:spacing w:val="-2"/>
        </w:rPr>
        <w:t xml:space="preserve">ić </w:t>
      </w:r>
      <w:r w:rsidR="00B67C0B">
        <w:rPr>
          <w:color w:val="000000"/>
          <w:spacing w:val="-2"/>
        </w:rPr>
        <w:t xml:space="preserve">proces tankowania, zaś piktogramy mają stanowić uzupełnienie prezentujące wizualnie poszczególne etapy prawidłowego tankowania CNG. Załącznik C do normy </w:t>
      </w:r>
      <w:r w:rsidR="00B67C0B" w:rsidRPr="00B67C0B">
        <w:rPr>
          <w:color w:val="000000"/>
          <w:spacing w:val="-2"/>
        </w:rPr>
        <w:t>PN-EN ISO 16923</w:t>
      </w:r>
      <w:r w:rsidR="009167D9">
        <w:rPr>
          <w:color w:val="000000"/>
          <w:spacing w:val="-2"/>
        </w:rPr>
        <w:t xml:space="preserve"> określa zalecane procedury tankowania, </w:t>
      </w:r>
      <w:r w:rsidR="00837C40">
        <w:rPr>
          <w:color w:val="000000"/>
          <w:spacing w:val="-2"/>
        </w:rPr>
        <w:t>na</w:t>
      </w:r>
      <w:r w:rsidR="009167D9">
        <w:rPr>
          <w:color w:val="000000"/>
          <w:spacing w:val="-2"/>
        </w:rPr>
        <w:t xml:space="preserve"> których </w:t>
      </w:r>
      <w:r w:rsidR="00837C40">
        <w:rPr>
          <w:color w:val="000000"/>
          <w:spacing w:val="-2"/>
        </w:rPr>
        <w:t>powinno się wzorować umieszczone instrukcje. Wygląd i zawartość piktogramów nie są określone normą, zatem każdy przedsiębiorca musi je zaprojektować tak aby były jednoznaczne, czytelne i wyczerpujące dla użytkowników</w:t>
      </w:r>
      <w:r w:rsidR="0042653B">
        <w:rPr>
          <w:color w:val="000000"/>
          <w:spacing w:val="-2"/>
        </w:rPr>
        <w:t>,</w:t>
      </w:r>
    </w:p>
    <w:p w14:paraId="2AB368A3" w14:textId="389794B1" w:rsidR="00804412" w:rsidRDefault="00804412" w:rsidP="0005555C">
      <w:pPr>
        <w:pStyle w:val="Akapitzlist"/>
        <w:widowControl/>
        <w:numPr>
          <w:ilvl w:val="0"/>
          <w:numId w:val="8"/>
        </w:numPr>
        <w:autoSpaceDE/>
        <w:autoSpaceDN/>
        <w:adjustRightInd/>
        <w:jc w:val="both"/>
        <w:rPr>
          <w:color w:val="000000"/>
          <w:spacing w:val="-2"/>
        </w:rPr>
      </w:pPr>
      <w:r>
        <w:rPr>
          <w:color w:val="000000"/>
          <w:spacing w:val="-2"/>
        </w:rPr>
        <w:t>wyposażeniu w system alarmowy informujący obsługę stacji o zaistnieniu sytuacji awaryjne</w:t>
      </w:r>
      <w:r w:rsidR="0042653B">
        <w:rPr>
          <w:color w:val="000000"/>
          <w:spacing w:val="-2"/>
        </w:rPr>
        <w:t>j,</w:t>
      </w:r>
    </w:p>
    <w:p w14:paraId="3FC20CA8" w14:textId="712FC769" w:rsidR="00804412" w:rsidRDefault="00804412" w:rsidP="0005555C">
      <w:pPr>
        <w:pStyle w:val="Akapitzlist"/>
        <w:widowControl/>
        <w:numPr>
          <w:ilvl w:val="0"/>
          <w:numId w:val="8"/>
        </w:numPr>
        <w:autoSpaceDE/>
        <w:autoSpaceDN/>
        <w:adjustRightInd/>
        <w:jc w:val="both"/>
        <w:rPr>
          <w:color w:val="000000"/>
          <w:spacing w:val="-2"/>
        </w:rPr>
      </w:pPr>
      <w:r>
        <w:rPr>
          <w:color w:val="000000"/>
          <w:spacing w:val="-2"/>
        </w:rPr>
        <w:t>umożliwieniu obsłudze stacji obserwacji stanowiska</w:t>
      </w:r>
      <w:r w:rsidR="00640C58">
        <w:rPr>
          <w:color w:val="000000"/>
          <w:spacing w:val="-2"/>
        </w:rPr>
        <w:t>. Stanowisko powinno być wyposażone w system monitoringu wizyjnego lub inny umożliwiający obsłudze stacji obserwację stanowiska w celu umożliwienia kontroli prawidłowości korzystania ze stanowiska przez użytkowników i ew</w:t>
      </w:r>
      <w:r w:rsidR="00AD624E">
        <w:rPr>
          <w:color w:val="000000"/>
          <w:spacing w:val="-2"/>
        </w:rPr>
        <w:t>entualne</w:t>
      </w:r>
      <w:r w:rsidR="00640C58">
        <w:rPr>
          <w:color w:val="000000"/>
          <w:spacing w:val="-2"/>
        </w:rPr>
        <w:t xml:space="preserve"> podjęci</w:t>
      </w:r>
      <w:r w:rsidR="00AD624E">
        <w:rPr>
          <w:color w:val="000000"/>
          <w:spacing w:val="-2"/>
        </w:rPr>
        <w:t>e</w:t>
      </w:r>
      <w:r w:rsidR="00640C58">
        <w:rPr>
          <w:color w:val="000000"/>
          <w:spacing w:val="-2"/>
        </w:rPr>
        <w:t xml:space="preserve"> działań w przypadku dostrzeżenia sytuacji potencjalnie niebezpiecznych</w:t>
      </w:r>
      <w:r w:rsidR="0042653B">
        <w:rPr>
          <w:color w:val="000000"/>
          <w:spacing w:val="-2"/>
        </w:rPr>
        <w:t>,</w:t>
      </w:r>
    </w:p>
    <w:p w14:paraId="126C61E6" w14:textId="365ADCEE" w:rsidR="00804412" w:rsidRDefault="00804412" w:rsidP="0005555C">
      <w:pPr>
        <w:pStyle w:val="Akapitzlist"/>
        <w:widowControl/>
        <w:numPr>
          <w:ilvl w:val="0"/>
          <w:numId w:val="8"/>
        </w:numPr>
        <w:autoSpaceDE/>
        <w:autoSpaceDN/>
        <w:adjustRightInd/>
        <w:jc w:val="both"/>
        <w:rPr>
          <w:color w:val="000000"/>
          <w:spacing w:val="-2"/>
        </w:rPr>
      </w:pPr>
      <w:r>
        <w:rPr>
          <w:color w:val="000000"/>
          <w:spacing w:val="-2"/>
        </w:rPr>
        <w:t>wyposażeniu dystrybutorów w ręczny zawór odcinający dopływ gazu do węża</w:t>
      </w:r>
      <w:r w:rsidR="00640C58">
        <w:rPr>
          <w:color w:val="000000"/>
          <w:spacing w:val="-2"/>
        </w:rPr>
        <w:t xml:space="preserve">. Przepis stanowi zaostrzenie warunków w stosunku do normy </w:t>
      </w:r>
      <w:r w:rsidR="00640C58" w:rsidRPr="00640C58">
        <w:rPr>
          <w:color w:val="000000"/>
          <w:spacing w:val="-2"/>
        </w:rPr>
        <w:t>PN-EN ISO 16923</w:t>
      </w:r>
      <w:r w:rsidR="00640C58">
        <w:rPr>
          <w:color w:val="000000"/>
          <w:spacing w:val="-2"/>
        </w:rPr>
        <w:t xml:space="preserve">, która jedynie wskazuje na możliwość zastosowania takiego zaworu. Większe wymogi dla stanowisk samoobsługowych </w:t>
      </w:r>
      <w:r w:rsidR="00D74C5D">
        <w:rPr>
          <w:color w:val="000000"/>
          <w:spacing w:val="-2"/>
        </w:rPr>
        <w:t>wynikają z potrzeby zapewnienia jak najwyższego poziomu bezpieczeństwa</w:t>
      </w:r>
      <w:r w:rsidR="0042653B">
        <w:rPr>
          <w:color w:val="000000"/>
          <w:spacing w:val="-2"/>
        </w:rPr>
        <w:t>,</w:t>
      </w:r>
    </w:p>
    <w:p w14:paraId="520A03A6" w14:textId="1F2EEABE" w:rsidR="007D5AC2" w:rsidRDefault="00804412" w:rsidP="0005555C">
      <w:pPr>
        <w:pStyle w:val="Akapitzlist"/>
        <w:widowControl/>
        <w:numPr>
          <w:ilvl w:val="0"/>
          <w:numId w:val="8"/>
        </w:numPr>
        <w:autoSpaceDE/>
        <w:autoSpaceDN/>
        <w:adjustRightInd/>
        <w:jc w:val="both"/>
        <w:rPr>
          <w:color w:val="000000"/>
          <w:spacing w:val="-2"/>
        </w:rPr>
      </w:pPr>
      <w:r>
        <w:rPr>
          <w:color w:val="000000"/>
          <w:spacing w:val="-2"/>
        </w:rPr>
        <w:t>zastosowaniu w dystrybutorach typ</w:t>
      </w:r>
      <w:r w:rsidR="005809B2">
        <w:rPr>
          <w:color w:val="000000"/>
          <w:spacing w:val="-2"/>
        </w:rPr>
        <w:t>u</w:t>
      </w:r>
      <w:r>
        <w:rPr>
          <w:color w:val="000000"/>
          <w:spacing w:val="-2"/>
        </w:rPr>
        <w:t xml:space="preserve"> króćca, który uniemożliwi dopływ gazu w przypadku nieprawidłowego połączenia z gniazdem tankowania pojazdu.</w:t>
      </w:r>
      <w:r w:rsidR="00F47225">
        <w:rPr>
          <w:color w:val="000000"/>
          <w:spacing w:val="-2"/>
        </w:rPr>
        <w:t xml:space="preserve"> Zastosowanie </w:t>
      </w:r>
      <w:r w:rsidR="00F47225">
        <w:rPr>
          <w:color w:val="000000"/>
          <w:spacing w:val="-2"/>
        </w:rPr>
        <w:lastRenderedPageBreak/>
        <w:t>takiego króćca ma na celu zapobieżenie sytuacji, w której przy źle połączonym wężu tankowania z gniazdem pojazdu zostanie rozpoczęty dopływ gazu.</w:t>
      </w:r>
    </w:p>
    <w:p w14:paraId="62F4785D" w14:textId="094FB61C" w:rsidR="00804412" w:rsidRPr="007D5AC2" w:rsidRDefault="00F47225" w:rsidP="0005555C">
      <w:pPr>
        <w:widowControl/>
        <w:autoSpaceDE/>
        <w:autoSpaceDN/>
        <w:adjustRightInd/>
        <w:jc w:val="both"/>
        <w:rPr>
          <w:color w:val="000000"/>
          <w:spacing w:val="-2"/>
        </w:rPr>
      </w:pPr>
      <w:r w:rsidRPr="007D5AC2">
        <w:rPr>
          <w:color w:val="000000"/>
          <w:spacing w:val="-2"/>
        </w:rPr>
        <w:t xml:space="preserve"> </w:t>
      </w:r>
    </w:p>
    <w:p w14:paraId="57BA7062" w14:textId="4A8EB30A" w:rsidR="00804412" w:rsidRDefault="00804412" w:rsidP="0005555C">
      <w:pPr>
        <w:ind w:firstLine="360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Powyższe wymagania są dodatkowymi środkami bezpieczeństwa poza wymogami określonymi w normie </w:t>
      </w:r>
      <w:r w:rsidRPr="007C5CE5">
        <w:rPr>
          <w:color w:val="000000"/>
          <w:spacing w:val="-2"/>
        </w:rPr>
        <w:t>PN-EN ISO 16923 –</w:t>
      </w:r>
      <w:r>
        <w:rPr>
          <w:color w:val="000000"/>
          <w:spacing w:val="-2"/>
        </w:rPr>
        <w:t xml:space="preserve"> </w:t>
      </w:r>
      <w:r w:rsidRPr="007C5CE5">
        <w:rPr>
          <w:color w:val="000000"/>
          <w:spacing w:val="-2"/>
        </w:rPr>
        <w:t>Stacje tankowania gazu ziemnego – Stacje CNG do tankowania pojazdów</w:t>
      </w:r>
      <w:r>
        <w:rPr>
          <w:color w:val="000000"/>
          <w:spacing w:val="-2"/>
        </w:rPr>
        <w:t>, która zgodnie ze zmienianym rozporządzeniem obowiązuje w stosunku do wszystkich stanowisk tankowania CNG. Punkty tankowania CNG, na których odbywać się będzie tankowanie przez personel posiadający uprawnienia wydane przez TDT, będą objęte dotychczasowymi wymogami określonymi w zmienianym rozporządzeniu.</w:t>
      </w:r>
      <w:r w:rsidR="00F171D3">
        <w:rPr>
          <w:color w:val="000000"/>
          <w:spacing w:val="-2"/>
        </w:rPr>
        <w:t xml:space="preserve"> Wszystkie powyżej wymienione wymagania dla stanowisk samoobsługowego tankowania CNG mają za zadanie zapewnić odpowiedni poziom bezpieczeństwa w przypadku tankowania przez osoby nieposiadające uprawnień wydanych przez TDT.</w:t>
      </w:r>
      <w:r w:rsidR="009030A9">
        <w:rPr>
          <w:color w:val="000000"/>
          <w:spacing w:val="-2"/>
        </w:rPr>
        <w:t xml:space="preserve"> W stosunku do obowiązujących przepisów wymogi techniczne zostaną zaostrzone wyłącznie dla stanowisk CNG, które zostaną przeznaczone do samoobsługowego tankowania. Wprowadzenie projektowanych zmian nie umożliwi samoobsługowego tankowania CNG</w:t>
      </w:r>
      <w:r w:rsidR="005E75C4">
        <w:rPr>
          <w:color w:val="000000"/>
          <w:spacing w:val="-2"/>
        </w:rPr>
        <w:t xml:space="preserve">. </w:t>
      </w:r>
      <w:r w:rsidR="00821DC2">
        <w:rPr>
          <w:color w:val="000000"/>
          <w:spacing w:val="-2"/>
        </w:rPr>
        <w:t>W tym celu k</w:t>
      </w:r>
      <w:r w:rsidR="005E75C4">
        <w:rPr>
          <w:color w:val="000000"/>
          <w:spacing w:val="-2"/>
        </w:rPr>
        <w:t>onieczne jest jednoczesne</w:t>
      </w:r>
      <w:r w:rsidR="009030A9">
        <w:rPr>
          <w:color w:val="000000"/>
          <w:spacing w:val="-2"/>
        </w:rPr>
        <w:t xml:space="preserve"> wprowadzeni</w:t>
      </w:r>
      <w:r w:rsidR="005E75C4">
        <w:rPr>
          <w:color w:val="000000"/>
          <w:spacing w:val="-2"/>
        </w:rPr>
        <w:t>e</w:t>
      </w:r>
      <w:r w:rsidR="009030A9">
        <w:rPr>
          <w:color w:val="000000"/>
          <w:spacing w:val="-2"/>
        </w:rPr>
        <w:t xml:space="preserve"> </w:t>
      </w:r>
      <w:r w:rsidR="00821DC2">
        <w:rPr>
          <w:color w:val="000000"/>
          <w:spacing w:val="-2"/>
        </w:rPr>
        <w:t>stosownych</w:t>
      </w:r>
      <w:r w:rsidR="009030A9" w:rsidRPr="009030A9">
        <w:rPr>
          <w:color w:val="000000"/>
          <w:spacing w:val="-2"/>
        </w:rPr>
        <w:t xml:space="preserve"> zmian w rozporządzeniu ws. urządzeń ciśnieniowych</w:t>
      </w:r>
      <w:r w:rsidR="009030A9">
        <w:rPr>
          <w:color w:val="000000"/>
          <w:spacing w:val="-2"/>
        </w:rPr>
        <w:t>.</w:t>
      </w:r>
    </w:p>
    <w:p w14:paraId="345E9889" w14:textId="77777777" w:rsidR="007177E6" w:rsidRDefault="007177E6" w:rsidP="0005555C">
      <w:pPr>
        <w:jc w:val="both"/>
        <w:rPr>
          <w:color w:val="000000"/>
          <w:spacing w:val="-2"/>
        </w:rPr>
      </w:pPr>
    </w:p>
    <w:p w14:paraId="47AEE144" w14:textId="2C6ECDE0" w:rsidR="007177E6" w:rsidRDefault="007177E6" w:rsidP="0005555C">
      <w:pPr>
        <w:ind w:firstLine="360"/>
        <w:jc w:val="both"/>
        <w:rPr>
          <w:color w:val="000000"/>
          <w:spacing w:val="-2"/>
        </w:rPr>
      </w:pPr>
      <w:r>
        <w:rPr>
          <w:color w:val="000000"/>
          <w:spacing w:val="-2"/>
        </w:rPr>
        <w:t>Projektowane rozporządzenie wejdzie w życie po upływie 14 dni od dnia ogłoszenia. Termin wejścia w życie nie wymaga wydłużenia, ponieważ projektowane zmiany nie wprowadzają wymogów powszechnie obowiązujących przedsiębiorców prowadzących stacje gazu ziemnego. Podmioty zainteresowane przeznaczeniem stanowisk CNG do tankowania samoobsługowego będą mogły dostosować posiadane stanowiska w dowolnym czasie przed udost</w:t>
      </w:r>
      <w:r w:rsidR="004517FF">
        <w:rPr>
          <w:color w:val="000000"/>
          <w:spacing w:val="-2"/>
        </w:rPr>
        <w:t>ę</w:t>
      </w:r>
      <w:r>
        <w:rPr>
          <w:color w:val="000000"/>
          <w:spacing w:val="-2"/>
        </w:rPr>
        <w:t>pnieniem danego stanowiska do tankowania bez obecności uprawnionego personelu.</w:t>
      </w:r>
    </w:p>
    <w:p w14:paraId="4E14F10B" w14:textId="77777777" w:rsidR="006604A4" w:rsidRPr="00FB4E68" w:rsidRDefault="006604A4" w:rsidP="0005555C">
      <w:pPr>
        <w:pStyle w:val="ARTartustawynprozporzdzenia"/>
        <w:spacing w:before="0"/>
        <w:ind w:firstLine="0"/>
        <w:rPr>
          <w:rFonts w:ascii="Times New Roman" w:hAnsi="Times New Roman" w:cs="Times New Roman"/>
          <w:szCs w:val="24"/>
        </w:rPr>
      </w:pPr>
    </w:p>
    <w:p w14:paraId="4046E9C9" w14:textId="506FB73D" w:rsidR="006234B2" w:rsidRPr="00FB4E68" w:rsidRDefault="006234B2" w:rsidP="0005555C">
      <w:pPr>
        <w:pStyle w:val="NIEARTTEKSTtekstnieartykuowanynppodstprawnarozplubpreambua"/>
        <w:spacing w:before="0" w:after="160"/>
        <w:ind w:firstLine="0"/>
        <w:rPr>
          <w:rFonts w:ascii="Times New Roman" w:hAnsi="Times New Roman" w:cs="Times New Roman"/>
          <w:szCs w:val="24"/>
        </w:rPr>
      </w:pPr>
      <w:r w:rsidRPr="00FB4E68">
        <w:rPr>
          <w:rFonts w:ascii="Times New Roman" w:hAnsi="Times New Roman" w:cs="Times New Roman"/>
          <w:szCs w:val="24"/>
        </w:rPr>
        <w:t>Projekt rozporządzenia jest zgodny z prawem Unii Europejskiej</w:t>
      </w:r>
      <w:r w:rsidR="00A15F10">
        <w:rPr>
          <w:rFonts w:ascii="Times New Roman" w:hAnsi="Times New Roman" w:cs="Times New Roman"/>
          <w:szCs w:val="24"/>
        </w:rPr>
        <w:t>.</w:t>
      </w:r>
    </w:p>
    <w:p w14:paraId="3505B342" w14:textId="57B3CB5D" w:rsidR="006234B2" w:rsidRPr="00FB4E68" w:rsidRDefault="006234B2" w:rsidP="0005555C">
      <w:pPr>
        <w:pStyle w:val="NIEARTTEKSTtekstnieartykuowanynppodstprawnarozplubpreambua"/>
        <w:spacing w:before="0"/>
        <w:ind w:firstLine="0"/>
        <w:rPr>
          <w:rFonts w:ascii="Times New Roman" w:hAnsi="Times New Roman" w:cs="Times New Roman"/>
          <w:szCs w:val="24"/>
        </w:rPr>
      </w:pPr>
      <w:r w:rsidRPr="00FB4E68">
        <w:rPr>
          <w:rFonts w:ascii="Times New Roman" w:hAnsi="Times New Roman" w:cs="Times New Roman"/>
          <w:szCs w:val="24"/>
        </w:rPr>
        <w:t xml:space="preserve">Projekt rozporządzenia podlega procedurze notyfikacji aktów prawnych, określonej </w:t>
      </w:r>
      <w:r w:rsidR="00D51815">
        <w:rPr>
          <w:rFonts w:ascii="Times New Roman" w:hAnsi="Times New Roman" w:cs="Times New Roman"/>
          <w:szCs w:val="24"/>
        </w:rPr>
        <w:br/>
      </w:r>
      <w:r w:rsidRPr="00FB4E68">
        <w:rPr>
          <w:rFonts w:ascii="Times New Roman" w:hAnsi="Times New Roman" w:cs="Times New Roman"/>
          <w:szCs w:val="24"/>
        </w:rPr>
        <w:t xml:space="preserve">w przepisach rozporządzenia Rady Ministrów z dnia 23 grudnia 2002 r. w sprawie sposobu funkcjonowania krajowego systemu notyfikacji norm i aktów prawnych (Dz. U. poz. 2039, </w:t>
      </w:r>
      <w:r w:rsidR="00D51815">
        <w:rPr>
          <w:rFonts w:ascii="Times New Roman" w:hAnsi="Times New Roman" w:cs="Times New Roman"/>
          <w:szCs w:val="24"/>
        </w:rPr>
        <w:br/>
      </w:r>
      <w:r w:rsidRPr="00FB4E68">
        <w:rPr>
          <w:rFonts w:ascii="Times New Roman" w:hAnsi="Times New Roman" w:cs="Times New Roman"/>
          <w:szCs w:val="24"/>
        </w:rPr>
        <w:t>z późn. zm.).</w:t>
      </w:r>
    </w:p>
    <w:p w14:paraId="29704903" w14:textId="1739F35E" w:rsidR="006234B2" w:rsidRDefault="006234B2" w:rsidP="0005555C">
      <w:pPr>
        <w:pStyle w:val="NIEARTTEKSTtekstnieartykuowanynppodstprawnarozplubpreambua"/>
        <w:spacing w:before="0" w:after="160"/>
        <w:ind w:firstLine="0"/>
        <w:rPr>
          <w:rFonts w:ascii="Times New Roman" w:hAnsi="Times New Roman" w:cs="Times New Roman"/>
          <w:szCs w:val="24"/>
        </w:rPr>
      </w:pPr>
      <w:r w:rsidRPr="007011A8">
        <w:rPr>
          <w:rFonts w:ascii="Times New Roman" w:hAnsi="Times New Roman" w:cs="Times New Roman"/>
          <w:szCs w:val="24"/>
        </w:rPr>
        <w:t>Projekt rozporządzenia nie wymaga przedstawienia właściwym instytucjom i organom Unii Europejskiej, w tym Europejskiemu Bankowi Centralnemu, celem uzyskania opinii, dokonania powiadomienia, konsultacji albo uzgodnienia projektu.</w:t>
      </w:r>
    </w:p>
    <w:p w14:paraId="6AC2C688" w14:textId="11A5103C" w:rsidR="006234B2" w:rsidRDefault="004A4CD3" w:rsidP="0005555C">
      <w:pPr>
        <w:pStyle w:val="ARTartustawynprozporzdzenia"/>
        <w:spacing w:before="0" w:after="160"/>
        <w:ind w:firstLine="0"/>
        <w:rPr>
          <w:rFonts w:ascii="Times New Roman" w:hAnsi="Times New Roman" w:cs="Times New Roman"/>
          <w:szCs w:val="24"/>
        </w:rPr>
      </w:pPr>
      <w:r w:rsidRPr="00D06C79">
        <w:rPr>
          <w:rFonts w:ascii="Times New Roman" w:hAnsi="Times New Roman" w:cs="Times New Roman"/>
          <w:szCs w:val="24"/>
        </w:rPr>
        <w:lastRenderedPageBreak/>
        <w:t>Projekt rozporządzenia nie dotyczy majątkowych praw i obowiązków przedsiębiorców lub praw i obowiązków przedsiębiorców wobec organów administracji publicznej i nie wpływa na działalność mikro przedsiębiorców oraz małych i średnich przedsiębiorców.</w:t>
      </w:r>
      <w:r w:rsidR="006234B2" w:rsidRPr="006234B2">
        <w:rPr>
          <w:rFonts w:ascii="Times New Roman" w:hAnsi="Times New Roman" w:cs="Times New Roman"/>
          <w:szCs w:val="24"/>
        </w:rPr>
        <w:t xml:space="preserve"> </w:t>
      </w:r>
    </w:p>
    <w:p w14:paraId="2F401D9D" w14:textId="5FDF0F14" w:rsidR="00CB6D38" w:rsidRDefault="006234B2" w:rsidP="0005555C">
      <w:pPr>
        <w:pStyle w:val="ARTartustawynprozporzdzenia"/>
        <w:spacing w:before="0" w:after="160"/>
        <w:ind w:firstLine="0"/>
        <w:rPr>
          <w:rFonts w:ascii="Times New Roman" w:hAnsi="Times New Roman" w:cs="Times New Roman"/>
          <w:strike/>
          <w:szCs w:val="24"/>
        </w:rPr>
      </w:pPr>
      <w:r w:rsidRPr="00FB4E68">
        <w:rPr>
          <w:rFonts w:ascii="Times New Roman" w:hAnsi="Times New Roman" w:cs="Times New Roman"/>
          <w:szCs w:val="24"/>
        </w:rPr>
        <w:t>Projektowan</w:t>
      </w:r>
      <w:r w:rsidR="00262C22">
        <w:rPr>
          <w:rFonts w:ascii="Times New Roman" w:hAnsi="Times New Roman" w:cs="Times New Roman"/>
          <w:szCs w:val="24"/>
        </w:rPr>
        <w:t>e</w:t>
      </w:r>
      <w:r w:rsidRPr="00FB4E68">
        <w:rPr>
          <w:rFonts w:ascii="Times New Roman" w:hAnsi="Times New Roman" w:cs="Times New Roman"/>
          <w:szCs w:val="24"/>
        </w:rPr>
        <w:t xml:space="preserve"> rozporządzenie wchodzi w życie </w:t>
      </w:r>
      <w:r w:rsidR="00CB6D38">
        <w:rPr>
          <w:color w:val="000000"/>
          <w:spacing w:val="-2"/>
        </w:rPr>
        <w:t>po upływie 14 dni od dnia ogłoszenia</w:t>
      </w:r>
      <w:r w:rsidR="00262C22">
        <w:rPr>
          <w:rFonts w:ascii="Times New Roman" w:hAnsi="Times New Roman" w:cs="Times New Roman"/>
          <w:strike/>
          <w:szCs w:val="24"/>
        </w:rPr>
        <w:t>.</w:t>
      </w:r>
    </w:p>
    <w:p w14:paraId="7BB262D0" w14:textId="085AA52B" w:rsidR="009F0C89" w:rsidRPr="00CB6D38" w:rsidRDefault="004E3550" w:rsidP="0005555C">
      <w:pPr>
        <w:pStyle w:val="ARTartustawynprozporzdzenia"/>
        <w:spacing w:before="0"/>
        <w:ind w:firstLine="0"/>
        <w:rPr>
          <w:rFonts w:ascii="Times New Roman" w:hAnsi="Times New Roman" w:cs="Times New Roman"/>
          <w:szCs w:val="24"/>
        </w:rPr>
      </w:pPr>
      <w:r w:rsidRPr="00CB6D38">
        <w:rPr>
          <w:rFonts w:ascii="Times New Roman" w:hAnsi="Times New Roman" w:cs="Times New Roman"/>
          <w:szCs w:val="24"/>
        </w:rPr>
        <w:t xml:space="preserve">Projekt przedmiotowej regulacji, zgodnie z wymogami określonymi w art. 5 ustawy z dnia </w:t>
      </w:r>
      <w:r w:rsidR="00262C22">
        <w:rPr>
          <w:rFonts w:ascii="Times New Roman" w:hAnsi="Times New Roman" w:cs="Times New Roman"/>
          <w:szCs w:val="24"/>
        </w:rPr>
        <w:br/>
      </w:r>
      <w:r w:rsidRPr="00CB6D38">
        <w:rPr>
          <w:rFonts w:ascii="Times New Roman" w:hAnsi="Times New Roman" w:cs="Times New Roman"/>
          <w:szCs w:val="24"/>
        </w:rPr>
        <w:t xml:space="preserve">7 lipca 2005 o działalności lobbingowej w procesie stosowania prawa (Dz. U. z 2017 r. </w:t>
      </w:r>
      <w:r w:rsidR="00262C22">
        <w:rPr>
          <w:rFonts w:ascii="Times New Roman" w:hAnsi="Times New Roman" w:cs="Times New Roman"/>
          <w:szCs w:val="24"/>
        </w:rPr>
        <w:br/>
      </w:r>
      <w:r w:rsidRPr="00CB6D38">
        <w:rPr>
          <w:rFonts w:ascii="Times New Roman" w:hAnsi="Times New Roman" w:cs="Times New Roman"/>
          <w:szCs w:val="24"/>
        </w:rPr>
        <w:t>poz. 248), zostanie udostępniony w Biuletynie Informacji Publicznej na stronie podmiotowej Rządowego Centrum Legislacji, w serwisie Rządowy Proces Legislacyjny.</w:t>
      </w:r>
    </w:p>
    <w:p w14:paraId="5906C738" w14:textId="7415A3B4" w:rsidR="00932214" w:rsidRPr="00FB4E68" w:rsidRDefault="00932214" w:rsidP="0005555C">
      <w:pPr>
        <w:rPr>
          <w:rFonts w:cs="Times New Roman"/>
          <w:szCs w:val="24"/>
        </w:rPr>
      </w:pPr>
    </w:p>
    <w:p w14:paraId="7D3633F6" w14:textId="77777777" w:rsidR="00932214" w:rsidRPr="00FB4E68" w:rsidRDefault="00932214" w:rsidP="0005555C">
      <w:pPr>
        <w:rPr>
          <w:rFonts w:cs="Times New Roman"/>
          <w:szCs w:val="24"/>
        </w:rPr>
      </w:pPr>
    </w:p>
    <w:sectPr w:rsidR="00932214" w:rsidRPr="00FB4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002C6"/>
    <w:multiLevelType w:val="hybridMultilevel"/>
    <w:tmpl w:val="D8F27C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7006C"/>
    <w:multiLevelType w:val="hybridMultilevel"/>
    <w:tmpl w:val="54465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B714C"/>
    <w:multiLevelType w:val="hybridMultilevel"/>
    <w:tmpl w:val="7EA05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F83811"/>
    <w:multiLevelType w:val="hybridMultilevel"/>
    <w:tmpl w:val="3D6CC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EA5BE3"/>
    <w:multiLevelType w:val="hybridMultilevel"/>
    <w:tmpl w:val="A48CFC82"/>
    <w:lvl w:ilvl="0" w:tplc="14E2A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69531A"/>
    <w:multiLevelType w:val="hybridMultilevel"/>
    <w:tmpl w:val="17602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E17230"/>
    <w:multiLevelType w:val="hybridMultilevel"/>
    <w:tmpl w:val="FDDC9DB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501C7F"/>
    <w:multiLevelType w:val="hybridMultilevel"/>
    <w:tmpl w:val="B7B07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6006570">
    <w:abstractNumId w:val="2"/>
  </w:num>
  <w:num w:numId="2" w16cid:durableId="1552423802">
    <w:abstractNumId w:val="1"/>
  </w:num>
  <w:num w:numId="3" w16cid:durableId="1361248980">
    <w:abstractNumId w:val="3"/>
  </w:num>
  <w:num w:numId="4" w16cid:durableId="442968520">
    <w:abstractNumId w:val="5"/>
  </w:num>
  <w:num w:numId="5" w16cid:durableId="1513914286">
    <w:abstractNumId w:val="6"/>
  </w:num>
  <w:num w:numId="6" w16cid:durableId="500780438">
    <w:abstractNumId w:val="4"/>
  </w:num>
  <w:num w:numId="7" w16cid:durableId="455375142">
    <w:abstractNumId w:val="7"/>
  </w:num>
  <w:num w:numId="8" w16cid:durableId="551816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DFF"/>
    <w:rsid w:val="00014BBE"/>
    <w:rsid w:val="00035DBE"/>
    <w:rsid w:val="0005555C"/>
    <w:rsid w:val="00061BDC"/>
    <w:rsid w:val="0009062D"/>
    <w:rsid w:val="00093006"/>
    <w:rsid w:val="000964CB"/>
    <w:rsid w:val="000E4263"/>
    <w:rsid w:val="00116411"/>
    <w:rsid w:val="00204B5C"/>
    <w:rsid w:val="00205476"/>
    <w:rsid w:val="00231CCA"/>
    <w:rsid w:val="0024603A"/>
    <w:rsid w:val="00262C22"/>
    <w:rsid w:val="00265AB0"/>
    <w:rsid w:val="002664BA"/>
    <w:rsid w:val="00333B25"/>
    <w:rsid w:val="003C3081"/>
    <w:rsid w:val="003E563A"/>
    <w:rsid w:val="0042653B"/>
    <w:rsid w:val="00435EFF"/>
    <w:rsid w:val="00450141"/>
    <w:rsid w:val="004517FF"/>
    <w:rsid w:val="004A4CD3"/>
    <w:rsid w:val="004E3550"/>
    <w:rsid w:val="004F0CA1"/>
    <w:rsid w:val="005172AD"/>
    <w:rsid w:val="00554053"/>
    <w:rsid w:val="005809B2"/>
    <w:rsid w:val="00586155"/>
    <w:rsid w:val="005A014E"/>
    <w:rsid w:val="005B19EE"/>
    <w:rsid w:val="005C1DD0"/>
    <w:rsid w:val="005E2DE4"/>
    <w:rsid w:val="005E75C4"/>
    <w:rsid w:val="005F2C58"/>
    <w:rsid w:val="0061564D"/>
    <w:rsid w:val="006234B2"/>
    <w:rsid w:val="00637A47"/>
    <w:rsid w:val="00640C58"/>
    <w:rsid w:val="006418FE"/>
    <w:rsid w:val="006604A4"/>
    <w:rsid w:val="00660C17"/>
    <w:rsid w:val="006610F1"/>
    <w:rsid w:val="007011A8"/>
    <w:rsid w:val="007177E6"/>
    <w:rsid w:val="00750DFF"/>
    <w:rsid w:val="00774A7E"/>
    <w:rsid w:val="007A6FD0"/>
    <w:rsid w:val="007D5AC2"/>
    <w:rsid w:val="007D7DC3"/>
    <w:rsid w:val="00804412"/>
    <w:rsid w:val="00804624"/>
    <w:rsid w:val="00821DC2"/>
    <w:rsid w:val="00837C40"/>
    <w:rsid w:val="008411BC"/>
    <w:rsid w:val="00844E34"/>
    <w:rsid w:val="00867FD7"/>
    <w:rsid w:val="008750CF"/>
    <w:rsid w:val="009030A9"/>
    <w:rsid w:val="009075ED"/>
    <w:rsid w:val="009167D9"/>
    <w:rsid w:val="00932214"/>
    <w:rsid w:val="00947D0E"/>
    <w:rsid w:val="00972AB6"/>
    <w:rsid w:val="009747B3"/>
    <w:rsid w:val="009A517F"/>
    <w:rsid w:val="009C065A"/>
    <w:rsid w:val="009F0C89"/>
    <w:rsid w:val="00A026DB"/>
    <w:rsid w:val="00A15F10"/>
    <w:rsid w:val="00A201F3"/>
    <w:rsid w:val="00A322E0"/>
    <w:rsid w:val="00A64B82"/>
    <w:rsid w:val="00A65BE3"/>
    <w:rsid w:val="00A74C0E"/>
    <w:rsid w:val="00A86FAD"/>
    <w:rsid w:val="00A87178"/>
    <w:rsid w:val="00A95AD7"/>
    <w:rsid w:val="00AD624E"/>
    <w:rsid w:val="00B13013"/>
    <w:rsid w:val="00B21650"/>
    <w:rsid w:val="00B324F1"/>
    <w:rsid w:val="00B67C0B"/>
    <w:rsid w:val="00B82662"/>
    <w:rsid w:val="00B83FEC"/>
    <w:rsid w:val="00B95278"/>
    <w:rsid w:val="00BA16CB"/>
    <w:rsid w:val="00BC06B1"/>
    <w:rsid w:val="00BD6896"/>
    <w:rsid w:val="00C007CA"/>
    <w:rsid w:val="00C20F7B"/>
    <w:rsid w:val="00C348DA"/>
    <w:rsid w:val="00C55881"/>
    <w:rsid w:val="00CB6D38"/>
    <w:rsid w:val="00CF5B7D"/>
    <w:rsid w:val="00D06C79"/>
    <w:rsid w:val="00D2049A"/>
    <w:rsid w:val="00D51815"/>
    <w:rsid w:val="00D74C5D"/>
    <w:rsid w:val="00D761B7"/>
    <w:rsid w:val="00DB21C5"/>
    <w:rsid w:val="00DF6FAF"/>
    <w:rsid w:val="00E2467E"/>
    <w:rsid w:val="00E660F5"/>
    <w:rsid w:val="00E97FD2"/>
    <w:rsid w:val="00EB778B"/>
    <w:rsid w:val="00ED07A9"/>
    <w:rsid w:val="00F106E2"/>
    <w:rsid w:val="00F171D3"/>
    <w:rsid w:val="00F33754"/>
    <w:rsid w:val="00F47225"/>
    <w:rsid w:val="00F6282A"/>
    <w:rsid w:val="00FB4E68"/>
    <w:rsid w:val="00FF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0DB94"/>
  <w15:chartTrackingRefBased/>
  <w15:docId w15:val="{B92FC878-63E4-4C3E-BAA6-D6FFC5728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4E68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355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550"/>
    <w:rPr>
      <w:rFonts w:ascii="Segoe UI" w:hAnsi="Segoe UI" w:cs="Segoe UI"/>
      <w:sz w:val="18"/>
      <w:szCs w:val="18"/>
    </w:rPr>
  </w:style>
  <w:style w:type="paragraph" w:customStyle="1" w:styleId="ARTartustawynprozporzdzenia">
    <w:name w:val="ART(§) – art. ustawy (§ np. rozporządzenia)"/>
    <w:uiPriority w:val="14"/>
    <w:qFormat/>
    <w:rsid w:val="004E3550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4E3550"/>
    <w:rPr>
      <w:bCs/>
    </w:rPr>
  </w:style>
  <w:style w:type="paragraph" w:customStyle="1" w:styleId="OZNRODZAKTUtznustawalubrozporzdzenieiorganwydajcy">
    <w:name w:val="OZN_RODZ_AKTU – tzn. ustawa lub rozporządzenie i organ wydający"/>
    <w:next w:val="Normalny"/>
    <w:uiPriority w:val="5"/>
    <w:qFormat/>
    <w:rsid w:val="004E3550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4E35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3550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3550"/>
    <w:rPr>
      <w:rFonts w:ascii="Times" w:eastAsia="Times New Roman" w:hAnsi="Times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075E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75ED"/>
    <w:pPr>
      <w:spacing w:line="240" w:lineRule="auto"/>
    </w:pPr>
    <w:rPr>
      <w:rFonts w:ascii="Times New Roman" w:eastAsiaTheme="minorEastAsia" w:hAnsi="Times New Roman" w:cs="Arial"/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75ED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character" w:customStyle="1" w:styleId="articletitle">
    <w:name w:val="articletitle"/>
    <w:basedOn w:val="Domylnaczcionkaakapitu"/>
    <w:rsid w:val="009075ED"/>
  </w:style>
  <w:style w:type="character" w:customStyle="1" w:styleId="highlight">
    <w:name w:val="highlight"/>
    <w:basedOn w:val="Domylnaczcionkaakapitu"/>
    <w:rsid w:val="00932214"/>
  </w:style>
  <w:style w:type="character" w:styleId="Hipercze">
    <w:name w:val="Hyperlink"/>
    <w:uiPriority w:val="99"/>
    <w:unhideWhenUsed/>
    <w:rsid w:val="003E563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B778B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Uwydatnienie">
    <w:name w:val="Emphasis"/>
    <w:basedOn w:val="Domylnaczcionkaakapitu"/>
    <w:uiPriority w:val="20"/>
    <w:qFormat/>
    <w:rsid w:val="00EB778B"/>
    <w:rPr>
      <w:i/>
      <w:iCs/>
    </w:rPr>
  </w:style>
  <w:style w:type="character" w:styleId="Pogrubienie">
    <w:name w:val="Strong"/>
    <w:basedOn w:val="Domylnaczcionkaakapitu"/>
    <w:uiPriority w:val="22"/>
    <w:qFormat/>
    <w:rsid w:val="00EB778B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2C58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D51815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3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1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6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2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5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9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339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97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209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2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5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4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37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11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96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6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9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9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2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1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7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1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55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075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2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653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9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1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10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63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1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08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9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8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51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1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5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31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8E80A-FF46-46F4-B28F-5F08BD5F2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1140</Words>
  <Characters>6844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Kimszal Marta</cp:lastModifiedBy>
  <cp:revision>2</cp:revision>
  <dcterms:created xsi:type="dcterms:W3CDTF">2023-11-08T14:12:00Z</dcterms:created>
  <dcterms:modified xsi:type="dcterms:W3CDTF">2023-11-08T14:12:00Z</dcterms:modified>
</cp:coreProperties>
</file>