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55C62" w14:textId="77777777" w:rsidR="00F65B60" w:rsidRPr="008D0784" w:rsidRDefault="008D0784" w:rsidP="008D0784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D0784">
        <w:rPr>
          <w:rFonts w:ascii="Times New Roman" w:hAnsi="Times New Roman" w:cs="Times New Roman"/>
          <w:b/>
          <w:sz w:val="24"/>
        </w:rPr>
        <w:t>Uzasadnienie</w:t>
      </w:r>
    </w:p>
    <w:p w14:paraId="75E5CCAD" w14:textId="77777777" w:rsidR="008D0784" w:rsidRDefault="008D0784" w:rsidP="008D0784">
      <w:pPr>
        <w:jc w:val="center"/>
        <w:rPr>
          <w:rFonts w:ascii="Times New Roman" w:hAnsi="Times New Roman" w:cs="Times New Roman"/>
          <w:b/>
          <w:sz w:val="24"/>
        </w:rPr>
      </w:pPr>
    </w:p>
    <w:p w14:paraId="7C0A0EA1" w14:textId="2A52BAC3" w:rsidR="00E35DDA" w:rsidRPr="00EB0A65" w:rsidRDefault="00D11C64" w:rsidP="00941461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0A65">
        <w:rPr>
          <w:rFonts w:ascii="Times New Roman" w:eastAsia="Calibri" w:hAnsi="Times New Roman" w:cs="Times New Roman"/>
        </w:rPr>
        <w:t>Projektowane rozporządzenie Ministra Infrastruktury w sprawie udzielania pomocy publicznej w</w:t>
      </w:r>
      <w:r w:rsidR="004942E1" w:rsidRPr="00EB0A65">
        <w:rPr>
          <w:rFonts w:ascii="Times New Roman" w:eastAsia="Calibri" w:hAnsi="Times New Roman" w:cs="Times New Roman"/>
        </w:rPr>
        <w:t> </w:t>
      </w:r>
      <w:r w:rsidRPr="00EB0A65">
        <w:rPr>
          <w:rFonts w:ascii="Times New Roman" w:eastAsia="Calibri" w:hAnsi="Times New Roman" w:cs="Times New Roman"/>
        </w:rPr>
        <w:t xml:space="preserve">zakresie wyposażenia pojazdów kolejowych z napędem </w:t>
      </w:r>
      <w:r w:rsidR="00E5605F">
        <w:rPr>
          <w:rFonts w:ascii="Times New Roman" w:eastAsia="Calibri" w:hAnsi="Times New Roman" w:cs="Times New Roman"/>
        </w:rPr>
        <w:t xml:space="preserve">lub z kabiną sterowniczą </w:t>
      </w:r>
      <w:r w:rsidRPr="00EB0A65">
        <w:rPr>
          <w:rFonts w:ascii="Times New Roman" w:eastAsia="Calibri" w:hAnsi="Times New Roman" w:cs="Times New Roman"/>
        </w:rPr>
        <w:t>w system ERTMS w ramach Krajowego Planu Odbudowy i Zwiększania Odporności, zwane dalej „projektowanym rozporządzeniem”, stanowi wykonanie upoważnienia ustawowego, określonego w art. 14lc ust. 4 ustawy z dnia 6 grudnia 2006 r. o</w:t>
      </w:r>
      <w:r w:rsidR="00E5605F">
        <w:rPr>
          <w:rFonts w:ascii="Times New Roman" w:eastAsia="Calibri" w:hAnsi="Times New Roman" w:cs="Times New Roman"/>
        </w:rPr>
        <w:t xml:space="preserve"> </w:t>
      </w:r>
      <w:r w:rsidRPr="00EB0A65">
        <w:rPr>
          <w:rFonts w:ascii="Times New Roman" w:eastAsia="Calibri" w:hAnsi="Times New Roman" w:cs="Times New Roman"/>
        </w:rPr>
        <w:t xml:space="preserve">zasadach prowadzenia polityki rozwoju (Dz. U. z 2023 r. poz. </w:t>
      </w:r>
      <w:r w:rsidR="00A23D81">
        <w:rPr>
          <w:rFonts w:ascii="Times New Roman" w:eastAsia="Calibri" w:hAnsi="Times New Roman" w:cs="Times New Roman"/>
        </w:rPr>
        <w:t>1259</w:t>
      </w:r>
      <w:r w:rsidRPr="00EB0A65">
        <w:rPr>
          <w:rFonts w:ascii="Times New Roman" w:eastAsia="Calibri" w:hAnsi="Times New Roman" w:cs="Times New Roman"/>
        </w:rPr>
        <w:t xml:space="preserve">, z późn. zm.), zwanej dalej „ustawą”. W projektowanym rozporządzeniu właściwy minister pełniący funkcję </w:t>
      </w:r>
      <w:r w:rsidR="003925F3" w:rsidRPr="00EB0A65">
        <w:rPr>
          <w:rFonts w:ascii="Times New Roman" w:eastAsia="Calibri" w:hAnsi="Times New Roman" w:cs="Times New Roman"/>
        </w:rPr>
        <w:t xml:space="preserve">instytucji </w:t>
      </w:r>
      <w:r w:rsidRPr="00EB0A65">
        <w:rPr>
          <w:rFonts w:ascii="Times New Roman" w:eastAsia="Calibri" w:hAnsi="Times New Roman" w:cs="Times New Roman"/>
        </w:rPr>
        <w:t>odpowiedzialnej za realizację inwestycji E2.2.2. „Cyfryzacja transportu” wskazanej w komponencie E</w:t>
      </w:r>
      <w:r w:rsidR="00E5605F">
        <w:rPr>
          <w:rFonts w:ascii="Times New Roman" w:eastAsia="Calibri" w:hAnsi="Times New Roman" w:cs="Times New Roman"/>
        </w:rPr>
        <w:t xml:space="preserve"> </w:t>
      </w:r>
      <w:r w:rsidRPr="00EB0A65">
        <w:rPr>
          <w:rFonts w:ascii="Times New Roman" w:eastAsia="Calibri" w:hAnsi="Times New Roman" w:cs="Times New Roman"/>
        </w:rPr>
        <w:t>„Zielona, inteligentna mobilność” objętej Krajowym Planem Odbudowy i</w:t>
      </w:r>
      <w:r w:rsidR="00E5605F">
        <w:rPr>
          <w:rFonts w:ascii="Times New Roman" w:eastAsia="Calibri" w:hAnsi="Times New Roman" w:cs="Times New Roman"/>
        </w:rPr>
        <w:t> </w:t>
      </w:r>
      <w:r w:rsidRPr="00EB0A65">
        <w:rPr>
          <w:rFonts w:ascii="Times New Roman" w:eastAsia="Calibri" w:hAnsi="Times New Roman" w:cs="Times New Roman"/>
        </w:rPr>
        <w:t xml:space="preserve">Zwiększania Odporności (planem rozwojowym), zwanym dalej „KPO”, określił szczegółowe przeznaczenie, warunki i tryb udzielania pomocy publicznej na realizację przedsięwzięć w zakresie wyposażenia pojazdów kolejowych z napędem </w:t>
      </w:r>
      <w:r w:rsidR="00941461">
        <w:rPr>
          <w:rFonts w:ascii="Times New Roman" w:hAnsi="Times New Roman"/>
        </w:rPr>
        <w:t xml:space="preserve">lub </w:t>
      </w:r>
      <w:r w:rsidR="00E5605F">
        <w:rPr>
          <w:rFonts w:ascii="Times New Roman" w:hAnsi="Times New Roman"/>
        </w:rPr>
        <w:t>z</w:t>
      </w:r>
      <w:r w:rsidR="00941461">
        <w:rPr>
          <w:rFonts w:ascii="Times New Roman" w:hAnsi="Times New Roman"/>
        </w:rPr>
        <w:t xml:space="preserve"> kabin</w:t>
      </w:r>
      <w:r w:rsidR="00E5605F">
        <w:rPr>
          <w:rFonts w:ascii="Times New Roman" w:hAnsi="Times New Roman"/>
        </w:rPr>
        <w:t>ą</w:t>
      </w:r>
      <w:r w:rsidR="00941461">
        <w:rPr>
          <w:rFonts w:ascii="Times New Roman" w:hAnsi="Times New Roman"/>
        </w:rPr>
        <w:t xml:space="preserve"> sterowniczą </w:t>
      </w:r>
      <w:r w:rsidR="00E5605F">
        <w:rPr>
          <w:rFonts w:ascii="Times New Roman" w:hAnsi="Times New Roman"/>
        </w:rPr>
        <w:t>(</w:t>
      </w:r>
      <w:r w:rsidR="00941461">
        <w:rPr>
          <w:rFonts w:ascii="Times New Roman" w:hAnsi="Times New Roman"/>
        </w:rPr>
        <w:t>typu PUSH-PULL</w:t>
      </w:r>
      <w:r w:rsidR="00E5605F">
        <w:rPr>
          <w:rFonts w:ascii="Times New Roman" w:hAnsi="Times New Roman"/>
        </w:rPr>
        <w:t>)</w:t>
      </w:r>
      <w:r w:rsidR="00941461" w:rsidRPr="00315110">
        <w:rPr>
          <w:rFonts w:ascii="Times New Roman" w:hAnsi="Times New Roman"/>
        </w:rPr>
        <w:t xml:space="preserve"> </w:t>
      </w:r>
      <w:r w:rsidRPr="00EB0A65">
        <w:rPr>
          <w:rFonts w:ascii="Times New Roman" w:eastAsia="Calibri" w:hAnsi="Times New Roman" w:cs="Times New Roman"/>
        </w:rPr>
        <w:t>w</w:t>
      </w:r>
      <w:r w:rsidR="00E5605F">
        <w:rPr>
          <w:rFonts w:ascii="Times New Roman" w:eastAsia="Calibri" w:hAnsi="Times New Roman" w:cs="Times New Roman"/>
        </w:rPr>
        <w:t> </w:t>
      </w:r>
      <w:r w:rsidRPr="00EB0A65">
        <w:rPr>
          <w:rFonts w:ascii="Times New Roman" w:eastAsia="Calibri" w:hAnsi="Times New Roman" w:cs="Times New Roman"/>
        </w:rPr>
        <w:t>Europejski System Zarządzania Ruchem Kolejowym, zwany dalej „systemem ERTMS”,</w:t>
      </w:r>
      <w:r w:rsidR="00DF1174" w:rsidRPr="00EB0A65">
        <w:rPr>
          <w:rFonts w:ascii="Times New Roman" w:eastAsia="Calibri" w:hAnsi="Times New Roman" w:cs="Times New Roman"/>
        </w:rPr>
        <w:t xml:space="preserve"> </w:t>
      </w:r>
      <w:r w:rsidRPr="00EB0A65">
        <w:rPr>
          <w:rFonts w:ascii="Times New Roman" w:eastAsia="Calibri" w:hAnsi="Times New Roman" w:cs="Times New Roman"/>
        </w:rPr>
        <w:t>a także podmiot udzielający tej pomocy, uwzględniając konieczność zapewnienia zgodności tej pomocy z</w:t>
      </w:r>
      <w:r w:rsidR="00E5605F">
        <w:rPr>
          <w:rFonts w:ascii="Times New Roman" w:eastAsia="Calibri" w:hAnsi="Times New Roman" w:cs="Times New Roman"/>
        </w:rPr>
        <w:t> </w:t>
      </w:r>
      <w:r w:rsidRPr="00EB0A65">
        <w:rPr>
          <w:rFonts w:ascii="Times New Roman" w:eastAsia="Calibri" w:hAnsi="Times New Roman" w:cs="Times New Roman"/>
        </w:rPr>
        <w:t>rynkiem wewnętrznym, efektywnego i skutecznego jej wykorzystania oraz przejrzystości jej udzielania.</w:t>
      </w:r>
    </w:p>
    <w:p w14:paraId="719CE842" w14:textId="77777777" w:rsidR="00E35DDA" w:rsidRPr="00EB0A65" w:rsidRDefault="00E35DDA" w:rsidP="005B1416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0A65">
        <w:rPr>
          <w:rFonts w:ascii="Times New Roman" w:eastAsia="Times New Roman" w:hAnsi="Times New Roman" w:cs="Times New Roman"/>
          <w:lang w:eastAsia="pl-PL"/>
        </w:rPr>
        <w:t>W projektowanym rozporządzeniu przez system ERTMS należy rozumieć system ERTMS według wzorca 3 (baseline 3) lub wyższego, obejmujący urządzenie pokładowe Europejskiego Systemu Sterowania Pociągiem, zwanego dalej „systemem ETCS”, oraz Globalnego System</w:t>
      </w:r>
      <w:r w:rsidRPr="00815480">
        <w:rPr>
          <w:rFonts w:ascii="Times New Roman" w:eastAsia="Times New Roman" w:hAnsi="Times New Roman" w:cs="Times New Roman"/>
          <w:lang w:eastAsia="pl-PL"/>
        </w:rPr>
        <w:t>u Kolejowej Radiokomunikacji Ruchomej, zwanego dalej „systemem GSM-R”, łącznie albo tylko urządzenie pokładowe systemu ETCS w przypadku, gdy system GSM-R jest już zainstalowany.</w:t>
      </w:r>
    </w:p>
    <w:p w14:paraId="4AAAF517" w14:textId="58302BE0" w:rsidR="004942E1" w:rsidRDefault="00D11C64" w:rsidP="00EB0A6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EB0A65">
        <w:rPr>
          <w:rFonts w:ascii="Times New Roman" w:eastAsia="Calibri" w:hAnsi="Times New Roman" w:cs="Times New Roman"/>
        </w:rPr>
        <w:t>Projektowane rozporządzenie uwzględnia postanowienia Porozumienia w sprawie powierzenia zadań związanych z realizacją inwestycji w ramach planu rozwojowego, zawartego w</w:t>
      </w:r>
      <w:r w:rsidR="006C4ACA" w:rsidRPr="00EB0A65">
        <w:rPr>
          <w:rFonts w:ascii="Times New Roman" w:eastAsia="Calibri" w:hAnsi="Times New Roman" w:cs="Times New Roman"/>
        </w:rPr>
        <w:t xml:space="preserve"> </w:t>
      </w:r>
      <w:r w:rsidRPr="00EB0A65">
        <w:rPr>
          <w:rFonts w:ascii="Times New Roman" w:eastAsia="Calibri" w:hAnsi="Times New Roman" w:cs="Times New Roman"/>
        </w:rPr>
        <w:t>Warszawie w dniu 17</w:t>
      </w:r>
      <w:r w:rsidRPr="00D11C64">
        <w:rPr>
          <w:rFonts w:ascii="Times New Roman" w:eastAsia="Calibri" w:hAnsi="Times New Roman" w:cs="Times New Roman"/>
        </w:rPr>
        <w:t xml:space="preserve"> lutego 2023 r. między Ministrem Infrastruktury a Centrum Unijnych Projektów Transportowych, zwanym dalej „CUPT”, pełniącym rolę jednostki wspierającej plan rozwojowy. Pomoc publiczna udzielana na podstawie projektowanego rozporządzenia, w formie bezzwrotnego wsparcia finansowego, po jej uprzedniej notyfikacji Komisji Europejskiej zgodnie z art. 108 ust. 3 Traktatu o </w:t>
      </w:r>
      <w:r w:rsidR="002D4613">
        <w:rPr>
          <w:rFonts w:ascii="Times New Roman" w:eastAsia="Calibri" w:hAnsi="Times New Roman" w:cs="Times New Roman"/>
        </w:rPr>
        <w:t>f</w:t>
      </w:r>
      <w:r w:rsidR="002D4613" w:rsidRPr="00D11C64">
        <w:rPr>
          <w:rFonts w:ascii="Times New Roman" w:eastAsia="Calibri" w:hAnsi="Times New Roman" w:cs="Times New Roman"/>
        </w:rPr>
        <w:t xml:space="preserve">unkcjonowaniu </w:t>
      </w:r>
      <w:r w:rsidRPr="00D11C64">
        <w:rPr>
          <w:rFonts w:ascii="Times New Roman" w:eastAsia="Calibri" w:hAnsi="Times New Roman" w:cs="Times New Roman"/>
        </w:rPr>
        <w:t>Unii Europejskiej, zwanego dalej „TFUE”, może zostać uznana za zgodną z rynkiem wewnętrznym na</w:t>
      </w:r>
      <w:r w:rsidR="00C12230">
        <w:rPr>
          <w:rFonts w:ascii="Times New Roman" w:eastAsia="Calibri" w:hAnsi="Times New Roman" w:cs="Times New Roman"/>
        </w:rPr>
        <w:t> </w:t>
      </w:r>
      <w:r w:rsidRPr="00D11C64">
        <w:rPr>
          <w:rFonts w:ascii="Times New Roman" w:eastAsia="Calibri" w:hAnsi="Times New Roman" w:cs="Times New Roman"/>
        </w:rPr>
        <w:t>podstawie art. 93 TFUE.</w:t>
      </w:r>
    </w:p>
    <w:p w14:paraId="5600FF06" w14:textId="33BFC867" w:rsidR="00C12230" w:rsidRDefault="008D0784" w:rsidP="008646A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gospodarki kl</w:t>
      </w:r>
      <w:r w:rsidRPr="008D0784">
        <w:rPr>
          <w:rFonts w:ascii="Times New Roman" w:hAnsi="Times New Roman" w:cs="Times New Roman"/>
        </w:rPr>
        <w:t xml:space="preserve">uczową </w:t>
      </w:r>
      <w:r w:rsidR="00767387">
        <w:rPr>
          <w:rFonts w:ascii="Times New Roman" w:hAnsi="Times New Roman" w:cs="Times New Roman"/>
        </w:rPr>
        <w:t>rolę pełni</w:t>
      </w:r>
      <w:r>
        <w:rPr>
          <w:rFonts w:ascii="Times New Roman" w:hAnsi="Times New Roman" w:cs="Times New Roman"/>
        </w:rPr>
        <w:t xml:space="preserve"> sprawny i efektywny system transportowy. Sytuacje kryzysowe</w:t>
      </w:r>
      <w:r w:rsidR="00F71E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takie jak pandemia COVID-19</w:t>
      </w:r>
      <w:r w:rsidR="00F71E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67387">
        <w:rPr>
          <w:rFonts w:ascii="Times New Roman" w:hAnsi="Times New Roman" w:cs="Times New Roman"/>
        </w:rPr>
        <w:t xml:space="preserve">uwidaczniają </w:t>
      </w:r>
      <w:r>
        <w:rPr>
          <w:rFonts w:ascii="Times New Roman" w:hAnsi="Times New Roman" w:cs="Times New Roman"/>
        </w:rPr>
        <w:t>znaczenie sprawnie działającego sektora transportu. Wyzwania stojące przed sektorem transportu</w:t>
      </w:r>
      <w:r w:rsidR="00276ABC">
        <w:rPr>
          <w:rFonts w:ascii="Times New Roman" w:hAnsi="Times New Roman" w:cs="Times New Roman"/>
        </w:rPr>
        <w:t xml:space="preserve"> pozostają od lat niezmienne: zapewnienie dostępu do</w:t>
      </w:r>
      <w:r w:rsidR="00C12230">
        <w:rPr>
          <w:rFonts w:ascii="Times New Roman" w:hAnsi="Times New Roman" w:cs="Times New Roman"/>
        </w:rPr>
        <w:t> </w:t>
      </w:r>
      <w:r w:rsidR="00276ABC">
        <w:rPr>
          <w:rFonts w:ascii="Times New Roman" w:hAnsi="Times New Roman" w:cs="Times New Roman"/>
        </w:rPr>
        <w:t>infrastruktury, utworzenie spójnego systemu transportowego opartego na sieci infrastruktury transportowej, zmniejszenie presji na środowisko i klimat oraz poprawa bezpieczeństwa.</w:t>
      </w:r>
    </w:p>
    <w:p w14:paraId="58BCCC91" w14:textId="5459CD17" w:rsidR="00DC0E77" w:rsidRDefault="00276ABC" w:rsidP="008646A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latach poprzedzających wystąpienie pandemii COVID-19, tj. </w:t>
      </w:r>
      <w:r w:rsidR="00F71E3C">
        <w:rPr>
          <w:rFonts w:ascii="Times New Roman" w:hAnsi="Times New Roman" w:cs="Times New Roman"/>
        </w:rPr>
        <w:t>2005</w:t>
      </w:r>
      <w:r w:rsidR="00C12230">
        <w:rPr>
          <w:rFonts w:ascii="Times New Roman" w:hAnsi="Times New Roman" w:cs="Times New Roman"/>
        </w:rPr>
        <w:t>–2019,</w:t>
      </w:r>
      <w:r>
        <w:rPr>
          <w:rFonts w:ascii="Times New Roman" w:hAnsi="Times New Roman" w:cs="Times New Roman"/>
        </w:rPr>
        <w:t xml:space="preserve"> można było zaobserwować wzrost popytu na usługi transportowe. O</w:t>
      </w:r>
      <w:r w:rsidR="00AB4DB9">
        <w:rPr>
          <w:rFonts w:ascii="Times New Roman" w:hAnsi="Times New Roman" w:cs="Times New Roman"/>
        </w:rPr>
        <w:t>becnie o</w:t>
      </w:r>
      <w:r>
        <w:rPr>
          <w:rFonts w:ascii="Times New Roman" w:hAnsi="Times New Roman" w:cs="Times New Roman"/>
        </w:rPr>
        <w:t>bok wyzwań</w:t>
      </w:r>
      <w:r w:rsidR="00F71E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 którymi od lat boryka się sektor transportu</w:t>
      </w:r>
      <w:r w:rsidR="00F71E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67387">
        <w:rPr>
          <w:rFonts w:ascii="Times New Roman" w:hAnsi="Times New Roman" w:cs="Times New Roman"/>
        </w:rPr>
        <w:t xml:space="preserve">pojawiły </w:t>
      </w:r>
      <w:r>
        <w:rPr>
          <w:rFonts w:ascii="Times New Roman" w:hAnsi="Times New Roman" w:cs="Times New Roman"/>
        </w:rPr>
        <w:t>się skutki pandemii</w:t>
      </w:r>
      <w:r w:rsidR="00F71E3C" w:rsidRPr="00F71E3C">
        <w:rPr>
          <w:rFonts w:ascii="Times New Roman" w:hAnsi="Times New Roman" w:cs="Times New Roman"/>
        </w:rPr>
        <w:t xml:space="preserve"> COVID-19</w:t>
      </w:r>
      <w:r w:rsidR="00DC0E77">
        <w:rPr>
          <w:rFonts w:ascii="Times New Roman" w:hAnsi="Times New Roman" w:cs="Times New Roman"/>
        </w:rPr>
        <w:t>, takie jak wzrost inflacji</w:t>
      </w:r>
      <w:r w:rsidR="008164E6">
        <w:rPr>
          <w:rFonts w:ascii="Times New Roman" w:hAnsi="Times New Roman" w:cs="Times New Roman"/>
        </w:rPr>
        <w:t xml:space="preserve">, a także ogólny wzrost kosztów prowadzonej działalności </w:t>
      </w:r>
      <w:r w:rsidR="00C77C8D">
        <w:rPr>
          <w:rFonts w:ascii="Times New Roman" w:hAnsi="Times New Roman" w:cs="Times New Roman"/>
        </w:rPr>
        <w:t xml:space="preserve">gospodarczej </w:t>
      </w:r>
      <w:r w:rsidR="008164E6">
        <w:rPr>
          <w:rFonts w:ascii="Times New Roman" w:hAnsi="Times New Roman" w:cs="Times New Roman"/>
        </w:rPr>
        <w:t>spowodowany pogorszeniem się sytuacji gospodarczej w</w:t>
      </w:r>
      <w:r w:rsidR="00CF7D3C">
        <w:rPr>
          <w:rFonts w:ascii="Times New Roman" w:hAnsi="Times New Roman" w:cs="Times New Roman"/>
        </w:rPr>
        <w:t> </w:t>
      </w:r>
      <w:r w:rsidR="008164E6">
        <w:rPr>
          <w:rFonts w:ascii="Times New Roman" w:hAnsi="Times New Roman" w:cs="Times New Roman"/>
        </w:rPr>
        <w:t>wyniku początkowo pandemii</w:t>
      </w:r>
      <w:r w:rsidR="00C77C8D" w:rsidRPr="00C77C8D">
        <w:rPr>
          <w:rFonts w:ascii="Times New Roman" w:hAnsi="Times New Roman" w:cs="Times New Roman"/>
        </w:rPr>
        <w:t xml:space="preserve"> COVID-19</w:t>
      </w:r>
      <w:r w:rsidR="008164E6">
        <w:rPr>
          <w:rFonts w:ascii="Times New Roman" w:hAnsi="Times New Roman" w:cs="Times New Roman"/>
        </w:rPr>
        <w:t>, a następnie – rosyjskiej inwazji na Ukrainę</w:t>
      </w:r>
      <w:r>
        <w:rPr>
          <w:rFonts w:ascii="Times New Roman" w:hAnsi="Times New Roman" w:cs="Times New Roman"/>
        </w:rPr>
        <w:t>. Inwestycje w</w:t>
      </w:r>
      <w:r w:rsidR="00CF7D3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transport kolejowy zwiększają nie tylko możliwości </w:t>
      </w:r>
      <w:r w:rsidR="00590CA4">
        <w:rPr>
          <w:rFonts w:ascii="Times New Roman" w:hAnsi="Times New Roman" w:cs="Times New Roman"/>
        </w:rPr>
        <w:t xml:space="preserve">publicznego </w:t>
      </w:r>
      <w:r>
        <w:rPr>
          <w:rFonts w:ascii="Times New Roman" w:hAnsi="Times New Roman" w:cs="Times New Roman"/>
        </w:rPr>
        <w:t xml:space="preserve">transportu </w:t>
      </w:r>
      <w:r w:rsidR="00590CA4">
        <w:rPr>
          <w:rFonts w:ascii="Times New Roman" w:hAnsi="Times New Roman" w:cs="Times New Roman"/>
        </w:rPr>
        <w:t>zbiorowego</w:t>
      </w:r>
      <w:r w:rsidR="00F71E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lecz także </w:t>
      </w:r>
      <w:r w:rsidR="00F052CA">
        <w:rPr>
          <w:rFonts w:ascii="Times New Roman" w:hAnsi="Times New Roman" w:cs="Times New Roman"/>
        </w:rPr>
        <w:t>przewoz</w:t>
      </w:r>
      <w:r w:rsidR="00560511">
        <w:rPr>
          <w:rFonts w:ascii="Times New Roman" w:hAnsi="Times New Roman" w:cs="Times New Roman"/>
        </w:rPr>
        <w:t>ów</w:t>
      </w:r>
      <w:r w:rsidR="00F052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towar</w:t>
      </w:r>
      <w:r w:rsidR="00560511">
        <w:rPr>
          <w:rFonts w:ascii="Times New Roman" w:hAnsi="Times New Roman" w:cs="Times New Roman"/>
        </w:rPr>
        <w:t>owych</w:t>
      </w:r>
      <w:r>
        <w:rPr>
          <w:rFonts w:ascii="Times New Roman" w:hAnsi="Times New Roman" w:cs="Times New Roman"/>
        </w:rPr>
        <w:t>, przy zmniejszeniu presji na środowisko.</w:t>
      </w:r>
    </w:p>
    <w:p w14:paraId="2C355200" w14:textId="548A9327" w:rsidR="00276ABC" w:rsidRDefault="00276ABC" w:rsidP="008646A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Aktualnie </w:t>
      </w:r>
      <w:r w:rsidR="00F052CA">
        <w:rPr>
          <w:rFonts w:ascii="Times New Roman" w:hAnsi="Times New Roman" w:cs="Times New Roman"/>
        </w:rPr>
        <w:t xml:space="preserve">użytkowany </w:t>
      </w:r>
      <w:r>
        <w:rPr>
          <w:rFonts w:ascii="Times New Roman" w:hAnsi="Times New Roman" w:cs="Times New Roman"/>
        </w:rPr>
        <w:t xml:space="preserve">tabor </w:t>
      </w:r>
      <w:r w:rsidR="00767387">
        <w:rPr>
          <w:rFonts w:ascii="Times New Roman" w:hAnsi="Times New Roman" w:cs="Times New Roman"/>
        </w:rPr>
        <w:t xml:space="preserve">kolejowy </w:t>
      </w:r>
      <w:r w:rsidR="004C6A43">
        <w:rPr>
          <w:rFonts w:ascii="Times New Roman" w:hAnsi="Times New Roman" w:cs="Times New Roman"/>
        </w:rPr>
        <w:t xml:space="preserve">jest </w:t>
      </w:r>
      <w:r w:rsidR="0001256F">
        <w:rPr>
          <w:rFonts w:ascii="Times New Roman" w:hAnsi="Times New Roman" w:cs="Times New Roman"/>
        </w:rPr>
        <w:t>w większości przestarzały</w:t>
      </w:r>
      <w:r w:rsidR="0046645B">
        <w:rPr>
          <w:rFonts w:ascii="Times New Roman" w:hAnsi="Times New Roman" w:cs="Times New Roman"/>
        </w:rPr>
        <w:t xml:space="preserve"> (</w:t>
      </w:r>
      <w:r w:rsidR="005A1ED4">
        <w:rPr>
          <w:rFonts w:ascii="Times New Roman" w:hAnsi="Times New Roman" w:cs="Times New Roman"/>
        </w:rPr>
        <w:t xml:space="preserve">jego </w:t>
      </w:r>
      <w:r w:rsidR="0046645B">
        <w:rPr>
          <w:rFonts w:ascii="Times New Roman" w:hAnsi="Times New Roman" w:cs="Times New Roman"/>
        </w:rPr>
        <w:t>średni wiek przekracza 30</w:t>
      </w:r>
      <w:r w:rsidR="00C12230">
        <w:rPr>
          <w:rFonts w:ascii="Times New Roman" w:hAnsi="Times New Roman" w:cs="Times New Roman"/>
        </w:rPr>
        <w:t> </w:t>
      </w:r>
      <w:r w:rsidR="0046645B">
        <w:rPr>
          <w:rFonts w:ascii="Times New Roman" w:hAnsi="Times New Roman" w:cs="Times New Roman"/>
        </w:rPr>
        <w:t>lat)</w:t>
      </w:r>
      <w:r w:rsidR="00663F37">
        <w:rPr>
          <w:rFonts w:ascii="Times New Roman" w:hAnsi="Times New Roman" w:cs="Times New Roman"/>
        </w:rPr>
        <w:t xml:space="preserve">, </w:t>
      </w:r>
      <w:r w:rsidR="00F052CA">
        <w:rPr>
          <w:rFonts w:ascii="Times New Roman" w:hAnsi="Times New Roman" w:cs="Times New Roman"/>
        </w:rPr>
        <w:t xml:space="preserve">przez co </w:t>
      </w:r>
      <w:r w:rsidR="0001256F">
        <w:rPr>
          <w:rFonts w:ascii="Times New Roman" w:hAnsi="Times New Roman" w:cs="Times New Roman"/>
        </w:rPr>
        <w:t xml:space="preserve">transport kolejowy jest </w:t>
      </w:r>
      <w:r w:rsidR="0046645B">
        <w:rPr>
          <w:rFonts w:ascii="Times New Roman" w:hAnsi="Times New Roman" w:cs="Times New Roman"/>
        </w:rPr>
        <w:t>niewystarczająco wykorzystywany</w:t>
      </w:r>
      <w:r w:rsidR="0001256F" w:rsidRPr="0001256F">
        <w:rPr>
          <w:rFonts w:ascii="Times New Roman" w:hAnsi="Times New Roman" w:cs="Times New Roman"/>
        </w:rPr>
        <w:t xml:space="preserve"> </w:t>
      </w:r>
      <w:r w:rsidR="0001256F">
        <w:rPr>
          <w:rFonts w:ascii="Times New Roman" w:hAnsi="Times New Roman" w:cs="Times New Roman"/>
        </w:rPr>
        <w:t xml:space="preserve">w </w:t>
      </w:r>
      <w:r w:rsidR="00590CA4">
        <w:rPr>
          <w:rFonts w:ascii="Times New Roman" w:hAnsi="Times New Roman" w:cs="Times New Roman"/>
        </w:rPr>
        <w:t xml:space="preserve">ramach publicznego </w:t>
      </w:r>
      <w:r w:rsidR="0001256F">
        <w:rPr>
          <w:rFonts w:ascii="Times New Roman" w:hAnsi="Times New Roman" w:cs="Times New Roman"/>
        </w:rPr>
        <w:t>transpor</w:t>
      </w:r>
      <w:r w:rsidR="00590CA4">
        <w:rPr>
          <w:rFonts w:ascii="Times New Roman" w:hAnsi="Times New Roman" w:cs="Times New Roman"/>
        </w:rPr>
        <w:t>tu zbiorowego</w:t>
      </w:r>
      <w:r w:rsidR="0001256F">
        <w:rPr>
          <w:rFonts w:ascii="Times New Roman" w:hAnsi="Times New Roman" w:cs="Times New Roman"/>
        </w:rPr>
        <w:t xml:space="preserve"> oraz w przewozach </w:t>
      </w:r>
      <w:r w:rsidR="00560511">
        <w:rPr>
          <w:rFonts w:ascii="Times New Roman" w:hAnsi="Times New Roman" w:cs="Times New Roman"/>
        </w:rPr>
        <w:t>towarowych</w:t>
      </w:r>
      <w:r w:rsidR="0046645B">
        <w:rPr>
          <w:rFonts w:ascii="Times New Roman" w:hAnsi="Times New Roman" w:cs="Times New Roman"/>
        </w:rPr>
        <w:t xml:space="preserve">. </w:t>
      </w:r>
      <w:r w:rsidR="00663F37">
        <w:rPr>
          <w:rFonts w:ascii="Times New Roman" w:hAnsi="Times New Roman" w:cs="Times New Roman"/>
        </w:rPr>
        <w:t xml:space="preserve">Zwiększenie </w:t>
      </w:r>
      <w:r w:rsidR="00AB4DB9">
        <w:rPr>
          <w:rFonts w:ascii="Times New Roman" w:hAnsi="Times New Roman" w:cs="Times New Roman"/>
        </w:rPr>
        <w:t xml:space="preserve">w przewozach kolejowych </w:t>
      </w:r>
      <w:r w:rsidR="00663F37">
        <w:rPr>
          <w:rFonts w:ascii="Times New Roman" w:hAnsi="Times New Roman" w:cs="Times New Roman"/>
        </w:rPr>
        <w:t xml:space="preserve">udziału taboru </w:t>
      </w:r>
      <w:r w:rsidR="00F052CA">
        <w:rPr>
          <w:rFonts w:ascii="Times New Roman" w:hAnsi="Times New Roman" w:cs="Times New Roman"/>
        </w:rPr>
        <w:t xml:space="preserve">kolejowego </w:t>
      </w:r>
      <w:r w:rsidR="00B21F37">
        <w:rPr>
          <w:rFonts w:ascii="Times New Roman" w:hAnsi="Times New Roman" w:cs="Times New Roman"/>
        </w:rPr>
        <w:t xml:space="preserve">wyposażonego w </w:t>
      </w:r>
      <w:r w:rsidR="00663F37">
        <w:rPr>
          <w:rFonts w:ascii="Times New Roman" w:hAnsi="Times New Roman" w:cs="Times New Roman"/>
        </w:rPr>
        <w:t>nowoczesne rozwiązania</w:t>
      </w:r>
      <w:r w:rsidR="005A1ED4">
        <w:rPr>
          <w:rFonts w:ascii="Times New Roman" w:hAnsi="Times New Roman" w:cs="Times New Roman"/>
        </w:rPr>
        <w:t>,</w:t>
      </w:r>
      <w:r w:rsidR="0038686B">
        <w:rPr>
          <w:rFonts w:ascii="Times New Roman" w:hAnsi="Times New Roman" w:cs="Times New Roman"/>
        </w:rPr>
        <w:t xml:space="preserve"> takie jak system ERTMS</w:t>
      </w:r>
      <w:r w:rsidR="00F052CA">
        <w:rPr>
          <w:rFonts w:ascii="Times New Roman" w:hAnsi="Times New Roman" w:cs="Times New Roman"/>
        </w:rPr>
        <w:t>,</w:t>
      </w:r>
      <w:r w:rsidR="00663F37">
        <w:rPr>
          <w:rFonts w:ascii="Times New Roman" w:hAnsi="Times New Roman" w:cs="Times New Roman"/>
        </w:rPr>
        <w:t xml:space="preserve"> ma na celu zachęcenie do korzystania z transportu kolejowego</w:t>
      </w:r>
      <w:r w:rsidR="0001256F">
        <w:rPr>
          <w:rFonts w:ascii="Times New Roman" w:hAnsi="Times New Roman" w:cs="Times New Roman"/>
        </w:rPr>
        <w:t>, szczególnie</w:t>
      </w:r>
      <w:r w:rsidR="00663F37">
        <w:rPr>
          <w:rFonts w:ascii="Times New Roman" w:hAnsi="Times New Roman" w:cs="Times New Roman"/>
        </w:rPr>
        <w:t xml:space="preserve"> </w:t>
      </w:r>
      <w:r w:rsidR="002D2988">
        <w:rPr>
          <w:rFonts w:ascii="Times New Roman" w:hAnsi="Times New Roman" w:cs="Times New Roman"/>
        </w:rPr>
        <w:t xml:space="preserve">w ramach publicznego </w:t>
      </w:r>
      <w:r w:rsidR="00663F37">
        <w:rPr>
          <w:rFonts w:ascii="Times New Roman" w:hAnsi="Times New Roman" w:cs="Times New Roman"/>
        </w:rPr>
        <w:t>transportu zbiorowego w obszarze miejskim.</w:t>
      </w:r>
      <w:r w:rsidR="0046645B">
        <w:rPr>
          <w:rFonts w:ascii="Times New Roman" w:hAnsi="Times New Roman" w:cs="Times New Roman"/>
        </w:rPr>
        <w:t xml:space="preserve"> Zgodnie z badaniami przeprowadzonymi wśród pasażerów kolei przez Urząd Transportu Kolejowego</w:t>
      </w:r>
      <w:r w:rsidR="0001256F">
        <w:rPr>
          <w:rFonts w:ascii="Times New Roman" w:hAnsi="Times New Roman" w:cs="Times New Roman"/>
        </w:rPr>
        <w:t>, zwany dalej „UTK”,</w:t>
      </w:r>
      <w:r w:rsidR="0046645B">
        <w:rPr>
          <w:rFonts w:ascii="Times New Roman" w:hAnsi="Times New Roman" w:cs="Times New Roman"/>
        </w:rPr>
        <w:t xml:space="preserve"> dla 62,6% </w:t>
      </w:r>
      <w:r w:rsidR="002D2988">
        <w:rPr>
          <w:rFonts w:ascii="Times New Roman" w:hAnsi="Times New Roman" w:cs="Times New Roman"/>
        </w:rPr>
        <w:t xml:space="preserve">badanych </w:t>
      </w:r>
      <w:r w:rsidR="0046645B">
        <w:rPr>
          <w:rFonts w:ascii="Times New Roman" w:hAnsi="Times New Roman" w:cs="Times New Roman"/>
        </w:rPr>
        <w:t xml:space="preserve">komfort </w:t>
      </w:r>
      <w:r w:rsidR="00B21F37">
        <w:rPr>
          <w:rFonts w:ascii="Times New Roman" w:hAnsi="Times New Roman" w:cs="Times New Roman"/>
        </w:rPr>
        <w:t xml:space="preserve">podróży </w:t>
      </w:r>
      <w:r w:rsidR="0046645B">
        <w:rPr>
          <w:rFonts w:ascii="Times New Roman" w:hAnsi="Times New Roman" w:cs="Times New Roman"/>
        </w:rPr>
        <w:t>ma wysoki wpływ na wybór środka transportu, więcej wskazań miał tylko czas przejazdu – 72,5%.</w:t>
      </w:r>
    </w:p>
    <w:p w14:paraId="48245337" w14:textId="65EB8DBA" w:rsidR="00BA654E" w:rsidRDefault="0046645B" w:rsidP="006B2E69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Istotne dla realizacji komponentu </w:t>
      </w:r>
      <w:r w:rsidRPr="007C4CA7">
        <w:rPr>
          <w:rFonts w:ascii="Times New Roman" w:eastAsia="Calibri" w:hAnsi="Times New Roman" w:cs="Times New Roman"/>
        </w:rPr>
        <w:t>E „Zielona, inteligentna mobilność</w:t>
      </w:r>
      <w:r>
        <w:rPr>
          <w:rFonts w:ascii="Times New Roman" w:eastAsia="Calibri" w:hAnsi="Times New Roman" w:cs="Times New Roman"/>
        </w:rPr>
        <w:t xml:space="preserve">” </w:t>
      </w:r>
      <w:r w:rsidR="00B865AD">
        <w:rPr>
          <w:rFonts w:ascii="Times New Roman" w:eastAsia="Calibri" w:hAnsi="Times New Roman" w:cs="Times New Roman"/>
        </w:rPr>
        <w:t xml:space="preserve">KPO </w:t>
      </w:r>
      <w:r>
        <w:rPr>
          <w:rFonts w:ascii="Times New Roman" w:eastAsia="Calibri" w:hAnsi="Times New Roman" w:cs="Times New Roman"/>
        </w:rPr>
        <w:t>są wyzwania określone w</w:t>
      </w:r>
      <w:r w:rsidR="00CF7D3C">
        <w:rPr>
          <w:rFonts w:ascii="Times New Roman" w:eastAsia="Calibri" w:hAnsi="Times New Roman" w:cs="Times New Roman"/>
        </w:rPr>
        <w:t> </w:t>
      </w:r>
      <w:r w:rsidR="002D2988" w:rsidRPr="002D2988">
        <w:rPr>
          <w:rFonts w:ascii="Times New Roman" w:eastAsia="Calibri" w:hAnsi="Times New Roman" w:cs="Times New Roman"/>
        </w:rPr>
        <w:t>Społeczn</w:t>
      </w:r>
      <w:r w:rsidR="002D2988">
        <w:rPr>
          <w:rFonts w:ascii="Times New Roman" w:eastAsia="Calibri" w:hAnsi="Times New Roman" w:cs="Times New Roman"/>
        </w:rPr>
        <w:t>ej</w:t>
      </w:r>
      <w:r w:rsidR="002D2988" w:rsidRPr="002D2988">
        <w:rPr>
          <w:rFonts w:ascii="Times New Roman" w:eastAsia="Calibri" w:hAnsi="Times New Roman" w:cs="Times New Roman"/>
        </w:rPr>
        <w:t xml:space="preserve"> odpowiedzialnoś</w:t>
      </w:r>
      <w:r w:rsidR="002D2988">
        <w:rPr>
          <w:rFonts w:ascii="Times New Roman" w:eastAsia="Calibri" w:hAnsi="Times New Roman" w:cs="Times New Roman"/>
        </w:rPr>
        <w:t>ci</w:t>
      </w:r>
      <w:r w:rsidR="002D2988" w:rsidRPr="002D2988">
        <w:rPr>
          <w:rFonts w:ascii="Times New Roman" w:eastAsia="Calibri" w:hAnsi="Times New Roman" w:cs="Times New Roman"/>
        </w:rPr>
        <w:t xml:space="preserve"> biznesu (ang. </w:t>
      </w:r>
      <w:r w:rsidR="002D2988" w:rsidRPr="00B57974">
        <w:rPr>
          <w:rFonts w:ascii="Times New Roman" w:eastAsia="Calibri" w:hAnsi="Times New Roman" w:cs="Times New Roman"/>
          <w:i/>
        </w:rPr>
        <w:t>Corporate Social Responsibility</w:t>
      </w:r>
      <w:r w:rsidR="002D2988" w:rsidRPr="002D2988">
        <w:rPr>
          <w:rFonts w:ascii="Times New Roman" w:eastAsia="Calibri" w:hAnsi="Times New Roman" w:cs="Times New Roman"/>
        </w:rPr>
        <w:t xml:space="preserve"> – CSR) </w:t>
      </w:r>
      <w:r>
        <w:rPr>
          <w:rFonts w:ascii="Times New Roman" w:eastAsia="Calibri" w:hAnsi="Times New Roman" w:cs="Times New Roman"/>
        </w:rPr>
        <w:t xml:space="preserve">dla Polski z lat 2019 i 2020. W związku z </w:t>
      </w:r>
      <w:r w:rsidR="00B865AD">
        <w:rPr>
          <w:rFonts w:ascii="Times New Roman" w:eastAsia="Calibri" w:hAnsi="Times New Roman" w:cs="Times New Roman"/>
        </w:rPr>
        <w:t xml:space="preserve">zawartymi w </w:t>
      </w:r>
      <w:r w:rsidR="006F0430">
        <w:rPr>
          <w:rFonts w:ascii="Times New Roman" w:eastAsia="Calibri" w:hAnsi="Times New Roman" w:cs="Times New Roman"/>
        </w:rPr>
        <w:t>CSR</w:t>
      </w:r>
      <w:r w:rsidR="00874F4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zaleceniami opracowany został główny cel: zrównoważony rozwój, bezpiecznego i odpornego systemu transportowego, zapewniającego odpowiednią obsługę potrzeb gospodarki i społeczeństwa, poprzez zwiększanie dostępności </w:t>
      </w:r>
      <w:r w:rsidR="00302DCF">
        <w:rPr>
          <w:rFonts w:ascii="Times New Roman" w:eastAsia="Calibri" w:hAnsi="Times New Roman" w:cs="Times New Roman"/>
        </w:rPr>
        <w:t>transportowej</w:t>
      </w:r>
      <w:r>
        <w:rPr>
          <w:rFonts w:ascii="Times New Roman" w:eastAsia="Calibri" w:hAnsi="Times New Roman" w:cs="Times New Roman"/>
        </w:rPr>
        <w:t xml:space="preserve"> i walkę</w:t>
      </w:r>
      <w:r w:rsidR="00302DC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z wykluczeniem </w:t>
      </w:r>
      <w:r w:rsidR="00302DCF">
        <w:rPr>
          <w:rFonts w:ascii="Times New Roman" w:eastAsia="Calibri" w:hAnsi="Times New Roman" w:cs="Times New Roman"/>
        </w:rPr>
        <w:t>komunikacyjnym</w:t>
      </w:r>
      <w:r>
        <w:rPr>
          <w:rFonts w:ascii="Times New Roman" w:eastAsia="Calibri" w:hAnsi="Times New Roman" w:cs="Times New Roman"/>
        </w:rPr>
        <w:t xml:space="preserve"> m.in. za pomocą </w:t>
      </w:r>
      <w:r w:rsidR="00302DCF">
        <w:rPr>
          <w:rFonts w:ascii="Times New Roman" w:eastAsia="Calibri" w:hAnsi="Times New Roman" w:cs="Times New Roman"/>
        </w:rPr>
        <w:t>zrównoważonych</w:t>
      </w:r>
      <w:r>
        <w:rPr>
          <w:rFonts w:ascii="Times New Roman" w:eastAsia="Calibri" w:hAnsi="Times New Roman" w:cs="Times New Roman"/>
        </w:rPr>
        <w:t xml:space="preserve"> i cyfrowych rozwiązań minimalizujących negatywne oddziaływanie na środowisko.</w:t>
      </w:r>
      <w:r w:rsidR="00302DCF">
        <w:rPr>
          <w:rFonts w:ascii="Times New Roman" w:eastAsia="Calibri" w:hAnsi="Times New Roman" w:cs="Times New Roman"/>
        </w:rPr>
        <w:t xml:space="preserve"> Dlatego ważnym elementem inwestycji E2.2.2. </w:t>
      </w:r>
      <w:r w:rsidR="00E274A8">
        <w:rPr>
          <w:rFonts w:ascii="Times New Roman" w:eastAsia="Calibri" w:hAnsi="Times New Roman" w:cs="Times New Roman"/>
        </w:rPr>
        <w:t>„</w:t>
      </w:r>
      <w:r w:rsidR="00302DCF">
        <w:rPr>
          <w:rFonts w:ascii="Times New Roman" w:eastAsia="Calibri" w:hAnsi="Times New Roman" w:cs="Times New Roman"/>
        </w:rPr>
        <w:t xml:space="preserve">Cyfryzacja transportu” </w:t>
      </w:r>
      <w:r w:rsidR="00E274A8" w:rsidRPr="00E274A8">
        <w:rPr>
          <w:rFonts w:ascii="Times New Roman" w:eastAsia="Calibri" w:hAnsi="Times New Roman" w:cs="Times New Roman"/>
        </w:rPr>
        <w:t xml:space="preserve">wskazanej w komponencie E „Zielona, inteligentna mobilność” </w:t>
      </w:r>
      <w:r w:rsidR="00E274A8">
        <w:rPr>
          <w:rFonts w:ascii="Times New Roman" w:eastAsia="Calibri" w:hAnsi="Times New Roman" w:cs="Times New Roman"/>
        </w:rPr>
        <w:t xml:space="preserve">KPO </w:t>
      </w:r>
      <w:r w:rsidR="00302DCF">
        <w:rPr>
          <w:rFonts w:ascii="Times New Roman" w:eastAsia="Calibri" w:hAnsi="Times New Roman" w:cs="Times New Roman"/>
        </w:rPr>
        <w:t>jest unowocześnienie sytemu transportowego i wdrożenie rozwiązań poprawiających efektywność wykorzystywania infrastruktury</w:t>
      </w:r>
      <w:r w:rsidR="003D0BEF">
        <w:rPr>
          <w:rFonts w:ascii="Times New Roman" w:eastAsia="Calibri" w:hAnsi="Times New Roman" w:cs="Times New Roman"/>
        </w:rPr>
        <w:t xml:space="preserve"> przez </w:t>
      </w:r>
      <w:r w:rsidR="006B2E69">
        <w:rPr>
          <w:rFonts w:ascii="Times New Roman" w:eastAsia="Calibri" w:hAnsi="Times New Roman" w:cs="Times New Roman"/>
        </w:rPr>
        <w:t xml:space="preserve">zakup, </w:t>
      </w:r>
      <w:r w:rsidR="00E274A8">
        <w:rPr>
          <w:rFonts w:ascii="Times New Roman" w:eastAsia="Calibri" w:hAnsi="Times New Roman" w:cs="Times New Roman"/>
        </w:rPr>
        <w:t xml:space="preserve">instalację </w:t>
      </w:r>
      <w:r w:rsidR="003D0BEF">
        <w:rPr>
          <w:rFonts w:ascii="Times New Roman" w:eastAsia="Calibri" w:hAnsi="Times New Roman" w:cs="Times New Roman"/>
        </w:rPr>
        <w:t xml:space="preserve">lub </w:t>
      </w:r>
      <w:r w:rsidR="00DC0E77">
        <w:rPr>
          <w:rFonts w:ascii="Times New Roman" w:eastAsia="Calibri" w:hAnsi="Times New Roman" w:cs="Times New Roman"/>
        </w:rPr>
        <w:t xml:space="preserve">aktualizację </w:t>
      </w:r>
      <w:r w:rsidR="003D0BEF">
        <w:rPr>
          <w:rFonts w:ascii="Times New Roman" w:eastAsia="Calibri" w:hAnsi="Times New Roman" w:cs="Times New Roman"/>
        </w:rPr>
        <w:t>systemu ERTMS</w:t>
      </w:r>
      <w:r w:rsidR="00302DCF">
        <w:rPr>
          <w:rFonts w:ascii="Times New Roman" w:eastAsia="Calibri" w:hAnsi="Times New Roman" w:cs="Times New Roman"/>
        </w:rPr>
        <w:t xml:space="preserve">. </w:t>
      </w:r>
      <w:r w:rsidR="000432DF">
        <w:rPr>
          <w:rFonts w:ascii="Times New Roman" w:eastAsia="Calibri" w:hAnsi="Times New Roman" w:cs="Times New Roman"/>
        </w:rPr>
        <w:t>Zgodnie z analizą</w:t>
      </w:r>
      <w:r w:rsidR="003352C2">
        <w:rPr>
          <w:rFonts w:ascii="Times New Roman" w:eastAsia="Calibri" w:hAnsi="Times New Roman" w:cs="Times New Roman"/>
        </w:rPr>
        <w:t xml:space="preserve"> UTK</w:t>
      </w:r>
      <w:r w:rsidR="000432DF">
        <w:rPr>
          <w:rFonts w:ascii="Times New Roman" w:eastAsia="Calibri" w:hAnsi="Times New Roman" w:cs="Times New Roman"/>
        </w:rPr>
        <w:t xml:space="preserve"> pn.</w:t>
      </w:r>
      <w:r w:rsidR="00C12230">
        <w:rPr>
          <w:rFonts w:ascii="Times New Roman" w:eastAsia="Calibri" w:hAnsi="Times New Roman" w:cs="Times New Roman"/>
        </w:rPr>
        <w:t>:</w:t>
      </w:r>
      <w:r w:rsidR="000432DF">
        <w:rPr>
          <w:rFonts w:ascii="Times New Roman" w:eastAsia="Calibri" w:hAnsi="Times New Roman" w:cs="Times New Roman"/>
        </w:rPr>
        <w:t xml:space="preserve"> </w:t>
      </w:r>
      <w:r w:rsidR="000432DF" w:rsidRPr="00B57974">
        <w:rPr>
          <w:rFonts w:ascii="Times New Roman" w:eastAsia="Calibri" w:hAnsi="Times New Roman" w:cs="Times New Roman"/>
        </w:rPr>
        <w:t>Zapotrzebowanie rynku na urządzenia pokładowe ETCS</w:t>
      </w:r>
      <w:r w:rsidR="00D4679B">
        <w:rPr>
          <w:rStyle w:val="Odwoanieprzypisudolnego"/>
          <w:rFonts w:ascii="Times New Roman" w:eastAsia="Calibri" w:hAnsi="Times New Roman" w:cs="Times New Roman"/>
        </w:rPr>
        <w:footnoteReference w:id="1"/>
      </w:r>
      <w:r w:rsidR="00D4679B" w:rsidRPr="006F0430">
        <w:rPr>
          <w:rFonts w:ascii="Times New Roman" w:eastAsia="Calibri" w:hAnsi="Times New Roman" w:cs="Times New Roman"/>
          <w:vertAlign w:val="superscript"/>
        </w:rPr>
        <w:t>)</w:t>
      </w:r>
      <w:r w:rsidR="00E274A8">
        <w:rPr>
          <w:rFonts w:ascii="Times New Roman" w:eastAsia="Calibri" w:hAnsi="Times New Roman" w:cs="Times New Roman"/>
          <w:i/>
        </w:rPr>
        <w:t>,</w:t>
      </w:r>
      <w:r w:rsidR="003352C2">
        <w:rPr>
          <w:rFonts w:ascii="Times New Roman" w:eastAsia="Calibri" w:hAnsi="Times New Roman" w:cs="Times New Roman"/>
        </w:rPr>
        <w:t xml:space="preserve"> aktualnie tylko ok. 10% </w:t>
      </w:r>
      <w:r w:rsidR="00BA654E">
        <w:rPr>
          <w:rFonts w:ascii="Times New Roman" w:eastAsia="Calibri" w:hAnsi="Times New Roman" w:cs="Times New Roman"/>
        </w:rPr>
        <w:t xml:space="preserve">wszystkich pojazdów </w:t>
      </w:r>
      <w:r w:rsidR="00E274A8">
        <w:rPr>
          <w:rFonts w:ascii="Times New Roman" w:eastAsia="Calibri" w:hAnsi="Times New Roman" w:cs="Times New Roman"/>
        </w:rPr>
        <w:t xml:space="preserve">kolejowych z napędem </w:t>
      </w:r>
      <w:r w:rsidR="00BA654E">
        <w:rPr>
          <w:rFonts w:ascii="Times New Roman" w:eastAsia="Calibri" w:hAnsi="Times New Roman" w:cs="Times New Roman"/>
        </w:rPr>
        <w:t xml:space="preserve">wykorzystywanych przez polskich przewoźników </w:t>
      </w:r>
      <w:r w:rsidR="00E274A8">
        <w:rPr>
          <w:rFonts w:ascii="Times New Roman" w:eastAsia="Calibri" w:hAnsi="Times New Roman" w:cs="Times New Roman"/>
        </w:rPr>
        <w:t xml:space="preserve">kolejowych </w:t>
      </w:r>
      <w:r w:rsidR="00BA654E">
        <w:rPr>
          <w:rFonts w:ascii="Times New Roman" w:eastAsia="Calibri" w:hAnsi="Times New Roman" w:cs="Times New Roman"/>
        </w:rPr>
        <w:t>jest wyposażonych w system ERTMS</w:t>
      </w:r>
      <w:r w:rsidR="008164E6">
        <w:rPr>
          <w:rFonts w:ascii="Times New Roman" w:eastAsia="Calibri" w:hAnsi="Times New Roman" w:cs="Times New Roman"/>
        </w:rPr>
        <w:t>.</w:t>
      </w:r>
      <w:r w:rsidR="00BA654E">
        <w:rPr>
          <w:rFonts w:ascii="Times New Roman" w:eastAsia="Calibri" w:hAnsi="Times New Roman" w:cs="Times New Roman"/>
        </w:rPr>
        <w:t xml:space="preserve"> </w:t>
      </w:r>
      <w:r w:rsidR="008164E6">
        <w:rPr>
          <w:rFonts w:ascii="Times New Roman" w:eastAsia="Calibri" w:hAnsi="Times New Roman" w:cs="Times New Roman"/>
        </w:rPr>
        <w:t>Z</w:t>
      </w:r>
      <w:r w:rsidR="00BA654E">
        <w:rPr>
          <w:rFonts w:ascii="Times New Roman" w:eastAsia="Calibri" w:hAnsi="Times New Roman" w:cs="Times New Roman"/>
        </w:rPr>
        <w:t xml:space="preserve">godnie z danymi przedstawionymi w analizie </w:t>
      </w:r>
      <w:r w:rsidR="008164E6">
        <w:rPr>
          <w:rFonts w:ascii="Times New Roman" w:eastAsia="Calibri" w:hAnsi="Times New Roman" w:cs="Times New Roman"/>
        </w:rPr>
        <w:t xml:space="preserve">UTK </w:t>
      </w:r>
      <w:r w:rsidR="00BA654E">
        <w:rPr>
          <w:rFonts w:ascii="Times New Roman" w:eastAsia="Calibri" w:hAnsi="Times New Roman" w:cs="Times New Roman"/>
        </w:rPr>
        <w:t>zapotrzebowanie polskiego sektora transportu kolejowego</w:t>
      </w:r>
      <w:r w:rsidR="00697B4C">
        <w:rPr>
          <w:rFonts w:ascii="Times New Roman" w:eastAsia="Calibri" w:hAnsi="Times New Roman" w:cs="Times New Roman"/>
        </w:rPr>
        <w:t xml:space="preserve"> na </w:t>
      </w:r>
      <w:r w:rsidR="00697B4C" w:rsidRPr="00805303">
        <w:rPr>
          <w:rFonts w:ascii="Times New Roman" w:eastAsia="Calibri" w:hAnsi="Times New Roman" w:cs="Times New Roman"/>
        </w:rPr>
        <w:t>zakup i</w:t>
      </w:r>
      <w:r w:rsidR="001F6B31">
        <w:rPr>
          <w:rFonts w:ascii="Times New Roman" w:eastAsia="Calibri" w:hAnsi="Times New Roman" w:cs="Times New Roman"/>
        </w:rPr>
        <w:t xml:space="preserve"> </w:t>
      </w:r>
      <w:r w:rsidR="00697B4C" w:rsidRPr="00805303">
        <w:rPr>
          <w:rFonts w:ascii="Times New Roman" w:eastAsia="Calibri" w:hAnsi="Times New Roman" w:cs="Times New Roman"/>
        </w:rPr>
        <w:t>instalację</w:t>
      </w:r>
      <w:r w:rsidR="00697B4C">
        <w:rPr>
          <w:rFonts w:ascii="Times New Roman" w:eastAsia="Calibri" w:hAnsi="Times New Roman" w:cs="Times New Roman"/>
        </w:rPr>
        <w:t xml:space="preserve"> systemu ERTMS</w:t>
      </w:r>
      <w:r w:rsidR="00BA654E">
        <w:rPr>
          <w:rFonts w:ascii="Times New Roman" w:eastAsia="Calibri" w:hAnsi="Times New Roman" w:cs="Times New Roman"/>
        </w:rPr>
        <w:t xml:space="preserve"> jest bardzo duże</w:t>
      </w:r>
      <w:r w:rsidR="00626513">
        <w:rPr>
          <w:rFonts w:ascii="Times New Roman" w:eastAsia="Calibri" w:hAnsi="Times New Roman" w:cs="Times New Roman"/>
        </w:rPr>
        <w:t>.</w:t>
      </w:r>
      <w:r w:rsidR="008164E6">
        <w:rPr>
          <w:rFonts w:ascii="Times New Roman" w:eastAsia="Calibri" w:hAnsi="Times New Roman" w:cs="Times New Roman"/>
        </w:rPr>
        <w:t xml:space="preserve"> </w:t>
      </w:r>
      <w:r w:rsidR="00626513">
        <w:rPr>
          <w:rFonts w:ascii="Times New Roman" w:eastAsia="Calibri" w:hAnsi="Times New Roman" w:cs="Times New Roman"/>
        </w:rPr>
        <w:t xml:space="preserve">Zgodnie z </w:t>
      </w:r>
      <w:r w:rsidR="00697B4C">
        <w:rPr>
          <w:rFonts w:ascii="Times New Roman" w:eastAsia="Calibri" w:hAnsi="Times New Roman" w:cs="Times New Roman"/>
        </w:rPr>
        <w:t>informacjami przedstawionymi w ww. opracowaniu</w:t>
      </w:r>
      <w:r w:rsidR="008164E6">
        <w:rPr>
          <w:rFonts w:ascii="Times New Roman" w:eastAsia="Calibri" w:hAnsi="Times New Roman" w:cs="Times New Roman"/>
        </w:rPr>
        <w:t xml:space="preserve">, w 2022 r. w Polsce jedynie 526 pojazdów kolejowych było wyposażonych w system ETCS, podczas gdy liczba wszystkich pojazdów </w:t>
      </w:r>
      <w:r w:rsidR="002D7CA9">
        <w:rPr>
          <w:rFonts w:ascii="Times New Roman" w:eastAsia="Calibri" w:hAnsi="Times New Roman" w:cs="Times New Roman"/>
        </w:rPr>
        <w:t xml:space="preserve">kolejowych </w:t>
      </w:r>
      <w:r w:rsidR="008164E6">
        <w:rPr>
          <w:rFonts w:ascii="Times New Roman" w:eastAsia="Calibri" w:hAnsi="Times New Roman" w:cs="Times New Roman"/>
        </w:rPr>
        <w:t xml:space="preserve">będących w dysponowaniu przewoźników </w:t>
      </w:r>
      <w:r w:rsidR="002D7CA9">
        <w:rPr>
          <w:rFonts w:ascii="Times New Roman" w:eastAsia="Calibri" w:hAnsi="Times New Roman" w:cs="Times New Roman"/>
        </w:rPr>
        <w:t xml:space="preserve">kolejowych </w:t>
      </w:r>
      <w:r w:rsidR="008164E6">
        <w:rPr>
          <w:rFonts w:ascii="Times New Roman" w:eastAsia="Calibri" w:hAnsi="Times New Roman" w:cs="Times New Roman"/>
        </w:rPr>
        <w:t>wynosiła 5238 szt</w:t>
      </w:r>
      <w:r w:rsidR="002D7CA9">
        <w:rPr>
          <w:rFonts w:ascii="Times New Roman" w:eastAsia="Calibri" w:hAnsi="Times New Roman" w:cs="Times New Roman"/>
        </w:rPr>
        <w:t>uk</w:t>
      </w:r>
      <w:r w:rsidR="00BA654E">
        <w:rPr>
          <w:rFonts w:ascii="Times New Roman" w:eastAsia="Calibri" w:hAnsi="Times New Roman" w:cs="Times New Roman"/>
        </w:rPr>
        <w:t>.</w:t>
      </w:r>
      <w:r w:rsidR="000432DF">
        <w:rPr>
          <w:rFonts w:ascii="Times New Roman" w:eastAsia="Calibri" w:hAnsi="Times New Roman" w:cs="Times New Roman"/>
        </w:rPr>
        <w:t xml:space="preserve"> </w:t>
      </w:r>
      <w:r w:rsidR="00A0177C">
        <w:rPr>
          <w:rFonts w:ascii="Times New Roman" w:eastAsia="Calibri" w:hAnsi="Times New Roman" w:cs="Times New Roman"/>
        </w:rPr>
        <w:t>Przewidywane w projektowanym rozporządzeniu w tym zakresie w</w:t>
      </w:r>
      <w:r w:rsidR="000432DF">
        <w:rPr>
          <w:rFonts w:ascii="Times New Roman" w:eastAsia="Calibri" w:hAnsi="Times New Roman" w:cs="Times New Roman"/>
        </w:rPr>
        <w:t>sparcie</w:t>
      </w:r>
      <w:r w:rsidR="00A0177C">
        <w:rPr>
          <w:rFonts w:ascii="Times New Roman" w:eastAsia="Calibri" w:hAnsi="Times New Roman" w:cs="Times New Roman"/>
        </w:rPr>
        <w:t xml:space="preserve"> </w:t>
      </w:r>
      <w:r w:rsidR="000432DF">
        <w:rPr>
          <w:rFonts w:ascii="Times New Roman" w:eastAsia="Calibri" w:hAnsi="Times New Roman" w:cs="Times New Roman"/>
        </w:rPr>
        <w:t xml:space="preserve">doprowadzi do wzrostu potencjału polskich przedsiębiorstw wykonujących przewozy kolejowe nie tylko na poziomie </w:t>
      </w:r>
      <w:r w:rsidR="000432DF">
        <w:rPr>
          <w:rFonts w:ascii="Times New Roman" w:eastAsia="Calibri" w:hAnsi="Times New Roman" w:cs="Times New Roman"/>
        </w:rPr>
        <w:lastRenderedPageBreak/>
        <w:t>krajowym, lecz również unijnym.</w:t>
      </w:r>
      <w:r w:rsidR="00BA654E">
        <w:rPr>
          <w:rFonts w:ascii="Times New Roman" w:eastAsia="Calibri" w:hAnsi="Times New Roman" w:cs="Times New Roman"/>
        </w:rPr>
        <w:t xml:space="preserve"> </w:t>
      </w:r>
      <w:r w:rsidR="008164E6">
        <w:rPr>
          <w:rFonts w:ascii="Times New Roman" w:eastAsia="Calibri" w:hAnsi="Times New Roman" w:cs="Times New Roman"/>
        </w:rPr>
        <w:t>We wspomnianym wyżej opracowaniu UTK podkreślono, że wdrażanie systemu ETCS doprowadzi do likwidacji barier technicznych na sieciach kolejowych oraz wzmocni potencjał prowadzenia ruchu kolejowego w ramach U</w:t>
      </w:r>
      <w:r w:rsidR="002D7CA9">
        <w:rPr>
          <w:rFonts w:ascii="Times New Roman" w:eastAsia="Calibri" w:hAnsi="Times New Roman" w:cs="Times New Roman"/>
        </w:rPr>
        <w:t xml:space="preserve">nii </w:t>
      </w:r>
      <w:r w:rsidR="008164E6">
        <w:rPr>
          <w:rFonts w:ascii="Times New Roman" w:eastAsia="Calibri" w:hAnsi="Times New Roman" w:cs="Times New Roman"/>
        </w:rPr>
        <w:t>E</w:t>
      </w:r>
      <w:r w:rsidR="002D7CA9">
        <w:rPr>
          <w:rFonts w:ascii="Times New Roman" w:eastAsia="Calibri" w:hAnsi="Times New Roman" w:cs="Times New Roman"/>
        </w:rPr>
        <w:t>uropejskiej</w:t>
      </w:r>
      <w:r w:rsidR="008164E6">
        <w:rPr>
          <w:rFonts w:ascii="Times New Roman" w:eastAsia="Calibri" w:hAnsi="Times New Roman" w:cs="Times New Roman"/>
        </w:rPr>
        <w:t>.</w:t>
      </w:r>
    </w:p>
    <w:p w14:paraId="34875069" w14:textId="16878839" w:rsidR="00781F09" w:rsidRDefault="004B1922" w:rsidP="006B2E6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133317">
        <w:rPr>
          <w:rFonts w:ascii="Times New Roman" w:eastAsia="Calibri" w:hAnsi="Times New Roman" w:cs="Times New Roman"/>
        </w:rPr>
        <w:t>Przedsięwzięcie</w:t>
      </w:r>
      <w:r w:rsidR="00BA654E" w:rsidRPr="002A28A1">
        <w:rPr>
          <w:rFonts w:ascii="Times New Roman" w:eastAsia="Calibri" w:hAnsi="Times New Roman" w:cs="Times New Roman"/>
        </w:rPr>
        <w:t xml:space="preserve"> w zakresie </w:t>
      </w:r>
      <w:r w:rsidR="00BA654E" w:rsidRPr="00805303">
        <w:rPr>
          <w:rFonts w:ascii="Times New Roman" w:eastAsia="Calibri" w:hAnsi="Times New Roman" w:cs="Times New Roman"/>
        </w:rPr>
        <w:t xml:space="preserve">zakupu </w:t>
      </w:r>
      <w:r w:rsidR="003B19C0" w:rsidRPr="00805303">
        <w:rPr>
          <w:rFonts w:ascii="Times New Roman" w:eastAsia="Calibri" w:hAnsi="Times New Roman" w:cs="Times New Roman"/>
        </w:rPr>
        <w:t xml:space="preserve">i instalacji </w:t>
      </w:r>
      <w:r w:rsidR="00AD5BEF">
        <w:rPr>
          <w:rFonts w:ascii="Times New Roman" w:eastAsia="Calibri" w:hAnsi="Times New Roman" w:cs="Times New Roman"/>
        </w:rPr>
        <w:t xml:space="preserve">urządzeń pokładowych </w:t>
      </w:r>
      <w:r w:rsidRPr="00133317">
        <w:rPr>
          <w:rFonts w:ascii="Times New Roman" w:eastAsia="Calibri" w:hAnsi="Times New Roman" w:cs="Times New Roman"/>
        </w:rPr>
        <w:t>systemu ERTMS</w:t>
      </w:r>
      <w:r w:rsidR="00133317" w:rsidRPr="00B57974">
        <w:rPr>
          <w:rFonts w:ascii="Times New Roman" w:eastAsia="Calibri" w:hAnsi="Times New Roman" w:cs="Times New Roman"/>
        </w:rPr>
        <w:t xml:space="preserve"> powinno </w:t>
      </w:r>
      <w:r w:rsidR="00133317" w:rsidRPr="002A28A1">
        <w:rPr>
          <w:rFonts w:ascii="Times New Roman" w:eastAsia="Calibri" w:hAnsi="Times New Roman" w:cs="Times New Roman"/>
        </w:rPr>
        <w:t>przynieść szeroko pojęte korzyści</w:t>
      </w:r>
      <w:r w:rsidR="00BA654E" w:rsidRPr="002A28A1">
        <w:rPr>
          <w:rFonts w:ascii="Times New Roman" w:eastAsia="Calibri" w:hAnsi="Times New Roman" w:cs="Times New Roman"/>
        </w:rPr>
        <w:t xml:space="preserve">. </w:t>
      </w:r>
      <w:r w:rsidR="00781F09" w:rsidRPr="002A28A1">
        <w:rPr>
          <w:rFonts w:ascii="Times New Roman" w:eastAsia="Calibri" w:hAnsi="Times New Roman" w:cs="Times New Roman"/>
        </w:rPr>
        <w:t>Zgodnie z raportem ERT</w:t>
      </w:r>
      <w:r w:rsidR="00781F09" w:rsidRPr="00DC0E77">
        <w:rPr>
          <w:rFonts w:ascii="Times New Roman" w:eastAsia="Calibri" w:hAnsi="Times New Roman" w:cs="Times New Roman"/>
        </w:rPr>
        <w:t>MS Long</w:t>
      </w:r>
      <w:r w:rsidR="00531423" w:rsidRPr="00DC0E77">
        <w:rPr>
          <w:rFonts w:ascii="Times New Roman" w:eastAsia="Calibri" w:hAnsi="Times New Roman" w:cs="Times New Roman"/>
        </w:rPr>
        <w:t>er</w:t>
      </w:r>
      <w:r w:rsidR="00781F09" w:rsidRPr="00DC0E77">
        <w:rPr>
          <w:rFonts w:ascii="Times New Roman" w:eastAsia="Calibri" w:hAnsi="Times New Roman" w:cs="Times New Roman"/>
        </w:rPr>
        <w:t xml:space="preserve"> Term Perspective</w:t>
      </w:r>
      <w:r w:rsidR="00781F09" w:rsidRPr="00133317">
        <w:rPr>
          <w:rStyle w:val="Odwoanieprzypisudolnego"/>
          <w:rFonts w:ascii="Times New Roman" w:eastAsia="Calibri" w:hAnsi="Times New Roman" w:cs="Times New Roman"/>
        </w:rPr>
        <w:footnoteReference w:id="2"/>
      </w:r>
      <w:r w:rsidR="003F18E9" w:rsidRPr="00B57974">
        <w:rPr>
          <w:rFonts w:ascii="Times New Roman" w:eastAsia="Calibri" w:hAnsi="Times New Roman" w:cs="Times New Roman"/>
          <w:vertAlign w:val="superscript"/>
        </w:rPr>
        <w:t>)</w:t>
      </w:r>
      <w:r w:rsidR="00781F09" w:rsidRPr="00133317">
        <w:rPr>
          <w:rFonts w:ascii="Times New Roman" w:eastAsia="Calibri" w:hAnsi="Times New Roman" w:cs="Times New Roman"/>
        </w:rPr>
        <w:t>, opracowanym przez Europejską Agencję Kolejową</w:t>
      </w:r>
      <w:r w:rsidR="00781F09">
        <w:rPr>
          <w:rFonts w:ascii="Times New Roman" w:eastAsia="Calibri" w:hAnsi="Times New Roman" w:cs="Times New Roman"/>
        </w:rPr>
        <w:t>, powinno przynieść oszczędności rzędu nawet 20</w:t>
      </w:r>
      <w:r>
        <w:rPr>
          <w:rFonts w:ascii="Times New Roman" w:eastAsia="Calibri" w:hAnsi="Times New Roman" w:cs="Times New Roman"/>
        </w:rPr>
        <w:t>–</w:t>
      </w:r>
      <w:r w:rsidR="00781F09">
        <w:rPr>
          <w:rFonts w:ascii="Times New Roman" w:eastAsia="Calibri" w:hAnsi="Times New Roman" w:cs="Times New Roman"/>
        </w:rPr>
        <w:t>30%, jednak niektórzy z respondentów agencji wskazywali</w:t>
      </w:r>
      <w:r>
        <w:rPr>
          <w:rFonts w:ascii="Times New Roman" w:eastAsia="Calibri" w:hAnsi="Times New Roman" w:cs="Times New Roman"/>
        </w:rPr>
        <w:t>,</w:t>
      </w:r>
      <w:r w:rsidR="00781F09">
        <w:rPr>
          <w:rFonts w:ascii="Times New Roman" w:eastAsia="Calibri" w:hAnsi="Times New Roman" w:cs="Times New Roman"/>
        </w:rPr>
        <w:t xml:space="preserve"> ż</w:t>
      </w:r>
      <w:r>
        <w:rPr>
          <w:rFonts w:ascii="Times New Roman" w:eastAsia="Calibri" w:hAnsi="Times New Roman" w:cs="Times New Roman"/>
        </w:rPr>
        <w:t>e</w:t>
      </w:r>
      <w:r w:rsidR="00781F09">
        <w:rPr>
          <w:rFonts w:ascii="Times New Roman" w:eastAsia="Calibri" w:hAnsi="Times New Roman" w:cs="Times New Roman"/>
        </w:rPr>
        <w:t xml:space="preserve"> może to być mało realna do uzyskania wartość. </w:t>
      </w:r>
      <w:r w:rsidR="00862535">
        <w:rPr>
          <w:rFonts w:ascii="Times New Roman" w:eastAsia="Calibri" w:hAnsi="Times New Roman" w:cs="Times New Roman"/>
        </w:rPr>
        <w:t>Jako o</w:t>
      </w:r>
      <w:r w:rsidR="00781F09">
        <w:rPr>
          <w:rFonts w:ascii="Times New Roman" w:eastAsia="Calibri" w:hAnsi="Times New Roman" w:cs="Times New Roman"/>
        </w:rPr>
        <w:t xml:space="preserve"> wiele bardziej realne do uzyskania z </w:t>
      </w:r>
      <w:r w:rsidR="00781F09" w:rsidRPr="00805303">
        <w:rPr>
          <w:rFonts w:ascii="Times New Roman" w:eastAsia="Calibri" w:hAnsi="Times New Roman" w:cs="Times New Roman"/>
        </w:rPr>
        <w:t xml:space="preserve">zakupu </w:t>
      </w:r>
      <w:r w:rsidR="00E857FF" w:rsidRPr="00805303">
        <w:rPr>
          <w:rFonts w:ascii="Times New Roman" w:eastAsia="Calibri" w:hAnsi="Times New Roman" w:cs="Times New Roman"/>
        </w:rPr>
        <w:t>i instalacji</w:t>
      </w:r>
      <w:r w:rsidR="00DC0E77">
        <w:rPr>
          <w:rFonts w:ascii="Times New Roman" w:eastAsia="Calibri" w:hAnsi="Times New Roman" w:cs="Times New Roman"/>
        </w:rPr>
        <w:t xml:space="preserve"> </w:t>
      </w:r>
      <w:r w:rsidR="00AD5BEF" w:rsidRPr="00AD5BEF">
        <w:rPr>
          <w:rFonts w:ascii="Times New Roman" w:eastAsia="Calibri" w:hAnsi="Times New Roman" w:cs="Times New Roman"/>
        </w:rPr>
        <w:t xml:space="preserve">urządzeń pokładowych </w:t>
      </w:r>
      <w:r w:rsidR="003F18E9">
        <w:rPr>
          <w:rFonts w:ascii="Times New Roman" w:eastAsia="Calibri" w:hAnsi="Times New Roman" w:cs="Times New Roman"/>
        </w:rPr>
        <w:t xml:space="preserve">systemu </w:t>
      </w:r>
      <w:r w:rsidR="00781F09">
        <w:rPr>
          <w:rFonts w:ascii="Times New Roman" w:eastAsia="Calibri" w:hAnsi="Times New Roman" w:cs="Times New Roman"/>
        </w:rPr>
        <w:t>ERTMS powinno wymienić się:</w:t>
      </w:r>
    </w:p>
    <w:p w14:paraId="77EB58FB" w14:textId="1B90191E" w:rsidR="00781F09" w:rsidRDefault="00781F09" w:rsidP="006F0430">
      <w:pPr>
        <w:pStyle w:val="Akapitzlist"/>
        <w:numPr>
          <w:ilvl w:val="0"/>
          <w:numId w:val="3"/>
        </w:numPr>
        <w:spacing w:line="360" w:lineRule="auto"/>
        <w:ind w:left="709" w:hanging="567"/>
        <w:contextualSpacing w:val="0"/>
        <w:jc w:val="both"/>
        <w:rPr>
          <w:rFonts w:ascii="Times New Roman" w:eastAsia="Calibri" w:hAnsi="Times New Roman" w:cs="Times New Roman"/>
        </w:rPr>
      </w:pPr>
      <w:r w:rsidRPr="000432DF">
        <w:rPr>
          <w:rFonts w:ascii="Times New Roman" w:eastAsia="Calibri" w:hAnsi="Times New Roman" w:cs="Times New Roman"/>
        </w:rPr>
        <w:t>wzrost przepustowości na istniejących liniach</w:t>
      </w:r>
      <w:r w:rsidR="003F18E9">
        <w:rPr>
          <w:rFonts w:ascii="Times New Roman" w:eastAsia="Calibri" w:hAnsi="Times New Roman" w:cs="Times New Roman"/>
        </w:rPr>
        <w:t xml:space="preserve"> kolejowych</w:t>
      </w:r>
      <w:r w:rsidRPr="000432DF">
        <w:rPr>
          <w:rFonts w:ascii="Times New Roman" w:eastAsia="Calibri" w:hAnsi="Times New Roman" w:cs="Times New Roman"/>
        </w:rPr>
        <w:t xml:space="preserve">: system </w:t>
      </w:r>
      <w:r w:rsidR="003F18E9">
        <w:rPr>
          <w:rFonts w:ascii="Times New Roman" w:eastAsia="Calibri" w:hAnsi="Times New Roman" w:cs="Times New Roman"/>
        </w:rPr>
        <w:t xml:space="preserve">ERTMS </w:t>
      </w:r>
      <w:r w:rsidRPr="000432DF">
        <w:rPr>
          <w:rFonts w:ascii="Times New Roman" w:eastAsia="Calibri" w:hAnsi="Times New Roman" w:cs="Times New Roman"/>
        </w:rPr>
        <w:t>oparty na transmisji ciągłej zmniejsza czas następstwa pociągów umożliwiając uzyskanie 40% większej przepustowości istniejącej infrastruktury</w:t>
      </w:r>
      <w:r w:rsidR="003F18E9">
        <w:rPr>
          <w:rFonts w:ascii="Times New Roman" w:eastAsia="Calibri" w:hAnsi="Times New Roman" w:cs="Times New Roman"/>
        </w:rPr>
        <w:t xml:space="preserve"> kolejowej</w:t>
      </w:r>
      <w:r w:rsidR="008D0B39">
        <w:rPr>
          <w:rFonts w:ascii="Times New Roman" w:eastAsia="Calibri" w:hAnsi="Times New Roman" w:cs="Times New Roman"/>
        </w:rPr>
        <w:t>,</w:t>
      </w:r>
    </w:p>
    <w:p w14:paraId="59E889B2" w14:textId="022042E2" w:rsidR="00781F09" w:rsidRDefault="00781F09" w:rsidP="006F0430">
      <w:pPr>
        <w:pStyle w:val="Akapitzlist"/>
        <w:numPr>
          <w:ilvl w:val="0"/>
          <w:numId w:val="3"/>
        </w:numPr>
        <w:spacing w:line="360" w:lineRule="auto"/>
        <w:ind w:left="709" w:hanging="567"/>
        <w:contextualSpacing w:val="0"/>
        <w:jc w:val="both"/>
        <w:rPr>
          <w:rFonts w:ascii="Times New Roman" w:eastAsia="Calibri" w:hAnsi="Times New Roman" w:cs="Times New Roman"/>
        </w:rPr>
      </w:pPr>
      <w:r w:rsidRPr="00781F09">
        <w:rPr>
          <w:rFonts w:ascii="Times New Roman" w:eastAsia="Calibri" w:hAnsi="Times New Roman" w:cs="Times New Roman"/>
        </w:rPr>
        <w:t xml:space="preserve">większe bezpieczeństwo dla pasażerów: </w:t>
      </w:r>
      <w:r w:rsidR="00531423">
        <w:rPr>
          <w:rFonts w:ascii="Times New Roman" w:eastAsia="Calibri" w:hAnsi="Times New Roman" w:cs="Times New Roman"/>
        </w:rPr>
        <w:t>system ERTMS/</w:t>
      </w:r>
      <w:r w:rsidRPr="00781F09">
        <w:rPr>
          <w:rFonts w:ascii="Times New Roman" w:eastAsia="Calibri" w:hAnsi="Times New Roman" w:cs="Times New Roman"/>
        </w:rPr>
        <w:t>ETCS zapewnia większe zautomatyzowanie procesu prowadzenia pociągów niż dotychczasowe systemy sterowania ruchem kolejowym</w:t>
      </w:r>
      <w:r w:rsidR="008D0B39">
        <w:rPr>
          <w:rFonts w:ascii="Times New Roman" w:eastAsia="Calibri" w:hAnsi="Times New Roman" w:cs="Times New Roman"/>
        </w:rPr>
        <w:t>,</w:t>
      </w:r>
    </w:p>
    <w:p w14:paraId="293B1595" w14:textId="1DFDA5D0" w:rsidR="00781F09" w:rsidRDefault="00781F09" w:rsidP="006F0430">
      <w:pPr>
        <w:pStyle w:val="Akapitzlist"/>
        <w:numPr>
          <w:ilvl w:val="0"/>
          <w:numId w:val="3"/>
        </w:numPr>
        <w:spacing w:line="360" w:lineRule="auto"/>
        <w:ind w:left="709" w:hanging="567"/>
        <w:contextualSpacing w:val="0"/>
        <w:jc w:val="both"/>
        <w:rPr>
          <w:rFonts w:ascii="Times New Roman" w:eastAsia="Calibri" w:hAnsi="Times New Roman" w:cs="Times New Roman"/>
        </w:rPr>
      </w:pPr>
      <w:r w:rsidRPr="00781F09">
        <w:rPr>
          <w:rFonts w:ascii="Times New Roman" w:eastAsia="Calibri" w:hAnsi="Times New Roman" w:cs="Times New Roman"/>
        </w:rPr>
        <w:t xml:space="preserve">wyższe prędkości: </w:t>
      </w:r>
      <w:r w:rsidR="00531423">
        <w:rPr>
          <w:rFonts w:ascii="Times New Roman" w:eastAsia="Calibri" w:hAnsi="Times New Roman" w:cs="Times New Roman"/>
        </w:rPr>
        <w:t xml:space="preserve">system </w:t>
      </w:r>
      <w:r w:rsidRPr="00781F09">
        <w:rPr>
          <w:rFonts w:ascii="Times New Roman" w:eastAsia="Calibri" w:hAnsi="Times New Roman" w:cs="Times New Roman"/>
        </w:rPr>
        <w:t>ERTMS umożliwia prowadzenie pociągów z prędkością nawet 500 km/h</w:t>
      </w:r>
      <w:r w:rsidR="000432DF">
        <w:rPr>
          <w:rFonts w:ascii="Times New Roman" w:eastAsia="Calibri" w:hAnsi="Times New Roman" w:cs="Times New Roman"/>
        </w:rPr>
        <w:t xml:space="preserve"> (w przypadku Polski pozwoli w niektórych przypadkach na osiąganie maksymalnej prędkości szlakowej</w:t>
      </w:r>
      <w:r w:rsidR="008D0B39">
        <w:rPr>
          <w:rFonts w:ascii="Times New Roman" w:eastAsia="Calibri" w:hAnsi="Times New Roman" w:cs="Times New Roman"/>
        </w:rPr>
        <w:t>),</w:t>
      </w:r>
    </w:p>
    <w:p w14:paraId="740F4953" w14:textId="26CEEB50" w:rsidR="00781F09" w:rsidRDefault="00781F09" w:rsidP="006F0430">
      <w:pPr>
        <w:pStyle w:val="Akapitzlist"/>
        <w:numPr>
          <w:ilvl w:val="0"/>
          <w:numId w:val="3"/>
        </w:numPr>
        <w:spacing w:line="360" w:lineRule="auto"/>
        <w:ind w:left="709" w:hanging="567"/>
        <w:contextualSpacing w:val="0"/>
        <w:jc w:val="both"/>
        <w:rPr>
          <w:rFonts w:ascii="Times New Roman" w:eastAsia="Calibri" w:hAnsi="Times New Roman" w:cs="Times New Roman"/>
        </w:rPr>
      </w:pPr>
      <w:r w:rsidRPr="00781F09">
        <w:rPr>
          <w:rFonts w:ascii="Times New Roman" w:eastAsia="Calibri" w:hAnsi="Times New Roman" w:cs="Times New Roman"/>
        </w:rPr>
        <w:t xml:space="preserve">niższe koszty produkcji: jeden sprawdzony, wspólny dla całej Unii Europejskiej system </w:t>
      </w:r>
      <w:r w:rsidR="00531423">
        <w:rPr>
          <w:rFonts w:ascii="Times New Roman" w:eastAsia="Calibri" w:hAnsi="Times New Roman" w:cs="Times New Roman"/>
        </w:rPr>
        <w:t xml:space="preserve">zarządzania ruchem kolejowym </w:t>
      </w:r>
      <w:r w:rsidRPr="00781F09">
        <w:rPr>
          <w:rFonts w:ascii="Times New Roman" w:eastAsia="Calibri" w:hAnsi="Times New Roman" w:cs="Times New Roman"/>
        </w:rPr>
        <w:t>jest łatwiejszy w produkcji, instalacji i utrzymaniu</w:t>
      </w:r>
      <w:r w:rsidR="00B750A1">
        <w:rPr>
          <w:rFonts w:ascii="Times New Roman" w:eastAsia="Calibri" w:hAnsi="Times New Roman" w:cs="Times New Roman"/>
        </w:rPr>
        <w:t>,</w:t>
      </w:r>
      <w:r w:rsidRPr="00781F09">
        <w:rPr>
          <w:rFonts w:ascii="Times New Roman" w:eastAsia="Calibri" w:hAnsi="Times New Roman" w:cs="Times New Roman"/>
        </w:rPr>
        <w:t xml:space="preserve"> </w:t>
      </w:r>
      <w:r w:rsidR="00B750A1">
        <w:rPr>
          <w:rFonts w:ascii="Times New Roman" w:eastAsia="Calibri" w:hAnsi="Times New Roman" w:cs="Times New Roman"/>
        </w:rPr>
        <w:t xml:space="preserve">przez co </w:t>
      </w:r>
      <w:r w:rsidRPr="00781F09">
        <w:rPr>
          <w:rFonts w:ascii="Times New Roman" w:eastAsia="Calibri" w:hAnsi="Times New Roman" w:cs="Times New Roman"/>
        </w:rPr>
        <w:t>przyczynia się do poprawy konkurencyjności kolei</w:t>
      </w:r>
      <w:r w:rsidR="008D0B39">
        <w:rPr>
          <w:rFonts w:ascii="Times New Roman" w:eastAsia="Calibri" w:hAnsi="Times New Roman" w:cs="Times New Roman"/>
        </w:rPr>
        <w:t>,</w:t>
      </w:r>
    </w:p>
    <w:p w14:paraId="6C5FD9EA" w14:textId="6B26323A" w:rsidR="00781F09" w:rsidRDefault="00781F09" w:rsidP="006F0430">
      <w:pPr>
        <w:pStyle w:val="Akapitzlist"/>
        <w:numPr>
          <w:ilvl w:val="0"/>
          <w:numId w:val="3"/>
        </w:numPr>
        <w:spacing w:line="360" w:lineRule="auto"/>
        <w:ind w:left="709" w:hanging="567"/>
        <w:contextualSpacing w:val="0"/>
        <w:jc w:val="both"/>
        <w:rPr>
          <w:rFonts w:ascii="Times New Roman" w:eastAsia="Calibri" w:hAnsi="Times New Roman" w:cs="Times New Roman"/>
        </w:rPr>
      </w:pPr>
      <w:r w:rsidRPr="00781F09">
        <w:rPr>
          <w:rFonts w:ascii="Times New Roman" w:eastAsia="Calibri" w:hAnsi="Times New Roman" w:cs="Times New Roman"/>
        </w:rPr>
        <w:t xml:space="preserve">niższe koszty utrzymania: </w:t>
      </w:r>
      <w:r w:rsidR="00B750A1">
        <w:rPr>
          <w:rFonts w:ascii="Times New Roman" w:eastAsia="Calibri" w:hAnsi="Times New Roman" w:cs="Times New Roman"/>
        </w:rPr>
        <w:t xml:space="preserve">system </w:t>
      </w:r>
      <w:r w:rsidRPr="00781F09">
        <w:rPr>
          <w:rFonts w:ascii="Times New Roman" w:eastAsia="Calibri" w:hAnsi="Times New Roman" w:cs="Times New Roman"/>
        </w:rPr>
        <w:t>ERTMS poziomu 2 nie wymaga sygnalizacji przytorowej, co znacznie obniża koszty</w:t>
      </w:r>
      <w:r w:rsidR="00D76310">
        <w:rPr>
          <w:rFonts w:ascii="Times New Roman" w:eastAsia="Calibri" w:hAnsi="Times New Roman" w:cs="Times New Roman"/>
        </w:rPr>
        <w:t xml:space="preserve"> </w:t>
      </w:r>
      <w:r w:rsidR="00470291">
        <w:rPr>
          <w:rFonts w:ascii="Times New Roman" w:eastAsia="Calibri" w:hAnsi="Times New Roman" w:cs="Times New Roman"/>
        </w:rPr>
        <w:t xml:space="preserve">jego </w:t>
      </w:r>
      <w:r w:rsidR="00D76310">
        <w:rPr>
          <w:rFonts w:ascii="Times New Roman" w:eastAsia="Calibri" w:hAnsi="Times New Roman" w:cs="Times New Roman"/>
        </w:rPr>
        <w:t>utrzymania</w:t>
      </w:r>
      <w:r w:rsidR="008D0B39">
        <w:rPr>
          <w:rFonts w:ascii="Times New Roman" w:eastAsia="Calibri" w:hAnsi="Times New Roman" w:cs="Times New Roman"/>
        </w:rPr>
        <w:t>,</w:t>
      </w:r>
    </w:p>
    <w:p w14:paraId="00DA35AA" w14:textId="3361D6EE" w:rsidR="00781F09" w:rsidRDefault="00781F09" w:rsidP="006F0430">
      <w:pPr>
        <w:pStyle w:val="Akapitzlist"/>
        <w:numPr>
          <w:ilvl w:val="0"/>
          <w:numId w:val="2"/>
        </w:numPr>
        <w:spacing w:line="360" w:lineRule="auto"/>
        <w:ind w:left="709" w:hanging="567"/>
        <w:contextualSpacing w:val="0"/>
        <w:jc w:val="both"/>
        <w:rPr>
          <w:rFonts w:ascii="Times New Roman" w:eastAsia="Calibri" w:hAnsi="Times New Roman" w:cs="Times New Roman"/>
        </w:rPr>
      </w:pPr>
      <w:r w:rsidRPr="00781F09">
        <w:rPr>
          <w:rFonts w:ascii="Times New Roman" w:eastAsia="Calibri" w:hAnsi="Times New Roman" w:cs="Times New Roman"/>
        </w:rPr>
        <w:t>wspólny rynek dostaw dla zarządców infrastruktury: klienci mogą zamówić podzespoły</w:t>
      </w:r>
      <w:r w:rsidR="00D76310">
        <w:rPr>
          <w:rFonts w:ascii="Times New Roman" w:eastAsia="Calibri" w:hAnsi="Times New Roman" w:cs="Times New Roman"/>
        </w:rPr>
        <w:t xml:space="preserve"> systemu</w:t>
      </w:r>
      <w:r w:rsidRPr="00781F09">
        <w:rPr>
          <w:rFonts w:ascii="Times New Roman" w:eastAsia="Calibri" w:hAnsi="Times New Roman" w:cs="Times New Roman"/>
        </w:rPr>
        <w:t xml:space="preserve"> </w:t>
      </w:r>
      <w:r w:rsidR="00470291">
        <w:rPr>
          <w:rFonts w:ascii="Times New Roman" w:eastAsia="Calibri" w:hAnsi="Times New Roman" w:cs="Times New Roman"/>
        </w:rPr>
        <w:t xml:space="preserve">ERTMS </w:t>
      </w:r>
      <w:r w:rsidRPr="00781F09">
        <w:rPr>
          <w:rFonts w:ascii="Times New Roman" w:eastAsia="Calibri" w:hAnsi="Times New Roman" w:cs="Times New Roman"/>
        </w:rPr>
        <w:t>w każdym miejscu w Europie</w:t>
      </w:r>
      <w:r w:rsidR="00470291">
        <w:rPr>
          <w:rFonts w:ascii="Times New Roman" w:eastAsia="Calibri" w:hAnsi="Times New Roman" w:cs="Times New Roman"/>
        </w:rPr>
        <w:t>,</w:t>
      </w:r>
      <w:r w:rsidRPr="00781F09">
        <w:rPr>
          <w:rFonts w:ascii="Times New Roman" w:eastAsia="Calibri" w:hAnsi="Times New Roman" w:cs="Times New Roman"/>
        </w:rPr>
        <w:t xml:space="preserve"> dzięki czemu rynek jest bardziej konkurencyjny</w:t>
      </w:r>
      <w:r w:rsidR="008D0B39">
        <w:rPr>
          <w:rFonts w:ascii="Times New Roman" w:eastAsia="Calibri" w:hAnsi="Times New Roman" w:cs="Times New Roman"/>
        </w:rPr>
        <w:t>,</w:t>
      </w:r>
    </w:p>
    <w:p w14:paraId="280A22AA" w14:textId="266E4AA5" w:rsidR="00781F09" w:rsidRDefault="00781F09" w:rsidP="006F0430">
      <w:pPr>
        <w:pStyle w:val="Akapitzlist"/>
        <w:numPr>
          <w:ilvl w:val="0"/>
          <w:numId w:val="2"/>
        </w:numPr>
        <w:spacing w:line="360" w:lineRule="auto"/>
        <w:ind w:left="709" w:hanging="567"/>
        <w:contextualSpacing w:val="0"/>
        <w:jc w:val="both"/>
        <w:rPr>
          <w:rFonts w:ascii="Times New Roman" w:eastAsia="Calibri" w:hAnsi="Times New Roman" w:cs="Times New Roman"/>
        </w:rPr>
      </w:pPr>
      <w:r w:rsidRPr="00781F09">
        <w:rPr>
          <w:rFonts w:ascii="Times New Roman" w:eastAsia="Calibri" w:hAnsi="Times New Roman" w:cs="Times New Roman"/>
        </w:rPr>
        <w:t xml:space="preserve">większa niezawodność: zastosowanie </w:t>
      </w:r>
      <w:r w:rsidR="00B750A1">
        <w:rPr>
          <w:rFonts w:ascii="Times New Roman" w:eastAsia="Calibri" w:hAnsi="Times New Roman" w:cs="Times New Roman"/>
        </w:rPr>
        <w:t xml:space="preserve">systemu </w:t>
      </w:r>
      <w:r w:rsidRPr="00781F09">
        <w:rPr>
          <w:rFonts w:ascii="Times New Roman" w:eastAsia="Calibri" w:hAnsi="Times New Roman" w:cs="Times New Roman"/>
        </w:rPr>
        <w:t>ERTMS poprawia niezawodność przewozów</w:t>
      </w:r>
      <w:r w:rsidR="00B750A1">
        <w:rPr>
          <w:rFonts w:ascii="Times New Roman" w:eastAsia="Calibri" w:hAnsi="Times New Roman" w:cs="Times New Roman"/>
        </w:rPr>
        <w:t xml:space="preserve"> kolejowych</w:t>
      </w:r>
      <w:r w:rsidRPr="00781F09">
        <w:rPr>
          <w:rFonts w:ascii="Times New Roman" w:eastAsia="Calibri" w:hAnsi="Times New Roman" w:cs="Times New Roman"/>
        </w:rPr>
        <w:t xml:space="preserve"> i ich punktualność.</w:t>
      </w:r>
    </w:p>
    <w:p w14:paraId="0F175B76" w14:textId="17566F62" w:rsidR="00EB1FCF" w:rsidRPr="000432DF" w:rsidRDefault="00EB1FCF" w:rsidP="008646A0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Ważnym efektem wprowadzenia systemu ERTMS jest jego zastosowanie w międzynarodowym transporcie kolejowym – </w:t>
      </w:r>
      <w:r w:rsidR="002376CD">
        <w:rPr>
          <w:rFonts w:ascii="Times New Roman" w:eastAsia="Calibri" w:hAnsi="Times New Roman" w:cs="Times New Roman"/>
        </w:rPr>
        <w:t xml:space="preserve">co </w:t>
      </w:r>
      <w:r>
        <w:rPr>
          <w:rFonts w:ascii="Times New Roman" w:eastAsia="Calibri" w:hAnsi="Times New Roman" w:cs="Times New Roman"/>
        </w:rPr>
        <w:t>ułatwi</w:t>
      </w:r>
      <w:r w:rsidR="002376CD"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</w:rPr>
        <w:t xml:space="preserve"> dostęp do rynków zagranicznych bez potrzeby wymiany lokomotywy lub </w:t>
      </w:r>
      <w:r w:rsidR="00D43771">
        <w:rPr>
          <w:rFonts w:ascii="Times New Roman" w:eastAsia="Calibri" w:hAnsi="Times New Roman" w:cs="Times New Roman"/>
        </w:rPr>
        <w:t>maszynisty</w:t>
      </w:r>
      <w:r>
        <w:rPr>
          <w:rFonts w:ascii="Times New Roman" w:eastAsia="Calibri" w:hAnsi="Times New Roman" w:cs="Times New Roman"/>
        </w:rPr>
        <w:t xml:space="preserve"> na granicy</w:t>
      </w:r>
      <w:r w:rsidR="002376CD">
        <w:rPr>
          <w:rFonts w:ascii="Times New Roman" w:eastAsia="Calibri" w:hAnsi="Times New Roman" w:cs="Times New Roman"/>
        </w:rPr>
        <w:t>, jak ma to miejsce obecnie</w:t>
      </w:r>
      <w:r>
        <w:rPr>
          <w:rFonts w:ascii="Times New Roman" w:eastAsia="Calibri" w:hAnsi="Times New Roman" w:cs="Times New Roman"/>
        </w:rPr>
        <w:t>.</w:t>
      </w:r>
      <w:r w:rsidR="00D43771">
        <w:rPr>
          <w:rFonts w:ascii="Times New Roman" w:eastAsia="Calibri" w:hAnsi="Times New Roman" w:cs="Times New Roman"/>
        </w:rPr>
        <w:t xml:space="preserve"> Aktualnie na terytorium Unii </w:t>
      </w:r>
      <w:r w:rsidR="00D43771">
        <w:rPr>
          <w:rFonts w:ascii="Times New Roman" w:eastAsia="Calibri" w:hAnsi="Times New Roman" w:cs="Times New Roman"/>
        </w:rPr>
        <w:lastRenderedPageBreak/>
        <w:t xml:space="preserve">Europejskiej obowiązuje 20 różnych systemów sygnalizacji kolejowej, </w:t>
      </w:r>
      <w:r w:rsidR="00883A18">
        <w:rPr>
          <w:rFonts w:ascii="Times New Roman" w:eastAsia="Calibri" w:hAnsi="Times New Roman" w:cs="Times New Roman"/>
        </w:rPr>
        <w:t xml:space="preserve">stąd </w:t>
      </w:r>
      <w:r w:rsidR="00D43771">
        <w:rPr>
          <w:rFonts w:ascii="Times New Roman" w:eastAsia="Calibri" w:hAnsi="Times New Roman" w:cs="Times New Roman"/>
        </w:rPr>
        <w:t xml:space="preserve">czasem aby maszynista mógł prowadzić pociąg na terenie innego </w:t>
      </w:r>
      <w:r w:rsidR="00883A18">
        <w:rPr>
          <w:rFonts w:ascii="Times New Roman" w:eastAsia="Calibri" w:hAnsi="Times New Roman" w:cs="Times New Roman"/>
        </w:rPr>
        <w:t xml:space="preserve">państwa </w:t>
      </w:r>
      <w:r w:rsidR="00D43771">
        <w:rPr>
          <w:rFonts w:ascii="Times New Roman" w:eastAsia="Calibri" w:hAnsi="Times New Roman" w:cs="Times New Roman"/>
        </w:rPr>
        <w:t xml:space="preserve">musi znać na poziomie komunikatywnym język danego państwa i zdać egzamin z </w:t>
      </w:r>
      <w:r w:rsidR="00883A18">
        <w:rPr>
          <w:rFonts w:ascii="Times New Roman" w:eastAsia="Calibri" w:hAnsi="Times New Roman" w:cs="Times New Roman"/>
        </w:rPr>
        <w:t xml:space="preserve">obowiązujących </w:t>
      </w:r>
      <w:r w:rsidR="00D43771">
        <w:rPr>
          <w:rFonts w:ascii="Times New Roman" w:eastAsia="Calibri" w:hAnsi="Times New Roman" w:cs="Times New Roman"/>
        </w:rPr>
        <w:t>tam</w:t>
      </w:r>
      <w:r w:rsidR="00883A18" w:rsidRPr="00883A18">
        <w:rPr>
          <w:rFonts w:ascii="Times New Roman" w:eastAsia="Calibri" w:hAnsi="Times New Roman" w:cs="Times New Roman"/>
        </w:rPr>
        <w:t xml:space="preserve"> </w:t>
      </w:r>
      <w:r w:rsidR="00883A18">
        <w:rPr>
          <w:rFonts w:ascii="Times New Roman" w:eastAsia="Calibri" w:hAnsi="Times New Roman" w:cs="Times New Roman"/>
        </w:rPr>
        <w:t>przepisów</w:t>
      </w:r>
      <w:r w:rsidR="00D43771">
        <w:rPr>
          <w:rFonts w:ascii="Times New Roman" w:eastAsia="Calibri" w:hAnsi="Times New Roman" w:cs="Times New Roman"/>
        </w:rPr>
        <w:t>.</w:t>
      </w:r>
    </w:p>
    <w:p w14:paraId="48C1AE37" w14:textId="7E1D0A8F" w:rsidR="0051615B" w:rsidRDefault="002376CD" w:rsidP="000F6EF0">
      <w:pPr>
        <w:tabs>
          <w:tab w:val="left" w:pos="5670"/>
        </w:tabs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Pomoc publiczną na podstawie projektowanego rozporządzenia będą mogli otrzymać przedsiębiorcy </w:t>
      </w:r>
      <w:r w:rsidR="00F76CBF" w:rsidRPr="00F76CBF">
        <w:rPr>
          <w:rFonts w:ascii="Times New Roman" w:eastAsia="Calibri" w:hAnsi="Times New Roman" w:cs="Times New Roman"/>
        </w:rPr>
        <w:t>z</w:t>
      </w:r>
      <w:r w:rsidR="001549B9">
        <w:rPr>
          <w:rFonts w:ascii="Times New Roman" w:eastAsia="Calibri" w:hAnsi="Times New Roman" w:cs="Times New Roman"/>
        </w:rPr>
        <w:t> </w:t>
      </w:r>
      <w:r w:rsidR="00F76CBF" w:rsidRPr="00F76CBF">
        <w:rPr>
          <w:rFonts w:ascii="Times New Roman" w:eastAsia="Calibri" w:hAnsi="Times New Roman" w:cs="Times New Roman"/>
        </w:rPr>
        <w:t>państw członkowskich Unii Europejskiej lub Europejskiego Porozumienia o Wolnym Handlu (EFTA), mając</w:t>
      </w:r>
      <w:r w:rsidR="00F76CBF">
        <w:rPr>
          <w:rFonts w:ascii="Times New Roman" w:eastAsia="Calibri" w:hAnsi="Times New Roman" w:cs="Times New Roman"/>
        </w:rPr>
        <w:t>y</w:t>
      </w:r>
      <w:r w:rsidR="00F76CBF" w:rsidRPr="00F76CBF">
        <w:rPr>
          <w:rFonts w:ascii="Times New Roman" w:eastAsia="Calibri" w:hAnsi="Times New Roman" w:cs="Times New Roman"/>
        </w:rPr>
        <w:t xml:space="preserve"> siedzibę, oddział lub przedstawicielstwo na terytorium Rzeczypospolitej Polskiej</w:t>
      </w:r>
      <w:r w:rsidR="00F76CBF">
        <w:rPr>
          <w:rFonts w:ascii="Times New Roman" w:eastAsia="Calibri" w:hAnsi="Times New Roman" w:cs="Times New Roman"/>
        </w:rPr>
        <w:t>,</w:t>
      </w:r>
      <w:r w:rsidR="00F76CBF" w:rsidRPr="00F76CBF">
        <w:rPr>
          <w:rFonts w:ascii="Times New Roman" w:eastAsia="Calibri" w:hAnsi="Times New Roman" w:cs="Times New Roman"/>
        </w:rPr>
        <w:t xml:space="preserve"> </w:t>
      </w:r>
      <w:r w:rsidR="00E521C7">
        <w:rPr>
          <w:rFonts w:ascii="Times New Roman" w:eastAsia="Calibri" w:hAnsi="Times New Roman" w:cs="Times New Roman"/>
        </w:rPr>
        <w:t>w</w:t>
      </w:r>
      <w:r w:rsidR="00E521C7" w:rsidRPr="00E521C7">
        <w:rPr>
          <w:rFonts w:ascii="Times New Roman" w:eastAsia="Calibri" w:hAnsi="Times New Roman" w:cs="Times New Roman"/>
        </w:rPr>
        <w:t>pisan</w:t>
      </w:r>
      <w:r w:rsidR="00E521C7">
        <w:rPr>
          <w:rFonts w:ascii="Times New Roman" w:eastAsia="Calibri" w:hAnsi="Times New Roman" w:cs="Times New Roman"/>
        </w:rPr>
        <w:t>i</w:t>
      </w:r>
      <w:r w:rsidR="00E521C7" w:rsidRPr="00E521C7">
        <w:rPr>
          <w:rFonts w:ascii="Times New Roman" w:eastAsia="Calibri" w:hAnsi="Times New Roman" w:cs="Times New Roman"/>
        </w:rPr>
        <w:t xml:space="preserve"> do europejskiego rejestru pojazdów kolejowych (EVR)</w:t>
      </w:r>
      <w:r w:rsidR="00E521C7">
        <w:rPr>
          <w:rFonts w:ascii="Times New Roman" w:eastAsia="Calibri" w:hAnsi="Times New Roman" w:cs="Times New Roman"/>
        </w:rPr>
        <w:t xml:space="preserve"> i</w:t>
      </w:r>
      <w:r w:rsidR="00E521C7" w:rsidRPr="00E521C7">
        <w:rPr>
          <w:rFonts w:ascii="Times New Roman" w:eastAsia="Calibri" w:hAnsi="Times New Roman" w:cs="Times New Roman"/>
        </w:rPr>
        <w:t xml:space="preserve"> </w:t>
      </w:r>
      <w:r w:rsidR="00DF1A7C">
        <w:rPr>
          <w:rFonts w:ascii="Times New Roman" w:eastAsia="Calibri" w:hAnsi="Times New Roman" w:cs="Times New Roman"/>
        </w:rPr>
        <w:t>będący</w:t>
      </w:r>
      <w:r w:rsidR="00301570">
        <w:rPr>
          <w:rFonts w:ascii="Times New Roman" w:eastAsia="Calibri" w:hAnsi="Times New Roman" w:cs="Times New Roman"/>
        </w:rPr>
        <w:t xml:space="preserve"> właściciel</w:t>
      </w:r>
      <w:r w:rsidR="008E4503">
        <w:rPr>
          <w:rFonts w:ascii="Times New Roman" w:eastAsia="Calibri" w:hAnsi="Times New Roman" w:cs="Times New Roman"/>
        </w:rPr>
        <w:t xml:space="preserve">ami </w:t>
      </w:r>
      <w:r w:rsidR="008E4503" w:rsidRPr="008E4503">
        <w:rPr>
          <w:rFonts w:ascii="Times New Roman" w:eastAsia="Calibri" w:hAnsi="Times New Roman" w:cs="Times New Roman"/>
        </w:rPr>
        <w:t>pojazd</w:t>
      </w:r>
      <w:r w:rsidR="008E4503">
        <w:rPr>
          <w:rFonts w:ascii="Times New Roman" w:eastAsia="Calibri" w:hAnsi="Times New Roman" w:cs="Times New Roman"/>
        </w:rPr>
        <w:t>ów</w:t>
      </w:r>
      <w:r w:rsidR="008E4503" w:rsidRPr="008E4503">
        <w:rPr>
          <w:rFonts w:ascii="Times New Roman" w:eastAsia="Calibri" w:hAnsi="Times New Roman" w:cs="Times New Roman"/>
        </w:rPr>
        <w:t xml:space="preserve"> kolejow</w:t>
      </w:r>
      <w:r w:rsidR="008E4503">
        <w:rPr>
          <w:rFonts w:ascii="Times New Roman" w:eastAsia="Calibri" w:hAnsi="Times New Roman" w:cs="Times New Roman"/>
        </w:rPr>
        <w:t>ych</w:t>
      </w:r>
      <w:r w:rsidR="008E4503" w:rsidRPr="008E4503">
        <w:rPr>
          <w:rFonts w:ascii="Times New Roman" w:eastAsia="Calibri" w:hAnsi="Times New Roman" w:cs="Times New Roman"/>
        </w:rPr>
        <w:t xml:space="preserve"> z</w:t>
      </w:r>
      <w:r w:rsidR="00F965BD">
        <w:rPr>
          <w:rFonts w:ascii="Times New Roman" w:eastAsia="Calibri" w:hAnsi="Times New Roman" w:cs="Times New Roman"/>
        </w:rPr>
        <w:t> </w:t>
      </w:r>
      <w:r w:rsidR="008E4503" w:rsidRPr="008E4503">
        <w:rPr>
          <w:rFonts w:ascii="Times New Roman" w:eastAsia="Calibri" w:hAnsi="Times New Roman" w:cs="Times New Roman"/>
        </w:rPr>
        <w:t xml:space="preserve">napędem lub z kabiną sterowniczą </w:t>
      </w:r>
      <w:r w:rsidR="008E4503">
        <w:rPr>
          <w:rFonts w:ascii="Times New Roman" w:eastAsia="Calibri" w:hAnsi="Times New Roman" w:cs="Times New Roman"/>
        </w:rPr>
        <w:t xml:space="preserve">lub </w:t>
      </w:r>
      <w:r w:rsidR="008E4503" w:rsidRPr="008E4503">
        <w:rPr>
          <w:rFonts w:ascii="Times New Roman" w:eastAsia="Calibri" w:hAnsi="Times New Roman" w:cs="Times New Roman"/>
        </w:rPr>
        <w:t>posiadając</w:t>
      </w:r>
      <w:r w:rsidR="008E4503">
        <w:rPr>
          <w:rFonts w:ascii="Times New Roman" w:eastAsia="Calibri" w:hAnsi="Times New Roman" w:cs="Times New Roman"/>
        </w:rPr>
        <w:t>y</w:t>
      </w:r>
      <w:r w:rsidR="008E4503" w:rsidRPr="008E4503">
        <w:rPr>
          <w:rFonts w:ascii="Times New Roman" w:eastAsia="Calibri" w:hAnsi="Times New Roman" w:cs="Times New Roman"/>
        </w:rPr>
        <w:t xml:space="preserve"> prawo do korzystania z taki</w:t>
      </w:r>
      <w:r w:rsidR="008E4503">
        <w:rPr>
          <w:rFonts w:ascii="Times New Roman" w:eastAsia="Calibri" w:hAnsi="Times New Roman" w:cs="Times New Roman"/>
        </w:rPr>
        <w:t>ch</w:t>
      </w:r>
      <w:r w:rsidR="008E4503" w:rsidRPr="008E4503">
        <w:rPr>
          <w:rFonts w:ascii="Times New Roman" w:eastAsia="Calibri" w:hAnsi="Times New Roman" w:cs="Times New Roman"/>
        </w:rPr>
        <w:t xml:space="preserve"> pojazd</w:t>
      </w:r>
      <w:r w:rsidR="008E4503">
        <w:rPr>
          <w:rFonts w:ascii="Times New Roman" w:eastAsia="Calibri" w:hAnsi="Times New Roman" w:cs="Times New Roman"/>
        </w:rPr>
        <w:t>ów</w:t>
      </w:r>
      <w:r w:rsidR="008E4503" w:rsidRPr="008E4503">
        <w:rPr>
          <w:rFonts w:ascii="Times New Roman" w:eastAsia="Calibri" w:hAnsi="Times New Roman" w:cs="Times New Roman"/>
        </w:rPr>
        <w:t xml:space="preserve"> kolejow</w:t>
      </w:r>
      <w:r w:rsidR="008E4503">
        <w:rPr>
          <w:rFonts w:ascii="Times New Roman" w:eastAsia="Calibri" w:hAnsi="Times New Roman" w:cs="Times New Roman"/>
        </w:rPr>
        <w:t>ych</w:t>
      </w:r>
      <w:r w:rsidR="008E4503" w:rsidRPr="008E4503">
        <w:rPr>
          <w:rFonts w:ascii="Times New Roman" w:eastAsia="Calibri" w:hAnsi="Times New Roman" w:cs="Times New Roman"/>
        </w:rPr>
        <w:t xml:space="preserve"> jako środka transportu</w:t>
      </w:r>
      <w:r w:rsidR="00E521C7">
        <w:rPr>
          <w:rFonts w:ascii="Times New Roman" w:eastAsia="Calibri" w:hAnsi="Times New Roman" w:cs="Times New Roman"/>
        </w:rPr>
        <w:t>.</w:t>
      </w:r>
      <w:r w:rsidR="008E4503" w:rsidRPr="008E4503">
        <w:rPr>
          <w:rFonts w:ascii="Times New Roman" w:eastAsia="Calibri" w:hAnsi="Times New Roman" w:cs="Times New Roman"/>
        </w:rPr>
        <w:t xml:space="preserve"> </w:t>
      </w:r>
      <w:r w:rsidR="00C05863">
        <w:rPr>
          <w:rFonts w:ascii="Times New Roman" w:eastAsia="Calibri" w:hAnsi="Times New Roman" w:cs="Times New Roman"/>
        </w:rPr>
        <w:t xml:space="preserve">Pomoc publiczna będzie zatem udzielana zarówno </w:t>
      </w:r>
      <w:r w:rsidR="006133BB">
        <w:rPr>
          <w:rFonts w:ascii="Times New Roman" w:eastAsia="Calibri" w:hAnsi="Times New Roman" w:cs="Times New Roman"/>
        </w:rPr>
        <w:t>przewoźni</w:t>
      </w:r>
      <w:r w:rsidR="00DF1A7C">
        <w:rPr>
          <w:rFonts w:ascii="Times New Roman" w:eastAsia="Calibri" w:hAnsi="Times New Roman" w:cs="Times New Roman"/>
        </w:rPr>
        <w:t>k</w:t>
      </w:r>
      <w:r w:rsidR="00C05863">
        <w:rPr>
          <w:rFonts w:ascii="Times New Roman" w:eastAsia="Calibri" w:hAnsi="Times New Roman" w:cs="Times New Roman"/>
        </w:rPr>
        <w:t>om</w:t>
      </w:r>
      <w:r w:rsidR="006133BB">
        <w:rPr>
          <w:rFonts w:ascii="Times New Roman" w:eastAsia="Calibri" w:hAnsi="Times New Roman" w:cs="Times New Roman"/>
        </w:rPr>
        <w:t xml:space="preserve"> </w:t>
      </w:r>
      <w:r w:rsidR="00560511">
        <w:rPr>
          <w:rFonts w:ascii="Times New Roman" w:eastAsia="Calibri" w:hAnsi="Times New Roman" w:cs="Times New Roman"/>
        </w:rPr>
        <w:t>kolejow</w:t>
      </w:r>
      <w:r w:rsidR="0092120A">
        <w:rPr>
          <w:rFonts w:ascii="Times New Roman" w:eastAsia="Calibri" w:hAnsi="Times New Roman" w:cs="Times New Roman"/>
        </w:rPr>
        <w:t>y</w:t>
      </w:r>
      <w:r w:rsidR="00C05863">
        <w:rPr>
          <w:rFonts w:ascii="Times New Roman" w:eastAsia="Calibri" w:hAnsi="Times New Roman" w:cs="Times New Roman"/>
        </w:rPr>
        <w:t>m</w:t>
      </w:r>
      <w:r w:rsidR="00560511">
        <w:rPr>
          <w:rFonts w:ascii="Times New Roman" w:eastAsia="Calibri" w:hAnsi="Times New Roman" w:cs="Times New Roman"/>
        </w:rPr>
        <w:t xml:space="preserve"> wykonujący</w:t>
      </w:r>
      <w:r w:rsidR="00C05863">
        <w:rPr>
          <w:rFonts w:ascii="Times New Roman" w:eastAsia="Calibri" w:hAnsi="Times New Roman" w:cs="Times New Roman"/>
        </w:rPr>
        <w:t>m</w:t>
      </w:r>
      <w:r w:rsidR="00560511">
        <w:rPr>
          <w:rFonts w:ascii="Times New Roman" w:eastAsia="Calibri" w:hAnsi="Times New Roman" w:cs="Times New Roman"/>
        </w:rPr>
        <w:t xml:space="preserve"> przewozy </w:t>
      </w:r>
      <w:r w:rsidR="002E11F5">
        <w:rPr>
          <w:rFonts w:ascii="Times New Roman" w:eastAsia="Calibri" w:hAnsi="Times New Roman" w:cs="Times New Roman"/>
        </w:rPr>
        <w:t xml:space="preserve">pasażerskie i </w:t>
      </w:r>
      <w:r w:rsidR="006133BB">
        <w:rPr>
          <w:rFonts w:ascii="Times New Roman" w:eastAsia="Calibri" w:hAnsi="Times New Roman" w:cs="Times New Roman"/>
        </w:rPr>
        <w:t>towar</w:t>
      </w:r>
      <w:r w:rsidR="00560511">
        <w:rPr>
          <w:rFonts w:ascii="Times New Roman" w:eastAsia="Calibri" w:hAnsi="Times New Roman" w:cs="Times New Roman"/>
        </w:rPr>
        <w:t>owe</w:t>
      </w:r>
      <w:r w:rsidR="008E4503">
        <w:rPr>
          <w:rFonts w:ascii="Times New Roman" w:eastAsia="Calibri" w:hAnsi="Times New Roman" w:cs="Times New Roman"/>
        </w:rPr>
        <w:t>,</w:t>
      </w:r>
      <w:r w:rsidR="0096284A">
        <w:rPr>
          <w:rFonts w:ascii="Times New Roman" w:eastAsia="Calibri" w:hAnsi="Times New Roman" w:cs="Times New Roman"/>
        </w:rPr>
        <w:t xml:space="preserve"> </w:t>
      </w:r>
      <w:r w:rsidR="00C05863">
        <w:rPr>
          <w:rFonts w:ascii="Times New Roman" w:eastAsia="Calibri" w:hAnsi="Times New Roman" w:cs="Times New Roman"/>
        </w:rPr>
        <w:t>jak i</w:t>
      </w:r>
      <w:r w:rsidR="008E4503">
        <w:rPr>
          <w:rFonts w:ascii="Times New Roman" w:eastAsia="Calibri" w:hAnsi="Times New Roman" w:cs="Times New Roman"/>
        </w:rPr>
        <w:t xml:space="preserve"> </w:t>
      </w:r>
      <w:r w:rsidR="00C05834">
        <w:rPr>
          <w:rFonts w:ascii="Times New Roman" w:eastAsia="Calibri" w:hAnsi="Times New Roman" w:cs="Times New Roman"/>
        </w:rPr>
        <w:t>przedsiębior</w:t>
      </w:r>
      <w:r w:rsidR="008C4A33">
        <w:rPr>
          <w:rFonts w:ascii="Times New Roman" w:eastAsia="Calibri" w:hAnsi="Times New Roman" w:cs="Times New Roman"/>
        </w:rPr>
        <w:t>stwom</w:t>
      </w:r>
      <w:r w:rsidR="00560511">
        <w:rPr>
          <w:rFonts w:ascii="Times New Roman" w:eastAsia="Calibri" w:hAnsi="Times New Roman" w:cs="Times New Roman"/>
        </w:rPr>
        <w:t xml:space="preserve"> </w:t>
      </w:r>
      <w:r w:rsidR="006133BB">
        <w:rPr>
          <w:rFonts w:ascii="Times New Roman" w:eastAsia="Calibri" w:hAnsi="Times New Roman" w:cs="Times New Roman"/>
        </w:rPr>
        <w:t>zajmując</w:t>
      </w:r>
      <w:r w:rsidR="00C05863">
        <w:rPr>
          <w:rFonts w:ascii="Times New Roman" w:eastAsia="Calibri" w:hAnsi="Times New Roman" w:cs="Times New Roman"/>
        </w:rPr>
        <w:t>ym</w:t>
      </w:r>
      <w:r w:rsidR="006133BB">
        <w:rPr>
          <w:rFonts w:ascii="Times New Roman" w:eastAsia="Calibri" w:hAnsi="Times New Roman" w:cs="Times New Roman"/>
        </w:rPr>
        <w:t xml:space="preserve"> się </w:t>
      </w:r>
      <w:r w:rsidR="00560511">
        <w:rPr>
          <w:rFonts w:ascii="Times New Roman" w:eastAsia="Calibri" w:hAnsi="Times New Roman" w:cs="Times New Roman"/>
        </w:rPr>
        <w:t xml:space="preserve">wynajmowaniem lub leasingiem </w:t>
      </w:r>
      <w:r w:rsidR="00560511" w:rsidRPr="00560511">
        <w:rPr>
          <w:rFonts w:ascii="Times New Roman" w:eastAsia="Calibri" w:hAnsi="Times New Roman" w:cs="Times New Roman"/>
        </w:rPr>
        <w:t>pojazdów kolejowych z</w:t>
      </w:r>
      <w:r w:rsidR="002A441B">
        <w:rPr>
          <w:rFonts w:ascii="Times New Roman" w:eastAsia="Calibri" w:hAnsi="Times New Roman" w:cs="Times New Roman"/>
        </w:rPr>
        <w:t xml:space="preserve"> </w:t>
      </w:r>
      <w:r w:rsidR="00560511" w:rsidRPr="00560511">
        <w:rPr>
          <w:rFonts w:ascii="Times New Roman" w:eastAsia="Calibri" w:hAnsi="Times New Roman" w:cs="Times New Roman"/>
        </w:rPr>
        <w:t>napędem</w:t>
      </w:r>
      <w:r w:rsidR="00941461">
        <w:rPr>
          <w:rFonts w:ascii="Times New Roman" w:eastAsia="Calibri" w:hAnsi="Times New Roman" w:cs="Times New Roman"/>
        </w:rPr>
        <w:t xml:space="preserve"> </w:t>
      </w:r>
      <w:r w:rsidR="00941461">
        <w:rPr>
          <w:rFonts w:ascii="Times New Roman" w:hAnsi="Times New Roman"/>
        </w:rPr>
        <w:t xml:space="preserve">lub </w:t>
      </w:r>
      <w:r w:rsidR="008E4503">
        <w:rPr>
          <w:rFonts w:ascii="Times New Roman" w:hAnsi="Times New Roman"/>
        </w:rPr>
        <w:t>z</w:t>
      </w:r>
      <w:r w:rsidR="00941461">
        <w:rPr>
          <w:rFonts w:ascii="Times New Roman" w:hAnsi="Times New Roman"/>
        </w:rPr>
        <w:t xml:space="preserve"> kabin</w:t>
      </w:r>
      <w:r w:rsidR="008E4503">
        <w:rPr>
          <w:rFonts w:ascii="Times New Roman" w:hAnsi="Times New Roman"/>
        </w:rPr>
        <w:t>ą</w:t>
      </w:r>
      <w:r w:rsidR="00941461">
        <w:rPr>
          <w:rFonts w:ascii="Times New Roman" w:hAnsi="Times New Roman"/>
        </w:rPr>
        <w:t xml:space="preserve"> sterowniczą</w:t>
      </w:r>
      <w:r w:rsidR="00560511">
        <w:rPr>
          <w:rFonts w:ascii="Times New Roman" w:eastAsia="Calibri" w:hAnsi="Times New Roman" w:cs="Times New Roman"/>
        </w:rPr>
        <w:t>.</w:t>
      </w:r>
    </w:p>
    <w:p w14:paraId="0AF3FD46" w14:textId="20ABA366" w:rsidR="005A15B5" w:rsidRDefault="0051615B" w:rsidP="00B06169">
      <w:pPr>
        <w:tabs>
          <w:tab w:val="left" w:pos="5670"/>
        </w:tabs>
        <w:spacing w:line="36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W projektowanym rozporządzeniu określono</w:t>
      </w:r>
      <w:r w:rsidR="00802ABD">
        <w:rPr>
          <w:rFonts w:ascii="Times New Roman" w:eastAsia="Calibri" w:hAnsi="Times New Roman" w:cs="Times New Roman"/>
        </w:rPr>
        <w:t xml:space="preserve">, że pomoc publiczna nie może być udzielona przedsiębiorcy, </w:t>
      </w:r>
      <w:r w:rsidR="00802ABD" w:rsidRPr="00802ABD">
        <w:rPr>
          <w:rFonts w:ascii="Times New Roman" w:eastAsia="Calibri" w:hAnsi="Times New Roman" w:cs="Times New Roman"/>
          <w:bCs/>
        </w:rPr>
        <w:t>na którym ciąży obowiązek zwrotu pomocy publicznej, wynikający z decyzji Komisji Europejskiej uznającej pomoc publiczną za niezgodną z rynkiem wewnętrznym Unii Europejskiej</w:t>
      </w:r>
      <w:r w:rsidR="007212FF">
        <w:rPr>
          <w:rFonts w:ascii="Times New Roman" w:eastAsia="Calibri" w:hAnsi="Times New Roman" w:cs="Times New Roman"/>
          <w:bCs/>
        </w:rPr>
        <w:t>, jak również przedsiębiorcy</w:t>
      </w:r>
      <w:r w:rsidR="00802ABD">
        <w:rPr>
          <w:rFonts w:ascii="Times New Roman" w:eastAsia="Calibri" w:hAnsi="Times New Roman" w:cs="Times New Roman"/>
          <w:bCs/>
        </w:rPr>
        <w:t xml:space="preserve"> </w:t>
      </w:r>
      <w:r w:rsidR="00802ABD" w:rsidRPr="00802ABD">
        <w:rPr>
          <w:rFonts w:ascii="Times New Roman" w:eastAsia="Calibri" w:hAnsi="Times New Roman" w:cs="Times New Roman"/>
          <w:bCs/>
        </w:rPr>
        <w:t>znajdującemu się w trudnej sytuacji w rozumieniu pkt 20 komunikatu Komisji – Wytyczne dotyczące pomocy państwa na ratowanie i restrukturyzację przedsiębiorstw niefinansowych znajdujących się w trudnej sytuacji (Dz. Urz. UE C 249 z 31.07.2014, str.</w:t>
      </w:r>
      <w:r w:rsidR="00802ABD">
        <w:rPr>
          <w:rFonts w:ascii="Times New Roman" w:eastAsia="Calibri" w:hAnsi="Times New Roman" w:cs="Times New Roman"/>
          <w:bCs/>
        </w:rPr>
        <w:t xml:space="preserve"> </w:t>
      </w:r>
      <w:r w:rsidR="00802ABD" w:rsidRPr="00802ABD">
        <w:rPr>
          <w:rFonts w:ascii="Times New Roman" w:eastAsia="Calibri" w:hAnsi="Times New Roman" w:cs="Times New Roman"/>
          <w:bCs/>
        </w:rPr>
        <w:t>1,</w:t>
      </w:r>
      <w:r w:rsidR="00802ABD" w:rsidRPr="00802ABD">
        <w:rPr>
          <w:rFonts w:ascii="Times New Roman" w:eastAsia="Calibri" w:hAnsi="Times New Roman" w:cs="Times New Roman"/>
        </w:rPr>
        <w:t xml:space="preserve"> </w:t>
      </w:r>
      <w:r w:rsidR="00802ABD" w:rsidRPr="00802ABD">
        <w:rPr>
          <w:rFonts w:ascii="Times New Roman" w:eastAsia="Calibri" w:hAnsi="Times New Roman" w:cs="Times New Roman"/>
          <w:bCs/>
        </w:rPr>
        <w:t>z późn. zm.).</w:t>
      </w:r>
      <w:r w:rsidR="00802ABD">
        <w:rPr>
          <w:rFonts w:ascii="Times New Roman" w:eastAsia="Calibri" w:hAnsi="Times New Roman" w:cs="Times New Roman"/>
          <w:bCs/>
        </w:rPr>
        <w:t xml:space="preserve"> </w:t>
      </w:r>
      <w:r w:rsidR="002732B7" w:rsidRPr="002732B7">
        <w:rPr>
          <w:rFonts w:ascii="Times New Roman" w:eastAsia="Calibri" w:hAnsi="Times New Roman" w:cs="Times New Roman"/>
          <w:bCs/>
        </w:rPr>
        <w:t>W</w:t>
      </w:r>
      <w:r w:rsidR="000A4675">
        <w:rPr>
          <w:rFonts w:ascii="Times New Roman" w:eastAsia="Calibri" w:hAnsi="Times New Roman" w:cs="Times New Roman"/>
          <w:bCs/>
        </w:rPr>
        <w:t> </w:t>
      </w:r>
      <w:r w:rsidR="002732B7" w:rsidRPr="002732B7">
        <w:rPr>
          <w:rFonts w:ascii="Times New Roman" w:eastAsia="Calibri" w:hAnsi="Times New Roman" w:cs="Times New Roman"/>
          <w:bCs/>
        </w:rPr>
        <w:t>projektowanym rozporządzeniu przyjęto definicję sformułowaną w powyższym komunikacie, która będzie obowiązywać dla całego okresu udzielania pomocy publicznej na podstawie pr</w:t>
      </w:r>
      <w:r w:rsidR="00FF4B64">
        <w:rPr>
          <w:rFonts w:ascii="Times New Roman" w:eastAsia="Calibri" w:hAnsi="Times New Roman" w:cs="Times New Roman"/>
          <w:bCs/>
        </w:rPr>
        <w:t>ojektowanego</w:t>
      </w:r>
      <w:r w:rsidR="000A4675">
        <w:rPr>
          <w:rFonts w:ascii="Times New Roman" w:eastAsia="Calibri" w:hAnsi="Times New Roman" w:cs="Times New Roman"/>
          <w:bCs/>
        </w:rPr>
        <w:t xml:space="preserve"> </w:t>
      </w:r>
      <w:r w:rsidR="002732B7" w:rsidRPr="002732B7">
        <w:rPr>
          <w:rFonts w:ascii="Times New Roman" w:eastAsia="Calibri" w:hAnsi="Times New Roman" w:cs="Times New Roman"/>
          <w:bCs/>
        </w:rPr>
        <w:t xml:space="preserve">rozporządzenia. </w:t>
      </w:r>
      <w:r w:rsidR="00B06169">
        <w:rPr>
          <w:rFonts w:ascii="Times New Roman" w:eastAsia="Calibri" w:hAnsi="Times New Roman" w:cs="Times New Roman"/>
          <w:bCs/>
        </w:rPr>
        <w:t xml:space="preserve">Z uwagi na powyższe z możliwości otrzymania wsparcia </w:t>
      </w:r>
      <w:r w:rsidR="00B06169" w:rsidRPr="00B06169">
        <w:rPr>
          <w:rFonts w:ascii="Times New Roman" w:eastAsia="Calibri" w:hAnsi="Times New Roman" w:cs="Times New Roman"/>
          <w:bCs/>
        </w:rPr>
        <w:t>wyłączone są podmioty typu MŚP istniejące krócej niż 3 lata, których kondycja finansowa budzi wątpliwości i zastrzeżenia co do możliwości realizacji pr</w:t>
      </w:r>
      <w:r w:rsidR="00475C24">
        <w:rPr>
          <w:rFonts w:ascii="Times New Roman" w:eastAsia="Calibri" w:hAnsi="Times New Roman" w:cs="Times New Roman"/>
          <w:bCs/>
        </w:rPr>
        <w:t>zedsięwzięcia</w:t>
      </w:r>
      <w:r w:rsidR="00FF4B64">
        <w:rPr>
          <w:rFonts w:ascii="Times New Roman" w:eastAsia="Calibri" w:hAnsi="Times New Roman" w:cs="Times New Roman"/>
          <w:bCs/>
        </w:rPr>
        <w:t>.</w:t>
      </w:r>
      <w:r w:rsidR="002732B7">
        <w:rPr>
          <w:rFonts w:ascii="Times New Roman" w:eastAsia="Calibri" w:hAnsi="Times New Roman" w:cs="Times New Roman"/>
          <w:bCs/>
        </w:rPr>
        <w:t xml:space="preserve"> </w:t>
      </w:r>
    </w:p>
    <w:p w14:paraId="28623F97" w14:textId="7043C24A" w:rsidR="00CF68D7" w:rsidRDefault="00C05834" w:rsidP="00B06169">
      <w:pPr>
        <w:tabs>
          <w:tab w:val="left" w:pos="5670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C05834">
        <w:rPr>
          <w:rFonts w:ascii="Times New Roman" w:eastAsia="Calibri" w:hAnsi="Times New Roman" w:cs="Times New Roman"/>
          <w:bCs/>
        </w:rPr>
        <w:t xml:space="preserve">W projektowanym rozporządzeniu </w:t>
      </w:r>
      <w:r>
        <w:rPr>
          <w:rFonts w:ascii="Times New Roman" w:eastAsia="Calibri" w:hAnsi="Times New Roman" w:cs="Times New Roman"/>
          <w:bCs/>
        </w:rPr>
        <w:t>o</w:t>
      </w:r>
      <w:r w:rsidR="00802ABD">
        <w:rPr>
          <w:rFonts w:ascii="Times New Roman" w:eastAsia="Calibri" w:hAnsi="Times New Roman" w:cs="Times New Roman"/>
          <w:bCs/>
        </w:rPr>
        <w:t xml:space="preserve">kreślono ponadto </w:t>
      </w:r>
      <w:r w:rsidR="0051615B">
        <w:rPr>
          <w:rFonts w:ascii="Times New Roman" w:eastAsia="Calibri" w:hAnsi="Times New Roman" w:cs="Times New Roman"/>
        </w:rPr>
        <w:t>warunki, jakie musi spełniać przedsiębiorca aby pomoc</w:t>
      </w:r>
      <w:r w:rsidR="00802ABD">
        <w:rPr>
          <w:rFonts w:ascii="Times New Roman" w:eastAsia="Calibri" w:hAnsi="Times New Roman" w:cs="Times New Roman"/>
        </w:rPr>
        <w:t xml:space="preserve"> publiczną</w:t>
      </w:r>
      <w:r w:rsidR="00802ABD" w:rsidRPr="00802ABD">
        <w:rPr>
          <w:rFonts w:ascii="Times New Roman" w:eastAsia="Calibri" w:hAnsi="Times New Roman" w:cs="Times New Roman"/>
        </w:rPr>
        <w:t xml:space="preserve"> </w:t>
      </w:r>
      <w:r w:rsidR="00802ABD">
        <w:rPr>
          <w:rFonts w:ascii="Times New Roman" w:eastAsia="Calibri" w:hAnsi="Times New Roman" w:cs="Times New Roman"/>
        </w:rPr>
        <w:t xml:space="preserve">otrzymać, obejmujące zakres </w:t>
      </w:r>
      <w:r w:rsidR="00AA622E">
        <w:rPr>
          <w:rFonts w:ascii="Times New Roman" w:eastAsia="Calibri" w:hAnsi="Times New Roman" w:cs="Times New Roman"/>
        </w:rPr>
        <w:t xml:space="preserve">realizacji </w:t>
      </w:r>
      <w:r w:rsidR="00802ABD">
        <w:rPr>
          <w:rFonts w:ascii="Times New Roman" w:eastAsia="Calibri" w:hAnsi="Times New Roman" w:cs="Times New Roman"/>
        </w:rPr>
        <w:t>przedsięwzięcia, wydatki kwalifikowalne oraz wymagane od przedsiębiorcy zobowiązania</w:t>
      </w:r>
      <w:r w:rsidR="005D5D92">
        <w:rPr>
          <w:rFonts w:ascii="Times New Roman" w:eastAsia="Calibri" w:hAnsi="Times New Roman" w:cs="Times New Roman"/>
        </w:rPr>
        <w:t>, w</w:t>
      </w:r>
      <w:r w:rsidR="002121C1">
        <w:rPr>
          <w:rFonts w:ascii="Times New Roman" w:eastAsia="Calibri" w:hAnsi="Times New Roman" w:cs="Times New Roman"/>
        </w:rPr>
        <w:t xml:space="preserve"> </w:t>
      </w:r>
      <w:r w:rsidR="005D5D92">
        <w:rPr>
          <w:rFonts w:ascii="Times New Roman" w:eastAsia="Calibri" w:hAnsi="Times New Roman" w:cs="Times New Roman"/>
        </w:rPr>
        <w:t>tym dodatkowe zobowiązanie dla przedsiębior</w:t>
      </w:r>
      <w:r w:rsidR="008C4A33">
        <w:rPr>
          <w:rFonts w:ascii="Times New Roman" w:eastAsia="Calibri" w:hAnsi="Times New Roman" w:cs="Times New Roman"/>
        </w:rPr>
        <w:t>stwa</w:t>
      </w:r>
      <w:r w:rsidR="005D5D92">
        <w:rPr>
          <w:rFonts w:ascii="Times New Roman" w:eastAsia="Calibri" w:hAnsi="Times New Roman" w:cs="Times New Roman"/>
        </w:rPr>
        <w:t xml:space="preserve"> </w:t>
      </w:r>
      <w:r w:rsidR="005D5D92" w:rsidRPr="005D5D92">
        <w:rPr>
          <w:rFonts w:ascii="Times New Roman" w:eastAsia="Calibri" w:hAnsi="Times New Roman" w:cs="Times New Roman"/>
        </w:rPr>
        <w:t>prowadzące</w:t>
      </w:r>
      <w:r w:rsidR="005D5D92">
        <w:rPr>
          <w:rFonts w:ascii="Times New Roman" w:eastAsia="Calibri" w:hAnsi="Times New Roman" w:cs="Times New Roman"/>
        </w:rPr>
        <w:t>go</w:t>
      </w:r>
      <w:r w:rsidR="005D5D92" w:rsidRPr="005D5D92">
        <w:rPr>
          <w:rFonts w:ascii="Times New Roman" w:eastAsia="Calibri" w:hAnsi="Times New Roman" w:cs="Times New Roman"/>
        </w:rPr>
        <w:t xml:space="preserve"> działalność gospodarczą polegającą na wynajmowaniu lub leasingu pojazdów kolejowych z napędem lub z kabiną sterowniczą</w:t>
      </w:r>
      <w:r w:rsidR="005D5D92">
        <w:rPr>
          <w:rFonts w:ascii="Times New Roman" w:eastAsia="Calibri" w:hAnsi="Times New Roman" w:cs="Times New Roman"/>
        </w:rPr>
        <w:t xml:space="preserve"> dotyczące </w:t>
      </w:r>
      <w:r w:rsidR="005D5D92" w:rsidRPr="005D5D92">
        <w:rPr>
          <w:rFonts w:ascii="Times New Roman" w:eastAsia="Calibri" w:hAnsi="Times New Roman" w:cs="Times New Roman"/>
        </w:rPr>
        <w:t>udostępnia</w:t>
      </w:r>
      <w:r w:rsidR="005D5D92">
        <w:rPr>
          <w:rFonts w:ascii="Times New Roman" w:eastAsia="Calibri" w:hAnsi="Times New Roman" w:cs="Times New Roman"/>
        </w:rPr>
        <w:t>nia</w:t>
      </w:r>
      <w:r w:rsidR="005D5D92" w:rsidRPr="005D5D92">
        <w:rPr>
          <w:rFonts w:ascii="Times New Roman" w:eastAsia="Calibri" w:hAnsi="Times New Roman" w:cs="Times New Roman"/>
        </w:rPr>
        <w:t xml:space="preserve"> na</w:t>
      </w:r>
      <w:r w:rsidR="005D5D92">
        <w:rPr>
          <w:rFonts w:ascii="Times New Roman" w:eastAsia="Calibri" w:hAnsi="Times New Roman" w:cs="Times New Roman"/>
        </w:rPr>
        <w:t xml:space="preserve"> </w:t>
      </w:r>
      <w:r w:rsidR="005D5D92" w:rsidRPr="005D5D92">
        <w:rPr>
          <w:rFonts w:ascii="Times New Roman" w:eastAsia="Calibri" w:hAnsi="Times New Roman" w:cs="Times New Roman"/>
        </w:rPr>
        <w:t>przejrzystych, równych i</w:t>
      </w:r>
      <w:r w:rsidR="002121C1">
        <w:rPr>
          <w:rFonts w:ascii="Times New Roman" w:eastAsia="Calibri" w:hAnsi="Times New Roman" w:cs="Times New Roman"/>
        </w:rPr>
        <w:t> </w:t>
      </w:r>
      <w:r w:rsidR="005D5D92" w:rsidRPr="005D5D92">
        <w:rPr>
          <w:rFonts w:ascii="Times New Roman" w:eastAsia="Calibri" w:hAnsi="Times New Roman" w:cs="Times New Roman"/>
        </w:rPr>
        <w:t>niedyskryminujących warunkach pojazd</w:t>
      </w:r>
      <w:r w:rsidR="005D5D92">
        <w:rPr>
          <w:rFonts w:ascii="Times New Roman" w:eastAsia="Calibri" w:hAnsi="Times New Roman" w:cs="Times New Roman"/>
        </w:rPr>
        <w:t>ów</w:t>
      </w:r>
      <w:r w:rsidR="005D5D92" w:rsidRPr="005D5D92">
        <w:rPr>
          <w:rFonts w:ascii="Times New Roman" w:eastAsia="Calibri" w:hAnsi="Times New Roman" w:cs="Times New Roman"/>
        </w:rPr>
        <w:t xml:space="preserve"> kolejow</w:t>
      </w:r>
      <w:r w:rsidR="005D5D92">
        <w:rPr>
          <w:rFonts w:ascii="Times New Roman" w:eastAsia="Calibri" w:hAnsi="Times New Roman" w:cs="Times New Roman"/>
        </w:rPr>
        <w:t>ych</w:t>
      </w:r>
      <w:r w:rsidR="005D5D92" w:rsidRPr="005D5D92">
        <w:rPr>
          <w:rFonts w:ascii="Times New Roman" w:eastAsia="Calibri" w:hAnsi="Times New Roman" w:cs="Times New Roman"/>
        </w:rPr>
        <w:t xml:space="preserve"> z</w:t>
      </w:r>
      <w:r w:rsidR="002121C1">
        <w:rPr>
          <w:rFonts w:ascii="Times New Roman" w:eastAsia="Calibri" w:hAnsi="Times New Roman" w:cs="Times New Roman"/>
        </w:rPr>
        <w:t xml:space="preserve"> </w:t>
      </w:r>
      <w:r w:rsidR="005D5D92" w:rsidRPr="005D5D92">
        <w:rPr>
          <w:rFonts w:ascii="Times New Roman" w:eastAsia="Calibri" w:hAnsi="Times New Roman" w:cs="Times New Roman"/>
        </w:rPr>
        <w:t>napędem lub z kabiną sterowniczą, których dotyczy pomoc</w:t>
      </w:r>
      <w:r w:rsidR="0051615B">
        <w:rPr>
          <w:rFonts w:ascii="Times New Roman" w:eastAsia="Calibri" w:hAnsi="Times New Roman" w:cs="Times New Roman"/>
        </w:rPr>
        <w:t xml:space="preserve">. </w:t>
      </w:r>
      <w:r w:rsidR="007C0621">
        <w:rPr>
          <w:rFonts w:ascii="Times New Roman" w:eastAsia="Calibri" w:hAnsi="Times New Roman" w:cs="Times New Roman"/>
        </w:rPr>
        <w:t xml:space="preserve">Należy </w:t>
      </w:r>
      <w:r w:rsidR="00802ABD">
        <w:rPr>
          <w:rFonts w:ascii="Times New Roman" w:eastAsia="Calibri" w:hAnsi="Times New Roman" w:cs="Times New Roman"/>
        </w:rPr>
        <w:t xml:space="preserve">przy tym </w:t>
      </w:r>
      <w:r w:rsidR="007C0621">
        <w:rPr>
          <w:rFonts w:ascii="Times New Roman" w:eastAsia="Calibri" w:hAnsi="Times New Roman" w:cs="Times New Roman"/>
        </w:rPr>
        <w:t xml:space="preserve">wyjaśnić, że </w:t>
      </w:r>
      <w:r w:rsidR="00802ABD">
        <w:rPr>
          <w:rFonts w:ascii="Times New Roman" w:eastAsia="Calibri" w:hAnsi="Times New Roman" w:cs="Times New Roman"/>
        </w:rPr>
        <w:t>w</w:t>
      </w:r>
      <w:r w:rsidR="00723EA6">
        <w:rPr>
          <w:rFonts w:ascii="Times New Roman" w:eastAsia="Calibri" w:hAnsi="Times New Roman" w:cs="Times New Roman"/>
        </w:rPr>
        <w:t xml:space="preserve"> toku procesu legislacyjnego projektowanego rozporządzenia</w:t>
      </w:r>
      <w:r w:rsidR="00046B99">
        <w:rPr>
          <w:rFonts w:ascii="Times New Roman" w:eastAsia="Calibri" w:hAnsi="Times New Roman" w:cs="Times New Roman"/>
        </w:rPr>
        <w:t>, w wyniku uwagi zgłoszonej w ramach konsultacji publicznych,</w:t>
      </w:r>
      <w:r w:rsidR="00723EA6">
        <w:rPr>
          <w:rFonts w:ascii="Times New Roman" w:eastAsia="Calibri" w:hAnsi="Times New Roman" w:cs="Times New Roman"/>
        </w:rPr>
        <w:t xml:space="preserve"> </w:t>
      </w:r>
      <w:r w:rsidR="0083306D">
        <w:rPr>
          <w:rFonts w:ascii="Times New Roman" w:eastAsia="Calibri" w:hAnsi="Times New Roman" w:cs="Times New Roman"/>
        </w:rPr>
        <w:t xml:space="preserve">odstąpiono od </w:t>
      </w:r>
      <w:r w:rsidR="00723EA6">
        <w:rPr>
          <w:rFonts w:ascii="Times New Roman" w:eastAsia="Calibri" w:hAnsi="Times New Roman" w:cs="Times New Roman"/>
        </w:rPr>
        <w:t xml:space="preserve">określenia w ramach warunków udzielania pomocy publicznej – </w:t>
      </w:r>
      <w:r w:rsidR="00F62B75">
        <w:rPr>
          <w:rFonts w:ascii="Times New Roman" w:eastAsia="Calibri" w:hAnsi="Times New Roman" w:cs="Times New Roman"/>
        </w:rPr>
        <w:t xml:space="preserve">warunku </w:t>
      </w:r>
      <w:r w:rsidR="00B33034" w:rsidRPr="00B33034">
        <w:rPr>
          <w:rFonts w:ascii="Times New Roman" w:eastAsia="Calibri" w:hAnsi="Times New Roman" w:cs="Times New Roman"/>
        </w:rPr>
        <w:t>posiadani</w:t>
      </w:r>
      <w:r w:rsidR="00CF68D7">
        <w:rPr>
          <w:rFonts w:ascii="Times New Roman" w:eastAsia="Calibri" w:hAnsi="Times New Roman" w:cs="Times New Roman"/>
        </w:rPr>
        <w:t>a</w:t>
      </w:r>
      <w:r w:rsidR="00B33034" w:rsidRPr="00B33034">
        <w:rPr>
          <w:rFonts w:ascii="Times New Roman" w:eastAsia="Calibri" w:hAnsi="Times New Roman" w:cs="Times New Roman"/>
        </w:rPr>
        <w:t xml:space="preserve"> przez przedsiębiorcę niezbędnych zezwoleń do prowadzenia danego rodzaju działalności gospodarczej</w:t>
      </w:r>
      <w:r w:rsidR="00723EA6">
        <w:rPr>
          <w:rFonts w:ascii="Times New Roman" w:eastAsia="Calibri" w:hAnsi="Times New Roman" w:cs="Times New Roman"/>
        </w:rPr>
        <w:t>.</w:t>
      </w:r>
      <w:r w:rsidR="00B33034" w:rsidRPr="00B33034">
        <w:rPr>
          <w:rFonts w:ascii="Times New Roman" w:eastAsia="Calibri" w:hAnsi="Times New Roman" w:cs="Times New Roman"/>
        </w:rPr>
        <w:t xml:space="preserve"> </w:t>
      </w:r>
      <w:r w:rsidR="00723EA6">
        <w:rPr>
          <w:rFonts w:ascii="Times New Roman" w:eastAsia="Calibri" w:hAnsi="Times New Roman" w:cs="Times New Roman"/>
        </w:rPr>
        <w:t>Rezygnacja z zamieszczania takiej regulacji</w:t>
      </w:r>
      <w:r w:rsidR="00CF68D7">
        <w:rPr>
          <w:rFonts w:ascii="Times New Roman" w:eastAsia="Calibri" w:hAnsi="Times New Roman" w:cs="Times New Roman"/>
        </w:rPr>
        <w:t xml:space="preserve"> </w:t>
      </w:r>
      <w:r w:rsidR="00723EA6">
        <w:rPr>
          <w:rFonts w:ascii="Times New Roman" w:eastAsia="Calibri" w:hAnsi="Times New Roman" w:cs="Times New Roman"/>
        </w:rPr>
        <w:t>miała na</w:t>
      </w:r>
      <w:r w:rsidR="00CF68D7">
        <w:rPr>
          <w:rFonts w:ascii="Times New Roman" w:eastAsia="Calibri" w:hAnsi="Times New Roman" w:cs="Times New Roman"/>
        </w:rPr>
        <w:t xml:space="preserve"> celu niezawężani</w:t>
      </w:r>
      <w:r w:rsidR="00723EA6">
        <w:rPr>
          <w:rFonts w:ascii="Times New Roman" w:eastAsia="Calibri" w:hAnsi="Times New Roman" w:cs="Times New Roman"/>
        </w:rPr>
        <w:t>e</w:t>
      </w:r>
      <w:r w:rsidR="00CF68D7">
        <w:rPr>
          <w:rFonts w:ascii="Times New Roman" w:eastAsia="Calibri" w:hAnsi="Times New Roman" w:cs="Times New Roman"/>
        </w:rPr>
        <w:t xml:space="preserve"> kręgu potencjalnych odbiorcó</w:t>
      </w:r>
      <w:r w:rsidR="009F1452">
        <w:rPr>
          <w:rFonts w:ascii="Times New Roman" w:eastAsia="Calibri" w:hAnsi="Times New Roman" w:cs="Times New Roman"/>
        </w:rPr>
        <w:t xml:space="preserve">w wsparcia. </w:t>
      </w:r>
      <w:r w:rsidR="000F6EF0" w:rsidRPr="000F6EF0">
        <w:rPr>
          <w:rFonts w:ascii="Times New Roman" w:eastAsia="Calibri" w:hAnsi="Times New Roman" w:cs="Times New Roman"/>
        </w:rPr>
        <w:t>Jednocześnie należy zauważyć, że zgodnie z projekt</w:t>
      </w:r>
      <w:r w:rsidR="005737EC">
        <w:rPr>
          <w:rFonts w:ascii="Times New Roman" w:eastAsia="Calibri" w:hAnsi="Times New Roman" w:cs="Times New Roman"/>
        </w:rPr>
        <w:t>owanym</w:t>
      </w:r>
      <w:r w:rsidR="000F6EF0" w:rsidRPr="000F6EF0">
        <w:rPr>
          <w:rFonts w:ascii="Times New Roman" w:eastAsia="Calibri" w:hAnsi="Times New Roman" w:cs="Times New Roman"/>
        </w:rPr>
        <w:t xml:space="preserve"> rozporządzeni</w:t>
      </w:r>
      <w:r w:rsidR="005737EC">
        <w:rPr>
          <w:rFonts w:ascii="Times New Roman" w:eastAsia="Calibri" w:hAnsi="Times New Roman" w:cs="Times New Roman"/>
        </w:rPr>
        <w:t>em</w:t>
      </w:r>
      <w:r w:rsidR="000F6EF0" w:rsidRPr="000F6EF0">
        <w:rPr>
          <w:rFonts w:ascii="Times New Roman" w:eastAsia="Calibri" w:hAnsi="Times New Roman" w:cs="Times New Roman"/>
        </w:rPr>
        <w:t xml:space="preserve"> przedsięwzięcie musi zachować trwałość. Szczegółowa treść tego warunku zostanie określona </w:t>
      </w:r>
      <w:r w:rsidR="000F6EF0" w:rsidRPr="000F6EF0">
        <w:rPr>
          <w:rFonts w:ascii="Times New Roman" w:eastAsia="Calibri" w:hAnsi="Times New Roman" w:cs="Times New Roman"/>
        </w:rPr>
        <w:lastRenderedPageBreak/>
        <w:t>w</w:t>
      </w:r>
      <w:r w:rsidR="005A15B5">
        <w:rPr>
          <w:rFonts w:ascii="Times New Roman" w:eastAsia="Calibri" w:hAnsi="Times New Roman" w:cs="Times New Roman"/>
        </w:rPr>
        <w:t> </w:t>
      </w:r>
      <w:r w:rsidR="000F6EF0" w:rsidRPr="000F6EF0">
        <w:rPr>
          <w:rFonts w:ascii="Times New Roman" w:eastAsia="Calibri" w:hAnsi="Times New Roman" w:cs="Times New Roman"/>
        </w:rPr>
        <w:t>regulaminie wyboru przeds</w:t>
      </w:r>
      <w:r w:rsidR="000F6EF0">
        <w:rPr>
          <w:rFonts w:ascii="Times New Roman" w:eastAsia="Calibri" w:hAnsi="Times New Roman" w:cs="Times New Roman"/>
        </w:rPr>
        <w:t>ięwzięć ogłoszonym przez CUPT.</w:t>
      </w:r>
      <w:r w:rsidR="00FD6A5A">
        <w:rPr>
          <w:rFonts w:ascii="Times New Roman" w:eastAsia="Calibri" w:hAnsi="Times New Roman" w:cs="Times New Roman"/>
        </w:rPr>
        <w:t xml:space="preserve"> </w:t>
      </w:r>
      <w:r w:rsidR="002E70E1">
        <w:rPr>
          <w:rFonts w:ascii="Times New Roman" w:eastAsia="Calibri" w:hAnsi="Times New Roman" w:cs="Times New Roman"/>
        </w:rPr>
        <w:t xml:space="preserve">Należy także </w:t>
      </w:r>
      <w:r w:rsidR="00925735">
        <w:rPr>
          <w:rFonts w:ascii="Times New Roman" w:eastAsia="Calibri" w:hAnsi="Times New Roman" w:cs="Times New Roman"/>
        </w:rPr>
        <w:t>wskazać,</w:t>
      </w:r>
      <w:r w:rsidR="002E70E1">
        <w:rPr>
          <w:rFonts w:ascii="Times New Roman" w:eastAsia="Calibri" w:hAnsi="Times New Roman" w:cs="Times New Roman"/>
        </w:rPr>
        <w:t xml:space="preserve"> </w:t>
      </w:r>
      <w:r w:rsidR="00925735">
        <w:rPr>
          <w:rFonts w:ascii="Times New Roman" w:eastAsia="Calibri" w:hAnsi="Times New Roman" w:cs="Times New Roman"/>
        </w:rPr>
        <w:t>że przepisy</w:t>
      </w:r>
      <w:r w:rsidR="002E70E1">
        <w:rPr>
          <w:rFonts w:ascii="Times New Roman" w:eastAsia="Calibri" w:hAnsi="Times New Roman" w:cs="Times New Roman"/>
        </w:rPr>
        <w:t xml:space="preserve"> projektowanego rozporządzenia umożliwiają wykorzystanie dofinansowanego taboru </w:t>
      </w:r>
      <w:r w:rsidR="00925735">
        <w:rPr>
          <w:rFonts w:ascii="Times New Roman" w:eastAsia="Calibri" w:hAnsi="Times New Roman" w:cs="Times New Roman"/>
        </w:rPr>
        <w:t xml:space="preserve">kolejowego </w:t>
      </w:r>
      <w:r w:rsidR="00592971">
        <w:rPr>
          <w:rFonts w:ascii="Times New Roman" w:eastAsia="Calibri" w:hAnsi="Times New Roman" w:cs="Times New Roman"/>
        </w:rPr>
        <w:t xml:space="preserve">do wykonywania przewozów kolejowych </w:t>
      </w:r>
      <w:r w:rsidR="00925735" w:rsidRPr="00925735">
        <w:rPr>
          <w:rFonts w:ascii="Times New Roman" w:eastAsia="Calibri" w:hAnsi="Times New Roman" w:cs="Times New Roman"/>
        </w:rPr>
        <w:t>mających swój początek lub koniec na terytorium Rzeczypospolitej Polskiej lub przebiegających przez terytorium Rzeczypospolitej Polskiej</w:t>
      </w:r>
      <w:r w:rsidR="00FD6A5A">
        <w:rPr>
          <w:rFonts w:ascii="Times New Roman" w:eastAsia="Calibri" w:hAnsi="Times New Roman" w:cs="Times New Roman"/>
        </w:rPr>
        <w:t>.</w:t>
      </w:r>
    </w:p>
    <w:p w14:paraId="09374189" w14:textId="430FFEAC" w:rsidR="00764E76" w:rsidRDefault="0021228A" w:rsidP="00436BD4">
      <w:pPr>
        <w:tabs>
          <w:tab w:val="left" w:pos="5670"/>
        </w:tabs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Wsparciem zostaną objęte </w:t>
      </w:r>
      <w:r w:rsidR="003F5DFC">
        <w:rPr>
          <w:rFonts w:ascii="Times New Roman" w:eastAsia="Calibri" w:hAnsi="Times New Roman" w:cs="Times New Roman"/>
        </w:rPr>
        <w:t xml:space="preserve">pojazdy </w:t>
      </w:r>
      <w:r>
        <w:rPr>
          <w:rFonts w:ascii="Times New Roman" w:eastAsia="Calibri" w:hAnsi="Times New Roman" w:cs="Times New Roman"/>
        </w:rPr>
        <w:t xml:space="preserve">kolejowe z napędem </w:t>
      </w:r>
      <w:r w:rsidR="003D0BEF">
        <w:rPr>
          <w:rFonts w:ascii="Times New Roman" w:eastAsia="Calibri" w:hAnsi="Times New Roman" w:cs="Times New Roman"/>
        </w:rPr>
        <w:t>spalinow</w:t>
      </w:r>
      <w:r>
        <w:rPr>
          <w:rFonts w:ascii="Times New Roman" w:eastAsia="Calibri" w:hAnsi="Times New Roman" w:cs="Times New Roman"/>
        </w:rPr>
        <w:t>ym</w:t>
      </w:r>
      <w:r w:rsidR="003D0BEF">
        <w:rPr>
          <w:rFonts w:ascii="Times New Roman" w:eastAsia="Calibri" w:hAnsi="Times New Roman" w:cs="Times New Roman"/>
        </w:rPr>
        <w:t xml:space="preserve">, </w:t>
      </w:r>
      <w:r w:rsidR="00617539">
        <w:rPr>
          <w:rFonts w:ascii="Times New Roman" w:eastAsia="Calibri" w:hAnsi="Times New Roman" w:cs="Times New Roman"/>
        </w:rPr>
        <w:t xml:space="preserve">nisko lub </w:t>
      </w:r>
      <w:r>
        <w:rPr>
          <w:rFonts w:ascii="Times New Roman" w:eastAsia="Calibri" w:hAnsi="Times New Roman" w:cs="Times New Roman"/>
        </w:rPr>
        <w:t xml:space="preserve">zeroemisyjnym </w:t>
      </w:r>
      <w:r w:rsidR="003F5DFC">
        <w:rPr>
          <w:rFonts w:ascii="Times New Roman" w:eastAsia="Calibri" w:hAnsi="Times New Roman" w:cs="Times New Roman"/>
        </w:rPr>
        <w:t>tj.</w:t>
      </w:r>
      <w:r w:rsidR="00457AE2">
        <w:rPr>
          <w:rFonts w:ascii="Times New Roman" w:eastAsia="Calibri" w:hAnsi="Times New Roman" w:cs="Times New Roman"/>
        </w:rPr>
        <w:t> </w:t>
      </w:r>
      <w:r w:rsidR="003F5DFC">
        <w:rPr>
          <w:rFonts w:ascii="Times New Roman" w:eastAsia="Calibri" w:hAnsi="Times New Roman" w:cs="Times New Roman"/>
        </w:rPr>
        <w:t xml:space="preserve">zasilane energią elektryczną </w:t>
      </w:r>
      <w:r w:rsidR="000B2A49">
        <w:rPr>
          <w:rFonts w:ascii="Times New Roman" w:eastAsia="Calibri" w:hAnsi="Times New Roman" w:cs="Times New Roman"/>
        </w:rPr>
        <w:t xml:space="preserve">lub hybrydowe wykorzystujące obok energii elektrycznej inne zeroemisyjne </w:t>
      </w:r>
      <w:r w:rsidR="00D766F6">
        <w:rPr>
          <w:rFonts w:ascii="Times New Roman" w:eastAsia="Calibri" w:hAnsi="Times New Roman" w:cs="Times New Roman"/>
        </w:rPr>
        <w:t>napędy</w:t>
      </w:r>
      <w:r w:rsidR="001D22D2">
        <w:rPr>
          <w:rFonts w:ascii="Times New Roman" w:eastAsia="Calibri" w:hAnsi="Times New Roman" w:cs="Times New Roman"/>
        </w:rPr>
        <w:t>,</w:t>
      </w:r>
      <w:r w:rsidR="00941461">
        <w:rPr>
          <w:rFonts w:ascii="Times New Roman" w:eastAsia="Calibri" w:hAnsi="Times New Roman" w:cs="Times New Roman"/>
        </w:rPr>
        <w:t xml:space="preserve"> </w:t>
      </w:r>
      <w:r w:rsidR="00941461">
        <w:rPr>
          <w:rFonts w:ascii="Times New Roman" w:hAnsi="Times New Roman"/>
        </w:rPr>
        <w:t>lub wyposażone w kabinę sterowniczą</w:t>
      </w:r>
      <w:r w:rsidR="00FE2DCF">
        <w:rPr>
          <w:rFonts w:ascii="Times New Roman" w:hAnsi="Times New Roman"/>
        </w:rPr>
        <w:t xml:space="preserve"> (typu </w:t>
      </w:r>
      <w:r w:rsidR="00FE2DCF" w:rsidRPr="00FE2DCF">
        <w:rPr>
          <w:rFonts w:ascii="Times New Roman" w:hAnsi="Times New Roman"/>
        </w:rPr>
        <w:t>PUSH-PULL</w:t>
      </w:r>
      <w:r w:rsidR="00FE2DCF">
        <w:rPr>
          <w:rFonts w:ascii="Times New Roman" w:hAnsi="Times New Roman"/>
        </w:rPr>
        <w:t>)</w:t>
      </w:r>
      <w:r w:rsidR="00343496">
        <w:rPr>
          <w:rFonts w:ascii="Times New Roman" w:eastAsia="Calibri" w:hAnsi="Times New Roman" w:cs="Times New Roman"/>
        </w:rPr>
        <w:t>,</w:t>
      </w:r>
      <w:r w:rsidR="00D766F6">
        <w:rPr>
          <w:rFonts w:ascii="Times New Roman" w:eastAsia="Calibri" w:hAnsi="Times New Roman" w:cs="Times New Roman"/>
        </w:rPr>
        <w:t xml:space="preserve"> </w:t>
      </w:r>
      <w:r w:rsidR="000B2A49">
        <w:rPr>
          <w:rFonts w:ascii="Times New Roman" w:eastAsia="Calibri" w:hAnsi="Times New Roman" w:cs="Times New Roman"/>
        </w:rPr>
        <w:t>oraz wyposażone w</w:t>
      </w:r>
      <w:r w:rsidR="005544ED">
        <w:rPr>
          <w:rFonts w:ascii="Times New Roman" w:eastAsia="Calibri" w:hAnsi="Times New Roman" w:cs="Times New Roman"/>
        </w:rPr>
        <w:t> </w:t>
      </w:r>
      <w:r w:rsidR="000B2A49">
        <w:rPr>
          <w:rFonts w:ascii="Times New Roman" w:eastAsia="Calibri" w:hAnsi="Times New Roman" w:cs="Times New Roman"/>
        </w:rPr>
        <w:t>system ERTMS</w:t>
      </w:r>
      <w:r w:rsidR="00B82DC5">
        <w:rPr>
          <w:rFonts w:ascii="Times New Roman" w:eastAsia="Calibri" w:hAnsi="Times New Roman" w:cs="Times New Roman"/>
        </w:rPr>
        <w:t>,</w:t>
      </w:r>
      <w:r w:rsidR="00B82DC5" w:rsidRPr="00B82DC5">
        <w:rPr>
          <w:rFonts w:eastAsia="Times New Roman"/>
          <w:color w:val="000000"/>
        </w:rPr>
        <w:t xml:space="preserve"> </w:t>
      </w:r>
      <w:r w:rsidR="00E56482">
        <w:rPr>
          <w:rFonts w:ascii="Times New Roman" w:eastAsia="Calibri" w:hAnsi="Times New Roman" w:cs="Times New Roman"/>
        </w:rPr>
        <w:t>niemające więcej niż</w:t>
      </w:r>
      <w:r w:rsidR="00B82DC5" w:rsidRPr="00B82DC5">
        <w:rPr>
          <w:rFonts w:ascii="Times New Roman" w:eastAsia="Calibri" w:hAnsi="Times New Roman" w:cs="Times New Roman"/>
        </w:rPr>
        <w:t xml:space="preserve"> 35 lat od daty</w:t>
      </w:r>
      <w:r w:rsidR="00862535">
        <w:rPr>
          <w:rFonts w:ascii="Times New Roman" w:eastAsia="Calibri" w:hAnsi="Times New Roman" w:cs="Times New Roman"/>
        </w:rPr>
        <w:t xml:space="preserve"> ich</w:t>
      </w:r>
      <w:r w:rsidR="00B82DC5" w:rsidRPr="00B82DC5">
        <w:rPr>
          <w:rFonts w:ascii="Times New Roman" w:eastAsia="Calibri" w:hAnsi="Times New Roman" w:cs="Times New Roman"/>
        </w:rPr>
        <w:t xml:space="preserve"> produkcji</w:t>
      </w:r>
      <w:r w:rsidR="00EB0A65">
        <w:rPr>
          <w:rFonts w:ascii="Times New Roman" w:eastAsia="Calibri" w:hAnsi="Times New Roman" w:cs="Times New Roman"/>
        </w:rPr>
        <w:t xml:space="preserve"> </w:t>
      </w:r>
      <w:r w:rsidR="001C6EFF">
        <w:rPr>
          <w:rFonts w:ascii="Times New Roman" w:eastAsia="Calibri" w:hAnsi="Times New Roman" w:cs="Times New Roman"/>
        </w:rPr>
        <w:t>lub</w:t>
      </w:r>
      <w:r w:rsidR="00EB0A65">
        <w:rPr>
          <w:rFonts w:ascii="Times New Roman" w:eastAsia="Calibri" w:hAnsi="Times New Roman" w:cs="Times New Roman"/>
        </w:rPr>
        <w:t xml:space="preserve"> </w:t>
      </w:r>
      <w:r w:rsidR="001C6EFF">
        <w:rPr>
          <w:rFonts w:ascii="Times New Roman" w:eastAsia="Calibri" w:hAnsi="Times New Roman" w:cs="Times New Roman"/>
        </w:rPr>
        <w:t>10</w:t>
      </w:r>
      <w:r w:rsidR="00EB0A65">
        <w:rPr>
          <w:rFonts w:ascii="Times New Roman" w:eastAsia="Calibri" w:hAnsi="Times New Roman" w:cs="Times New Roman"/>
        </w:rPr>
        <w:t xml:space="preserve"> </w:t>
      </w:r>
      <w:r w:rsidR="001C6EFF">
        <w:rPr>
          <w:rFonts w:ascii="Times New Roman" w:eastAsia="Calibri" w:hAnsi="Times New Roman" w:cs="Times New Roman"/>
        </w:rPr>
        <w:t>lat</w:t>
      </w:r>
      <w:r w:rsidR="00EB0A65">
        <w:rPr>
          <w:rFonts w:ascii="Times New Roman" w:eastAsia="Calibri" w:hAnsi="Times New Roman" w:cs="Times New Roman"/>
        </w:rPr>
        <w:t xml:space="preserve"> </w:t>
      </w:r>
      <w:r w:rsidR="001C6EFF">
        <w:rPr>
          <w:rFonts w:ascii="Times New Roman" w:eastAsia="Calibri" w:hAnsi="Times New Roman" w:cs="Times New Roman"/>
        </w:rPr>
        <w:t>od</w:t>
      </w:r>
      <w:r w:rsidR="00EB0A65">
        <w:rPr>
          <w:rFonts w:ascii="Times New Roman" w:eastAsia="Calibri" w:hAnsi="Times New Roman" w:cs="Times New Roman"/>
        </w:rPr>
        <w:t xml:space="preserve"> </w:t>
      </w:r>
      <w:r w:rsidR="00862535">
        <w:rPr>
          <w:rFonts w:ascii="Times New Roman" w:eastAsia="Calibri" w:hAnsi="Times New Roman" w:cs="Times New Roman"/>
        </w:rPr>
        <w:t xml:space="preserve">daty </w:t>
      </w:r>
      <w:r w:rsidR="00E35DDA">
        <w:rPr>
          <w:rFonts w:ascii="Times New Roman" w:eastAsia="Calibri" w:hAnsi="Times New Roman" w:cs="Times New Roman"/>
        </w:rPr>
        <w:t>wykonania</w:t>
      </w:r>
      <w:r w:rsidR="00301570" w:rsidRPr="00301570">
        <w:rPr>
          <w:rFonts w:ascii="Times New Roman" w:eastAsia="Calibri" w:hAnsi="Times New Roman" w:cs="Times New Roman"/>
        </w:rPr>
        <w:t xml:space="preserve"> prac modyfikacyjnych w pojeździe kolejowym, które zmieniają przeznaczenie pojazdu</w:t>
      </w:r>
      <w:r w:rsidR="001D22D2">
        <w:rPr>
          <w:rFonts w:ascii="Times New Roman" w:eastAsia="Calibri" w:hAnsi="Times New Roman" w:cs="Times New Roman"/>
        </w:rPr>
        <w:t xml:space="preserve"> kolejowego</w:t>
      </w:r>
      <w:r w:rsidR="00301570" w:rsidRPr="00301570">
        <w:rPr>
          <w:rFonts w:ascii="Times New Roman" w:eastAsia="Calibri" w:hAnsi="Times New Roman" w:cs="Times New Roman"/>
        </w:rPr>
        <w:t xml:space="preserve"> lub poprawiają jego ogólne osiągi techniczne, </w:t>
      </w:r>
      <w:r w:rsidR="00FE2DCF">
        <w:rPr>
          <w:rFonts w:ascii="Times New Roman" w:eastAsia="Calibri" w:hAnsi="Times New Roman" w:cs="Times New Roman"/>
        </w:rPr>
        <w:t>w tym</w:t>
      </w:r>
      <w:r w:rsidR="00301570" w:rsidRPr="00301570">
        <w:rPr>
          <w:rFonts w:ascii="Times New Roman" w:eastAsia="Calibri" w:hAnsi="Times New Roman" w:cs="Times New Roman"/>
        </w:rPr>
        <w:t>: zmian</w:t>
      </w:r>
      <w:r w:rsidR="00FE2DCF">
        <w:rPr>
          <w:rFonts w:ascii="Times New Roman" w:eastAsia="Calibri" w:hAnsi="Times New Roman" w:cs="Times New Roman"/>
        </w:rPr>
        <w:t>y</w:t>
      </w:r>
      <w:r w:rsidR="00301570" w:rsidRPr="00301570">
        <w:rPr>
          <w:rFonts w:ascii="Times New Roman" w:eastAsia="Calibri" w:hAnsi="Times New Roman" w:cs="Times New Roman"/>
        </w:rPr>
        <w:t xml:space="preserve"> charakterystyki trakcyjnej, prędkości maksymalnej, mocy</w:t>
      </w:r>
      <w:r w:rsidR="00FE2DCF">
        <w:rPr>
          <w:rFonts w:ascii="Times New Roman" w:eastAsia="Calibri" w:hAnsi="Times New Roman" w:cs="Times New Roman"/>
        </w:rPr>
        <w:t xml:space="preserve"> oraz</w:t>
      </w:r>
      <w:r w:rsidR="00301570" w:rsidRPr="00301570">
        <w:rPr>
          <w:rFonts w:ascii="Times New Roman" w:eastAsia="Calibri" w:hAnsi="Times New Roman" w:cs="Times New Roman"/>
        </w:rPr>
        <w:t xml:space="preserve"> zdolności do zasilania w różnych systemach</w:t>
      </w:r>
      <w:r w:rsidR="00FE2DCF">
        <w:rPr>
          <w:rFonts w:ascii="Times New Roman" w:eastAsia="Calibri" w:hAnsi="Times New Roman" w:cs="Times New Roman"/>
        </w:rPr>
        <w:t>,</w:t>
      </w:r>
      <w:r w:rsidR="001D22D2">
        <w:rPr>
          <w:rFonts w:ascii="Times New Roman" w:eastAsia="Calibri" w:hAnsi="Times New Roman" w:cs="Times New Roman"/>
        </w:rPr>
        <w:t xml:space="preserve"> lub</w:t>
      </w:r>
      <w:r w:rsidR="00301570" w:rsidRPr="00301570">
        <w:rPr>
          <w:rFonts w:ascii="Times New Roman" w:eastAsia="Calibri" w:hAnsi="Times New Roman" w:cs="Times New Roman"/>
        </w:rPr>
        <w:t xml:space="preserve"> </w:t>
      </w:r>
      <w:r w:rsidR="001D22D2" w:rsidRPr="001D22D2">
        <w:rPr>
          <w:rFonts w:ascii="Times New Roman" w:eastAsia="Calibri" w:hAnsi="Times New Roman" w:cs="Times New Roman"/>
        </w:rPr>
        <w:t>czynności mających na celu podniesienie standardu pojazdu kolejowego</w:t>
      </w:r>
      <w:r w:rsidR="001D22D2">
        <w:rPr>
          <w:rFonts w:ascii="Times New Roman" w:eastAsia="Calibri" w:hAnsi="Times New Roman" w:cs="Times New Roman"/>
        </w:rPr>
        <w:t xml:space="preserve"> </w:t>
      </w:r>
      <w:r w:rsidR="00E35DDA" w:rsidRPr="00E35DDA">
        <w:rPr>
          <w:rFonts w:ascii="Times New Roman" w:eastAsia="Calibri" w:hAnsi="Times New Roman" w:cs="Times New Roman"/>
        </w:rPr>
        <w:t>lub</w:t>
      </w:r>
      <w:r w:rsidR="00EB0A65">
        <w:rPr>
          <w:rFonts w:ascii="Times New Roman" w:eastAsia="Calibri" w:hAnsi="Times New Roman" w:cs="Times New Roman"/>
        </w:rPr>
        <w:t xml:space="preserve"> </w:t>
      </w:r>
      <w:r w:rsidR="00E35DDA" w:rsidRPr="00E35DDA">
        <w:rPr>
          <w:rFonts w:ascii="Times New Roman" w:eastAsia="Calibri" w:hAnsi="Times New Roman" w:cs="Times New Roman"/>
        </w:rPr>
        <w:t>jego</w:t>
      </w:r>
      <w:r w:rsidR="00EB0A65">
        <w:rPr>
          <w:rFonts w:ascii="Times New Roman" w:eastAsia="Calibri" w:hAnsi="Times New Roman" w:cs="Times New Roman"/>
        </w:rPr>
        <w:t xml:space="preserve"> </w:t>
      </w:r>
      <w:r w:rsidR="00E35DDA" w:rsidRPr="00E35DDA">
        <w:rPr>
          <w:rFonts w:ascii="Times New Roman" w:eastAsia="Calibri" w:hAnsi="Times New Roman" w:cs="Times New Roman"/>
        </w:rPr>
        <w:t>odnowienie</w:t>
      </w:r>
      <w:r w:rsidR="00EB0A65">
        <w:rPr>
          <w:rFonts w:ascii="Times New Roman" w:eastAsia="Calibri" w:hAnsi="Times New Roman" w:cs="Times New Roman"/>
        </w:rPr>
        <w:t xml:space="preserve"> </w:t>
      </w:r>
      <w:r w:rsidR="00E35DDA" w:rsidRPr="00E35DDA">
        <w:rPr>
          <w:rFonts w:ascii="Times New Roman" w:eastAsia="Calibri" w:hAnsi="Times New Roman" w:cs="Times New Roman"/>
        </w:rPr>
        <w:t>w</w:t>
      </w:r>
      <w:r w:rsidR="00EB0A65">
        <w:rPr>
          <w:rFonts w:ascii="Times New Roman" w:eastAsia="Calibri" w:hAnsi="Times New Roman" w:cs="Times New Roman"/>
        </w:rPr>
        <w:t xml:space="preserve"> </w:t>
      </w:r>
      <w:r w:rsidR="00E35DDA" w:rsidRPr="00E35DDA">
        <w:rPr>
          <w:rFonts w:ascii="Times New Roman" w:eastAsia="Calibri" w:hAnsi="Times New Roman" w:cs="Times New Roman"/>
        </w:rPr>
        <w:t>wyspecjalizowanych</w:t>
      </w:r>
      <w:r w:rsidR="00EB0A65">
        <w:rPr>
          <w:rFonts w:ascii="Times New Roman" w:eastAsia="Calibri" w:hAnsi="Times New Roman" w:cs="Times New Roman"/>
        </w:rPr>
        <w:t xml:space="preserve"> </w:t>
      </w:r>
      <w:r w:rsidR="00E35DDA" w:rsidRPr="00E35DDA">
        <w:rPr>
          <w:rFonts w:ascii="Times New Roman" w:eastAsia="Calibri" w:hAnsi="Times New Roman" w:cs="Times New Roman"/>
        </w:rPr>
        <w:t>zak</w:t>
      </w:r>
      <w:r w:rsidR="00E35DDA">
        <w:rPr>
          <w:rFonts w:ascii="Times New Roman" w:eastAsia="Calibri" w:hAnsi="Times New Roman" w:cs="Times New Roman"/>
        </w:rPr>
        <w:t>ł</w:t>
      </w:r>
      <w:r w:rsidR="00E35DDA" w:rsidRPr="00E35DDA">
        <w:rPr>
          <w:rFonts w:ascii="Times New Roman" w:eastAsia="Calibri" w:hAnsi="Times New Roman" w:cs="Times New Roman"/>
        </w:rPr>
        <w:t>adach</w:t>
      </w:r>
      <w:r w:rsidR="00E35DDA">
        <w:rPr>
          <w:rFonts w:ascii="Times New Roman" w:eastAsia="Calibri" w:hAnsi="Times New Roman" w:cs="Times New Roman"/>
        </w:rPr>
        <w:t xml:space="preserve"> </w:t>
      </w:r>
      <w:r w:rsidR="00E35DDA" w:rsidRPr="00E35DDA">
        <w:rPr>
          <w:rFonts w:ascii="Times New Roman" w:eastAsia="Calibri" w:hAnsi="Times New Roman" w:cs="Times New Roman"/>
        </w:rPr>
        <w:t>lu</w:t>
      </w:r>
      <w:r w:rsidR="00E35DDA">
        <w:rPr>
          <w:rFonts w:ascii="Times New Roman" w:eastAsia="Calibri" w:hAnsi="Times New Roman" w:cs="Times New Roman"/>
        </w:rPr>
        <w:t xml:space="preserve">b </w:t>
      </w:r>
      <w:r w:rsidR="00E35DDA" w:rsidRPr="00E35DDA">
        <w:rPr>
          <w:rFonts w:ascii="Times New Roman" w:eastAsia="Calibri" w:hAnsi="Times New Roman" w:cs="Times New Roman"/>
        </w:rPr>
        <w:t>u producenta</w:t>
      </w:r>
      <w:r w:rsidR="00E35DDA">
        <w:rPr>
          <w:rFonts w:ascii="Times New Roman" w:eastAsia="Calibri" w:hAnsi="Times New Roman" w:cs="Times New Roman"/>
        </w:rPr>
        <w:t xml:space="preserve"> </w:t>
      </w:r>
      <w:r w:rsidR="00972E4E">
        <w:rPr>
          <w:rFonts w:ascii="Times New Roman" w:eastAsia="Calibri" w:hAnsi="Times New Roman" w:cs="Times New Roman"/>
        </w:rPr>
        <w:t xml:space="preserve">na </w:t>
      </w:r>
      <w:r w:rsidR="000C7A55" w:rsidRPr="000C7A55">
        <w:rPr>
          <w:rFonts w:ascii="Times New Roman" w:eastAsia="Calibri" w:hAnsi="Times New Roman" w:cs="Times New Roman"/>
        </w:rPr>
        <w:t>P</w:t>
      </w:r>
      <w:r w:rsidR="00972E4E">
        <w:rPr>
          <w:rFonts w:ascii="Times New Roman" w:eastAsia="Calibri" w:hAnsi="Times New Roman" w:cs="Times New Roman"/>
        </w:rPr>
        <w:t xml:space="preserve">oziomie </w:t>
      </w:r>
      <w:r w:rsidR="000C7A55" w:rsidRPr="000C7A55">
        <w:rPr>
          <w:rFonts w:ascii="Times New Roman" w:eastAsia="Calibri" w:hAnsi="Times New Roman" w:cs="Times New Roman"/>
        </w:rPr>
        <w:t>5</w:t>
      </w:r>
      <w:r w:rsidR="00EB0A65" w:rsidRPr="00EB0A65">
        <w:rPr>
          <w:rFonts w:ascii="Times New Roman" w:hAnsi="Times New Roman"/>
        </w:rPr>
        <w:t xml:space="preserve"> </w:t>
      </w:r>
      <w:r w:rsidR="00EB0A65" w:rsidRPr="00EB0A65">
        <w:rPr>
          <w:rFonts w:ascii="Times New Roman" w:eastAsia="Calibri" w:hAnsi="Times New Roman" w:cs="Times New Roman"/>
        </w:rPr>
        <w:t>utrzymania pojazdu kolejowego</w:t>
      </w:r>
      <w:r w:rsidR="00972E4E">
        <w:rPr>
          <w:rFonts w:ascii="Times New Roman" w:eastAsia="Calibri" w:hAnsi="Times New Roman" w:cs="Times New Roman"/>
        </w:rPr>
        <w:t xml:space="preserve">, </w:t>
      </w:r>
      <w:r w:rsidR="000C7A55" w:rsidRPr="000C7A55">
        <w:rPr>
          <w:rFonts w:ascii="Times New Roman" w:eastAsia="Calibri" w:hAnsi="Times New Roman" w:cs="Times New Roman"/>
        </w:rPr>
        <w:t>o któr</w:t>
      </w:r>
      <w:r w:rsidR="00972E4E">
        <w:rPr>
          <w:rFonts w:ascii="Times New Roman" w:eastAsia="Calibri" w:hAnsi="Times New Roman" w:cs="Times New Roman"/>
        </w:rPr>
        <w:t>ym</w:t>
      </w:r>
      <w:r w:rsidR="000C7A55" w:rsidRPr="000C7A55">
        <w:rPr>
          <w:rFonts w:ascii="Times New Roman" w:eastAsia="Calibri" w:hAnsi="Times New Roman" w:cs="Times New Roman"/>
        </w:rPr>
        <w:t xml:space="preserve"> mowa w załączniku nr 3 do </w:t>
      </w:r>
      <w:r w:rsidR="00972E4E">
        <w:rPr>
          <w:rFonts w:ascii="Times New Roman" w:eastAsia="Calibri" w:hAnsi="Times New Roman" w:cs="Times New Roman"/>
        </w:rPr>
        <w:t>r</w:t>
      </w:r>
      <w:r w:rsidR="000C7A55" w:rsidRPr="000C7A55">
        <w:rPr>
          <w:rFonts w:ascii="Times New Roman" w:eastAsia="Calibri" w:hAnsi="Times New Roman" w:cs="Times New Roman"/>
        </w:rPr>
        <w:t>ozporządzenia Ministra Infrastruktury z dnia 12 października 2005 r. w sprawie ogólnych warunków technicznych eksploatacji pojazdów kolejowych (Dz.</w:t>
      </w:r>
      <w:r w:rsidR="00972E4E">
        <w:rPr>
          <w:rFonts w:ascii="Times New Roman" w:eastAsia="Calibri" w:hAnsi="Times New Roman" w:cs="Times New Roman"/>
        </w:rPr>
        <w:t xml:space="preserve"> </w:t>
      </w:r>
      <w:r w:rsidR="000C7A55" w:rsidRPr="000C7A55">
        <w:rPr>
          <w:rFonts w:ascii="Times New Roman" w:eastAsia="Calibri" w:hAnsi="Times New Roman" w:cs="Times New Roman"/>
        </w:rPr>
        <w:t>U. z 2016 r. poz. 226</w:t>
      </w:r>
      <w:r w:rsidR="00AE62C7">
        <w:rPr>
          <w:rFonts w:ascii="Times New Roman" w:eastAsia="Calibri" w:hAnsi="Times New Roman" w:cs="Times New Roman"/>
        </w:rPr>
        <w:t>, z późn. zm.</w:t>
      </w:r>
      <w:r w:rsidR="000C7A55" w:rsidRPr="000C7A55">
        <w:rPr>
          <w:rFonts w:ascii="Times New Roman" w:eastAsia="Calibri" w:hAnsi="Times New Roman" w:cs="Times New Roman"/>
        </w:rPr>
        <w:t>)</w:t>
      </w:r>
      <w:r w:rsidR="000B2A49">
        <w:rPr>
          <w:rFonts w:ascii="Times New Roman" w:eastAsia="Calibri" w:hAnsi="Times New Roman" w:cs="Times New Roman"/>
        </w:rPr>
        <w:t xml:space="preserve">. W ramach </w:t>
      </w:r>
      <w:r w:rsidR="00050F4E">
        <w:rPr>
          <w:rFonts w:ascii="Times New Roman" w:eastAsia="Calibri" w:hAnsi="Times New Roman" w:cs="Times New Roman"/>
        </w:rPr>
        <w:t xml:space="preserve">projektowanej pomocy publicznej </w:t>
      </w:r>
      <w:r w:rsidR="00617539">
        <w:rPr>
          <w:rFonts w:ascii="Times New Roman" w:eastAsia="Calibri" w:hAnsi="Times New Roman" w:cs="Times New Roman"/>
        </w:rPr>
        <w:t>powinno</w:t>
      </w:r>
      <w:r w:rsidR="000B2A49">
        <w:rPr>
          <w:rFonts w:ascii="Times New Roman" w:eastAsia="Calibri" w:hAnsi="Times New Roman" w:cs="Times New Roman"/>
        </w:rPr>
        <w:t xml:space="preserve"> mieć miejsce </w:t>
      </w:r>
      <w:r w:rsidR="00BE26E7">
        <w:rPr>
          <w:rFonts w:ascii="Times New Roman" w:eastAsia="Calibri" w:hAnsi="Times New Roman" w:cs="Times New Roman"/>
        </w:rPr>
        <w:t xml:space="preserve">wyposażenie </w:t>
      </w:r>
      <w:r w:rsidR="00050F4E" w:rsidRPr="00050F4E">
        <w:rPr>
          <w:rFonts w:ascii="Times New Roman" w:eastAsia="Calibri" w:hAnsi="Times New Roman" w:cs="Times New Roman"/>
        </w:rPr>
        <w:t>pojazdów kolejowych z</w:t>
      </w:r>
      <w:r w:rsidR="005544ED">
        <w:rPr>
          <w:rFonts w:ascii="Times New Roman" w:eastAsia="Calibri" w:hAnsi="Times New Roman" w:cs="Times New Roman"/>
        </w:rPr>
        <w:t> </w:t>
      </w:r>
      <w:r w:rsidR="00050F4E" w:rsidRPr="00050F4E">
        <w:rPr>
          <w:rFonts w:ascii="Times New Roman" w:eastAsia="Calibri" w:hAnsi="Times New Roman" w:cs="Times New Roman"/>
        </w:rPr>
        <w:t xml:space="preserve">napędem </w:t>
      </w:r>
      <w:r w:rsidR="00050F4E">
        <w:rPr>
          <w:rFonts w:ascii="Times New Roman" w:eastAsia="Calibri" w:hAnsi="Times New Roman" w:cs="Times New Roman"/>
        </w:rPr>
        <w:t xml:space="preserve">w </w:t>
      </w:r>
      <w:r w:rsidR="00436BD4">
        <w:rPr>
          <w:rFonts w:ascii="Times New Roman" w:eastAsia="Calibri" w:hAnsi="Times New Roman" w:cs="Times New Roman"/>
        </w:rPr>
        <w:t xml:space="preserve">160 </w:t>
      </w:r>
      <w:r w:rsidR="00AD701D">
        <w:rPr>
          <w:rFonts w:ascii="Times New Roman" w:eastAsia="Calibri" w:hAnsi="Times New Roman" w:cs="Times New Roman"/>
        </w:rPr>
        <w:t xml:space="preserve">urządzeń </w:t>
      </w:r>
      <w:r w:rsidR="00617539">
        <w:rPr>
          <w:rFonts w:ascii="Times New Roman" w:eastAsia="Calibri" w:hAnsi="Times New Roman" w:cs="Times New Roman"/>
        </w:rPr>
        <w:t xml:space="preserve">pokładowych </w:t>
      </w:r>
      <w:r w:rsidR="002927AE">
        <w:rPr>
          <w:rFonts w:ascii="Times New Roman" w:eastAsia="Calibri" w:hAnsi="Times New Roman" w:cs="Times New Roman"/>
        </w:rPr>
        <w:t>system</w:t>
      </w:r>
      <w:r w:rsidR="00050F4E">
        <w:rPr>
          <w:rFonts w:ascii="Times New Roman" w:eastAsia="Calibri" w:hAnsi="Times New Roman" w:cs="Times New Roman"/>
        </w:rPr>
        <w:t>u</w:t>
      </w:r>
      <w:r w:rsidR="002927AE">
        <w:rPr>
          <w:rFonts w:ascii="Times New Roman" w:eastAsia="Calibri" w:hAnsi="Times New Roman" w:cs="Times New Roman"/>
        </w:rPr>
        <w:t xml:space="preserve"> ERTMS</w:t>
      </w:r>
      <w:r w:rsidR="00BE26E7">
        <w:rPr>
          <w:rFonts w:ascii="Times New Roman" w:eastAsia="Calibri" w:hAnsi="Times New Roman" w:cs="Times New Roman"/>
        </w:rPr>
        <w:t xml:space="preserve">, co </w:t>
      </w:r>
      <w:r w:rsidR="008646A0">
        <w:rPr>
          <w:rFonts w:ascii="Times New Roman" w:eastAsia="Calibri" w:hAnsi="Times New Roman" w:cs="Times New Roman"/>
        </w:rPr>
        <w:t xml:space="preserve">będzie </w:t>
      </w:r>
      <w:r w:rsidR="00BE26E7">
        <w:rPr>
          <w:rFonts w:ascii="Times New Roman" w:eastAsia="Calibri" w:hAnsi="Times New Roman" w:cs="Times New Roman"/>
        </w:rPr>
        <w:t>stanowi</w:t>
      </w:r>
      <w:r w:rsidR="008646A0">
        <w:rPr>
          <w:rFonts w:ascii="Times New Roman" w:eastAsia="Calibri" w:hAnsi="Times New Roman" w:cs="Times New Roman"/>
        </w:rPr>
        <w:t>ć</w:t>
      </w:r>
      <w:r w:rsidR="00BE26E7">
        <w:rPr>
          <w:rFonts w:ascii="Times New Roman" w:eastAsia="Calibri" w:hAnsi="Times New Roman" w:cs="Times New Roman"/>
        </w:rPr>
        <w:t xml:space="preserve"> realizację</w:t>
      </w:r>
      <w:r w:rsidR="00BB331D">
        <w:rPr>
          <w:rFonts w:ascii="Times New Roman" w:eastAsia="Calibri" w:hAnsi="Times New Roman" w:cs="Times New Roman"/>
        </w:rPr>
        <w:t xml:space="preserve"> części</w:t>
      </w:r>
      <w:r w:rsidR="00BE26E7">
        <w:rPr>
          <w:rFonts w:ascii="Times New Roman" w:eastAsia="Calibri" w:hAnsi="Times New Roman" w:cs="Times New Roman"/>
        </w:rPr>
        <w:t xml:space="preserve"> wskaźnika E28G</w:t>
      </w:r>
      <w:r w:rsidR="00BB331D">
        <w:rPr>
          <w:rFonts w:ascii="Times New Roman" w:eastAsia="Calibri" w:hAnsi="Times New Roman" w:cs="Times New Roman"/>
        </w:rPr>
        <w:t xml:space="preserve"> </w:t>
      </w:r>
      <w:r w:rsidR="008646A0" w:rsidRPr="008646A0">
        <w:rPr>
          <w:rFonts w:ascii="Times New Roman" w:eastAsia="Calibri" w:hAnsi="Times New Roman" w:cs="Times New Roman"/>
        </w:rPr>
        <w:t xml:space="preserve">„Instalacja systemów automatycznego sterowania, przejazdy kolejowe, </w:t>
      </w:r>
      <w:r w:rsidR="00436BD4">
        <w:rPr>
          <w:rFonts w:ascii="Times New Roman" w:eastAsia="Calibri" w:hAnsi="Times New Roman" w:cs="Times New Roman"/>
        </w:rPr>
        <w:t>160</w:t>
      </w:r>
      <w:r w:rsidR="00436BD4" w:rsidRPr="008646A0">
        <w:rPr>
          <w:rFonts w:ascii="Times New Roman" w:eastAsia="Calibri" w:hAnsi="Times New Roman" w:cs="Times New Roman"/>
        </w:rPr>
        <w:t xml:space="preserve"> </w:t>
      </w:r>
      <w:r w:rsidR="008646A0" w:rsidRPr="008646A0">
        <w:rPr>
          <w:rFonts w:ascii="Times New Roman" w:eastAsia="Calibri" w:hAnsi="Times New Roman" w:cs="Times New Roman"/>
        </w:rPr>
        <w:t>urządzeń pokładowych ERTMS i</w:t>
      </w:r>
      <w:r w:rsidR="001D22D2">
        <w:rPr>
          <w:rFonts w:ascii="Times New Roman" w:eastAsia="Calibri" w:hAnsi="Times New Roman" w:cs="Times New Roman"/>
        </w:rPr>
        <w:t xml:space="preserve"> </w:t>
      </w:r>
      <w:r w:rsidR="008646A0" w:rsidRPr="008646A0">
        <w:rPr>
          <w:rFonts w:ascii="Times New Roman" w:eastAsia="Calibri" w:hAnsi="Times New Roman" w:cs="Times New Roman"/>
        </w:rPr>
        <w:t>związane z tym wejście do użytku”</w:t>
      </w:r>
      <w:r w:rsidR="008646A0">
        <w:rPr>
          <w:rFonts w:ascii="Times New Roman" w:eastAsia="Calibri" w:hAnsi="Times New Roman" w:cs="Times New Roman"/>
        </w:rPr>
        <w:t xml:space="preserve">, </w:t>
      </w:r>
      <w:r w:rsidR="00BB331D">
        <w:rPr>
          <w:rFonts w:ascii="Times New Roman" w:eastAsia="Calibri" w:hAnsi="Times New Roman" w:cs="Times New Roman"/>
        </w:rPr>
        <w:t>w</w:t>
      </w:r>
      <w:r w:rsidR="00485E2C">
        <w:rPr>
          <w:rFonts w:ascii="Times New Roman" w:eastAsia="Calibri" w:hAnsi="Times New Roman" w:cs="Times New Roman"/>
        </w:rPr>
        <w:t xml:space="preserve"> </w:t>
      </w:r>
      <w:r w:rsidR="00BB331D">
        <w:rPr>
          <w:rFonts w:ascii="Times New Roman" w:eastAsia="Calibri" w:hAnsi="Times New Roman" w:cs="Times New Roman"/>
        </w:rPr>
        <w:t xml:space="preserve">zakresie zakupu i instalacji </w:t>
      </w:r>
      <w:r w:rsidR="00436BD4">
        <w:rPr>
          <w:rFonts w:ascii="Times New Roman" w:eastAsia="Calibri" w:hAnsi="Times New Roman" w:cs="Times New Roman"/>
        </w:rPr>
        <w:t xml:space="preserve">160 </w:t>
      </w:r>
      <w:r>
        <w:rPr>
          <w:rFonts w:ascii="Times New Roman" w:eastAsia="Calibri" w:hAnsi="Times New Roman" w:cs="Times New Roman"/>
        </w:rPr>
        <w:t xml:space="preserve">urządzeń </w:t>
      </w:r>
      <w:r w:rsidR="00BB331D">
        <w:rPr>
          <w:rFonts w:ascii="Times New Roman" w:eastAsia="Calibri" w:hAnsi="Times New Roman" w:cs="Times New Roman"/>
        </w:rPr>
        <w:t xml:space="preserve">pokładowych </w:t>
      </w:r>
      <w:r>
        <w:rPr>
          <w:rFonts w:ascii="Times New Roman" w:eastAsia="Calibri" w:hAnsi="Times New Roman" w:cs="Times New Roman"/>
        </w:rPr>
        <w:t xml:space="preserve">systemu </w:t>
      </w:r>
      <w:r w:rsidR="00BB331D">
        <w:rPr>
          <w:rFonts w:ascii="Times New Roman" w:eastAsia="Calibri" w:hAnsi="Times New Roman" w:cs="Times New Roman"/>
        </w:rPr>
        <w:t>ERTMS</w:t>
      </w:r>
      <w:r w:rsidR="002927AE">
        <w:rPr>
          <w:rFonts w:ascii="Times New Roman" w:eastAsia="Calibri" w:hAnsi="Times New Roman" w:cs="Times New Roman"/>
        </w:rPr>
        <w:t>.</w:t>
      </w:r>
    </w:p>
    <w:p w14:paraId="11892925" w14:textId="53FDE85E" w:rsidR="00764E76" w:rsidRDefault="00075F64" w:rsidP="00075F64">
      <w:pPr>
        <w:tabs>
          <w:tab w:val="left" w:pos="5670"/>
        </w:tabs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</w:t>
      </w:r>
      <w:r w:rsidR="006A76C2" w:rsidRPr="006A76C2">
        <w:rPr>
          <w:rFonts w:ascii="Times New Roman" w:eastAsia="Calibri" w:hAnsi="Times New Roman" w:cs="Times New Roman"/>
        </w:rPr>
        <w:t>ybór przedsięwzięć do objęcia wsparciem nastąpi</w:t>
      </w:r>
      <w:r>
        <w:rPr>
          <w:rFonts w:ascii="Times New Roman" w:eastAsia="Calibri" w:hAnsi="Times New Roman" w:cs="Times New Roman"/>
        </w:rPr>
        <w:t xml:space="preserve"> </w:t>
      </w:r>
      <w:r w:rsidR="006A76C2" w:rsidRPr="006A76C2">
        <w:rPr>
          <w:rFonts w:ascii="Times New Roman" w:eastAsia="Calibri" w:hAnsi="Times New Roman" w:cs="Times New Roman"/>
        </w:rPr>
        <w:t xml:space="preserve">w trybie procedury konkursowej, tj. w trybie, </w:t>
      </w:r>
      <w:r w:rsidR="00AA7665" w:rsidRPr="006A76C2">
        <w:rPr>
          <w:rFonts w:ascii="Times New Roman" w:eastAsia="Calibri" w:hAnsi="Times New Roman" w:cs="Times New Roman"/>
        </w:rPr>
        <w:t>o</w:t>
      </w:r>
      <w:r w:rsidR="00AA7665">
        <w:rPr>
          <w:rFonts w:ascii="Times New Roman" w:eastAsia="Calibri" w:hAnsi="Times New Roman" w:cs="Times New Roman"/>
        </w:rPr>
        <w:t> </w:t>
      </w:r>
      <w:r w:rsidR="006A76C2" w:rsidRPr="006A76C2">
        <w:rPr>
          <w:rFonts w:ascii="Times New Roman" w:eastAsia="Calibri" w:hAnsi="Times New Roman" w:cs="Times New Roman"/>
          <w:bCs/>
        </w:rPr>
        <w:t>którym mowa w art. 14lz pkt 2 ustawy, na podstawie wniosku o</w:t>
      </w:r>
      <w:r w:rsidR="008838F1">
        <w:rPr>
          <w:rFonts w:ascii="Times New Roman" w:eastAsia="Calibri" w:hAnsi="Times New Roman" w:cs="Times New Roman"/>
          <w:bCs/>
        </w:rPr>
        <w:t xml:space="preserve"> </w:t>
      </w:r>
      <w:r w:rsidR="006A76C2" w:rsidRPr="006A76C2">
        <w:rPr>
          <w:rFonts w:ascii="Times New Roman" w:eastAsia="Calibri" w:hAnsi="Times New Roman" w:cs="Times New Roman"/>
          <w:bCs/>
        </w:rPr>
        <w:t xml:space="preserve">objęcie przedsięwzięcia wsparciem </w:t>
      </w:r>
      <w:r w:rsidR="00AA7665" w:rsidRPr="006A76C2">
        <w:rPr>
          <w:rFonts w:ascii="Times New Roman" w:eastAsia="Calibri" w:hAnsi="Times New Roman" w:cs="Times New Roman"/>
          <w:bCs/>
        </w:rPr>
        <w:t>z</w:t>
      </w:r>
      <w:r w:rsidR="00AA7665">
        <w:rPr>
          <w:rFonts w:ascii="Times New Roman" w:eastAsia="Calibri" w:hAnsi="Times New Roman" w:cs="Times New Roman"/>
          <w:bCs/>
        </w:rPr>
        <w:t> </w:t>
      </w:r>
      <w:r w:rsidR="006A76C2" w:rsidRPr="006A76C2">
        <w:rPr>
          <w:rFonts w:ascii="Times New Roman" w:eastAsia="Calibri" w:hAnsi="Times New Roman" w:cs="Times New Roman"/>
          <w:bCs/>
        </w:rPr>
        <w:t>planu rozwojowego, o którym mowa w</w:t>
      </w:r>
      <w:r w:rsidR="00764E76">
        <w:rPr>
          <w:rFonts w:ascii="Times New Roman" w:eastAsia="Calibri" w:hAnsi="Times New Roman" w:cs="Times New Roman"/>
          <w:bCs/>
        </w:rPr>
        <w:t xml:space="preserve"> </w:t>
      </w:r>
      <w:r w:rsidR="006A76C2" w:rsidRPr="006A76C2">
        <w:rPr>
          <w:rFonts w:ascii="Times New Roman" w:eastAsia="Calibri" w:hAnsi="Times New Roman" w:cs="Times New Roman"/>
          <w:bCs/>
        </w:rPr>
        <w:t>art.</w:t>
      </w:r>
      <w:r w:rsidR="00764E76">
        <w:rPr>
          <w:rFonts w:ascii="Times New Roman" w:eastAsia="Calibri" w:hAnsi="Times New Roman" w:cs="Times New Roman"/>
          <w:bCs/>
        </w:rPr>
        <w:t xml:space="preserve"> </w:t>
      </w:r>
      <w:r w:rsidR="006A76C2" w:rsidRPr="006A76C2">
        <w:rPr>
          <w:rFonts w:ascii="Times New Roman" w:eastAsia="Calibri" w:hAnsi="Times New Roman" w:cs="Times New Roman"/>
          <w:bCs/>
        </w:rPr>
        <w:t>14lzb ust. 2 pkt 2 ustawy</w:t>
      </w:r>
      <w:r w:rsidR="00B82DC5">
        <w:rPr>
          <w:rFonts w:ascii="Times New Roman" w:eastAsia="Calibri" w:hAnsi="Times New Roman" w:cs="Times New Roman"/>
          <w:bCs/>
        </w:rPr>
        <w:t>.</w:t>
      </w:r>
    </w:p>
    <w:p w14:paraId="5D883E52" w14:textId="7B7A9F9A" w:rsidR="002927AE" w:rsidRDefault="00CE71EE" w:rsidP="00301570">
      <w:p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</w:rPr>
      </w:pPr>
      <w:r w:rsidRPr="00CE71EE">
        <w:rPr>
          <w:rFonts w:ascii="Times New Roman" w:hAnsi="Times New Roman" w:cs="Times New Roman"/>
        </w:rPr>
        <w:t>W projektowanym rozporządzeniu szczegółowo określono kategorie wydatków kwalifikowalnych i</w:t>
      </w:r>
      <w:r w:rsidR="00C12230">
        <w:rPr>
          <w:rFonts w:ascii="Times New Roman" w:hAnsi="Times New Roman" w:cs="Times New Roman"/>
        </w:rPr>
        <w:t> </w:t>
      </w:r>
      <w:r w:rsidRPr="00CE71EE">
        <w:rPr>
          <w:rFonts w:ascii="Times New Roman" w:hAnsi="Times New Roman" w:cs="Times New Roman"/>
        </w:rPr>
        <w:t xml:space="preserve">niekwalifikowalnych. Za kwalifikowalne będą uznane </w:t>
      </w:r>
      <w:r w:rsidR="009E229E">
        <w:rPr>
          <w:rFonts w:ascii="Times New Roman" w:hAnsi="Times New Roman" w:cs="Times New Roman"/>
        </w:rPr>
        <w:t xml:space="preserve">wydatki lub </w:t>
      </w:r>
      <w:r w:rsidR="00BE26E7">
        <w:rPr>
          <w:rFonts w:ascii="Times New Roman" w:hAnsi="Times New Roman" w:cs="Times New Roman"/>
        </w:rPr>
        <w:t xml:space="preserve">koszty poniesione na: system ERTMS w </w:t>
      </w:r>
      <w:r w:rsidR="009E229E" w:rsidRPr="009E229E">
        <w:rPr>
          <w:rFonts w:ascii="Times New Roman" w:hAnsi="Times New Roman" w:cs="Times New Roman"/>
        </w:rPr>
        <w:t xml:space="preserve">ramach zakupu </w:t>
      </w:r>
      <w:r w:rsidR="00BE26E7">
        <w:rPr>
          <w:rFonts w:ascii="Times New Roman" w:hAnsi="Times New Roman" w:cs="Times New Roman"/>
        </w:rPr>
        <w:t>now</w:t>
      </w:r>
      <w:r w:rsidR="00506B23">
        <w:rPr>
          <w:rFonts w:ascii="Times New Roman" w:hAnsi="Times New Roman" w:cs="Times New Roman"/>
        </w:rPr>
        <w:t>ego</w:t>
      </w:r>
      <w:r w:rsidR="00BE26E7">
        <w:rPr>
          <w:rFonts w:ascii="Times New Roman" w:hAnsi="Times New Roman" w:cs="Times New Roman"/>
        </w:rPr>
        <w:t xml:space="preserve"> </w:t>
      </w:r>
      <w:r w:rsidR="009E229E">
        <w:rPr>
          <w:rFonts w:ascii="Times New Roman" w:hAnsi="Times New Roman" w:cs="Times New Roman"/>
        </w:rPr>
        <w:t>pojazd</w:t>
      </w:r>
      <w:r w:rsidR="00506B23">
        <w:rPr>
          <w:rFonts w:ascii="Times New Roman" w:hAnsi="Times New Roman" w:cs="Times New Roman"/>
        </w:rPr>
        <w:t>u</w:t>
      </w:r>
      <w:r w:rsidR="009E229E">
        <w:rPr>
          <w:rFonts w:ascii="Times New Roman" w:hAnsi="Times New Roman" w:cs="Times New Roman"/>
        </w:rPr>
        <w:t xml:space="preserve"> kolejow</w:t>
      </w:r>
      <w:r w:rsidR="00506B23">
        <w:rPr>
          <w:rFonts w:ascii="Times New Roman" w:hAnsi="Times New Roman" w:cs="Times New Roman"/>
        </w:rPr>
        <w:t>ego</w:t>
      </w:r>
      <w:r w:rsidR="009E229E">
        <w:rPr>
          <w:rFonts w:ascii="Times New Roman" w:hAnsi="Times New Roman" w:cs="Times New Roman"/>
        </w:rPr>
        <w:t xml:space="preserve"> z napędem</w:t>
      </w:r>
      <w:r w:rsidR="00941461">
        <w:rPr>
          <w:rFonts w:ascii="Times New Roman" w:hAnsi="Times New Roman" w:cs="Times New Roman"/>
        </w:rPr>
        <w:t xml:space="preserve"> </w:t>
      </w:r>
      <w:r w:rsidR="00941461">
        <w:rPr>
          <w:rFonts w:ascii="Times New Roman" w:hAnsi="Times New Roman"/>
        </w:rPr>
        <w:t xml:space="preserve">lub </w:t>
      </w:r>
      <w:r w:rsidR="007A4E62">
        <w:rPr>
          <w:rFonts w:ascii="Times New Roman" w:hAnsi="Times New Roman"/>
        </w:rPr>
        <w:t>z</w:t>
      </w:r>
      <w:r w:rsidR="00941461">
        <w:rPr>
          <w:rFonts w:ascii="Times New Roman" w:hAnsi="Times New Roman"/>
        </w:rPr>
        <w:t xml:space="preserve"> kabin</w:t>
      </w:r>
      <w:r w:rsidR="007A4E62">
        <w:rPr>
          <w:rFonts w:ascii="Times New Roman" w:hAnsi="Times New Roman"/>
        </w:rPr>
        <w:t>ą</w:t>
      </w:r>
      <w:r w:rsidR="00941461">
        <w:rPr>
          <w:rFonts w:ascii="Times New Roman" w:hAnsi="Times New Roman"/>
        </w:rPr>
        <w:t xml:space="preserve"> sterowniczą</w:t>
      </w:r>
      <w:r w:rsidR="006661CD">
        <w:rPr>
          <w:rFonts w:ascii="Times New Roman" w:hAnsi="Times New Roman" w:cs="Times New Roman"/>
        </w:rPr>
        <w:t>;</w:t>
      </w:r>
      <w:r w:rsidR="00BE26E7">
        <w:rPr>
          <w:rFonts w:ascii="Times New Roman" w:hAnsi="Times New Roman" w:cs="Times New Roman"/>
        </w:rPr>
        <w:t xml:space="preserve"> </w:t>
      </w:r>
      <w:r w:rsidRPr="00CE71EE">
        <w:rPr>
          <w:rFonts w:ascii="Times New Roman" w:hAnsi="Times New Roman" w:cs="Times New Roman"/>
        </w:rPr>
        <w:t xml:space="preserve">modernizację taboru kolejowego polegającą na wyposażeniu pojazdów kolejowych z napędem </w:t>
      </w:r>
      <w:r w:rsidR="00941461">
        <w:rPr>
          <w:rFonts w:ascii="Times New Roman" w:hAnsi="Times New Roman"/>
        </w:rPr>
        <w:t xml:space="preserve">lub </w:t>
      </w:r>
      <w:r w:rsidR="007A4E62">
        <w:rPr>
          <w:rFonts w:ascii="Times New Roman" w:hAnsi="Times New Roman"/>
        </w:rPr>
        <w:t>z</w:t>
      </w:r>
      <w:r w:rsidR="005544ED">
        <w:rPr>
          <w:rFonts w:ascii="Times New Roman" w:hAnsi="Times New Roman"/>
        </w:rPr>
        <w:t> </w:t>
      </w:r>
      <w:r w:rsidR="00941461">
        <w:rPr>
          <w:rFonts w:ascii="Times New Roman" w:hAnsi="Times New Roman"/>
        </w:rPr>
        <w:t>kabin</w:t>
      </w:r>
      <w:r w:rsidR="007A4E62">
        <w:rPr>
          <w:rFonts w:ascii="Times New Roman" w:hAnsi="Times New Roman"/>
        </w:rPr>
        <w:t>ą</w:t>
      </w:r>
      <w:r w:rsidR="00941461">
        <w:rPr>
          <w:rFonts w:ascii="Times New Roman" w:hAnsi="Times New Roman"/>
        </w:rPr>
        <w:t xml:space="preserve"> sterowniczą </w:t>
      </w:r>
      <w:r w:rsidRPr="00CE71EE">
        <w:rPr>
          <w:rFonts w:ascii="Times New Roman" w:hAnsi="Times New Roman" w:cs="Times New Roman"/>
        </w:rPr>
        <w:t>w system ERTMS</w:t>
      </w:r>
      <w:r w:rsidR="00862535">
        <w:rPr>
          <w:rFonts w:ascii="Times New Roman" w:hAnsi="Times New Roman" w:cs="Times New Roman"/>
        </w:rPr>
        <w:t>;</w:t>
      </w:r>
      <w:r w:rsidRPr="00CE71EE">
        <w:rPr>
          <w:rFonts w:ascii="Times New Roman" w:hAnsi="Times New Roman" w:cs="Times New Roman"/>
        </w:rPr>
        <w:t xml:space="preserve"> </w:t>
      </w:r>
      <w:r w:rsidR="00BE26E7">
        <w:rPr>
          <w:rFonts w:ascii="Times New Roman" w:hAnsi="Times New Roman" w:cs="Times New Roman"/>
        </w:rPr>
        <w:t>aktualizację system</w:t>
      </w:r>
      <w:r>
        <w:rPr>
          <w:rFonts w:ascii="Times New Roman" w:hAnsi="Times New Roman" w:cs="Times New Roman"/>
        </w:rPr>
        <w:t>u</w:t>
      </w:r>
      <w:r w:rsidR="00BE26E7">
        <w:rPr>
          <w:rFonts w:ascii="Times New Roman" w:hAnsi="Times New Roman" w:cs="Times New Roman"/>
        </w:rPr>
        <w:t xml:space="preserve"> ERTMS</w:t>
      </w:r>
      <w:r w:rsidR="00DC380A">
        <w:rPr>
          <w:rFonts w:ascii="Times New Roman" w:hAnsi="Times New Roman" w:cs="Times New Roman"/>
        </w:rPr>
        <w:t xml:space="preserve"> (w tym wymianę komponentów jeżeli jest to wydatek niezbędny do aktualizacji samego systemu)</w:t>
      </w:r>
      <w:r w:rsidR="006661CD">
        <w:rPr>
          <w:rFonts w:ascii="Times New Roman" w:hAnsi="Times New Roman" w:cs="Times New Roman"/>
        </w:rPr>
        <w:t>;</w:t>
      </w:r>
      <w:r w:rsidR="00BE26E7">
        <w:rPr>
          <w:rFonts w:ascii="Times New Roman" w:hAnsi="Times New Roman" w:cs="Times New Roman"/>
        </w:rPr>
        <w:t xml:space="preserve"> </w:t>
      </w:r>
      <w:r w:rsidR="006661CD">
        <w:rPr>
          <w:rFonts w:ascii="Times New Roman" w:hAnsi="Times New Roman" w:cs="Times New Roman"/>
        </w:rPr>
        <w:t>sprzęt i aparatur</w:t>
      </w:r>
      <w:r w:rsidR="002A441B">
        <w:rPr>
          <w:rFonts w:ascii="Times New Roman" w:hAnsi="Times New Roman" w:cs="Times New Roman"/>
        </w:rPr>
        <w:t>ę</w:t>
      </w:r>
      <w:r w:rsidR="006661CD">
        <w:rPr>
          <w:rFonts w:ascii="Times New Roman" w:hAnsi="Times New Roman" w:cs="Times New Roman"/>
        </w:rPr>
        <w:t xml:space="preserve"> wykorzystywane w</w:t>
      </w:r>
      <w:r w:rsidR="005544ED">
        <w:rPr>
          <w:rFonts w:ascii="Times New Roman" w:hAnsi="Times New Roman" w:cs="Times New Roman"/>
        </w:rPr>
        <w:t> </w:t>
      </w:r>
      <w:r w:rsidR="006661CD">
        <w:rPr>
          <w:rFonts w:ascii="Times New Roman" w:hAnsi="Times New Roman" w:cs="Times New Roman"/>
        </w:rPr>
        <w:t>zakresie obsługi</w:t>
      </w:r>
      <w:r>
        <w:rPr>
          <w:rFonts w:ascii="Times New Roman" w:hAnsi="Times New Roman" w:cs="Times New Roman"/>
        </w:rPr>
        <w:t>, diagnostyki</w:t>
      </w:r>
      <w:r w:rsidR="006661CD">
        <w:rPr>
          <w:rFonts w:ascii="Times New Roman" w:hAnsi="Times New Roman" w:cs="Times New Roman"/>
        </w:rPr>
        <w:t xml:space="preserve"> i utrzymania systemu ERTMS; szkole</w:t>
      </w:r>
      <w:r w:rsidR="002A441B">
        <w:rPr>
          <w:rFonts w:ascii="Times New Roman" w:hAnsi="Times New Roman" w:cs="Times New Roman"/>
        </w:rPr>
        <w:t>nie</w:t>
      </w:r>
      <w:r w:rsidR="006661CD">
        <w:rPr>
          <w:rFonts w:ascii="Times New Roman" w:hAnsi="Times New Roman" w:cs="Times New Roman"/>
        </w:rPr>
        <w:t xml:space="preserve"> personelu w zakresie obsługi i utrzymania systemu ERTMS; certyfikacj</w:t>
      </w:r>
      <w:r w:rsidR="00506B23">
        <w:rPr>
          <w:rFonts w:ascii="Times New Roman" w:hAnsi="Times New Roman" w:cs="Times New Roman"/>
        </w:rPr>
        <w:t>ę</w:t>
      </w:r>
      <w:r w:rsidR="006661CD">
        <w:rPr>
          <w:rFonts w:ascii="Times New Roman" w:hAnsi="Times New Roman" w:cs="Times New Roman"/>
        </w:rPr>
        <w:t xml:space="preserve">, </w:t>
      </w:r>
      <w:r w:rsidR="00301570" w:rsidRPr="00C80DCF">
        <w:rPr>
          <w:rFonts w:ascii="Times New Roman" w:eastAsia="Arial" w:hAnsi="Times New Roman"/>
        </w:rPr>
        <w:t>badania oraz uzyskanie zezwolenia dla typu pojazdu lub zezwolenia na wprowadzeni</w:t>
      </w:r>
      <w:r w:rsidR="00301570">
        <w:rPr>
          <w:rFonts w:ascii="Times New Roman" w:eastAsia="Arial" w:hAnsi="Times New Roman"/>
          <w:bCs/>
        </w:rPr>
        <w:t>e pojazdu kolejowego do obrotu</w:t>
      </w:r>
      <w:r w:rsidR="006661CD">
        <w:rPr>
          <w:rFonts w:ascii="Times New Roman" w:hAnsi="Times New Roman" w:cs="Times New Roman"/>
        </w:rPr>
        <w:t xml:space="preserve">. </w:t>
      </w:r>
      <w:r w:rsidR="00764E76">
        <w:rPr>
          <w:rFonts w:ascii="Times New Roman" w:hAnsi="Times New Roman" w:cs="Times New Roman"/>
        </w:rPr>
        <w:t>W</w:t>
      </w:r>
      <w:r w:rsidR="00764E76" w:rsidRPr="00764E76">
        <w:rPr>
          <w:rFonts w:ascii="Times New Roman" w:hAnsi="Times New Roman" w:cs="Times New Roman"/>
        </w:rPr>
        <w:t xml:space="preserve">ydatków kwalifikowalnych </w:t>
      </w:r>
      <w:r w:rsidR="00764E76">
        <w:rPr>
          <w:rFonts w:ascii="Times New Roman" w:hAnsi="Times New Roman" w:cs="Times New Roman"/>
        </w:rPr>
        <w:t xml:space="preserve">nie </w:t>
      </w:r>
      <w:r w:rsidR="00CF7D3C">
        <w:rPr>
          <w:rFonts w:ascii="Times New Roman" w:hAnsi="Times New Roman" w:cs="Times New Roman"/>
        </w:rPr>
        <w:t xml:space="preserve">będą </w:t>
      </w:r>
      <w:r w:rsidR="00764E76">
        <w:rPr>
          <w:rFonts w:ascii="Times New Roman" w:hAnsi="Times New Roman" w:cs="Times New Roman"/>
        </w:rPr>
        <w:t>mog</w:t>
      </w:r>
      <w:r w:rsidR="00CF7D3C">
        <w:rPr>
          <w:rFonts w:ascii="Times New Roman" w:hAnsi="Times New Roman" w:cs="Times New Roman"/>
        </w:rPr>
        <w:t>ły</w:t>
      </w:r>
      <w:r w:rsidR="00764E76">
        <w:rPr>
          <w:rFonts w:ascii="Times New Roman" w:hAnsi="Times New Roman" w:cs="Times New Roman"/>
        </w:rPr>
        <w:t xml:space="preserve"> natomiast stanowić </w:t>
      </w:r>
      <w:r w:rsidR="00594A28">
        <w:rPr>
          <w:rFonts w:ascii="Times New Roman" w:hAnsi="Times New Roman" w:cs="Times New Roman"/>
        </w:rPr>
        <w:t xml:space="preserve">wydatki lub </w:t>
      </w:r>
      <w:r w:rsidR="00764E76" w:rsidRPr="00764E76">
        <w:rPr>
          <w:rFonts w:ascii="Times New Roman" w:hAnsi="Times New Roman" w:cs="Times New Roman"/>
        </w:rPr>
        <w:t>koszty związane z przygotowaniem wniosku o</w:t>
      </w:r>
      <w:r w:rsidR="005544ED">
        <w:rPr>
          <w:rFonts w:ascii="Times New Roman" w:hAnsi="Times New Roman" w:cs="Times New Roman"/>
        </w:rPr>
        <w:t xml:space="preserve"> </w:t>
      </w:r>
      <w:r w:rsidR="00764E76" w:rsidRPr="00764E76">
        <w:rPr>
          <w:rFonts w:ascii="Times New Roman" w:hAnsi="Times New Roman" w:cs="Times New Roman"/>
        </w:rPr>
        <w:t>objęcie przedsięwzięcia wsparciem z planu rozwojowego, o którym mowa w art. 14lzb ust. 2 pkt 2 ustawy</w:t>
      </w:r>
      <w:r w:rsidR="00764E76">
        <w:rPr>
          <w:rFonts w:ascii="Times New Roman" w:hAnsi="Times New Roman" w:cs="Times New Roman"/>
        </w:rPr>
        <w:t>. W</w:t>
      </w:r>
      <w:r w:rsidR="005544ED">
        <w:rPr>
          <w:rFonts w:ascii="Times New Roman" w:hAnsi="Times New Roman" w:cs="Times New Roman"/>
        </w:rPr>
        <w:t> </w:t>
      </w:r>
      <w:r w:rsidR="009E229E">
        <w:rPr>
          <w:rFonts w:ascii="Times New Roman" w:hAnsi="Times New Roman" w:cs="Times New Roman"/>
        </w:rPr>
        <w:t xml:space="preserve">projektowanym rozporządzeniu </w:t>
      </w:r>
      <w:r w:rsidR="006661CD">
        <w:rPr>
          <w:rFonts w:ascii="Times New Roman" w:hAnsi="Times New Roman" w:cs="Times New Roman"/>
        </w:rPr>
        <w:t>przewiduje się, ż</w:t>
      </w:r>
      <w:r w:rsidR="009E229E">
        <w:rPr>
          <w:rFonts w:ascii="Times New Roman" w:hAnsi="Times New Roman" w:cs="Times New Roman"/>
        </w:rPr>
        <w:t>e</w:t>
      </w:r>
      <w:r w:rsidR="006661CD">
        <w:rPr>
          <w:rFonts w:ascii="Times New Roman" w:hAnsi="Times New Roman" w:cs="Times New Roman"/>
        </w:rPr>
        <w:t xml:space="preserve"> maksymalna intensywność pomocy będzie </w:t>
      </w:r>
      <w:r w:rsidR="006661CD">
        <w:rPr>
          <w:rFonts w:ascii="Times New Roman" w:hAnsi="Times New Roman" w:cs="Times New Roman"/>
        </w:rPr>
        <w:lastRenderedPageBreak/>
        <w:t>wynosić 85% poniesionych wydatków kwalifikowa</w:t>
      </w:r>
      <w:r w:rsidR="009E229E">
        <w:rPr>
          <w:rFonts w:ascii="Times New Roman" w:hAnsi="Times New Roman" w:cs="Times New Roman"/>
        </w:rPr>
        <w:t>l</w:t>
      </w:r>
      <w:r w:rsidR="006661CD">
        <w:rPr>
          <w:rFonts w:ascii="Times New Roman" w:hAnsi="Times New Roman" w:cs="Times New Roman"/>
        </w:rPr>
        <w:t>nych</w:t>
      </w:r>
      <w:r w:rsidR="002E70E1">
        <w:rPr>
          <w:rFonts w:ascii="Times New Roman" w:hAnsi="Times New Roman" w:cs="Times New Roman"/>
        </w:rPr>
        <w:t>, przy czym szczegółowe kryteria zostaną podane w ramach dokumentacji konkursowej</w:t>
      </w:r>
      <w:r w:rsidR="006661CD">
        <w:rPr>
          <w:rFonts w:ascii="Times New Roman" w:hAnsi="Times New Roman" w:cs="Times New Roman"/>
        </w:rPr>
        <w:t>.</w:t>
      </w:r>
    </w:p>
    <w:p w14:paraId="13CD32B6" w14:textId="0A9FF3B7" w:rsidR="00764E76" w:rsidRPr="002F11CB" w:rsidRDefault="000432DF" w:rsidP="006F04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Zgodnie z projektowanym rozporządzeniem p</w:t>
      </w:r>
      <w:r w:rsidRPr="002F11CB">
        <w:rPr>
          <w:rFonts w:ascii="Times New Roman" w:eastAsia="Calibri" w:hAnsi="Times New Roman" w:cs="Times New Roman"/>
        </w:rPr>
        <w:t xml:space="preserve">omoc publiczna udzielana w odniesieniu do tych samych wydatków kwalifikowalnych </w:t>
      </w:r>
      <w:r>
        <w:rPr>
          <w:rFonts w:ascii="Times New Roman" w:eastAsia="Calibri" w:hAnsi="Times New Roman" w:cs="Times New Roman"/>
        </w:rPr>
        <w:t xml:space="preserve">będzie </w:t>
      </w:r>
      <w:r w:rsidRPr="002F11CB">
        <w:rPr>
          <w:rFonts w:ascii="Times New Roman" w:eastAsia="Calibri" w:hAnsi="Times New Roman" w:cs="Times New Roman"/>
        </w:rPr>
        <w:t>podlega</w:t>
      </w:r>
      <w:r>
        <w:rPr>
          <w:rFonts w:ascii="Times New Roman" w:eastAsia="Calibri" w:hAnsi="Times New Roman" w:cs="Times New Roman"/>
        </w:rPr>
        <w:t>ła</w:t>
      </w:r>
      <w:r w:rsidRPr="002F11CB">
        <w:rPr>
          <w:rFonts w:ascii="Times New Roman" w:eastAsia="Calibri" w:hAnsi="Times New Roman" w:cs="Times New Roman"/>
        </w:rPr>
        <w:t xml:space="preserve"> sumowaniu z każdą inną pomocą publiczną</w:t>
      </w:r>
      <w:r w:rsidR="009E5028">
        <w:rPr>
          <w:rFonts w:ascii="Times New Roman" w:eastAsia="Calibri" w:hAnsi="Times New Roman" w:cs="Times New Roman"/>
        </w:rPr>
        <w:t xml:space="preserve"> i</w:t>
      </w:r>
      <w:r w:rsidR="00CE71EE">
        <w:rPr>
          <w:rFonts w:ascii="Times New Roman" w:eastAsia="Calibri" w:hAnsi="Times New Roman" w:cs="Times New Roman"/>
        </w:rPr>
        <w:t xml:space="preserve"> </w:t>
      </w:r>
      <w:r w:rsidRPr="002F11CB">
        <w:rPr>
          <w:rFonts w:ascii="Times New Roman" w:eastAsia="Calibri" w:hAnsi="Times New Roman" w:cs="Times New Roman"/>
        </w:rPr>
        <w:t xml:space="preserve">pomocą </w:t>
      </w:r>
      <w:r w:rsidRPr="002F11CB">
        <w:rPr>
          <w:rFonts w:ascii="Times New Roman" w:eastAsia="Calibri" w:hAnsi="Times New Roman" w:cs="Times New Roman"/>
          <w:i/>
        </w:rPr>
        <w:t>de</w:t>
      </w:r>
      <w:r w:rsidR="00F9227F">
        <w:rPr>
          <w:rFonts w:ascii="Times New Roman" w:eastAsia="Calibri" w:hAnsi="Times New Roman" w:cs="Times New Roman"/>
          <w:i/>
        </w:rPr>
        <w:t> </w:t>
      </w:r>
      <w:r w:rsidRPr="002F11CB">
        <w:rPr>
          <w:rFonts w:ascii="Times New Roman" w:eastAsia="Calibri" w:hAnsi="Times New Roman" w:cs="Times New Roman"/>
          <w:i/>
        </w:rPr>
        <w:t>minimis</w:t>
      </w:r>
      <w:r w:rsidRPr="002F11CB">
        <w:rPr>
          <w:rFonts w:ascii="Times New Roman" w:hAnsi="Times New Roman" w:cs="Times New Roman"/>
        </w:rPr>
        <w:t xml:space="preserve"> </w:t>
      </w:r>
      <w:r w:rsidRPr="002F11CB">
        <w:rPr>
          <w:rFonts w:ascii="Times New Roman" w:eastAsia="Calibri" w:hAnsi="Times New Roman" w:cs="Times New Roman"/>
        </w:rPr>
        <w:t xml:space="preserve">lub </w:t>
      </w:r>
      <w:r w:rsidR="009E5028">
        <w:rPr>
          <w:rFonts w:ascii="Times New Roman" w:eastAsia="Calibri" w:hAnsi="Times New Roman" w:cs="Times New Roman"/>
        </w:rPr>
        <w:t xml:space="preserve">każdym </w:t>
      </w:r>
      <w:r w:rsidRPr="002F11CB">
        <w:rPr>
          <w:rFonts w:ascii="Times New Roman" w:eastAsia="Calibri" w:hAnsi="Times New Roman" w:cs="Times New Roman"/>
        </w:rPr>
        <w:t>finansowaniem unijnym</w:t>
      </w:r>
      <w:r w:rsidRPr="00B11666">
        <w:t xml:space="preserve"> </w:t>
      </w:r>
      <w:r w:rsidRPr="00B11666">
        <w:rPr>
          <w:rFonts w:ascii="Times New Roman" w:eastAsia="Calibri" w:hAnsi="Times New Roman" w:cs="Times New Roman"/>
        </w:rPr>
        <w:t>zarządzanym centralnie i niestanowiącym pomocy publicznej</w:t>
      </w:r>
      <w:r w:rsidRPr="002F11CB">
        <w:rPr>
          <w:rFonts w:ascii="Times New Roman" w:eastAsia="Calibri" w:hAnsi="Times New Roman" w:cs="Times New Roman"/>
          <w:i/>
        </w:rPr>
        <w:t xml:space="preserve">, </w:t>
      </w:r>
      <w:r w:rsidRPr="002F11CB">
        <w:rPr>
          <w:rFonts w:ascii="Times New Roman" w:eastAsia="Calibri" w:hAnsi="Times New Roman" w:cs="Times New Roman"/>
        </w:rPr>
        <w:t xml:space="preserve">których udzielono przedsiębiorcy, któremu przyznano pomoc publiczną na podstawie projektowanego rozporządzenia, niezależnie od ich formy i źródła. Na </w:t>
      </w:r>
      <w:r w:rsidRPr="00B11666">
        <w:rPr>
          <w:rFonts w:ascii="Times New Roman" w:eastAsia="Calibri" w:hAnsi="Times New Roman" w:cs="Times New Roman"/>
        </w:rPr>
        <w:t>przedsiębiorc</w:t>
      </w:r>
      <w:r>
        <w:rPr>
          <w:rFonts w:ascii="Times New Roman" w:eastAsia="Calibri" w:hAnsi="Times New Roman" w:cs="Times New Roman"/>
        </w:rPr>
        <w:t>ów</w:t>
      </w:r>
      <w:r w:rsidRPr="00B11666">
        <w:rPr>
          <w:rFonts w:ascii="Times New Roman" w:eastAsia="Calibri" w:hAnsi="Times New Roman" w:cs="Times New Roman"/>
        </w:rPr>
        <w:t>, któr</w:t>
      </w:r>
      <w:r>
        <w:rPr>
          <w:rFonts w:ascii="Times New Roman" w:eastAsia="Calibri" w:hAnsi="Times New Roman" w:cs="Times New Roman"/>
        </w:rPr>
        <w:t>ym</w:t>
      </w:r>
      <w:r w:rsidRPr="00B1166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zostanie </w:t>
      </w:r>
      <w:r w:rsidR="009E5028">
        <w:rPr>
          <w:rFonts w:ascii="Times New Roman" w:eastAsia="Calibri" w:hAnsi="Times New Roman" w:cs="Times New Roman"/>
        </w:rPr>
        <w:t>przyznana</w:t>
      </w:r>
      <w:r w:rsidR="009E5028" w:rsidRPr="00B11666">
        <w:rPr>
          <w:rFonts w:ascii="Times New Roman" w:eastAsia="Calibri" w:hAnsi="Times New Roman" w:cs="Times New Roman"/>
        </w:rPr>
        <w:t xml:space="preserve"> </w:t>
      </w:r>
      <w:r w:rsidRPr="00B11666">
        <w:rPr>
          <w:rFonts w:ascii="Times New Roman" w:eastAsia="Calibri" w:hAnsi="Times New Roman" w:cs="Times New Roman"/>
        </w:rPr>
        <w:t>pomoc publiczn</w:t>
      </w:r>
      <w:r>
        <w:rPr>
          <w:rFonts w:ascii="Times New Roman" w:eastAsia="Calibri" w:hAnsi="Times New Roman" w:cs="Times New Roman"/>
        </w:rPr>
        <w:t>a</w:t>
      </w:r>
      <w:r w:rsidRPr="00B11666">
        <w:rPr>
          <w:rFonts w:ascii="Times New Roman" w:eastAsia="Calibri" w:hAnsi="Times New Roman" w:cs="Times New Roman"/>
        </w:rPr>
        <w:t xml:space="preserve"> na podstawie projektowanego rozporządzenia,</w:t>
      </w:r>
      <w:r>
        <w:rPr>
          <w:rFonts w:ascii="Times New Roman" w:eastAsia="Calibri" w:hAnsi="Times New Roman" w:cs="Times New Roman"/>
        </w:rPr>
        <w:t xml:space="preserve"> </w:t>
      </w:r>
      <w:r w:rsidRPr="002F11CB">
        <w:rPr>
          <w:rFonts w:ascii="Times New Roman" w:eastAsia="Calibri" w:hAnsi="Times New Roman" w:cs="Times New Roman"/>
        </w:rPr>
        <w:t>nałożono obowiązek</w:t>
      </w:r>
      <w:r w:rsidRPr="002F11C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11CB">
        <w:rPr>
          <w:rFonts w:ascii="Times New Roman" w:eastAsia="Calibri" w:hAnsi="Times New Roman" w:cs="Times New Roman"/>
        </w:rPr>
        <w:t>informowania CUPT o każdej innej pomocy publicznej</w:t>
      </w:r>
      <w:r w:rsidR="009E5028">
        <w:rPr>
          <w:rFonts w:ascii="Times New Roman" w:eastAsia="Calibri" w:hAnsi="Times New Roman" w:cs="Times New Roman"/>
        </w:rPr>
        <w:t xml:space="preserve"> i</w:t>
      </w:r>
      <w:r w:rsidRPr="002F11CB">
        <w:rPr>
          <w:rFonts w:ascii="Times New Roman" w:eastAsia="Calibri" w:hAnsi="Times New Roman" w:cs="Times New Roman"/>
        </w:rPr>
        <w:t xml:space="preserve"> pomocy </w:t>
      </w:r>
      <w:r w:rsidRPr="002F11CB">
        <w:rPr>
          <w:rFonts w:ascii="Times New Roman" w:eastAsia="Calibri" w:hAnsi="Times New Roman" w:cs="Times New Roman"/>
          <w:i/>
        </w:rPr>
        <w:t>de minimis</w:t>
      </w:r>
      <w:r w:rsidRPr="002F11CB">
        <w:rPr>
          <w:rFonts w:ascii="Times New Roman" w:eastAsia="Calibri" w:hAnsi="Times New Roman" w:cs="Times New Roman"/>
        </w:rPr>
        <w:t xml:space="preserve"> </w:t>
      </w:r>
      <w:r w:rsidRPr="00B11666">
        <w:rPr>
          <w:rFonts w:ascii="Times New Roman" w:eastAsia="Calibri" w:hAnsi="Times New Roman" w:cs="Times New Roman"/>
        </w:rPr>
        <w:t>oraz o każdym</w:t>
      </w:r>
      <w:r w:rsidRPr="002F11CB">
        <w:rPr>
          <w:rFonts w:ascii="Times New Roman" w:eastAsia="Calibri" w:hAnsi="Times New Roman" w:cs="Times New Roman"/>
        </w:rPr>
        <w:t xml:space="preserve"> finansowaniu unijnym</w:t>
      </w:r>
      <w:r w:rsidRPr="00B11666">
        <w:rPr>
          <w:rFonts w:ascii="Times New Roman" w:eastAsia="Calibri" w:hAnsi="Times New Roman" w:cs="Times New Roman"/>
        </w:rPr>
        <w:t xml:space="preserve"> zarządzanym centralnie i niestanowiącym pomocy publicznej</w:t>
      </w:r>
      <w:r w:rsidRPr="002F11CB">
        <w:rPr>
          <w:rFonts w:ascii="Times New Roman" w:eastAsia="Calibri" w:hAnsi="Times New Roman" w:cs="Times New Roman"/>
        </w:rPr>
        <w:t>, otrzymanych na realizację tego samego przedsięwzięcia.</w:t>
      </w:r>
      <w:r w:rsidRPr="002F11C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CUPT, jako p</w:t>
      </w:r>
      <w:r w:rsidRPr="002F11CB">
        <w:rPr>
          <w:rFonts w:ascii="Times New Roman" w:eastAsia="Calibri" w:hAnsi="Times New Roman" w:cs="Times New Roman"/>
        </w:rPr>
        <w:t>odmiot udzielający pomocy</w:t>
      </w:r>
      <w:r>
        <w:rPr>
          <w:rFonts w:ascii="Times New Roman" w:eastAsia="Calibri" w:hAnsi="Times New Roman" w:cs="Times New Roman"/>
        </w:rPr>
        <w:t xml:space="preserve"> publicznej,</w:t>
      </w:r>
      <w:r w:rsidRPr="002F11C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postanowieniami </w:t>
      </w:r>
      <w:r w:rsidRPr="00B11666">
        <w:rPr>
          <w:rFonts w:ascii="Times New Roman" w:eastAsia="Calibri" w:hAnsi="Times New Roman" w:cs="Times New Roman"/>
        </w:rPr>
        <w:t>Porozumienia w sprawie powierzenia zadań związanych z realizacją inwestycji w</w:t>
      </w:r>
      <w:r>
        <w:rPr>
          <w:rFonts w:ascii="Times New Roman" w:eastAsia="Calibri" w:hAnsi="Times New Roman" w:cs="Times New Roman"/>
        </w:rPr>
        <w:t> </w:t>
      </w:r>
      <w:r w:rsidRPr="00B11666">
        <w:rPr>
          <w:rFonts w:ascii="Times New Roman" w:eastAsia="Calibri" w:hAnsi="Times New Roman" w:cs="Times New Roman"/>
        </w:rPr>
        <w:t xml:space="preserve">ramach planu rozwojowego, zawartego w Warszawie w dniu 17 lutego 2023 r. między Ministrem Infrastruktury a </w:t>
      </w:r>
      <w:r>
        <w:rPr>
          <w:rFonts w:ascii="Times New Roman" w:eastAsia="Calibri" w:hAnsi="Times New Roman" w:cs="Times New Roman"/>
        </w:rPr>
        <w:t xml:space="preserve">CUPT, </w:t>
      </w:r>
      <w:r w:rsidRPr="002F11CB">
        <w:rPr>
          <w:rFonts w:ascii="Times New Roman" w:eastAsia="Calibri" w:hAnsi="Times New Roman" w:cs="Times New Roman"/>
        </w:rPr>
        <w:t xml:space="preserve">zobowiązano do informowania przedsiębiorców, którzy otrzymają pomoc publiczną na podstawie projektowanego rozporządzenia, o numerze referencyjnym programu pomocowego, na podstawie którego pomoc ta </w:t>
      </w:r>
      <w:r>
        <w:rPr>
          <w:rFonts w:ascii="Times New Roman" w:eastAsia="Calibri" w:hAnsi="Times New Roman" w:cs="Times New Roman"/>
        </w:rPr>
        <w:t>będzie</w:t>
      </w:r>
      <w:r w:rsidRPr="002F11CB">
        <w:rPr>
          <w:rFonts w:ascii="Times New Roman" w:eastAsia="Calibri" w:hAnsi="Times New Roman" w:cs="Times New Roman"/>
        </w:rPr>
        <w:t xml:space="preserve"> udzielana.</w:t>
      </w:r>
    </w:p>
    <w:p w14:paraId="439AEDEF" w14:textId="4DFE1028" w:rsidR="004D7E1F" w:rsidRDefault="00F21C33" w:rsidP="00F21C3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</w:t>
      </w:r>
      <w:r w:rsidR="003C627D">
        <w:rPr>
          <w:rFonts w:ascii="Times New Roman" w:eastAsia="Times New Roman" w:hAnsi="Times New Roman" w:cs="Times New Roman"/>
          <w:lang w:eastAsia="pl-PL"/>
        </w:rPr>
        <w:t xml:space="preserve">toku </w:t>
      </w:r>
      <w:r>
        <w:rPr>
          <w:rFonts w:ascii="Times New Roman" w:eastAsia="Times New Roman" w:hAnsi="Times New Roman" w:cs="Times New Roman"/>
          <w:lang w:eastAsia="pl-PL"/>
        </w:rPr>
        <w:t>proce</w:t>
      </w:r>
      <w:r w:rsidR="003C627D">
        <w:rPr>
          <w:rFonts w:ascii="Times New Roman" w:eastAsia="Times New Roman" w:hAnsi="Times New Roman" w:cs="Times New Roman"/>
          <w:lang w:eastAsia="pl-PL"/>
        </w:rPr>
        <w:t xml:space="preserve">su legislacyjnego </w:t>
      </w:r>
      <w:r>
        <w:rPr>
          <w:rFonts w:ascii="Times New Roman" w:eastAsia="Times New Roman" w:hAnsi="Times New Roman" w:cs="Times New Roman"/>
          <w:lang w:eastAsia="pl-PL"/>
        </w:rPr>
        <w:t>projekt</w:t>
      </w:r>
      <w:r w:rsidR="003C627D">
        <w:rPr>
          <w:rFonts w:ascii="Times New Roman" w:eastAsia="Times New Roman" w:hAnsi="Times New Roman" w:cs="Times New Roman"/>
          <w:lang w:eastAsia="pl-PL"/>
        </w:rPr>
        <w:t>owanego</w:t>
      </w:r>
      <w:r>
        <w:rPr>
          <w:rFonts w:ascii="Times New Roman" w:eastAsia="Times New Roman" w:hAnsi="Times New Roman" w:cs="Times New Roman"/>
          <w:lang w:eastAsia="pl-PL"/>
        </w:rPr>
        <w:t xml:space="preserve"> rozporządzenia zdecydowano o odstąpieniu od przeprowadz</w:t>
      </w:r>
      <w:r w:rsidR="00C85C83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>nia prekwalifikacji</w:t>
      </w:r>
      <w:r w:rsidR="005E43D1">
        <w:rPr>
          <w:rFonts w:ascii="Times New Roman" w:eastAsia="Times New Roman" w:hAnsi="Times New Roman" w:cs="Times New Roman"/>
          <w:lang w:eastAsia="pl-PL"/>
        </w:rPr>
        <w:t xml:space="preserve">, tj. </w:t>
      </w:r>
      <w:r w:rsidR="00C85C83">
        <w:rPr>
          <w:rFonts w:ascii="Times New Roman" w:eastAsia="Times New Roman" w:hAnsi="Times New Roman" w:cs="Times New Roman"/>
          <w:lang w:eastAsia="pl-PL"/>
        </w:rPr>
        <w:t xml:space="preserve">etapu </w:t>
      </w:r>
      <w:r w:rsidR="005E43D1">
        <w:rPr>
          <w:rFonts w:ascii="Times New Roman" w:eastAsia="Times New Roman" w:hAnsi="Times New Roman" w:cs="Times New Roman"/>
          <w:lang w:eastAsia="pl-PL"/>
        </w:rPr>
        <w:t>wstępnej kwalifikacji przedsięwzięć do objęcia pomocą publiczną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F21C33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5C83">
        <w:rPr>
          <w:rFonts w:ascii="Times New Roman" w:eastAsia="Times New Roman" w:hAnsi="Times New Roman" w:cs="Times New Roman"/>
          <w:lang w:eastAsia="pl-PL"/>
        </w:rPr>
        <w:t>w związku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21C33">
        <w:rPr>
          <w:rFonts w:ascii="Times New Roman" w:eastAsia="Times New Roman" w:hAnsi="Times New Roman" w:cs="Times New Roman"/>
          <w:lang w:eastAsia="pl-PL"/>
        </w:rPr>
        <w:t>ze zidentyfikowan</w:t>
      </w:r>
      <w:r w:rsidR="00C85C83">
        <w:rPr>
          <w:rFonts w:ascii="Times New Roman" w:eastAsia="Times New Roman" w:hAnsi="Times New Roman" w:cs="Times New Roman"/>
          <w:lang w:eastAsia="pl-PL"/>
        </w:rPr>
        <w:t>iem</w:t>
      </w:r>
      <w:r w:rsidRPr="00F21C33">
        <w:rPr>
          <w:rFonts w:ascii="Times New Roman" w:eastAsia="Times New Roman" w:hAnsi="Times New Roman" w:cs="Times New Roman"/>
          <w:lang w:eastAsia="pl-PL"/>
        </w:rPr>
        <w:t xml:space="preserve"> ryzyka, polegającego na tym, że ostateczny zakres programu </w:t>
      </w:r>
      <w:r w:rsidR="005E43D1">
        <w:rPr>
          <w:rFonts w:ascii="Times New Roman" w:eastAsia="Times New Roman" w:hAnsi="Times New Roman" w:cs="Times New Roman"/>
          <w:lang w:eastAsia="pl-PL"/>
        </w:rPr>
        <w:t xml:space="preserve">pomocowego </w:t>
      </w:r>
      <w:r w:rsidR="00C85C83">
        <w:rPr>
          <w:rFonts w:ascii="Times New Roman" w:eastAsia="Times New Roman" w:hAnsi="Times New Roman" w:cs="Times New Roman"/>
          <w:lang w:eastAsia="pl-PL"/>
        </w:rPr>
        <w:t xml:space="preserve">stanowionego przez projektowane </w:t>
      </w:r>
      <w:r w:rsidRPr="00F21C33">
        <w:rPr>
          <w:rFonts w:ascii="Times New Roman" w:eastAsia="Times New Roman" w:hAnsi="Times New Roman" w:cs="Times New Roman"/>
          <w:lang w:eastAsia="pl-PL"/>
        </w:rPr>
        <w:t>rozporządzeni</w:t>
      </w:r>
      <w:r w:rsidR="00C85C83">
        <w:rPr>
          <w:rFonts w:ascii="Times New Roman" w:eastAsia="Times New Roman" w:hAnsi="Times New Roman" w:cs="Times New Roman"/>
          <w:lang w:eastAsia="pl-PL"/>
        </w:rPr>
        <w:t>e,</w:t>
      </w:r>
      <w:r w:rsidRPr="00F21C33">
        <w:rPr>
          <w:rFonts w:ascii="Times New Roman" w:eastAsia="Times New Roman" w:hAnsi="Times New Roman" w:cs="Times New Roman"/>
          <w:lang w:eastAsia="pl-PL"/>
        </w:rPr>
        <w:t xml:space="preserve"> zaakceptowany przez K</w:t>
      </w:r>
      <w:r w:rsidR="00C85C83">
        <w:rPr>
          <w:rFonts w:ascii="Times New Roman" w:eastAsia="Times New Roman" w:hAnsi="Times New Roman" w:cs="Times New Roman"/>
          <w:lang w:eastAsia="pl-PL"/>
        </w:rPr>
        <w:t xml:space="preserve">omisję </w:t>
      </w:r>
      <w:r w:rsidRPr="00F21C33">
        <w:rPr>
          <w:rFonts w:ascii="Times New Roman" w:eastAsia="Times New Roman" w:hAnsi="Times New Roman" w:cs="Times New Roman"/>
          <w:lang w:eastAsia="pl-PL"/>
        </w:rPr>
        <w:t>E</w:t>
      </w:r>
      <w:r w:rsidR="00C85C83">
        <w:rPr>
          <w:rFonts w:ascii="Times New Roman" w:eastAsia="Times New Roman" w:hAnsi="Times New Roman" w:cs="Times New Roman"/>
          <w:lang w:eastAsia="pl-PL"/>
        </w:rPr>
        <w:t>uropejską</w:t>
      </w:r>
      <w:r w:rsidRPr="00F21C33">
        <w:rPr>
          <w:rFonts w:ascii="Times New Roman" w:eastAsia="Times New Roman" w:hAnsi="Times New Roman" w:cs="Times New Roman"/>
          <w:lang w:eastAsia="pl-PL"/>
        </w:rPr>
        <w:t>, może być o</w:t>
      </w:r>
      <w:r>
        <w:rPr>
          <w:rFonts w:ascii="Times New Roman" w:eastAsia="Times New Roman" w:hAnsi="Times New Roman" w:cs="Times New Roman"/>
          <w:lang w:eastAsia="pl-PL"/>
        </w:rPr>
        <w:t xml:space="preserve">dmienny od </w:t>
      </w:r>
      <w:r w:rsidR="003D333F">
        <w:rPr>
          <w:rFonts w:ascii="Times New Roman" w:eastAsia="Times New Roman" w:hAnsi="Times New Roman" w:cs="Times New Roman"/>
          <w:lang w:eastAsia="pl-PL"/>
        </w:rPr>
        <w:t xml:space="preserve">przedstawionego </w:t>
      </w:r>
      <w:r w:rsidR="00FE44C4">
        <w:rPr>
          <w:rFonts w:ascii="Times New Roman" w:eastAsia="Times New Roman" w:hAnsi="Times New Roman" w:cs="Times New Roman"/>
          <w:lang w:eastAsia="pl-PL"/>
        </w:rPr>
        <w:t xml:space="preserve">Komisji Europejskiej </w:t>
      </w:r>
      <w:r w:rsidR="003D333F">
        <w:rPr>
          <w:rFonts w:ascii="Times New Roman" w:eastAsia="Times New Roman" w:hAnsi="Times New Roman" w:cs="Times New Roman"/>
          <w:lang w:eastAsia="pl-PL"/>
        </w:rPr>
        <w:t>do akceptacji</w:t>
      </w:r>
      <w:r>
        <w:rPr>
          <w:rFonts w:ascii="Times New Roman" w:eastAsia="Times New Roman" w:hAnsi="Times New Roman" w:cs="Times New Roman"/>
          <w:lang w:eastAsia="pl-PL"/>
        </w:rPr>
        <w:t>. W</w:t>
      </w:r>
      <w:r w:rsidR="00FE44C4">
        <w:rPr>
          <w:rFonts w:ascii="Times New Roman" w:eastAsia="Times New Roman" w:hAnsi="Times New Roman" w:cs="Times New Roman"/>
          <w:lang w:eastAsia="pl-PL"/>
        </w:rPr>
        <w:t> </w:t>
      </w:r>
      <w:r w:rsidRPr="00F21C33">
        <w:rPr>
          <w:rFonts w:ascii="Times New Roman" w:eastAsia="Times New Roman" w:hAnsi="Times New Roman" w:cs="Times New Roman"/>
          <w:lang w:eastAsia="pl-PL"/>
        </w:rPr>
        <w:t xml:space="preserve">takim przypadku przeprowadzenie prekwalifikacji byłoby bezprzedmiotowe lub nawet </w:t>
      </w:r>
      <w:r w:rsidR="00C85C83">
        <w:rPr>
          <w:rFonts w:ascii="Times New Roman" w:eastAsia="Times New Roman" w:hAnsi="Times New Roman" w:cs="Times New Roman"/>
          <w:lang w:eastAsia="pl-PL"/>
        </w:rPr>
        <w:t>nie</w:t>
      </w:r>
      <w:r>
        <w:rPr>
          <w:rFonts w:ascii="Times New Roman" w:eastAsia="Times New Roman" w:hAnsi="Times New Roman" w:cs="Times New Roman"/>
          <w:lang w:eastAsia="pl-PL"/>
        </w:rPr>
        <w:t xml:space="preserve">skuteczne, </w:t>
      </w:r>
      <w:r w:rsidRPr="00F21C33">
        <w:rPr>
          <w:rFonts w:ascii="Times New Roman" w:eastAsia="Times New Roman" w:hAnsi="Times New Roman" w:cs="Times New Roman"/>
          <w:lang w:eastAsia="pl-PL"/>
        </w:rPr>
        <w:t xml:space="preserve">w sytuacji gdy potencjalni przyszli </w:t>
      </w:r>
      <w:r>
        <w:rPr>
          <w:rFonts w:ascii="Times New Roman" w:eastAsia="Times New Roman" w:hAnsi="Times New Roman" w:cs="Times New Roman"/>
          <w:lang w:eastAsia="pl-PL"/>
        </w:rPr>
        <w:t>odbiorcy wsparcia</w:t>
      </w:r>
      <w:r w:rsidRPr="00F21C33">
        <w:rPr>
          <w:rFonts w:ascii="Times New Roman" w:eastAsia="Times New Roman" w:hAnsi="Times New Roman" w:cs="Times New Roman"/>
          <w:lang w:eastAsia="pl-PL"/>
        </w:rPr>
        <w:t xml:space="preserve"> zgłos</w:t>
      </w:r>
      <w:r w:rsidR="00FE44C4">
        <w:rPr>
          <w:rFonts w:ascii="Times New Roman" w:eastAsia="Times New Roman" w:hAnsi="Times New Roman" w:cs="Times New Roman"/>
          <w:lang w:eastAsia="pl-PL"/>
        </w:rPr>
        <w:t xml:space="preserve">iliby </w:t>
      </w:r>
      <w:r w:rsidR="00C85C83">
        <w:rPr>
          <w:rFonts w:ascii="Times New Roman" w:eastAsia="Times New Roman" w:hAnsi="Times New Roman" w:cs="Times New Roman"/>
          <w:lang w:eastAsia="pl-PL"/>
        </w:rPr>
        <w:t>przedsięwzięcia</w:t>
      </w:r>
      <w:r w:rsidRPr="00F21C33">
        <w:rPr>
          <w:rFonts w:ascii="Times New Roman" w:eastAsia="Times New Roman" w:hAnsi="Times New Roman" w:cs="Times New Roman"/>
          <w:lang w:eastAsia="pl-PL"/>
        </w:rPr>
        <w:t xml:space="preserve"> na </w:t>
      </w:r>
      <w:r w:rsidR="00C85C83">
        <w:rPr>
          <w:rFonts w:ascii="Times New Roman" w:eastAsia="Times New Roman" w:hAnsi="Times New Roman" w:cs="Times New Roman"/>
          <w:lang w:eastAsia="pl-PL"/>
        </w:rPr>
        <w:t>podstawie</w:t>
      </w:r>
      <w:r>
        <w:rPr>
          <w:rFonts w:ascii="Times New Roman" w:eastAsia="Times New Roman" w:hAnsi="Times New Roman" w:cs="Times New Roman"/>
          <w:lang w:eastAsia="pl-PL"/>
        </w:rPr>
        <w:t xml:space="preserve"> projektu </w:t>
      </w:r>
      <w:r w:rsidR="003D333F">
        <w:rPr>
          <w:rFonts w:ascii="Times New Roman" w:eastAsia="Times New Roman" w:hAnsi="Times New Roman" w:cs="Times New Roman"/>
          <w:lang w:eastAsia="pl-PL"/>
        </w:rPr>
        <w:t>programu pomocowego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95500A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21C33">
        <w:rPr>
          <w:rFonts w:ascii="Times New Roman" w:eastAsia="Times New Roman" w:hAnsi="Times New Roman" w:cs="Times New Roman"/>
          <w:lang w:eastAsia="pl-PL"/>
        </w:rPr>
        <w:t xml:space="preserve">ostateczny zakres czy poziom wsparcia </w:t>
      </w:r>
      <w:r w:rsidR="003D333F">
        <w:rPr>
          <w:rFonts w:ascii="Times New Roman" w:eastAsia="Times New Roman" w:hAnsi="Times New Roman" w:cs="Times New Roman"/>
          <w:lang w:eastAsia="pl-PL"/>
        </w:rPr>
        <w:t>b</w:t>
      </w:r>
      <w:r w:rsidR="00FE44C4">
        <w:rPr>
          <w:rFonts w:ascii="Times New Roman" w:eastAsia="Times New Roman" w:hAnsi="Times New Roman" w:cs="Times New Roman"/>
          <w:lang w:eastAsia="pl-PL"/>
        </w:rPr>
        <w:t>yłby</w:t>
      </w:r>
      <w:r w:rsidR="003D33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21C33">
        <w:rPr>
          <w:rFonts w:ascii="Times New Roman" w:eastAsia="Times New Roman" w:hAnsi="Times New Roman" w:cs="Times New Roman"/>
          <w:lang w:eastAsia="pl-PL"/>
        </w:rPr>
        <w:t>inny</w:t>
      </w:r>
      <w:r>
        <w:rPr>
          <w:rFonts w:ascii="Times New Roman" w:eastAsia="Times New Roman" w:hAnsi="Times New Roman" w:cs="Times New Roman"/>
          <w:lang w:eastAsia="pl-PL"/>
        </w:rPr>
        <w:t xml:space="preserve"> od zakładanego</w:t>
      </w:r>
      <w:r w:rsidRPr="00F21C33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C5780A">
        <w:rPr>
          <w:rFonts w:ascii="Times New Roman" w:eastAsia="Times New Roman" w:hAnsi="Times New Roman" w:cs="Times New Roman"/>
          <w:lang w:eastAsia="pl-PL"/>
        </w:rPr>
        <w:t>Pomimo braku przeprowadzenia prekwalifikacji, biorąc pod uwagę fakt</w:t>
      </w:r>
      <w:r w:rsidR="004437DE">
        <w:rPr>
          <w:rFonts w:ascii="Times New Roman" w:eastAsia="Times New Roman" w:hAnsi="Times New Roman" w:cs="Times New Roman"/>
          <w:lang w:eastAsia="pl-PL"/>
        </w:rPr>
        <w:t>, że</w:t>
      </w:r>
      <w:r w:rsidR="00C5780A">
        <w:rPr>
          <w:rFonts w:ascii="Times New Roman" w:eastAsia="Times New Roman" w:hAnsi="Times New Roman" w:cs="Times New Roman"/>
          <w:lang w:eastAsia="pl-PL"/>
        </w:rPr>
        <w:t xml:space="preserve"> w ramach przeprowadzanych konsultacji publicznych, opiniowania oraz uzgodnień</w:t>
      </w:r>
      <w:r w:rsidR="004437DE">
        <w:rPr>
          <w:rFonts w:ascii="Times New Roman" w:eastAsia="Times New Roman" w:hAnsi="Times New Roman" w:cs="Times New Roman"/>
          <w:lang w:eastAsia="pl-PL"/>
        </w:rPr>
        <w:t xml:space="preserve"> projektowanego rozporządzenia</w:t>
      </w:r>
      <w:r w:rsidR="00C5780A">
        <w:rPr>
          <w:rFonts w:ascii="Times New Roman" w:eastAsia="Times New Roman" w:hAnsi="Times New Roman" w:cs="Times New Roman"/>
          <w:lang w:eastAsia="pl-PL"/>
        </w:rPr>
        <w:t xml:space="preserve"> podmioty mogące skorzystać z pomocy </w:t>
      </w:r>
      <w:r w:rsidR="004437DE">
        <w:rPr>
          <w:rFonts w:ascii="Times New Roman" w:eastAsia="Times New Roman" w:hAnsi="Times New Roman" w:cs="Times New Roman"/>
          <w:lang w:eastAsia="pl-PL"/>
        </w:rPr>
        <w:t xml:space="preserve">publicznej </w:t>
      </w:r>
      <w:r w:rsidR="00C5780A">
        <w:rPr>
          <w:rFonts w:ascii="Times New Roman" w:eastAsia="Times New Roman" w:hAnsi="Times New Roman" w:cs="Times New Roman"/>
          <w:lang w:eastAsia="pl-PL"/>
        </w:rPr>
        <w:t>udziel</w:t>
      </w:r>
      <w:r w:rsidR="004437DE">
        <w:rPr>
          <w:rFonts w:ascii="Times New Roman" w:eastAsia="Times New Roman" w:hAnsi="Times New Roman" w:cs="Times New Roman"/>
          <w:lang w:eastAsia="pl-PL"/>
        </w:rPr>
        <w:t>a</w:t>
      </w:r>
      <w:r w:rsidR="00C5780A">
        <w:rPr>
          <w:rFonts w:ascii="Times New Roman" w:eastAsia="Times New Roman" w:hAnsi="Times New Roman" w:cs="Times New Roman"/>
          <w:lang w:eastAsia="pl-PL"/>
        </w:rPr>
        <w:t xml:space="preserve">nej </w:t>
      </w:r>
      <w:r w:rsidR="004437DE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C5780A">
        <w:rPr>
          <w:rFonts w:ascii="Times New Roman" w:eastAsia="Times New Roman" w:hAnsi="Times New Roman" w:cs="Times New Roman"/>
          <w:lang w:eastAsia="pl-PL"/>
        </w:rPr>
        <w:t xml:space="preserve">projektowanego rozporządzenia zostały poinformowane o pracach związanych z </w:t>
      </w:r>
      <w:r w:rsidR="004437DE">
        <w:rPr>
          <w:rFonts w:ascii="Times New Roman" w:eastAsia="Times New Roman" w:hAnsi="Times New Roman" w:cs="Times New Roman"/>
          <w:lang w:eastAsia="pl-PL"/>
        </w:rPr>
        <w:t>tym programem pomocowym,</w:t>
      </w:r>
      <w:r w:rsidR="00C5780A">
        <w:rPr>
          <w:rFonts w:ascii="Times New Roman" w:eastAsia="Times New Roman" w:hAnsi="Times New Roman" w:cs="Times New Roman"/>
          <w:lang w:eastAsia="pl-PL"/>
        </w:rPr>
        <w:t xml:space="preserve"> można uznać</w:t>
      </w:r>
      <w:r w:rsidR="004437DE">
        <w:rPr>
          <w:rFonts w:ascii="Times New Roman" w:eastAsia="Times New Roman" w:hAnsi="Times New Roman" w:cs="Times New Roman"/>
          <w:lang w:eastAsia="pl-PL"/>
        </w:rPr>
        <w:t>, że</w:t>
      </w:r>
      <w:r w:rsidR="00C578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37DE">
        <w:rPr>
          <w:rFonts w:ascii="Times New Roman" w:eastAsia="Times New Roman" w:hAnsi="Times New Roman" w:cs="Times New Roman"/>
          <w:lang w:eastAsia="pl-PL"/>
        </w:rPr>
        <w:t xml:space="preserve">podmioty zainteresowane wsparciem </w:t>
      </w:r>
      <w:r w:rsidR="00C5780A">
        <w:rPr>
          <w:rFonts w:ascii="Times New Roman" w:eastAsia="Times New Roman" w:hAnsi="Times New Roman" w:cs="Times New Roman"/>
          <w:lang w:eastAsia="pl-PL"/>
        </w:rPr>
        <w:t>zostały wcześniej poinformowane o możliwości ubiegania się o</w:t>
      </w:r>
      <w:r w:rsidR="00F965BD">
        <w:rPr>
          <w:rFonts w:ascii="Times New Roman" w:eastAsia="Times New Roman" w:hAnsi="Times New Roman" w:cs="Times New Roman"/>
          <w:lang w:eastAsia="pl-PL"/>
        </w:rPr>
        <w:t> </w:t>
      </w:r>
      <w:r w:rsidR="00C5780A">
        <w:rPr>
          <w:rFonts w:ascii="Times New Roman" w:eastAsia="Times New Roman" w:hAnsi="Times New Roman" w:cs="Times New Roman"/>
          <w:lang w:eastAsia="pl-PL"/>
        </w:rPr>
        <w:t xml:space="preserve">udzielenie pomocy publicznej w zakresie wyposażenia pojazdów kolejowych z napędem </w:t>
      </w:r>
      <w:r w:rsidR="004437DE">
        <w:rPr>
          <w:rFonts w:ascii="Times New Roman" w:eastAsia="Times New Roman" w:hAnsi="Times New Roman" w:cs="Times New Roman"/>
          <w:lang w:eastAsia="pl-PL"/>
        </w:rPr>
        <w:t xml:space="preserve">lub z kabiną sterowniczą </w:t>
      </w:r>
      <w:r w:rsidR="00C5780A">
        <w:rPr>
          <w:rFonts w:ascii="Times New Roman" w:eastAsia="Times New Roman" w:hAnsi="Times New Roman" w:cs="Times New Roman"/>
          <w:lang w:eastAsia="pl-PL"/>
        </w:rPr>
        <w:t xml:space="preserve">w system ERTMS w ramach KPO. </w:t>
      </w:r>
    </w:p>
    <w:p w14:paraId="2BED64A6" w14:textId="6180C974" w:rsidR="000432DF" w:rsidRPr="002F11CB" w:rsidRDefault="004D7E1F" w:rsidP="00F21C3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0432DF" w:rsidRPr="002F11CB">
        <w:rPr>
          <w:rFonts w:ascii="Times New Roman" w:eastAsia="Times New Roman" w:hAnsi="Times New Roman" w:cs="Times New Roman"/>
          <w:lang w:eastAsia="pl-PL"/>
        </w:rPr>
        <w:t xml:space="preserve">a podstawie </w:t>
      </w:r>
      <w:r w:rsidR="00C5780A" w:rsidRPr="00506B23">
        <w:rPr>
          <w:rFonts w:ascii="Times New Roman" w:eastAsia="Times New Roman" w:hAnsi="Times New Roman" w:cs="Times New Roman"/>
          <w:lang w:eastAsia="pl-PL"/>
        </w:rPr>
        <w:t>§</w:t>
      </w:r>
      <w:r w:rsidR="00C5780A">
        <w:rPr>
          <w:rFonts w:ascii="Times New Roman" w:eastAsia="Times New Roman" w:hAnsi="Times New Roman" w:cs="Times New Roman"/>
          <w:lang w:eastAsia="pl-PL"/>
        </w:rPr>
        <w:t xml:space="preserve"> 8 </w:t>
      </w:r>
      <w:r w:rsidR="000432DF" w:rsidRPr="002F11CB">
        <w:rPr>
          <w:rFonts w:ascii="Times New Roman" w:eastAsia="Times New Roman" w:hAnsi="Times New Roman" w:cs="Times New Roman"/>
          <w:lang w:eastAsia="pl-PL"/>
        </w:rPr>
        <w:t>projektowanego rozporządzenia</w:t>
      </w:r>
      <w:r w:rsidR="000432DF" w:rsidRPr="002F11C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432DF" w:rsidRPr="002F11CB">
        <w:rPr>
          <w:rFonts w:ascii="Times New Roman" w:eastAsia="Times New Roman" w:hAnsi="Times New Roman" w:cs="Times New Roman"/>
          <w:lang w:eastAsia="pl-PL"/>
        </w:rPr>
        <w:t>pomoc publiczna będzie mogła być udzielana w</w:t>
      </w:r>
      <w:r w:rsidR="005C3193">
        <w:rPr>
          <w:rFonts w:ascii="Times New Roman" w:eastAsia="Times New Roman" w:hAnsi="Times New Roman" w:cs="Times New Roman"/>
          <w:lang w:eastAsia="pl-PL"/>
        </w:rPr>
        <w:t> </w:t>
      </w:r>
      <w:r w:rsidR="000432DF" w:rsidRPr="002F11CB">
        <w:rPr>
          <w:rFonts w:ascii="Times New Roman" w:eastAsia="Times New Roman" w:hAnsi="Times New Roman" w:cs="Times New Roman"/>
          <w:lang w:eastAsia="pl-PL"/>
        </w:rPr>
        <w:t xml:space="preserve">okresie obowiązywania decyzji Komisji Europejskiej, o której mowa </w:t>
      </w:r>
      <w:r w:rsidR="000432DF" w:rsidRPr="007A68E6">
        <w:rPr>
          <w:rFonts w:ascii="Times New Roman" w:eastAsia="Times New Roman" w:hAnsi="Times New Roman" w:cs="Times New Roman"/>
          <w:lang w:eastAsia="pl-PL"/>
        </w:rPr>
        <w:t>odpowiednio w art. 4 ust. 3 albo art. 9 ust.</w:t>
      </w:r>
      <w:r w:rsidR="005C3193">
        <w:rPr>
          <w:rFonts w:ascii="Times New Roman" w:eastAsia="Times New Roman" w:hAnsi="Times New Roman" w:cs="Times New Roman"/>
          <w:lang w:eastAsia="pl-PL"/>
        </w:rPr>
        <w:t xml:space="preserve"> </w:t>
      </w:r>
      <w:r w:rsidR="000432DF" w:rsidRPr="007A68E6">
        <w:rPr>
          <w:rFonts w:ascii="Times New Roman" w:eastAsia="Times New Roman" w:hAnsi="Times New Roman" w:cs="Times New Roman"/>
          <w:lang w:eastAsia="pl-PL"/>
        </w:rPr>
        <w:t>3 i 4 r</w:t>
      </w:r>
      <w:r w:rsidR="000432DF" w:rsidRPr="002F11CB">
        <w:rPr>
          <w:rFonts w:ascii="Times New Roman" w:eastAsia="Times New Roman" w:hAnsi="Times New Roman" w:cs="Times New Roman"/>
          <w:lang w:eastAsia="pl-PL"/>
        </w:rPr>
        <w:t>ozporządzenia Rady (UE) 2015/1589 z dnia 13 lipca 2015 r. ustanawiającego szczegółowe zasady stosowania art. 108 Traktatu o funkcjonowaniu Unii Europejskiej</w:t>
      </w:r>
      <w:r w:rsidR="000432DF" w:rsidRPr="002F11C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0432DF" w:rsidRPr="002F11CB">
        <w:rPr>
          <w:rFonts w:ascii="Times New Roman" w:eastAsia="Times New Roman" w:hAnsi="Times New Roman" w:cs="Times New Roman"/>
          <w:lang w:eastAsia="pl-PL"/>
        </w:rPr>
        <w:t>(Dz. Urz. UE L</w:t>
      </w:r>
      <w:r w:rsidR="00CF7D3C">
        <w:rPr>
          <w:rFonts w:ascii="Times New Roman" w:eastAsia="Times New Roman" w:hAnsi="Times New Roman" w:cs="Times New Roman"/>
          <w:lang w:eastAsia="pl-PL"/>
        </w:rPr>
        <w:t xml:space="preserve"> </w:t>
      </w:r>
      <w:r w:rsidR="000432DF" w:rsidRPr="002F11CB">
        <w:rPr>
          <w:rFonts w:ascii="Times New Roman" w:eastAsia="Times New Roman" w:hAnsi="Times New Roman" w:cs="Times New Roman"/>
          <w:lang w:eastAsia="pl-PL"/>
        </w:rPr>
        <w:lastRenderedPageBreak/>
        <w:t>248 z</w:t>
      </w:r>
      <w:r w:rsidR="005C3193">
        <w:rPr>
          <w:rFonts w:ascii="Times New Roman" w:eastAsia="Times New Roman" w:hAnsi="Times New Roman" w:cs="Times New Roman"/>
          <w:lang w:eastAsia="pl-PL"/>
        </w:rPr>
        <w:t xml:space="preserve"> </w:t>
      </w:r>
      <w:r w:rsidR="000432DF" w:rsidRPr="002F11CB">
        <w:rPr>
          <w:rFonts w:ascii="Times New Roman" w:eastAsia="Times New Roman" w:hAnsi="Times New Roman" w:cs="Times New Roman"/>
          <w:lang w:eastAsia="pl-PL"/>
        </w:rPr>
        <w:t xml:space="preserve">24.09.2015, str. 9), nie dłużej jednak niż do dnia 30 </w:t>
      </w:r>
      <w:r w:rsidR="000432DF">
        <w:rPr>
          <w:rFonts w:ascii="Times New Roman" w:eastAsia="Times New Roman" w:hAnsi="Times New Roman" w:cs="Times New Roman"/>
          <w:lang w:eastAsia="pl-PL"/>
        </w:rPr>
        <w:t>czerwca</w:t>
      </w:r>
      <w:r w:rsidR="000432DF" w:rsidRPr="002F11CB">
        <w:rPr>
          <w:rFonts w:ascii="Times New Roman" w:eastAsia="Times New Roman" w:hAnsi="Times New Roman" w:cs="Times New Roman"/>
          <w:lang w:eastAsia="pl-PL"/>
        </w:rPr>
        <w:t xml:space="preserve"> 2026 r. Zgodnie z art. 108 ust. 3 TFUE, Komisja Europejska jest informowana, w czasie odpowiednim do przedstawienia swych uwag, o</w:t>
      </w:r>
      <w:r w:rsidR="00CF7D3C">
        <w:rPr>
          <w:rFonts w:ascii="Times New Roman" w:eastAsia="Times New Roman" w:hAnsi="Times New Roman" w:cs="Times New Roman"/>
          <w:lang w:eastAsia="pl-PL"/>
        </w:rPr>
        <w:t> </w:t>
      </w:r>
      <w:r w:rsidR="000432DF" w:rsidRPr="002F11CB">
        <w:rPr>
          <w:rFonts w:ascii="Times New Roman" w:eastAsia="Times New Roman" w:hAnsi="Times New Roman" w:cs="Times New Roman"/>
          <w:lang w:eastAsia="pl-PL"/>
        </w:rPr>
        <w:t xml:space="preserve">wszelkich planach przyznania lub zmiany pomocy. Jednocześnie przepis ten przewiduje tzw. klauzulę zawieszającą, doprecyzowaną w art. 3 ww. rozporządzenia Rady. Oznacza to, że w przypadku pomocy podlegającej </w:t>
      </w:r>
      <w:r w:rsidR="000432DF">
        <w:rPr>
          <w:rFonts w:ascii="Times New Roman" w:eastAsia="Times New Roman" w:hAnsi="Times New Roman" w:cs="Times New Roman"/>
          <w:lang w:eastAsia="pl-PL"/>
        </w:rPr>
        <w:t xml:space="preserve">obowiązkowi </w:t>
      </w:r>
      <w:r w:rsidR="000432DF" w:rsidRPr="002F11CB">
        <w:rPr>
          <w:rFonts w:ascii="Times New Roman" w:eastAsia="Times New Roman" w:hAnsi="Times New Roman" w:cs="Times New Roman"/>
          <w:lang w:eastAsia="pl-PL"/>
        </w:rPr>
        <w:t>zgłoszeni</w:t>
      </w:r>
      <w:r w:rsidR="000432DF">
        <w:rPr>
          <w:rFonts w:ascii="Times New Roman" w:eastAsia="Times New Roman" w:hAnsi="Times New Roman" w:cs="Times New Roman"/>
          <w:lang w:eastAsia="pl-PL"/>
        </w:rPr>
        <w:t>a</w:t>
      </w:r>
      <w:r w:rsidR="000432DF" w:rsidRPr="002F11CB">
        <w:rPr>
          <w:rFonts w:ascii="Times New Roman" w:eastAsia="Times New Roman" w:hAnsi="Times New Roman" w:cs="Times New Roman"/>
          <w:lang w:eastAsia="pl-PL"/>
        </w:rPr>
        <w:t xml:space="preserve"> Komisji Europejskiej, państwo członkowskie nie może wprowadzać w życie </w:t>
      </w:r>
      <w:r w:rsidR="000432DF">
        <w:rPr>
          <w:rFonts w:ascii="Times New Roman" w:eastAsia="Times New Roman" w:hAnsi="Times New Roman" w:cs="Times New Roman"/>
          <w:lang w:eastAsia="pl-PL"/>
        </w:rPr>
        <w:t>pomocy publicznej</w:t>
      </w:r>
      <w:r w:rsidR="000432DF" w:rsidRPr="002F11CB">
        <w:rPr>
          <w:rFonts w:ascii="Times New Roman" w:eastAsia="Times New Roman" w:hAnsi="Times New Roman" w:cs="Times New Roman"/>
          <w:lang w:eastAsia="pl-PL"/>
        </w:rPr>
        <w:t xml:space="preserve"> dopóki Komisja Europejska nie wyda decyzji zezwalającej na daną pomoc lub do czasu uznania takiej decyzji Komisji Europejskiej za podjętą. Projektowany przepis służy zapewnieniu skuteczności powyższym regulacjom prawa Unii Europejskiej.</w:t>
      </w:r>
      <w:r w:rsidR="00506B23" w:rsidRPr="00506B23">
        <w:rPr>
          <w:rFonts w:ascii="Times New Roman" w:hAnsi="Times New Roman" w:cs="Times New Roman"/>
          <w:color w:val="000000" w:themeColor="text1"/>
        </w:rPr>
        <w:t xml:space="preserve"> </w:t>
      </w:r>
      <w:r w:rsidR="00506B23" w:rsidRPr="00506B23">
        <w:rPr>
          <w:rFonts w:ascii="Times New Roman" w:eastAsia="Times New Roman" w:hAnsi="Times New Roman" w:cs="Times New Roman"/>
          <w:lang w:eastAsia="pl-PL"/>
        </w:rPr>
        <w:t>Przedmiotowa</w:t>
      </w:r>
      <w:r w:rsidR="00F12E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06B23" w:rsidRPr="00506B23">
        <w:rPr>
          <w:rFonts w:ascii="Times New Roman" w:eastAsia="Times New Roman" w:hAnsi="Times New Roman" w:cs="Times New Roman"/>
          <w:lang w:eastAsia="pl-PL"/>
        </w:rPr>
        <w:t xml:space="preserve">decyzja nie została jeszcze wydana. Po zakończeniu uzgodnień </w:t>
      </w:r>
      <w:r w:rsidR="00506B23">
        <w:rPr>
          <w:rFonts w:ascii="Times New Roman" w:eastAsia="Times New Roman" w:hAnsi="Times New Roman" w:cs="Times New Roman"/>
          <w:lang w:eastAsia="pl-PL"/>
        </w:rPr>
        <w:t xml:space="preserve">projektowanego rozporządzenia </w:t>
      </w:r>
      <w:r w:rsidR="00815480" w:rsidRPr="00815480">
        <w:rPr>
          <w:rFonts w:ascii="Times New Roman" w:eastAsia="Times New Roman" w:hAnsi="Times New Roman" w:cs="Times New Roman"/>
          <w:lang w:eastAsia="pl-PL"/>
        </w:rPr>
        <w:t xml:space="preserve">na poziomie krajowym </w:t>
      </w:r>
      <w:r w:rsidR="00506B23" w:rsidRPr="00506B23">
        <w:rPr>
          <w:rFonts w:ascii="Times New Roman" w:eastAsia="Times New Roman" w:hAnsi="Times New Roman" w:cs="Times New Roman"/>
          <w:lang w:eastAsia="pl-PL"/>
        </w:rPr>
        <w:t>projektodawca, we współpracy z U</w:t>
      </w:r>
      <w:r w:rsidR="00506B23">
        <w:rPr>
          <w:rFonts w:ascii="Times New Roman" w:eastAsia="Times New Roman" w:hAnsi="Times New Roman" w:cs="Times New Roman"/>
          <w:lang w:eastAsia="pl-PL"/>
        </w:rPr>
        <w:t xml:space="preserve">rzędem </w:t>
      </w:r>
      <w:r w:rsidR="00506B23" w:rsidRPr="00506B23">
        <w:rPr>
          <w:rFonts w:ascii="Times New Roman" w:eastAsia="Times New Roman" w:hAnsi="Times New Roman" w:cs="Times New Roman"/>
          <w:lang w:eastAsia="pl-PL"/>
        </w:rPr>
        <w:t>O</w:t>
      </w:r>
      <w:r w:rsidR="00506B23">
        <w:rPr>
          <w:rFonts w:ascii="Times New Roman" w:eastAsia="Times New Roman" w:hAnsi="Times New Roman" w:cs="Times New Roman"/>
          <w:lang w:eastAsia="pl-PL"/>
        </w:rPr>
        <w:t xml:space="preserve">chrony </w:t>
      </w:r>
      <w:r w:rsidR="00506B23" w:rsidRPr="00506B23">
        <w:rPr>
          <w:rFonts w:ascii="Times New Roman" w:eastAsia="Times New Roman" w:hAnsi="Times New Roman" w:cs="Times New Roman"/>
          <w:lang w:eastAsia="pl-PL"/>
        </w:rPr>
        <w:t>K</w:t>
      </w:r>
      <w:r w:rsidR="00506B23">
        <w:rPr>
          <w:rFonts w:ascii="Times New Roman" w:eastAsia="Times New Roman" w:hAnsi="Times New Roman" w:cs="Times New Roman"/>
          <w:lang w:eastAsia="pl-PL"/>
        </w:rPr>
        <w:t xml:space="preserve">onkurencji </w:t>
      </w:r>
      <w:r w:rsidR="00506B23" w:rsidRPr="00506B23">
        <w:rPr>
          <w:rFonts w:ascii="Times New Roman" w:eastAsia="Times New Roman" w:hAnsi="Times New Roman" w:cs="Times New Roman"/>
          <w:lang w:eastAsia="pl-PL"/>
        </w:rPr>
        <w:t>i</w:t>
      </w:r>
      <w:r w:rsidR="00506B2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06B23" w:rsidRPr="00506B23">
        <w:rPr>
          <w:rFonts w:ascii="Times New Roman" w:eastAsia="Times New Roman" w:hAnsi="Times New Roman" w:cs="Times New Roman"/>
          <w:lang w:eastAsia="pl-PL"/>
        </w:rPr>
        <w:t>K</w:t>
      </w:r>
      <w:r w:rsidR="00506B23">
        <w:rPr>
          <w:rFonts w:ascii="Times New Roman" w:eastAsia="Times New Roman" w:hAnsi="Times New Roman" w:cs="Times New Roman"/>
          <w:lang w:eastAsia="pl-PL"/>
        </w:rPr>
        <w:t>onsumentów</w:t>
      </w:r>
      <w:r w:rsidR="00506B23" w:rsidRPr="00506B23">
        <w:rPr>
          <w:rFonts w:ascii="Times New Roman" w:eastAsia="Times New Roman" w:hAnsi="Times New Roman" w:cs="Times New Roman"/>
          <w:lang w:eastAsia="pl-PL"/>
        </w:rPr>
        <w:t xml:space="preserve">, dokona zgłoszenia </w:t>
      </w:r>
      <w:r w:rsidR="00506B23">
        <w:rPr>
          <w:rFonts w:ascii="Times New Roman" w:eastAsia="Times New Roman" w:hAnsi="Times New Roman" w:cs="Times New Roman"/>
          <w:lang w:eastAsia="pl-PL"/>
        </w:rPr>
        <w:t xml:space="preserve">projektu </w:t>
      </w:r>
      <w:r w:rsidR="00506B23" w:rsidRPr="00506B23">
        <w:rPr>
          <w:rFonts w:ascii="Times New Roman" w:eastAsia="Times New Roman" w:hAnsi="Times New Roman" w:cs="Times New Roman"/>
          <w:lang w:eastAsia="pl-PL"/>
        </w:rPr>
        <w:t>do Komisji Europejskiej w celu uzyskania decyzji akceptującej program pomocowy, o której mowa w § 8 projektu. Decyzja zostanie opublikowana na stronie internetowej Komisji Europejskiej, w</w:t>
      </w:r>
      <w:r w:rsidR="0081548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06B23" w:rsidRPr="00506B23">
        <w:rPr>
          <w:rFonts w:ascii="Times New Roman" w:eastAsia="Times New Roman" w:hAnsi="Times New Roman" w:cs="Times New Roman"/>
          <w:lang w:eastAsia="pl-PL"/>
        </w:rPr>
        <w:t>związku z tym jej treść będzie publicznie dostępna i każdy zainteresowany będzie mógł się z nią zapoznać. W treści decyzji będzie wyraźnie wskazany okres obowiązywania programu pomocowego, do którego decyzja ma zastosowanie.</w:t>
      </w:r>
    </w:p>
    <w:p w14:paraId="4D3B1064" w14:textId="4F0F6218" w:rsidR="000432DF" w:rsidRDefault="000432DF" w:rsidP="006F04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F11CB">
        <w:rPr>
          <w:rFonts w:ascii="Times New Roman" w:eastAsia="Times New Roman" w:hAnsi="Times New Roman" w:cs="Times New Roman"/>
          <w:lang w:eastAsia="pl-PL"/>
        </w:rPr>
        <w:t xml:space="preserve">Projektowane rozporządzenie wejdzie w życie </w:t>
      </w:r>
      <w:r w:rsidRPr="002F11CB">
        <w:rPr>
          <w:rFonts w:ascii="Times New Roman" w:eastAsia="Calibri" w:hAnsi="Times New Roman" w:cs="Times New Roman"/>
        </w:rPr>
        <w:t>z dniem następującym po dniu ogłoszenia. Zgodnie z</w:t>
      </w:r>
      <w:r w:rsidR="00EB2020">
        <w:rPr>
          <w:rFonts w:ascii="Times New Roman" w:eastAsia="Calibri" w:hAnsi="Times New Roman" w:cs="Times New Roman"/>
        </w:rPr>
        <w:t> </w:t>
      </w:r>
      <w:r w:rsidRPr="002F11CB">
        <w:rPr>
          <w:rFonts w:ascii="Times New Roman" w:eastAsia="Times New Roman" w:hAnsi="Times New Roman" w:cs="Times New Roman"/>
          <w:bCs/>
          <w:lang w:eastAsia="pl-PL"/>
        </w:rPr>
        <w:t>art.</w:t>
      </w:r>
      <w:r w:rsidR="00EB2020">
        <w:rPr>
          <w:rFonts w:ascii="Times New Roman" w:eastAsia="Times New Roman" w:hAnsi="Times New Roman" w:cs="Times New Roman"/>
          <w:bCs/>
          <w:lang w:eastAsia="pl-PL"/>
        </w:rPr>
        <w:t> </w:t>
      </w:r>
      <w:r w:rsidRPr="002F11CB">
        <w:rPr>
          <w:rFonts w:ascii="Times New Roman" w:eastAsia="Times New Roman" w:hAnsi="Times New Roman" w:cs="Times New Roman"/>
          <w:bCs/>
          <w:lang w:eastAsia="pl-PL"/>
        </w:rPr>
        <w:t>4 ust. 1 ustawy z dnia 20 lipca 2000 r. o ogłaszaniu aktów normatywnych i niektórych innych aktów prawnych</w:t>
      </w:r>
      <w:r w:rsidRPr="002F11CB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r w:rsidRPr="002F11CB">
        <w:rPr>
          <w:rFonts w:ascii="Times New Roman" w:eastAsia="Times New Roman" w:hAnsi="Times New Roman" w:cs="Times New Roman"/>
          <w:bCs/>
          <w:lang w:eastAsia="pl-PL"/>
        </w:rPr>
        <w:t>(Dz. U. z 2019 r. poz. 1461)</w:t>
      </w:r>
      <w:r w:rsidRPr="002F11CB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r w:rsidRPr="002F11CB">
        <w:rPr>
          <w:rFonts w:ascii="Times New Roman" w:eastAsia="Times New Roman" w:hAnsi="Times New Roman" w:cs="Times New Roman"/>
          <w:bCs/>
          <w:lang w:eastAsia="pl-PL"/>
        </w:rPr>
        <w:t xml:space="preserve">standardowy okres </w:t>
      </w:r>
      <w:r w:rsidRPr="002F11CB">
        <w:rPr>
          <w:rFonts w:ascii="Times New Roman" w:eastAsia="Times New Roman" w:hAnsi="Times New Roman" w:cs="Times New Roman"/>
          <w:bCs/>
          <w:i/>
          <w:lang w:eastAsia="pl-PL"/>
        </w:rPr>
        <w:t>vacatio legis</w:t>
      </w:r>
      <w:r w:rsidRPr="002F11CB">
        <w:rPr>
          <w:rFonts w:ascii="Times New Roman" w:eastAsia="Times New Roman" w:hAnsi="Times New Roman" w:cs="Times New Roman"/>
          <w:bCs/>
          <w:lang w:eastAsia="pl-PL"/>
        </w:rPr>
        <w:t xml:space="preserve"> wynosi 14 dni, natomiast zgodnie z ust. 2, w uzasadnionych przypadkach, termin ten może zostać skrócony. W ocenie organu wydającego projektowane rozporządzenie, uzasadnionym jest skrócenie terminu wejścia w życie tego aktu normatywnego z uwagi na pilną konieczność zapewnienia podstaw prawnych dla udzielania pomocy publicznej na realizację </w:t>
      </w:r>
      <w:r w:rsidR="009E5028">
        <w:rPr>
          <w:rFonts w:ascii="Times New Roman" w:eastAsia="Times New Roman" w:hAnsi="Times New Roman" w:cs="Times New Roman"/>
          <w:bCs/>
          <w:lang w:eastAsia="pl-PL"/>
        </w:rPr>
        <w:t>przedsięwzięć</w:t>
      </w:r>
      <w:r w:rsidR="009E5028" w:rsidRPr="002F11C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F11CB">
        <w:rPr>
          <w:rFonts w:ascii="Times New Roman" w:eastAsia="Times New Roman" w:hAnsi="Times New Roman" w:cs="Times New Roman"/>
          <w:bCs/>
          <w:lang w:eastAsia="pl-PL"/>
        </w:rPr>
        <w:t xml:space="preserve">w zakresie </w:t>
      </w:r>
      <w:r w:rsidR="009E5028">
        <w:rPr>
          <w:rFonts w:ascii="Times New Roman" w:eastAsia="Times New Roman" w:hAnsi="Times New Roman" w:cs="Times New Roman"/>
          <w:bCs/>
          <w:lang w:eastAsia="pl-PL"/>
        </w:rPr>
        <w:t xml:space="preserve">wyposażenia </w:t>
      </w:r>
      <w:r w:rsidR="009E5028" w:rsidRPr="009E5028">
        <w:rPr>
          <w:rFonts w:ascii="Times New Roman" w:eastAsia="Times New Roman" w:hAnsi="Times New Roman" w:cs="Times New Roman"/>
          <w:bCs/>
          <w:lang w:eastAsia="pl-PL"/>
        </w:rPr>
        <w:t>pojazdów kolejowych z</w:t>
      </w:r>
      <w:r w:rsidR="0021548E">
        <w:rPr>
          <w:rFonts w:ascii="Times New Roman" w:eastAsia="Times New Roman" w:hAnsi="Times New Roman" w:cs="Times New Roman"/>
          <w:bCs/>
          <w:lang w:eastAsia="pl-PL"/>
        </w:rPr>
        <w:t> </w:t>
      </w:r>
      <w:r w:rsidR="009E5028" w:rsidRPr="009E5028">
        <w:rPr>
          <w:rFonts w:ascii="Times New Roman" w:eastAsia="Times New Roman" w:hAnsi="Times New Roman" w:cs="Times New Roman"/>
          <w:bCs/>
          <w:lang w:eastAsia="pl-PL"/>
        </w:rPr>
        <w:t>napędem</w:t>
      </w:r>
      <w:r w:rsidR="0094146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41461">
        <w:rPr>
          <w:rFonts w:ascii="Times New Roman" w:hAnsi="Times New Roman"/>
        </w:rPr>
        <w:t xml:space="preserve">lub </w:t>
      </w:r>
      <w:r w:rsidR="001E76C7">
        <w:rPr>
          <w:rFonts w:ascii="Times New Roman" w:hAnsi="Times New Roman"/>
        </w:rPr>
        <w:t>z</w:t>
      </w:r>
      <w:r w:rsidR="00941461">
        <w:rPr>
          <w:rFonts w:ascii="Times New Roman" w:hAnsi="Times New Roman"/>
        </w:rPr>
        <w:t xml:space="preserve"> kabin</w:t>
      </w:r>
      <w:r w:rsidR="001E76C7">
        <w:rPr>
          <w:rFonts w:ascii="Times New Roman" w:hAnsi="Times New Roman"/>
        </w:rPr>
        <w:t>ą</w:t>
      </w:r>
      <w:r w:rsidR="00941461">
        <w:rPr>
          <w:rFonts w:ascii="Times New Roman" w:hAnsi="Times New Roman"/>
        </w:rPr>
        <w:t xml:space="preserve"> sterowniczą</w:t>
      </w:r>
      <w:r w:rsidR="009E5028" w:rsidRPr="009E5028">
        <w:rPr>
          <w:rFonts w:ascii="Times New Roman" w:eastAsia="Times New Roman" w:hAnsi="Times New Roman" w:cs="Times New Roman"/>
          <w:bCs/>
          <w:lang w:eastAsia="pl-PL"/>
        </w:rPr>
        <w:t xml:space="preserve"> w</w:t>
      </w:r>
      <w:r w:rsidRPr="002F11C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E5028">
        <w:rPr>
          <w:rFonts w:ascii="Times New Roman" w:eastAsia="Times New Roman" w:hAnsi="Times New Roman" w:cs="Times New Roman"/>
          <w:bCs/>
          <w:lang w:eastAsia="pl-PL"/>
        </w:rPr>
        <w:t xml:space="preserve">system ERTMS </w:t>
      </w:r>
      <w:r w:rsidRPr="002F11CB">
        <w:rPr>
          <w:rFonts w:ascii="Times New Roman" w:eastAsia="Times New Roman" w:hAnsi="Times New Roman" w:cs="Times New Roman"/>
          <w:bCs/>
          <w:lang w:eastAsia="pl-PL"/>
        </w:rPr>
        <w:t>w ramach KPO. Wprowadzeniu takiego rozwiązania nie stoją na przeszkodzie zasady demokratycznego państwa prawnego. Należy przy tym zaznaczyć, że wcześniejsze wejście w życie projektowanego rozporządzenia jest korzystne dla odbiorców pomocy publicznej udzielanej na jego podstawie, ponieważ pozwoli na wcześniejsze uruchomienie środków na wsparcie realizowanych przez nich przedsięwzięć.</w:t>
      </w:r>
    </w:p>
    <w:p w14:paraId="6DF0AF3B" w14:textId="77777777" w:rsidR="000432DF" w:rsidRPr="002F11CB" w:rsidRDefault="000432DF" w:rsidP="006F04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 ma </w:t>
      </w:r>
      <w:r w:rsidRPr="00B2630C">
        <w:rPr>
          <w:rFonts w:ascii="Times New Roman" w:eastAsia="Times New Roman" w:hAnsi="Times New Roman" w:cs="Times New Roman"/>
          <w:lang w:eastAsia="pl-PL"/>
        </w:rPr>
        <w:t>możliwości podjęcia alternatywnych w stosunku do wydania projektowanego rozporządzenia środków umożliwiających osiągnięcie zamierzonego celu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457F61A5" w14:textId="77777777" w:rsidR="000432DF" w:rsidRDefault="000432DF" w:rsidP="006F043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26894">
        <w:rPr>
          <w:rFonts w:ascii="Times New Roman" w:eastAsia="Times New Roman" w:hAnsi="Times New Roman" w:cs="Times New Roman"/>
          <w:bCs/>
          <w:lang w:eastAsia="pl-PL"/>
        </w:rPr>
        <w:t>Projekt</w:t>
      </w:r>
      <w:r>
        <w:rPr>
          <w:rFonts w:ascii="Times New Roman" w:eastAsia="Times New Roman" w:hAnsi="Times New Roman" w:cs="Times New Roman"/>
          <w:bCs/>
          <w:lang w:eastAsia="pl-PL"/>
        </w:rPr>
        <w:t>owane</w:t>
      </w:r>
      <w:r w:rsidRPr="00026894">
        <w:rPr>
          <w:rFonts w:ascii="Times New Roman" w:eastAsia="Times New Roman" w:hAnsi="Times New Roman" w:cs="Times New Roman"/>
          <w:bCs/>
          <w:lang w:eastAsia="pl-PL"/>
        </w:rPr>
        <w:t xml:space="preserve"> rozporządzeni</w:t>
      </w:r>
      <w:r>
        <w:rPr>
          <w:rFonts w:ascii="Times New Roman" w:eastAsia="Times New Roman" w:hAnsi="Times New Roman" w:cs="Times New Roman"/>
          <w:bCs/>
          <w:lang w:eastAsia="pl-PL"/>
        </w:rPr>
        <w:t>e</w:t>
      </w:r>
      <w:r w:rsidRPr="00026894">
        <w:rPr>
          <w:rFonts w:ascii="Times New Roman" w:eastAsia="Times New Roman" w:hAnsi="Times New Roman" w:cs="Times New Roman"/>
          <w:bCs/>
          <w:lang w:eastAsia="pl-PL"/>
        </w:rPr>
        <w:t xml:space="preserve"> jest zgodn</w:t>
      </w:r>
      <w:r>
        <w:rPr>
          <w:rFonts w:ascii="Times New Roman" w:eastAsia="Times New Roman" w:hAnsi="Times New Roman" w:cs="Times New Roman"/>
          <w:bCs/>
          <w:lang w:eastAsia="pl-PL"/>
        </w:rPr>
        <w:t>e</w:t>
      </w:r>
      <w:r w:rsidRPr="00026894">
        <w:rPr>
          <w:rFonts w:ascii="Times New Roman" w:eastAsia="Times New Roman" w:hAnsi="Times New Roman" w:cs="Times New Roman"/>
          <w:bCs/>
          <w:lang w:eastAsia="pl-PL"/>
        </w:rPr>
        <w:t xml:space="preserve"> z prawem Unii Europejskiej.</w:t>
      </w:r>
    </w:p>
    <w:p w14:paraId="42D1D07B" w14:textId="77777777" w:rsidR="000432DF" w:rsidRPr="002F11CB" w:rsidRDefault="000432DF" w:rsidP="006F043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F11CB">
        <w:rPr>
          <w:rFonts w:ascii="Times New Roman" w:eastAsia="Times New Roman" w:hAnsi="Times New Roman" w:cs="Times New Roman"/>
          <w:bCs/>
          <w:lang w:eastAsia="pl-PL"/>
        </w:rPr>
        <w:t>Projektowane rozporządzenie nie zawiera norm technicznych w rozumieniu przepisów rozporządzenia Rady Ministrów z dnia 23 grudnia 2002 r. w sprawie sposobu funkcjonowania krajowego systemu notyfikacji norm i aktów prawnych</w:t>
      </w:r>
      <w:r w:rsidRPr="002F11CB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r w:rsidRPr="002F11CB">
        <w:rPr>
          <w:rFonts w:ascii="Times New Roman" w:eastAsia="Times New Roman" w:hAnsi="Times New Roman" w:cs="Times New Roman"/>
          <w:bCs/>
          <w:lang w:eastAsia="pl-PL"/>
        </w:rPr>
        <w:t>(Dz. U. poz. 2039, z późn. zm.), dlatego nie podlega notyfikacji Komisji Europejskiej w tym zakresie.</w:t>
      </w:r>
    </w:p>
    <w:p w14:paraId="78AF0871" w14:textId="72B62A8B" w:rsidR="00FE6BB7" w:rsidRDefault="000432DF" w:rsidP="006F043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1CB">
        <w:rPr>
          <w:rFonts w:ascii="Times New Roman" w:eastAsia="Times New Roman" w:hAnsi="Times New Roman" w:cs="Times New Roman"/>
          <w:lang w:eastAsia="pl-PL"/>
        </w:rPr>
        <w:t>Projekt</w:t>
      </w:r>
      <w:r>
        <w:rPr>
          <w:rFonts w:ascii="Times New Roman" w:eastAsia="Times New Roman" w:hAnsi="Times New Roman" w:cs="Times New Roman"/>
          <w:lang w:eastAsia="pl-PL"/>
        </w:rPr>
        <w:t xml:space="preserve"> rozporządzenia, jako program pomocowy, </w:t>
      </w:r>
      <w:r w:rsidRPr="002F11CB">
        <w:rPr>
          <w:rFonts w:ascii="Times New Roman" w:eastAsia="Times New Roman" w:hAnsi="Times New Roman" w:cs="Times New Roman"/>
          <w:lang w:eastAsia="pl-PL"/>
        </w:rPr>
        <w:t>podlega notyfikacji Komisji Europejskiej w</w:t>
      </w:r>
      <w:r w:rsidR="00CF7D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11CB">
        <w:rPr>
          <w:rFonts w:ascii="Times New Roman" w:eastAsia="Times New Roman" w:hAnsi="Times New Roman" w:cs="Times New Roman"/>
          <w:lang w:eastAsia="pl-PL"/>
        </w:rPr>
        <w:t xml:space="preserve">trybie </w:t>
      </w:r>
      <w:r w:rsidRPr="002F11CB">
        <w:rPr>
          <w:rFonts w:ascii="Times New Roman" w:eastAsia="Times New Roman" w:hAnsi="Times New Roman" w:cs="Times New Roman"/>
          <w:lang w:eastAsia="pl-PL"/>
        </w:rPr>
        <w:lastRenderedPageBreak/>
        <w:t>ustawy z dnia 30 kwietnia 2004 r. o postępowaniu w sprawach dotyczących pomocy publicznej</w:t>
      </w:r>
      <w:r w:rsidRPr="002F11C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2F11CB">
        <w:rPr>
          <w:rFonts w:ascii="Times New Roman" w:eastAsia="Times New Roman" w:hAnsi="Times New Roman" w:cs="Times New Roman"/>
          <w:lang w:eastAsia="pl-PL"/>
        </w:rPr>
        <w:t>(</w:t>
      </w:r>
      <w:r w:rsidRPr="002F11CB">
        <w:rPr>
          <w:rStyle w:val="markedcontent"/>
          <w:rFonts w:ascii="Times New Roman" w:hAnsi="Times New Roman" w:cs="Times New Roman"/>
        </w:rPr>
        <w:t xml:space="preserve">Dz. U. z </w:t>
      </w:r>
      <w:r w:rsidR="0092501B" w:rsidRPr="002F11CB">
        <w:rPr>
          <w:rStyle w:val="markedcontent"/>
          <w:rFonts w:ascii="Times New Roman" w:hAnsi="Times New Roman" w:cs="Times New Roman"/>
        </w:rPr>
        <w:t>202</w:t>
      </w:r>
      <w:r w:rsidR="0092501B">
        <w:rPr>
          <w:rStyle w:val="markedcontent"/>
          <w:rFonts w:ascii="Times New Roman" w:hAnsi="Times New Roman" w:cs="Times New Roman"/>
        </w:rPr>
        <w:t>3</w:t>
      </w:r>
      <w:r w:rsidR="0092501B" w:rsidRPr="002F11CB">
        <w:rPr>
          <w:rStyle w:val="markedcontent"/>
          <w:rFonts w:ascii="Times New Roman" w:hAnsi="Times New Roman" w:cs="Times New Roman"/>
        </w:rPr>
        <w:t xml:space="preserve"> </w:t>
      </w:r>
      <w:r w:rsidRPr="002F11CB">
        <w:rPr>
          <w:rStyle w:val="markedcontent"/>
          <w:rFonts w:ascii="Times New Roman" w:hAnsi="Times New Roman" w:cs="Times New Roman"/>
        </w:rPr>
        <w:t>r.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2F11CB">
        <w:rPr>
          <w:rStyle w:val="markedcontent"/>
          <w:rFonts w:ascii="Times New Roman" w:hAnsi="Times New Roman" w:cs="Times New Roman"/>
        </w:rPr>
        <w:t>poz.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2F11CB">
        <w:rPr>
          <w:rStyle w:val="markedcontent"/>
          <w:rFonts w:ascii="Times New Roman" w:hAnsi="Times New Roman" w:cs="Times New Roman"/>
        </w:rPr>
        <w:t>7</w:t>
      </w:r>
      <w:r w:rsidR="0092501B">
        <w:rPr>
          <w:rStyle w:val="markedcontent"/>
          <w:rFonts w:ascii="Times New Roman" w:hAnsi="Times New Roman" w:cs="Times New Roman"/>
        </w:rPr>
        <w:t>02</w:t>
      </w:r>
      <w:r w:rsidRPr="002F11CB">
        <w:rPr>
          <w:rFonts w:ascii="Times New Roman" w:eastAsia="Times New Roman" w:hAnsi="Times New Roman" w:cs="Times New Roman"/>
          <w:lang w:eastAsia="pl-PL"/>
        </w:rPr>
        <w:t>).</w:t>
      </w:r>
    </w:p>
    <w:p w14:paraId="4D261BD7" w14:textId="02C91ECB" w:rsidR="009E5028" w:rsidRDefault="009E5028" w:rsidP="006F043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5028">
        <w:rPr>
          <w:rFonts w:ascii="Times New Roman" w:eastAsia="Times New Roman" w:hAnsi="Times New Roman" w:cs="Times New Roman"/>
          <w:lang w:eastAsia="pl-PL"/>
        </w:rPr>
        <w:t>Projekt rozporządzenia nie wymaga przedstawienia właściwym organom i instytucjom Unii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E5028">
        <w:rPr>
          <w:rFonts w:ascii="Times New Roman" w:eastAsia="Times New Roman" w:hAnsi="Times New Roman" w:cs="Times New Roman"/>
          <w:lang w:eastAsia="pl-PL"/>
        </w:rPr>
        <w:t>Europejskiej, w tym Europejskiemu Bankowi Centralnemu, w celu uzyskania opinii, dokonania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E5028">
        <w:rPr>
          <w:rFonts w:ascii="Times New Roman" w:eastAsia="Times New Roman" w:hAnsi="Times New Roman" w:cs="Times New Roman"/>
          <w:lang w:eastAsia="pl-PL"/>
        </w:rPr>
        <w:t>powiadomienia, konsultacji albo uzgodnienia.</w:t>
      </w:r>
    </w:p>
    <w:p w14:paraId="27D37A58" w14:textId="5228943A" w:rsidR="000432DF" w:rsidRPr="002F11CB" w:rsidRDefault="000432DF" w:rsidP="006F043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F11CB">
        <w:rPr>
          <w:rFonts w:ascii="Times New Roman" w:eastAsia="Times New Roman" w:hAnsi="Times New Roman" w:cs="Times New Roman"/>
          <w:lang w:eastAsia="pl-PL"/>
        </w:rPr>
        <w:t>Projekt rozporządzenia zgodnie z art. 5 ustawy z dnia 7 lipca 2005 r. o działalności lobbingowej w</w:t>
      </w:r>
      <w:r w:rsidR="0021548E">
        <w:rPr>
          <w:rFonts w:ascii="Times New Roman" w:eastAsia="Times New Roman" w:hAnsi="Times New Roman" w:cs="Times New Roman"/>
          <w:lang w:eastAsia="pl-PL"/>
        </w:rPr>
        <w:t> </w:t>
      </w:r>
      <w:r w:rsidRPr="002F11CB">
        <w:rPr>
          <w:rFonts w:ascii="Times New Roman" w:eastAsia="Times New Roman" w:hAnsi="Times New Roman" w:cs="Times New Roman"/>
          <w:lang w:eastAsia="pl-PL"/>
        </w:rPr>
        <w:t>procesie stanowienia prawa</w:t>
      </w:r>
      <w:r w:rsidRPr="002F11C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2F11CB">
        <w:rPr>
          <w:rFonts w:ascii="Times New Roman" w:eastAsia="Times New Roman" w:hAnsi="Times New Roman" w:cs="Times New Roman"/>
          <w:lang w:eastAsia="pl-PL"/>
        </w:rPr>
        <w:t xml:space="preserve">(Dz. U. z 2017 r. poz. 248) i § 52 uchwały nr 190 Rady Ministrów z dnia 29 października 2013 r. – Regulamin pracy Rady Ministrów (M.P. z 2022 r. poz. 348) </w:t>
      </w:r>
      <w:r w:rsidR="00742607" w:rsidRPr="002F11CB">
        <w:rPr>
          <w:rFonts w:ascii="Times New Roman" w:eastAsia="Times New Roman" w:hAnsi="Times New Roman" w:cs="Times New Roman"/>
          <w:lang w:eastAsia="pl-PL"/>
        </w:rPr>
        <w:t>zosta</w:t>
      </w:r>
      <w:r w:rsidR="00742607">
        <w:rPr>
          <w:rFonts w:ascii="Times New Roman" w:eastAsia="Times New Roman" w:hAnsi="Times New Roman" w:cs="Times New Roman"/>
          <w:lang w:eastAsia="pl-PL"/>
        </w:rPr>
        <w:t>ł</w:t>
      </w:r>
      <w:r w:rsidR="00742607" w:rsidRPr="002F11C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11CB">
        <w:rPr>
          <w:rFonts w:ascii="Times New Roman" w:eastAsia="Times New Roman" w:hAnsi="Times New Roman" w:cs="Times New Roman"/>
          <w:lang w:eastAsia="pl-PL"/>
        </w:rPr>
        <w:t xml:space="preserve">udostępniony </w:t>
      </w:r>
      <w:r w:rsidRPr="002F11CB">
        <w:rPr>
          <w:rFonts w:ascii="Times New Roman" w:eastAsia="Times New Roman" w:hAnsi="Times New Roman" w:cs="Times New Roman"/>
          <w:bCs/>
          <w:lang w:eastAsia="pl-PL"/>
        </w:rPr>
        <w:t>w Biuletynie Informacji Publicznej na stronie podmiotowej Rządowego Centrum Legislacji w serwisie Rządowy Proces Legislacyjny.</w:t>
      </w:r>
    </w:p>
    <w:p w14:paraId="0CB5BF08" w14:textId="77777777" w:rsidR="000432DF" w:rsidRPr="008D0784" w:rsidRDefault="000432DF" w:rsidP="00276AB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sectPr w:rsidR="000432DF" w:rsidRPr="008D0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87EE8" w14:textId="77777777" w:rsidR="00910FED" w:rsidRDefault="00910FED" w:rsidP="00781F09">
      <w:pPr>
        <w:spacing w:after="0" w:line="240" w:lineRule="auto"/>
      </w:pPr>
      <w:r>
        <w:separator/>
      </w:r>
    </w:p>
  </w:endnote>
  <w:endnote w:type="continuationSeparator" w:id="0">
    <w:p w14:paraId="354475FC" w14:textId="77777777" w:rsidR="00910FED" w:rsidRDefault="00910FED" w:rsidP="0078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3820" w14:textId="77777777" w:rsidR="005B3200" w:rsidRDefault="005B32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2874472"/>
      <w:docPartObj>
        <w:docPartGallery w:val="Page Numbers (Bottom of Page)"/>
        <w:docPartUnique/>
      </w:docPartObj>
    </w:sdtPr>
    <w:sdtEndPr/>
    <w:sdtContent>
      <w:p w14:paraId="3673D476" w14:textId="0C197D75" w:rsidR="008F0DDE" w:rsidRDefault="008F0D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200">
          <w:rPr>
            <w:noProof/>
          </w:rPr>
          <w:t>1</w:t>
        </w:r>
        <w:r>
          <w:fldChar w:fldCharType="end"/>
        </w:r>
      </w:p>
    </w:sdtContent>
  </w:sdt>
  <w:p w14:paraId="5F6E2102" w14:textId="77777777" w:rsidR="008F0DDE" w:rsidRDefault="008F0D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FAAA7" w14:textId="77777777" w:rsidR="005B3200" w:rsidRDefault="005B32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CBEAC" w14:textId="77777777" w:rsidR="00910FED" w:rsidRDefault="00910FED" w:rsidP="00781F09">
      <w:pPr>
        <w:spacing w:after="0" w:line="240" w:lineRule="auto"/>
      </w:pPr>
      <w:r>
        <w:separator/>
      </w:r>
    </w:p>
  </w:footnote>
  <w:footnote w:type="continuationSeparator" w:id="0">
    <w:p w14:paraId="4BB2F131" w14:textId="77777777" w:rsidR="00910FED" w:rsidRDefault="00910FED" w:rsidP="00781F09">
      <w:pPr>
        <w:spacing w:after="0" w:line="240" w:lineRule="auto"/>
      </w:pPr>
      <w:r>
        <w:continuationSeparator/>
      </w:r>
    </w:p>
  </w:footnote>
  <w:footnote w:id="1">
    <w:p w14:paraId="01CE2F35" w14:textId="5B07C7F6" w:rsidR="00D4679B" w:rsidRPr="006F0430" w:rsidRDefault="00D4679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6F043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F0430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6F0430">
        <w:rPr>
          <w:rFonts w:ascii="Times New Roman" w:hAnsi="Times New Roman" w:cs="Times New Roman"/>
          <w:sz w:val="18"/>
          <w:szCs w:val="18"/>
        </w:rPr>
        <w:t xml:space="preserve"> Zapotrzebowanie rynku na urządzenia pokładowe ETCS Analiza, Urząd Transportu Kolejowego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6F0430">
        <w:rPr>
          <w:rFonts w:ascii="Times New Roman" w:hAnsi="Times New Roman" w:cs="Times New Roman"/>
          <w:sz w:val="18"/>
          <w:szCs w:val="18"/>
        </w:rPr>
        <w:t xml:space="preserve"> 2022</w:t>
      </w:r>
      <w:r>
        <w:rPr>
          <w:rFonts w:ascii="Times New Roman" w:hAnsi="Times New Roman" w:cs="Times New Roman"/>
          <w:sz w:val="18"/>
          <w:szCs w:val="18"/>
        </w:rPr>
        <w:t xml:space="preserve"> r</w:t>
      </w:r>
      <w:r w:rsidRPr="006F0430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480605D" w14:textId="44B1079A" w:rsidR="00781F09" w:rsidRPr="00ED5267" w:rsidRDefault="00781F09">
      <w:pPr>
        <w:pStyle w:val="Tekstprzypisudolnego"/>
        <w:rPr>
          <w:rFonts w:ascii="Times New Roman" w:hAnsi="Times New Roman" w:cs="Times New Roman"/>
          <w:sz w:val="18"/>
          <w:szCs w:val="18"/>
          <w:lang w:val="en-GB"/>
        </w:rPr>
      </w:pPr>
      <w:r w:rsidRPr="00B5797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3F18E9" w:rsidRPr="00ED5267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)</w:t>
      </w:r>
      <w:r w:rsidRPr="00ED5267">
        <w:rPr>
          <w:rFonts w:ascii="Times New Roman" w:hAnsi="Times New Roman" w:cs="Times New Roman"/>
          <w:sz w:val="18"/>
          <w:szCs w:val="18"/>
          <w:lang w:val="en-GB"/>
        </w:rPr>
        <w:t xml:space="preserve"> Report ERTMS Longer Term Perspective, European Railway Agency, 2015 r.</w:t>
      </w:r>
      <w:r w:rsidR="00470291" w:rsidRPr="00ED5267">
        <w:rPr>
          <w:rFonts w:ascii="Times New Roman" w:hAnsi="Times New Roman" w:cs="Times New Roman"/>
          <w:sz w:val="18"/>
          <w:szCs w:val="18"/>
          <w:lang w:val="en-GB"/>
        </w:rPr>
        <w:t>,</w:t>
      </w:r>
      <w:r w:rsidR="00865DF7" w:rsidRPr="00ED5267">
        <w:rPr>
          <w:rFonts w:ascii="Times New Roman" w:hAnsi="Times New Roman" w:cs="Times New Roman"/>
          <w:sz w:val="18"/>
          <w:szCs w:val="18"/>
          <w:lang w:val="en-GB"/>
        </w:rPr>
        <w:t xml:space="preserve"> https://www.era.europa.eu/content/report-ertms-longer-term-perspective_en</w:t>
      </w:r>
      <w:r w:rsidR="00470291" w:rsidRPr="00ED5267">
        <w:rPr>
          <w:rFonts w:ascii="Times New Roman" w:hAnsi="Times New Roman" w:cs="Times New Roman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D5360" w14:textId="77777777" w:rsidR="005B3200" w:rsidRDefault="005B32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55556" w14:textId="77777777" w:rsidR="005B3200" w:rsidRDefault="005B32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35E72" w14:textId="77777777" w:rsidR="005B3200" w:rsidRDefault="005B32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0A7"/>
    <w:multiLevelType w:val="hybridMultilevel"/>
    <w:tmpl w:val="AF1EC372"/>
    <w:lvl w:ilvl="0" w:tplc="52CAA1BA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068A1841"/>
    <w:multiLevelType w:val="hybridMultilevel"/>
    <w:tmpl w:val="6FB877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081FAF"/>
    <w:multiLevelType w:val="hybridMultilevel"/>
    <w:tmpl w:val="D6B80530"/>
    <w:lvl w:ilvl="0" w:tplc="52CAA1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84"/>
    <w:rsid w:val="000030D0"/>
    <w:rsid w:val="0001256F"/>
    <w:rsid w:val="000350A7"/>
    <w:rsid w:val="000432DF"/>
    <w:rsid w:val="00046B99"/>
    <w:rsid w:val="00047651"/>
    <w:rsid w:val="00050F4E"/>
    <w:rsid w:val="000540A5"/>
    <w:rsid w:val="00066494"/>
    <w:rsid w:val="000706CD"/>
    <w:rsid w:val="00075F64"/>
    <w:rsid w:val="000908AD"/>
    <w:rsid w:val="000A2D6F"/>
    <w:rsid w:val="000A4675"/>
    <w:rsid w:val="000B2A49"/>
    <w:rsid w:val="000B489F"/>
    <w:rsid w:val="000C3E9F"/>
    <w:rsid w:val="000C7A55"/>
    <w:rsid w:val="000D06D8"/>
    <w:rsid w:val="000D693B"/>
    <w:rsid w:val="000E04DF"/>
    <w:rsid w:val="000E07C3"/>
    <w:rsid w:val="000E7994"/>
    <w:rsid w:val="000E7F7A"/>
    <w:rsid w:val="000F6EF0"/>
    <w:rsid w:val="0010284B"/>
    <w:rsid w:val="0010736E"/>
    <w:rsid w:val="00115746"/>
    <w:rsid w:val="00124672"/>
    <w:rsid w:val="00130705"/>
    <w:rsid w:val="0013114F"/>
    <w:rsid w:val="00133317"/>
    <w:rsid w:val="001549B9"/>
    <w:rsid w:val="0015554B"/>
    <w:rsid w:val="0016316A"/>
    <w:rsid w:val="0017095C"/>
    <w:rsid w:val="00174945"/>
    <w:rsid w:val="00190BBC"/>
    <w:rsid w:val="001A4BF9"/>
    <w:rsid w:val="001B74FA"/>
    <w:rsid w:val="001C657D"/>
    <w:rsid w:val="001C6EFF"/>
    <w:rsid w:val="001C70ED"/>
    <w:rsid w:val="001D22D2"/>
    <w:rsid w:val="001E76C7"/>
    <w:rsid w:val="001F6B31"/>
    <w:rsid w:val="002044C4"/>
    <w:rsid w:val="00204BEF"/>
    <w:rsid w:val="00205FAC"/>
    <w:rsid w:val="00210046"/>
    <w:rsid w:val="00211FA5"/>
    <w:rsid w:val="002121C1"/>
    <w:rsid w:val="0021228A"/>
    <w:rsid w:val="0021548E"/>
    <w:rsid w:val="002351BE"/>
    <w:rsid w:val="002355E6"/>
    <w:rsid w:val="002376CD"/>
    <w:rsid w:val="00245BDD"/>
    <w:rsid w:val="002732B7"/>
    <w:rsid w:val="002741A6"/>
    <w:rsid w:val="00276ABC"/>
    <w:rsid w:val="002806D7"/>
    <w:rsid w:val="002927AE"/>
    <w:rsid w:val="00293F10"/>
    <w:rsid w:val="002A28A1"/>
    <w:rsid w:val="002A441B"/>
    <w:rsid w:val="002A54A2"/>
    <w:rsid w:val="002C2B8D"/>
    <w:rsid w:val="002C5A4D"/>
    <w:rsid w:val="002D1471"/>
    <w:rsid w:val="002D2988"/>
    <w:rsid w:val="002D4613"/>
    <w:rsid w:val="002D7104"/>
    <w:rsid w:val="002D7CA9"/>
    <w:rsid w:val="002E11F5"/>
    <w:rsid w:val="002E5A30"/>
    <w:rsid w:val="002E6E5A"/>
    <w:rsid w:val="002E70E1"/>
    <w:rsid w:val="002F0EB3"/>
    <w:rsid w:val="00301570"/>
    <w:rsid w:val="00302DCF"/>
    <w:rsid w:val="00322491"/>
    <w:rsid w:val="003253FC"/>
    <w:rsid w:val="00327AE5"/>
    <w:rsid w:val="003352C2"/>
    <w:rsid w:val="00343496"/>
    <w:rsid w:val="00350DDF"/>
    <w:rsid w:val="00357E89"/>
    <w:rsid w:val="003751E9"/>
    <w:rsid w:val="0038253B"/>
    <w:rsid w:val="0038686B"/>
    <w:rsid w:val="003925F3"/>
    <w:rsid w:val="003A51FA"/>
    <w:rsid w:val="003A66EF"/>
    <w:rsid w:val="003B19C0"/>
    <w:rsid w:val="003C0361"/>
    <w:rsid w:val="003C627D"/>
    <w:rsid w:val="003D0BEF"/>
    <w:rsid w:val="003D333F"/>
    <w:rsid w:val="003F18E9"/>
    <w:rsid w:val="003F5DFC"/>
    <w:rsid w:val="003F7AC7"/>
    <w:rsid w:val="004115E4"/>
    <w:rsid w:val="00420082"/>
    <w:rsid w:val="004226DB"/>
    <w:rsid w:val="004263CF"/>
    <w:rsid w:val="00431217"/>
    <w:rsid w:val="00436BD4"/>
    <w:rsid w:val="004377DD"/>
    <w:rsid w:val="004437DE"/>
    <w:rsid w:val="00444078"/>
    <w:rsid w:val="00457AE2"/>
    <w:rsid w:val="00463603"/>
    <w:rsid w:val="0046645B"/>
    <w:rsid w:val="00470291"/>
    <w:rsid w:val="00475C24"/>
    <w:rsid w:val="004763D3"/>
    <w:rsid w:val="00481AFE"/>
    <w:rsid w:val="00485E2C"/>
    <w:rsid w:val="004942E1"/>
    <w:rsid w:val="00494BBB"/>
    <w:rsid w:val="004955A6"/>
    <w:rsid w:val="004A210F"/>
    <w:rsid w:val="004A7A3E"/>
    <w:rsid w:val="004B13F8"/>
    <w:rsid w:val="004B1922"/>
    <w:rsid w:val="004B2255"/>
    <w:rsid w:val="004C13F4"/>
    <w:rsid w:val="004C5FDF"/>
    <w:rsid w:val="004C6A43"/>
    <w:rsid w:val="004C7940"/>
    <w:rsid w:val="004D7E1F"/>
    <w:rsid w:val="004E3CCB"/>
    <w:rsid w:val="004F70C0"/>
    <w:rsid w:val="005037C4"/>
    <w:rsid w:val="00506B23"/>
    <w:rsid w:val="00510239"/>
    <w:rsid w:val="00511138"/>
    <w:rsid w:val="0051615B"/>
    <w:rsid w:val="00523DD1"/>
    <w:rsid w:val="0052538E"/>
    <w:rsid w:val="00531423"/>
    <w:rsid w:val="005456BF"/>
    <w:rsid w:val="005544ED"/>
    <w:rsid w:val="00556A5E"/>
    <w:rsid w:val="00560511"/>
    <w:rsid w:val="0056171C"/>
    <w:rsid w:val="00561BD7"/>
    <w:rsid w:val="005737EC"/>
    <w:rsid w:val="00576BED"/>
    <w:rsid w:val="00590CA4"/>
    <w:rsid w:val="00592971"/>
    <w:rsid w:val="00594A28"/>
    <w:rsid w:val="005A15B5"/>
    <w:rsid w:val="005A1AD5"/>
    <w:rsid w:val="005A1ED4"/>
    <w:rsid w:val="005B1416"/>
    <w:rsid w:val="005B3200"/>
    <w:rsid w:val="005B322C"/>
    <w:rsid w:val="005B68F0"/>
    <w:rsid w:val="005C14CB"/>
    <w:rsid w:val="005C23B9"/>
    <w:rsid w:val="005C3193"/>
    <w:rsid w:val="005C6DA5"/>
    <w:rsid w:val="005D5D92"/>
    <w:rsid w:val="005E028C"/>
    <w:rsid w:val="005E0793"/>
    <w:rsid w:val="005E43D1"/>
    <w:rsid w:val="005F1D8C"/>
    <w:rsid w:val="005F7D21"/>
    <w:rsid w:val="006133BB"/>
    <w:rsid w:val="00617539"/>
    <w:rsid w:val="00626513"/>
    <w:rsid w:val="00655AE9"/>
    <w:rsid w:val="00663AEE"/>
    <w:rsid w:val="00663F37"/>
    <w:rsid w:val="006661CD"/>
    <w:rsid w:val="00675D42"/>
    <w:rsid w:val="00675FCB"/>
    <w:rsid w:val="006839A0"/>
    <w:rsid w:val="00685F81"/>
    <w:rsid w:val="00697B4C"/>
    <w:rsid w:val="006A19AF"/>
    <w:rsid w:val="006A76C2"/>
    <w:rsid w:val="006B2E69"/>
    <w:rsid w:val="006C4ACA"/>
    <w:rsid w:val="006D7082"/>
    <w:rsid w:val="006E27F0"/>
    <w:rsid w:val="006E5105"/>
    <w:rsid w:val="006E5E21"/>
    <w:rsid w:val="006F0430"/>
    <w:rsid w:val="00701FAC"/>
    <w:rsid w:val="0071225E"/>
    <w:rsid w:val="007141F4"/>
    <w:rsid w:val="007212FF"/>
    <w:rsid w:val="00723EA6"/>
    <w:rsid w:val="00730D18"/>
    <w:rsid w:val="0073643A"/>
    <w:rsid w:val="007422EF"/>
    <w:rsid w:val="00742607"/>
    <w:rsid w:val="00764E76"/>
    <w:rsid w:val="00764E81"/>
    <w:rsid w:val="00767387"/>
    <w:rsid w:val="00781F09"/>
    <w:rsid w:val="0078298B"/>
    <w:rsid w:val="00785C5E"/>
    <w:rsid w:val="0079261E"/>
    <w:rsid w:val="007A4E62"/>
    <w:rsid w:val="007C0621"/>
    <w:rsid w:val="007F1363"/>
    <w:rsid w:val="00802ABD"/>
    <w:rsid w:val="00805303"/>
    <w:rsid w:val="008069EA"/>
    <w:rsid w:val="00815480"/>
    <w:rsid w:val="008164E6"/>
    <w:rsid w:val="00823D8A"/>
    <w:rsid w:val="00824513"/>
    <w:rsid w:val="0083306D"/>
    <w:rsid w:val="00841BDE"/>
    <w:rsid w:val="00843A58"/>
    <w:rsid w:val="00862535"/>
    <w:rsid w:val="008646A0"/>
    <w:rsid w:val="00865DF7"/>
    <w:rsid w:val="00867781"/>
    <w:rsid w:val="00874F4A"/>
    <w:rsid w:val="008838F1"/>
    <w:rsid w:val="00883A18"/>
    <w:rsid w:val="008A769F"/>
    <w:rsid w:val="008B3D85"/>
    <w:rsid w:val="008C4A33"/>
    <w:rsid w:val="008C52F6"/>
    <w:rsid w:val="008D0784"/>
    <w:rsid w:val="008D0B39"/>
    <w:rsid w:val="008E2AE0"/>
    <w:rsid w:val="008E390A"/>
    <w:rsid w:val="008E4503"/>
    <w:rsid w:val="008F0DDE"/>
    <w:rsid w:val="008F5292"/>
    <w:rsid w:val="008F73EF"/>
    <w:rsid w:val="00904E29"/>
    <w:rsid w:val="00910FED"/>
    <w:rsid w:val="0092120A"/>
    <w:rsid w:val="00924F6E"/>
    <w:rsid w:val="0092501B"/>
    <w:rsid w:val="00925735"/>
    <w:rsid w:val="00934A5C"/>
    <w:rsid w:val="0094125F"/>
    <w:rsid w:val="00941461"/>
    <w:rsid w:val="0095500A"/>
    <w:rsid w:val="0096284A"/>
    <w:rsid w:val="00965ECA"/>
    <w:rsid w:val="00972E4E"/>
    <w:rsid w:val="00973888"/>
    <w:rsid w:val="00974E8B"/>
    <w:rsid w:val="00986ADF"/>
    <w:rsid w:val="009935D3"/>
    <w:rsid w:val="009B5C39"/>
    <w:rsid w:val="009B6B87"/>
    <w:rsid w:val="009B6DE6"/>
    <w:rsid w:val="009C343B"/>
    <w:rsid w:val="009C7073"/>
    <w:rsid w:val="009D05D3"/>
    <w:rsid w:val="009E229E"/>
    <w:rsid w:val="009E5028"/>
    <w:rsid w:val="009F1452"/>
    <w:rsid w:val="009F275A"/>
    <w:rsid w:val="00A0177C"/>
    <w:rsid w:val="00A10EAA"/>
    <w:rsid w:val="00A23945"/>
    <w:rsid w:val="00A23D81"/>
    <w:rsid w:val="00A27160"/>
    <w:rsid w:val="00A27383"/>
    <w:rsid w:val="00A30A2C"/>
    <w:rsid w:val="00A3637C"/>
    <w:rsid w:val="00A64551"/>
    <w:rsid w:val="00A64FB0"/>
    <w:rsid w:val="00A8007F"/>
    <w:rsid w:val="00A8541D"/>
    <w:rsid w:val="00A976B7"/>
    <w:rsid w:val="00AA2ABF"/>
    <w:rsid w:val="00AA4DC7"/>
    <w:rsid w:val="00AA622E"/>
    <w:rsid w:val="00AA6BDD"/>
    <w:rsid w:val="00AA7665"/>
    <w:rsid w:val="00AB0689"/>
    <w:rsid w:val="00AB4DB9"/>
    <w:rsid w:val="00AC6E12"/>
    <w:rsid w:val="00AC71BF"/>
    <w:rsid w:val="00AD39BE"/>
    <w:rsid w:val="00AD5BEF"/>
    <w:rsid w:val="00AD701D"/>
    <w:rsid w:val="00AE0F6C"/>
    <w:rsid w:val="00AE62C7"/>
    <w:rsid w:val="00AF1451"/>
    <w:rsid w:val="00AF4017"/>
    <w:rsid w:val="00B01CCB"/>
    <w:rsid w:val="00B06169"/>
    <w:rsid w:val="00B17433"/>
    <w:rsid w:val="00B17BAB"/>
    <w:rsid w:val="00B21F37"/>
    <w:rsid w:val="00B33034"/>
    <w:rsid w:val="00B57974"/>
    <w:rsid w:val="00B64517"/>
    <w:rsid w:val="00B7261B"/>
    <w:rsid w:val="00B749B5"/>
    <w:rsid w:val="00B750A1"/>
    <w:rsid w:val="00B82C57"/>
    <w:rsid w:val="00B82DC5"/>
    <w:rsid w:val="00B865AD"/>
    <w:rsid w:val="00BA654E"/>
    <w:rsid w:val="00BA7C3E"/>
    <w:rsid w:val="00BB331D"/>
    <w:rsid w:val="00BE26E7"/>
    <w:rsid w:val="00BE37B2"/>
    <w:rsid w:val="00BE5180"/>
    <w:rsid w:val="00BE78DD"/>
    <w:rsid w:val="00C05834"/>
    <w:rsid w:val="00C05863"/>
    <w:rsid w:val="00C12230"/>
    <w:rsid w:val="00C12340"/>
    <w:rsid w:val="00C230BE"/>
    <w:rsid w:val="00C32963"/>
    <w:rsid w:val="00C56140"/>
    <w:rsid w:val="00C5780A"/>
    <w:rsid w:val="00C77C8D"/>
    <w:rsid w:val="00C82071"/>
    <w:rsid w:val="00C85C83"/>
    <w:rsid w:val="00C903F4"/>
    <w:rsid w:val="00CA344B"/>
    <w:rsid w:val="00CA5DC5"/>
    <w:rsid w:val="00CC0076"/>
    <w:rsid w:val="00CE54C1"/>
    <w:rsid w:val="00CE66CE"/>
    <w:rsid w:val="00CE71EE"/>
    <w:rsid w:val="00CF05E4"/>
    <w:rsid w:val="00CF68D7"/>
    <w:rsid w:val="00CF7D3C"/>
    <w:rsid w:val="00D05C84"/>
    <w:rsid w:val="00D11C64"/>
    <w:rsid w:val="00D17ADD"/>
    <w:rsid w:val="00D20B66"/>
    <w:rsid w:val="00D43771"/>
    <w:rsid w:val="00D4679B"/>
    <w:rsid w:val="00D76310"/>
    <w:rsid w:val="00D766F6"/>
    <w:rsid w:val="00DA097E"/>
    <w:rsid w:val="00DB241E"/>
    <w:rsid w:val="00DC0E77"/>
    <w:rsid w:val="00DC380A"/>
    <w:rsid w:val="00DC7E28"/>
    <w:rsid w:val="00DF1174"/>
    <w:rsid w:val="00DF1A7C"/>
    <w:rsid w:val="00DF5610"/>
    <w:rsid w:val="00E1190F"/>
    <w:rsid w:val="00E20A61"/>
    <w:rsid w:val="00E274A8"/>
    <w:rsid w:val="00E35DDA"/>
    <w:rsid w:val="00E4409C"/>
    <w:rsid w:val="00E51297"/>
    <w:rsid w:val="00E521C7"/>
    <w:rsid w:val="00E5605F"/>
    <w:rsid w:val="00E56388"/>
    <w:rsid w:val="00E56482"/>
    <w:rsid w:val="00E64E1D"/>
    <w:rsid w:val="00E83CA9"/>
    <w:rsid w:val="00E84C02"/>
    <w:rsid w:val="00E857FF"/>
    <w:rsid w:val="00E866CC"/>
    <w:rsid w:val="00E93475"/>
    <w:rsid w:val="00EA5C74"/>
    <w:rsid w:val="00EB0A65"/>
    <w:rsid w:val="00EB1FCF"/>
    <w:rsid w:val="00EB2020"/>
    <w:rsid w:val="00EC3074"/>
    <w:rsid w:val="00ED046E"/>
    <w:rsid w:val="00ED5267"/>
    <w:rsid w:val="00ED545C"/>
    <w:rsid w:val="00ED6228"/>
    <w:rsid w:val="00ED622D"/>
    <w:rsid w:val="00ED6A7E"/>
    <w:rsid w:val="00EF666E"/>
    <w:rsid w:val="00F01C6F"/>
    <w:rsid w:val="00F01EF8"/>
    <w:rsid w:val="00F052CA"/>
    <w:rsid w:val="00F12EB5"/>
    <w:rsid w:val="00F130BC"/>
    <w:rsid w:val="00F21C33"/>
    <w:rsid w:val="00F3120E"/>
    <w:rsid w:val="00F53E5C"/>
    <w:rsid w:val="00F62B75"/>
    <w:rsid w:val="00F640D2"/>
    <w:rsid w:val="00F65B60"/>
    <w:rsid w:val="00F71E3C"/>
    <w:rsid w:val="00F76CBF"/>
    <w:rsid w:val="00F83FE9"/>
    <w:rsid w:val="00F87E6C"/>
    <w:rsid w:val="00F87F16"/>
    <w:rsid w:val="00F9227F"/>
    <w:rsid w:val="00F941C1"/>
    <w:rsid w:val="00F965BD"/>
    <w:rsid w:val="00FA6C27"/>
    <w:rsid w:val="00FB473A"/>
    <w:rsid w:val="00FD6A5A"/>
    <w:rsid w:val="00FE2DCF"/>
    <w:rsid w:val="00FE44C4"/>
    <w:rsid w:val="00FE6BB7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AF2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6E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BB33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33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33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3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31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1F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1F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1F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1F0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432DF"/>
  </w:style>
  <w:style w:type="character" w:customStyle="1" w:styleId="ui-provider">
    <w:name w:val="ui-provider"/>
    <w:basedOn w:val="Domylnaczcionkaakapitu"/>
    <w:rsid w:val="00133317"/>
  </w:style>
  <w:style w:type="paragraph" w:styleId="Nagwek">
    <w:name w:val="header"/>
    <w:basedOn w:val="Normalny"/>
    <w:link w:val="NagwekZnak"/>
    <w:uiPriority w:val="99"/>
    <w:unhideWhenUsed/>
    <w:rsid w:val="00816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4E6"/>
  </w:style>
  <w:style w:type="paragraph" w:styleId="Stopka">
    <w:name w:val="footer"/>
    <w:basedOn w:val="Normalny"/>
    <w:link w:val="StopkaZnak"/>
    <w:uiPriority w:val="99"/>
    <w:unhideWhenUsed/>
    <w:rsid w:val="00816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4E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A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A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A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12E1A-D4B7-4928-9B7A-8407BE46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3092</Words>
  <Characters>18558</Characters>
  <Application>Microsoft Office Word</Application>
  <DocSecurity>0</DocSecurity>
  <Lines>154</Lines>
  <Paragraphs>43</Paragraphs>
  <ScaleCrop>false</ScaleCrop>
  <Company/>
  <LinksUpToDate>false</LinksUpToDate>
  <CharactersWithSpaces>21607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2024-02-06T13:15:00Z</dcterms:created>
  <dcterms:modified xsi:type="dcterms:W3CDTF">2024-02-06T13:15:00Z</dcterms:modified>
</cp:coreProperties>
</file>