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9F0E" w14:textId="59E99172" w:rsidR="00E677DF" w:rsidRDefault="00E677DF" w:rsidP="00E677DF">
      <w:pPr>
        <w:jc w:val="center"/>
        <w:rPr>
          <w:rFonts w:eastAsiaTheme="minorEastAsia" w:cs="Arial"/>
          <w:b/>
          <w:szCs w:val="20"/>
        </w:rPr>
      </w:pPr>
    </w:p>
    <w:tbl>
      <w:tblPr>
        <w:tblpPr w:leftFromText="180" w:rightFromText="180" w:vertAnchor="text" w:horzAnchor="margin" w:tblpXSpec="center" w:tblpY="275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E677DF" w:rsidRPr="00E64819" w14:paraId="78321946" w14:textId="77777777" w:rsidTr="00712862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3B21C6DC" w14:textId="77777777" w:rsidR="00E677DF" w:rsidRPr="00222448" w:rsidRDefault="00E677DF" w:rsidP="00712862">
            <w:pPr>
              <w:spacing w:before="120"/>
              <w:ind w:hanging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2244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projektu</w:t>
            </w:r>
          </w:p>
          <w:p w14:paraId="564FD77E" w14:textId="3AA65753" w:rsidR="00C00B94" w:rsidRPr="00222448" w:rsidRDefault="00E677DF" w:rsidP="00C00B94">
            <w:pPr>
              <w:rPr>
                <w:sz w:val="22"/>
                <w:szCs w:val="22"/>
              </w:rPr>
            </w:pPr>
            <w:r w:rsidRPr="00222448">
              <w:rPr>
                <w:rFonts w:eastAsia="Calibri"/>
                <w:sz w:val="22"/>
                <w:szCs w:val="22"/>
                <w:lang w:eastAsia="en-US"/>
              </w:rPr>
              <w:t>Projekt</w:t>
            </w:r>
            <w:r w:rsidR="00C00B94" w:rsidRPr="00222448">
              <w:rPr>
                <w:b/>
                <w:bCs/>
                <w:sz w:val="22"/>
                <w:szCs w:val="22"/>
              </w:rPr>
              <w:t xml:space="preserve"> </w:t>
            </w:r>
            <w:r w:rsidR="00C00B94" w:rsidRPr="00222448">
              <w:rPr>
                <w:sz w:val="22"/>
                <w:szCs w:val="22"/>
              </w:rPr>
              <w:t xml:space="preserve">rozporządzenia </w:t>
            </w:r>
            <w:r w:rsidR="00222448" w:rsidRPr="00222448">
              <w:rPr>
                <w:sz w:val="22"/>
                <w:szCs w:val="22"/>
              </w:rPr>
              <w:t xml:space="preserve">Ministra Klimatu i Środowiska </w:t>
            </w:r>
            <w:r w:rsidR="00C00B94" w:rsidRPr="00222448">
              <w:rPr>
                <w:sz w:val="22"/>
                <w:szCs w:val="22"/>
              </w:rPr>
              <w:t>zmieniającego rozporządzenie w sprawie maksymalnych wartości kosztów inwestycyjnych oraz kosztów operacyjnych wybudowania i funkcjonowania nowej porównywalnej jednostki kogeneracji</w:t>
            </w:r>
          </w:p>
          <w:p w14:paraId="4C08082D" w14:textId="77777777" w:rsidR="00744CBA" w:rsidRPr="00222448" w:rsidRDefault="00744CBA" w:rsidP="00712862">
            <w:pPr>
              <w:spacing w:before="120"/>
              <w:ind w:hanging="4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5D98D83F" w14:textId="14FC8F1C" w:rsidR="00E677DF" w:rsidRPr="00222448" w:rsidRDefault="00E677DF" w:rsidP="00712862">
            <w:pPr>
              <w:ind w:left="-45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2244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  <w:r w:rsidR="00AD3980" w:rsidRPr="0022244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  <w:p w14:paraId="7A2795A3" w14:textId="69A4D457" w:rsidR="00AD3980" w:rsidRPr="00222448" w:rsidRDefault="00AD3980" w:rsidP="00AD3980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2244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Ministerstwo Klimatu i Środowiska</w:t>
            </w:r>
          </w:p>
          <w:p w14:paraId="52E0344A" w14:textId="77777777" w:rsidR="00AD3980" w:rsidRPr="00222448" w:rsidRDefault="00AD3980" w:rsidP="00AD3980">
            <w:pPr>
              <w:ind w:hanging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3D2A5194" w14:textId="77777777" w:rsidR="00E677DF" w:rsidRPr="00222448" w:rsidRDefault="00E677DF" w:rsidP="0071286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2448">
              <w:rPr>
                <w:rFonts w:eastAsia="Calibri"/>
                <w:b/>
                <w:sz w:val="22"/>
                <w:szCs w:val="22"/>
                <w:lang w:eastAsia="en-US"/>
              </w:rPr>
              <w:t xml:space="preserve">Osoba odpowiedzialna za projekt w randze Ministra, Sekretarza Stanu lub Podsekretarza Stanu </w:t>
            </w:r>
          </w:p>
          <w:p w14:paraId="1B887E46" w14:textId="1EC85213" w:rsidR="00E677DF" w:rsidRPr="00222448" w:rsidRDefault="00744CBA" w:rsidP="007128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22448">
              <w:rPr>
                <w:rFonts w:eastAsia="Calibri"/>
                <w:sz w:val="22"/>
                <w:szCs w:val="22"/>
                <w:lang w:eastAsia="en-US"/>
              </w:rPr>
              <w:t>Anna Moskwa, Minister Klimatu i Środowiska</w:t>
            </w:r>
            <w:r w:rsidR="00E677DF" w:rsidRPr="00222448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5E60FF4C" w14:textId="77777777" w:rsidR="00E677DF" w:rsidRPr="00222448" w:rsidRDefault="00E677DF" w:rsidP="00712862">
            <w:pPr>
              <w:spacing w:before="120"/>
              <w:ind w:hanging="45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2244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5DE9E4CF" w14:textId="4915E3BC" w:rsidR="00744CBA" w:rsidRPr="00222448" w:rsidRDefault="00744CBA" w:rsidP="00712862">
            <w:pPr>
              <w:spacing w:before="120"/>
              <w:ind w:hanging="45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2244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Paweł Bogusławski (adres e-mail:pawel.boguslawski@klimat.gov.pl</w:t>
            </w:r>
            <w:r w:rsidR="00AD3980" w:rsidRPr="0022244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  <w:p w14:paraId="4A2EE578" w14:textId="6BE3B084" w:rsidR="00E677DF" w:rsidRPr="00D01E65" w:rsidRDefault="00E677DF" w:rsidP="00712862">
            <w:pPr>
              <w:ind w:hanging="34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042604CA" w14:textId="03C9AD6B" w:rsidR="00E677DF" w:rsidRPr="00E64819" w:rsidRDefault="00E677DF" w:rsidP="00712862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b/>
                <w:sz w:val="21"/>
                <w:szCs w:val="21"/>
                <w:lang w:eastAsia="en-US"/>
              </w:rPr>
              <w:t>Data sporządzenia</w:t>
            </w:r>
            <w:r w:rsidRPr="00E64819">
              <w:rPr>
                <w:rFonts w:eastAsia="Calibri"/>
                <w:b/>
                <w:sz w:val="21"/>
                <w:szCs w:val="21"/>
                <w:lang w:eastAsia="en-US"/>
              </w:rPr>
              <w:br/>
            </w:r>
            <w:r w:rsidR="00222448">
              <w:rPr>
                <w:rFonts w:eastAsia="Calibri"/>
                <w:sz w:val="21"/>
                <w:szCs w:val="21"/>
                <w:lang w:eastAsia="en-US"/>
              </w:rPr>
              <w:t>31 sierpnia 2023 r.</w:t>
            </w:r>
          </w:p>
          <w:p w14:paraId="419264D7" w14:textId="77777777" w:rsidR="00E677DF" w:rsidRPr="00E64819" w:rsidRDefault="00E677DF" w:rsidP="0071286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FF96B29" w14:textId="484FC22B" w:rsidR="00AD3980" w:rsidRDefault="00E677DF" w:rsidP="00AD39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b/>
                <w:sz w:val="22"/>
                <w:szCs w:val="22"/>
                <w:lang w:eastAsia="en-US"/>
              </w:rPr>
              <w:t xml:space="preserve">Źródło: </w:t>
            </w:r>
          </w:p>
          <w:p w14:paraId="58E02F4E" w14:textId="2C698DBB" w:rsidR="00E677DF" w:rsidRPr="00E64819" w:rsidRDefault="00AD3980" w:rsidP="00712862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Upoważnienie ustawowe</w:t>
            </w:r>
            <w:r w:rsidR="00E677DF" w:rsidRPr="00E64819">
              <w:rPr>
                <w:rFonts w:eastAsia="Calibri"/>
                <w:sz w:val="22"/>
                <w:szCs w:val="22"/>
                <w:lang w:eastAsia="en-US"/>
              </w:rPr>
              <w:t xml:space="preserve">: art. 59 ust. 3 </w:t>
            </w:r>
            <w:r w:rsidR="00E677DF" w:rsidRPr="00744CBA">
              <w:rPr>
                <w:rFonts w:eastAsia="Calibri"/>
                <w:sz w:val="22"/>
                <w:szCs w:val="22"/>
                <w:lang w:eastAsia="en-US"/>
              </w:rPr>
              <w:t xml:space="preserve">ustawy z dnia </w:t>
            </w:r>
            <w:r w:rsidR="00744CBA" w:rsidRPr="00744CBA">
              <w:rPr>
                <w:rFonts w:eastAsia="Calibri"/>
                <w:sz w:val="22"/>
                <w:szCs w:val="22"/>
                <w:lang w:eastAsia="en-US"/>
              </w:rPr>
              <w:t>14 grudnia 2018 r. o promowaniu energii elektrycznej z wysokosprawnej kogeneracji (Dz.U. z 2022 r. poz. 553</w:t>
            </w:r>
            <w:r w:rsidR="00A762B3">
              <w:rPr>
                <w:rFonts w:eastAsia="Calibri"/>
                <w:sz w:val="22"/>
                <w:szCs w:val="22"/>
                <w:lang w:eastAsia="en-US"/>
              </w:rPr>
              <w:t xml:space="preserve"> oraz z 2023 r. poz.1681</w:t>
            </w:r>
            <w:r w:rsidR="00744CBA" w:rsidRPr="00744CBA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14:paraId="2B83B634" w14:textId="778C5BC3" w:rsidR="00E677DF" w:rsidRPr="00E64819" w:rsidRDefault="00E677DF" w:rsidP="00712862">
            <w:pPr>
              <w:spacing w:before="12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Nr w </w:t>
            </w:r>
            <w:r w:rsidR="0022244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</w:t>
            </w:r>
            <w:r w:rsidRPr="00E6481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ykazie prac Ministra </w:t>
            </w:r>
            <w:r w:rsidR="004370C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Klimatu i Środowiska</w:t>
            </w:r>
            <w:r w:rsidR="00744CB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:</w:t>
            </w:r>
            <w:r w:rsidR="004370C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01E65" w:rsidRPr="0022244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1123</w:t>
            </w:r>
          </w:p>
          <w:p w14:paraId="76F1ADD2" w14:textId="07C2168D" w:rsidR="00E677DF" w:rsidRPr="00E64819" w:rsidRDefault="00E677DF" w:rsidP="0071286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30A655B0" w14:textId="77777777" w:rsidR="00E677DF" w:rsidRPr="00E64819" w:rsidRDefault="00E677DF" w:rsidP="00712862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677DF" w:rsidRPr="00E64819" w14:paraId="72E93874" w14:textId="77777777" w:rsidTr="0071286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500988D" w14:textId="77777777" w:rsidR="00E677DF" w:rsidRPr="00E64819" w:rsidRDefault="00E677DF" w:rsidP="00712862">
            <w:pPr>
              <w:ind w:left="57"/>
              <w:jc w:val="center"/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</w:pPr>
            <w:r w:rsidRPr="00E64819"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E677DF" w:rsidRPr="00E64819" w14:paraId="265E3CB7" w14:textId="77777777" w:rsidTr="00712862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827B52B" w14:textId="77777777" w:rsidR="00E677DF" w:rsidRPr="00E64819" w:rsidRDefault="00E677DF" w:rsidP="00E677DF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bookmarkStart w:id="0" w:name="_Ref533062701"/>
            <w:r w:rsidRPr="00E64819">
              <w:rPr>
                <w:rFonts w:eastAsia="Calibri"/>
                <w:b/>
                <w:sz w:val="22"/>
                <w:szCs w:val="22"/>
                <w:lang w:eastAsia="en-US"/>
              </w:rPr>
              <w:t>Jaki problem jest rozwiązywany?</w:t>
            </w:r>
            <w:bookmarkEnd w:id="0"/>
          </w:p>
        </w:tc>
      </w:tr>
      <w:tr w:rsidR="00E677DF" w:rsidRPr="00E64819" w14:paraId="1741D661" w14:textId="77777777" w:rsidTr="0071286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C13BBF2" w14:textId="3FB771F4" w:rsidR="00726A50" w:rsidRPr="00E64819" w:rsidRDefault="00E677DF" w:rsidP="0071286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240"/>
              <w:jc w:val="both"/>
              <w:rPr>
                <w:sz w:val="22"/>
                <w:szCs w:val="22"/>
              </w:rPr>
            </w:pPr>
            <w:r w:rsidRPr="00E64819">
              <w:rPr>
                <w:rFonts w:eastAsiaTheme="minorEastAsia"/>
                <w:sz w:val="22"/>
                <w:szCs w:val="22"/>
              </w:rPr>
              <w:t xml:space="preserve">Art. 59 ust. 3 ustawy z dnia 14 grudnia 2018 r. </w:t>
            </w:r>
            <w:r w:rsidRPr="00187132">
              <w:rPr>
                <w:rFonts w:eastAsiaTheme="minorEastAsia"/>
                <w:iCs/>
                <w:sz w:val="22"/>
                <w:szCs w:val="22"/>
              </w:rPr>
              <w:t>o promowaniu energii elektrycznej z wysokosprawnej kogeneracji</w:t>
            </w:r>
            <w:r w:rsidRPr="00E64819">
              <w:rPr>
                <w:rFonts w:eastAsiaTheme="minorEastAsia"/>
                <w:i/>
                <w:sz w:val="22"/>
                <w:szCs w:val="22"/>
              </w:rPr>
              <w:t>,</w:t>
            </w:r>
            <w:r w:rsidRPr="00E64819">
              <w:rPr>
                <w:rFonts w:eastAsiaTheme="minorEastAsia"/>
                <w:sz w:val="22"/>
                <w:szCs w:val="22"/>
              </w:rPr>
              <w:t xml:space="preserve"> zwanej dalej „ustawą”</w:t>
            </w:r>
            <w:r w:rsidR="00B65806">
              <w:rPr>
                <w:rFonts w:eastAsiaTheme="minorEastAsia"/>
                <w:sz w:val="22"/>
                <w:szCs w:val="22"/>
              </w:rPr>
              <w:t>,</w:t>
            </w:r>
            <w:r w:rsidRPr="00E64819">
              <w:rPr>
                <w:rFonts w:eastAsiaTheme="minorEastAsia"/>
                <w:sz w:val="22"/>
                <w:szCs w:val="22"/>
              </w:rPr>
              <w:t xml:space="preserve"> nakłada na ministra właściwego do spraw energii obowiązek określenia, w drodze rozporządzenia, </w:t>
            </w:r>
            <w:r w:rsidRPr="00E64819">
              <w:rPr>
                <w:sz w:val="22"/>
                <w:szCs w:val="22"/>
              </w:rPr>
              <w:t>maksymalnych wartości kosztów inwestycyjnych oraz kosztów operacyjnych wybudowania i funkcjonowania nowej porównywalnej jednostki kogeneracji</w:t>
            </w:r>
          </w:p>
          <w:p w14:paraId="2751B79E" w14:textId="06015B7A" w:rsidR="00726A50" w:rsidRDefault="00E677DF" w:rsidP="0047425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240"/>
              <w:jc w:val="both"/>
              <w:rPr>
                <w:sz w:val="22"/>
                <w:szCs w:val="22"/>
              </w:rPr>
            </w:pPr>
            <w:r w:rsidRPr="00E64819">
              <w:rPr>
                <w:sz w:val="22"/>
                <w:szCs w:val="22"/>
              </w:rPr>
              <w:t>Zawart</w:t>
            </w:r>
            <w:r>
              <w:rPr>
                <w:sz w:val="22"/>
                <w:szCs w:val="22"/>
              </w:rPr>
              <w:t xml:space="preserve">e </w:t>
            </w:r>
            <w:r w:rsidRPr="00E64819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r</w:t>
            </w:r>
            <w:r w:rsidRPr="00E64819">
              <w:rPr>
                <w:sz w:val="22"/>
                <w:szCs w:val="22"/>
              </w:rPr>
              <w:t>ozporządzeniu</w:t>
            </w:r>
            <w:r w:rsidR="00D01E65">
              <w:rPr>
                <w:sz w:val="22"/>
                <w:szCs w:val="22"/>
              </w:rPr>
              <w:t xml:space="preserve"> Ministra Energii </w:t>
            </w:r>
            <w:r w:rsidR="00562704" w:rsidRPr="00562704">
              <w:rPr>
                <w:sz w:val="22"/>
                <w:szCs w:val="22"/>
              </w:rPr>
              <w:t>z dnia 21 sierpnia 2019 r. w sprawie maksymalnych wartości kosztów inwestycyjnych oraz kosztów operacyjnych wybudowania i funkcjonowania nowej porównywalnej jednostki kogeneracji</w:t>
            </w:r>
            <w:r w:rsidR="00D01E65">
              <w:rPr>
                <w:sz w:val="22"/>
                <w:szCs w:val="22"/>
              </w:rPr>
              <w:t xml:space="preserve"> (Dz. U.</w:t>
            </w:r>
            <w:r w:rsidR="00562704" w:rsidRPr="00562704">
              <w:rPr>
                <w:sz w:val="22"/>
                <w:szCs w:val="22"/>
              </w:rPr>
              <w:t xml:space="preserve"> poz. 167</w:t>
            </w:r>
            <w:r w:rsidR="00726A50">
              <w:rPr>
                <w:sz w:val="22"/>
                <w:szCs w:val="22"/>
              </w:rPr>
              <w:t>0</w:t>
            </w:r>
            <w:r w:rsidR="00801052">
              <w:rPr>
                <w:sz w:val="22"/>
                <w:szCs w:val="22"/>
              </w:rPr>
              <w:t>)</w:t>
            </w:r>
            <w:r w:rsidR="00562704" w:rsidRPr="005627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maksymalne wartości kosztów inwestycyjnych wybudowania nowej porównywalnej jednostki kogeneracji </w:t>
            </w:r>
            <w:r w:rsidRPr="00E64819">
              <w:rPr>
                <w:sz w:val="22"/>
                <w:szCs w:val="22"/>
              </w:rPr>
              <w:t xml:space="preserve">mają znaczenie dla </w:t>
            </w:r>
            <w:r>
              <w:rPr>
                <w:sz w:val="22"/>
                <w:szCs w:val="22"/>
              </w:rPr>
              <w:t>za</w:t>
            </w:r>
            <w:r w:rsidRPr="00E64819">
              <w:rPr>
                <w:sz w:val="22"/>
                <w:szCs w:val="22"/>
              </w:rPr>
              <w:t>kwalifikowania</w:t>
            </w:r>
            <w:r>
              <w:rPr>
                <w:sz w:val="22"/>
                <w:szCs w:val="22"/>
              </w:rPr>
              <w:t xml:space="preserve"> danej zmodernizowanej bądź znacznie zmodernizowanej jednostki kogeneracji</w:t>
            </w:r>
            <w:r w:rsidRPr="00E648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odpowiedniego poziomu wsparcia, które będzie proporcjonalne do poniesionych kosztów oraz nie spowoduje zjawiska nadkompensaty.</w:t>
            </w:r>
          </w:p>
          <w:p w14:paraId="680EB4FA" w14:textId="247CEC7B" w:rsidR="00C00B94" w:rsidRPr="00E64819" w:rsidRDefault="00C00B94" w:rsidP="00114F4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00B94">
              <w:rPr>
                <w:sz w:val="22"/>
                <w:szCs w:val="22"/>
                <w:lang w:eastAsia="en-US"/>
              </w:rPr>
              <w:t>Zmiana rozporządzenia</w:t>
            </w:r>
            <w:r w:rsidR="0003398D">
              <w:rPr>
                <w:sz w:val="22"/>
                <w:szCs w:val="22"/>
                <w:lang w:eastAsia="en-US"/>
              </w:rPr>
              <w:t xml:space="preserve"> jest </w:t>
            </w:r>
            <w:r>
              <w:rPr>
                <w:sz w:val="22"/>
                <w:szCs w:val="22"/>
                <w:lang w:eastAsia="en-US"/>
              </w:rPr>
              <w:t xml:space="preserve">konieczna ze względu na zachodzące </w:t>
            </w:r>
            <w:r w:rsidR="00B65806">
              <w:rPr>
                <w:sz w:val="22"/>
                <w:szCs w:val="22"/>
                <w:lang w:eastAsia="en-US"/>
              </w:rPr>
              <w:t>zmiany</w:t>
            </w:r>
            <w:r>
              <w:rPr>
                <w:sz w:val="22"/>
                <w:szCs w:val="22"/>
                <w:lang w:eastAsia="en-US"/>
              </w:rPr>
              <w:t xml:space="preserve"> w </w:t>
            </w:r>
            <w:r w:rsidRPr="00C00B94">
              <w:rPr>
                <w:sz w:val="22"/>
                <w:szCs w:val="22"/>
                <w:lang w:eastAsia="en-US"/>
              </w:rPr>
              <w:t>otoczeniu makroekonomicznym</w:t>
            </w:r>
            <w:r w:rsidR="0003398D">
              <w:t xml:space="preserve">, w tym </w:t>
            </w:r>
            <w:r w:rsidR="00562704" w:rsidRPr="00562704">
              <w:rPr>
                <w:sz w:val="22"/>
                <w:szCs w:val="22"/>
                <w:lang w:eastAsia="en-US"/>
              </w:rPr>
              <w:t>rosnące koszty inwestycji oraz eksploatacji</w:t>
            </w:r>
            <w:r w:rsidR="00B65806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E677DF" w:rsidRPr="00E64819" w14:paraId="09A94D5E" w14:textId="77777777" w:rsidTr="0071286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3CA0EDE" w14:textId="77777777" w:rsidR="00E677DF" w:rsidRPr="00E64819" w:rsidRDefault="00E677DF" w:rsidP="00E677DF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E677DF" w:rsidRPr="00E64819" w14:paraId="1D7BED5D" w14:textId="77777777" w:rsidTr="0071286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2A064AA" w14:textId="65295AAA" w:rsidR="00726A50" w:rsidRDefault="00E677DF" w:rsidP="00712862">
            <w:pPr>
              <w:jc w:val="both"/>
              <w:rPr>
                <w:sz w:val="22"/>
                <w:szCs w:val="22"/>
              </w:rPr>
            </w:pPr>
            <w:r w:rsidRPr="00E64819">
              <w:rPr>
                <w:rFonts w:eastAsia="Calibri"/>
                <w:sz w:val="22"/>
                <w:szCs w:val="22"/>
                <w:lang w:eastAsia="en-US"/>
              </w:rPr>
              <w:t xml:space="preserve">Rekomenduje się </w:t>
            </w:r>
            <w:r w:rsidR="008A7AA7">
              <w:rPr>
                <w:rFonts w:eastAsia="Calibri"/>
                <w:sz w:val="22"/>
                <w:szCs w:val="22"/>
                <w:lang w:eastAsia="en-US"/>
              </w:rPr>
              <w:t>w</w:t>
            </w:r>
            <w:r w:rsidR="008A7AA7" w:rsidRPr="008A7AA7">
              <w:rPr>
                <w:rFonts w:eastAsia="Calibri"/>
                <w:sz w:val="22"/>
                <w:szCs w:val="22"/>
                <w:lang w:eastAsia="en-US"/>
              </w:rPr>
              <w:t>ydanie rozporządzenia zmieniającego przedmiotowe rozporządzenie</w:t>
            </w:r>
            <w:r w:rsidRPr="00E64819">
              <w:rPr>
                <w:rFonts w:eastAsia="Calibri"/>
                <w:sz w:val="22"/>
                <w:szCs w:val="22"/>
                <w:lang w:eastAsia="en-US"/>
              </w:rPr>
              <w:t xml:space="preserve">, które </w:t>
            </w:r>
            <w:r w:rsidR="008A7AA7">
              <w:rPr>
                <w:rFonts w:eastAsia="Calibri"/>
                <w:sz w:val="22"/>
                <w:szCs w:val="22"/>
                <w:lang w:eastAsia="en-US"/>
              </w:rPr>
              <w:t>uaktualni</w:t>
            </w:r>
            <w:r w:rsidR="0003398D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8A7AA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4819">
              <w:rPr>
                <w:sz w:val="22"/>
                <w:szCs w:val="22"/>
              </w:rPr>
              <w:t>wartości kosztów inwestycyjnych oraz kosztów operacyjnych wybudowania i funkcjonowania nowej porównywalnej jednostki kogeneracji</w:t>
            </w:r>
            <w:r>
              <w:rPr>
                <w:sz w:val="22"/>
                <w:szCs w:val="22"/>
              </w:rPr>
              <w:t>,</w:t>
            </w:r>
            <w:r w:rsidRPr="00E64819">
              <w:rPr>
                <w:sz w:val="22"/>
                <w:szCs w:val="22"/>
              </w:rPr>
              <w:t xml:space="preserve"> mające znaczenie dla kwalifikowania </w:t>
            </w:r>
            <w:r>
              <w:rPr>
                <w:sz w:val="22"/>
                <w:szCs w:val="22"/>
              </w:rPr>
              <w:t>modernizowanych</w:t>
            </w:r>
            <w:r w:rsidRPr="00DF370C">
              <w:rPr>
                <w:sz w:val="22"/>
                <w:szCs w:val="22"/>
              </w:rPr>
              <w:t xml:space="preserve"> i znacznie modernizowanych jednostek kogeneracji do odpowiedniego poziomu wsparcia.</w:t>
            </w:r>
            <w:r w:rsidR="00114F45">
              <w:rPr>
                <w:sz w:val="22"/>
                <w:szCs w:val="22"/>
              </w:rPr>
              <w:t xml:space="preserve"> Zwiększony pułap </w:t>
            </w:r>
            <w:r w:rsidR="00114F45" w:rsidRPr="00114F45">
              <w:rPr>
                <w:sz w:val="22"/>
                <w:szCs w:val="22"/>
              </w:rPr>
              <w:t>maksymalnych wartości kosztów inwestycyjnych oraz kosztów operacyjnych wybudowania i funkcjonowania nowej porównywalnej jednostki kogeneracji</w:t>
            </w:r>
            <w:r w:rsidR="00114F45">
              <w:rPr>
                <w:sz w:val="22"/>
                <w:szCs w:val="22"/>
              </w:rPr>
              <w:t>, umożliwią poszerzenie kręgu instalacji kwalifikującej się do wsparcia.</w:t>
            </w:r>
          </w:p>
          <w:p w14:paraId="703D14D0" w14:textId="77777777" w:rsidR="00726A50" w:rsidRDefault="00726A50" w:rsidP="00712862">
            <w:pPr>
              <w:jc w:val="both"/>
              <w:rPr>
                <w:sz w:val="22"/>
                <w:szCs w:val="22"/>
              </w:rPr>
            </w:pPr>
          </w:p>
          <w:p w14:paraId="6B92C5BC" w14:textId="48E1FBE6" w:rsidR="00D01E65" w:rsidRDefault="00114F45" w:rsidP="007128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Zaproponowane w rozporządzeniu </w:t>
            </w:r>
            <w:r w:rsidRPr="00114F45">
              <w:rPr>
                <w:sz w:val="22"/>
                <w:szCs w:val="22"/>
              </w:rPr>
              <w:t>maksymaln</w:t>
            </w:r>
            <w:r>
              <w:rPr>
                <w:sz w:val="22"/>
                <w:szCs w:val="22"/>
              </w:rPr>
              <w:t>e</w:t>
            </w:r>
            <w:r w:rsidRPr="00114F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wartości kosztów zostały dostosowane do warunków rynkowych kosztów inwestycji i eksploatacji</w:t>
            </w:r>
            <w:r w:rsidR="008A7AA7">
              <w:rPr>
                <w:sz w:val="22"/>
                <w:szCs w:val="22"/>
              </w:rPr>
              <w:t>.</w:t>
            </w:r>
          </w:p>
          <w:p w14:paraId="26B82121" w14:textId="77777777" w:rsidR="00C61B99" w:rsidRDefault="00C61B99" w:rsidP="00712862">
            <w:pPr>
              <w:jc w:val="both"/>
              <w:rPr>
                <w:sz w:val="22"/>
                <w:szCs w:val="22"/>
              </w:rPr>
            </w:pPr>
          </w:p>
          <w:p w14:paraId="3F09C625" w14:textId="6FB7322F" w:rsidR="00E677DF" w:rsidRPr="00E64819" w:rsidRDefault="00725438" w:rsidP="00712862">
            <w:pPr>
              <w:jc w:val="both"/>
              <w:rPr>
                <w:sz w:val="22"/>
                <w:szCs w:val="22"/>
              </w:rPr>
            </w:pPr>
            <w:r w:rsidRPr="00DF370C">
              <w:rPr>
                <w:sz w:val="22"/>
                <w:szCs w:val="22"/>
              </w:rPr>
              <w:t>Zaproponowano przepisy przejściowe uwzględniające wartości poniesionych kosztów inwestycyjnych modernizacji, o którym mowa w art. 37 ust. 2 pkt 13 lit. b ustawy o promowaniu energii elektrycznej z wysokosprawnej w odniesieniu do jednostki kogeneracji, dla której przed wejściem w życie niniejszego rozporządzenia została podjęta decyzja inwestycyjna dotycząca modernizacji.</w:t>
            </w:r>
          </w:p>
          <w:p w14:paraId="6355B4A4" w14:textId="77777777" w:rsidR="00D01E65" w:rsidRDefault="00D01E65" w:rsidP="00712862">
            <w:pPr>
              <w:contextualSpacing/>
              <w:jc w:val="both"/>
              <w:rPr>
                <w:sz w:val="22"/>
                <w:szCs w:val="22"/>
              </w:rPr>
            </w:pPr>
          </w:p>
          <w:p w14:paraId="6F93CE19" w14:textId="7EA6E2BF" w:rsidR="00E677DF" w:rsidRDefault="00E677DF" w:rsidP="00712862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Wielkości określone w projekcie </w:t>
            </w:r>
            <w:r w:rsidR="00C00B94">
              <w:rPr>
                <w:sz w:val="22"/>
                <w:szCs w:val="22"/>
              </w:rPr>
              <w:t xml:space="preserve">zmiany </w:t>
            </w:r>
            <w:r>
              <w:rPr>
                <w:sz w:val="22"/>
                <w:szCs w:val="22"/>
              </w:rPr>
              <w:t xml:space="preserve">rozporządzenia zostały ustalone w oparciu o dane </w:t>
            </w:r>
            <w:r w:rsidR="00DF370C">
              <w:rPr>
                <w:sz w:val="22"/>
                <w:szCs w:val="22"/>
              </w:rPr>
              <w:t>identyfikowane w sektorze</w:t>
            </w:r>
            <w:r>
              <w:rPr>
                <w:sz w:val="22"/>
                <w:szCs w:val="22"/>
              </w:rPr>
              <w:t xml:space="preserve"> </w:t>
            </w:r>
            <w:r w:rsidR="00DF370C">
              <w:rPr>
                <w:sz w:val="22"/>
                <w:szCs w:val="22"/>
              </w:rPr>
              <w:t>skojarzonego wytwarzania energii elektrycznej i ciepła</w:t>
            </w:r>
            <w:r>
              <w:rPr>
                <w:sz w:val="22"/>
                <w:szCs w:val="22"/>
              </w:rPr>
              <w:t>, tak, aby mogły być one jak najbardziej adekwatne do uwarunkowań rynkowych oraz rzeczywistych danych odzwierciedlających proces budowy oraz funkcjonowania nowych jednostek kogeneracji.</w:t>
            </w:r>
            <w:r w:rsidRPr="00E6481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69CCF52" w14:textId="13F2CBE7" w:rsidR="00692858" w:rsidRDefault="004325C1" w:rsidP="00712862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Stosując się do</w:t>
            </w:r>
            <w:r w:rsidR="00692858">
              <w:rPr>
                <w:rFonts w:eastAsia="Calibri"/>
                <w:sz w:val="22"/>
                <w:szCs w:val="22"/>
                <w:lang w:eastAsia="en-US"/>
              </w:rPr>
              <w:t xml:space="preserve"> now</w:t>
            </w:r>
            <w:r>
              <w:rPr>
                <w:rFonts w:eastAsia="Calibri"/>
                <w:sz w:val="22"/>
                <w:szCs w:val="22"/>
                <w:lang w:eastAsia="en-US"/>
              </w:rPr>
              <w:t>ych</w:t>
            </w:r>
            <w:r w:rsidR="00692858">
              <w:rPr>
                <w:rFonts w:eastAsia="Calibri"/>
                <w:sz w:val="22"/>
                <w:szCs w:val="22"/>
                <w:lang w:eastAsia="en-US"/>
              </w:rPr>
              <w:t xml:space="preserve"> wytyczn</w:t>
            </w:r>
            <w:r>
              <w:rPr>
                <w:rFonts w:eastAsia="Calibri"/>
                <w:sz w:val="22"/>
                <w:szCs w:val="22"/>
                <w:lang w:eastAsia="en-US"/>
              </w:rPr>
              <w:t>ych</w:t>
            </w:r>
            <w:r w:rsidR="00692858">
              <w:rPr>
                <w:rFonts w:eastAsia="Calibri"/>
                <w:sz w:val="22"/>
                <w:szCs w:val="22"/>
                <w:lang w:eastAsia="en-US"/>
              </w:rPr>
              <w:t xml:space="preserve"> w sprawie pomocy państwa na cele związane z klimatem, ochroną środowiska i energią wydan</w:t>
            </w:r>
            <w:r>
              <w:rPr>
                <w:rFonts w:eastAsia="Calibri"/>
                <w:sz w:val="22"/>
                <w:szCs w:val="22"/>
                <w:lang w:eastAsia="en-US"/>
              </w:rPr>
              <w:t>ych</w:t>
            </w:r>
            <w:r w:rsidR="00692858">
              <w:rPr>
                <w:rFonts w:eastAsia="Calibri"/>
                <w:sz w:val="22"/>
                <w:szCs w:val="22"/>
                <w:lang w:eastAsia="en-US"/>
              </w:rPr>
              <w:t xml:space="preserve"> przez Komisję </w:t>
            </w:r>
            <w:r>
              <w:rPr>
                <w:rFonts w:eastAsia="Calibri"/>
                <w:sz w:val="22"/>
                <w:szCs w:val="22"/>
                <w:lang w:eastAsia="en-US"/>
              </w:rPr>
              <w:t>Europejską</w:t>
            </w:r>
            <w:r w:rsidR="00692858">
              <w:rPr>
                <w:rFonts w:eastAsia="Calibri"/>
                <w:sz w:val="22"/>
                <w:szCs w:val="22"/>
                <w:lang w:eastAsia="en-US"/>
              </w:rPr>
              <w:t xml:space="preserve"> (CEEAG)</w:t>
            </w:r>
            <w:r>
              <w:rPr>
                <w:rFonts w:eastAsia="Calibri"/>
                <w:sz w:val="22"/>
                <w:szCs w:val="22"/>
                <w:lang w:eastAsia="en-US"/>
              </w:rPr>
              <w:t>, odstąpiono od możliwości wsparcia jednostek kogeneracji opalanych paliwami węglowymi.</w:t>
            </w:r>
          </w:p>
          <w:p w14:paraId="0FC82B07" w14:textId="77777777" w:rsidR="00D01E65" w:rsidRDefault="00D01E65" w:rsidP="001E07E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75035FB7" w14:textId="09D7A368" w:rsidR="00C00B94" w:rsidRPr="00E64819" w:rsidRDefault="008D2666" w:rsidP="004742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576E">
              <w:rPr>
                <w:color w:val="000000"/>
                <w:spacing w:val="-2"/>
              </w:rPr>
              <w:t xml:space="preserve">Osiągnięcie celu proponowanej regulacji nie jest możliwe za pomocą innych środków niż </w:t>
            </w:r>
            <w:r>
              <w:rPr>
                <w:color w:val="000000"/>
                <w:spacing w:val="-2"/>
              </w:rPr>
              <w:t xml:space="preserve">interwencja </w:t>
            </w:r>
            <w:r w:rsidR="00726A50">
              <w:rPr>
                <w:color w:val="000000"/>
                <w:spacing w:val="-2"/>
              </w:rPr>
              <w:t>le</w:t>
            </w:r>
            <w:r>
              <w:rPr>
                <w:color w:val="000000"/>
                <w:spacing w:val="-2"/>
              </w:rPr>
              <w:t>gislacyjna.</w:t>
            </w:r>
            <w:r w:rsidR="00C00B9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677DF" w:rsidRPr="00E64819" w14:paraId="60221DAA" w14:textId="77777777" w:rsidTr="00712862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64DC242" w14:textId="77777777" w:rsidR="00E677DF" w:rsidRPr="00E64819" w:rsidRDefault="00E677DF" w:rsidP="00E677DF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64819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E64819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E64819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E677DF" w:rsidRPr="00E64819" w14:paraId="77D85121" w14:textId="77777777" w:rsidTr="0071286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7D8EBBC" w14:textId="4CA083E9" w:rsidR="00E677DF" w:rsidRPr="00E64819" w:rsidRDefault="00E677DF" w:rsidP="00712862">
            <w:pPr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Konstrukcja systemów wsparcia dla energii elektrycznej z wysokosprawnej kogeneracji należy do właściwości poszczególnych państw członkowskich UE. Biorąc pod uwagę specyfikę zaprojektowanego w Polsce mechanizmu wsparcia oraz jego indywidualne cechy, proste porównanie z rozwiązaniami wprowadzonymi w innych krajach </w:t>
            </w:r>
            <w:r w:rsidR="008A7AA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ze względu na różnice rynkowe </w:t>
            </w: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nie zawsze jest możliwe. </w:t>
            </w:r>
          </w:p>
        </w:tc>
      </w:tr>
      <w:tr w:rsidR="00E677DF" w:rsidRPr="00E64819" w14:paraId="52135B9F" w14:textId="77777777" w:rsidTr="00712862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0AD43EB" w14:textId="77777777" w:rsidR="00E677DF" w:rsidRPr="00E64819" w:rsidRDefault="00E677DF" w:rsidP="00E677DF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E677DF" w:rsidRPr="00E64819" w14:paraId="21732EB8" w14:textId="77777777" w:rsidTr="00712862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BAEC704" w14:textId="77777777" w:rsidR="00E677DF" w:rsidRPr="00E64819" w:rsidRDefault="00E677DF" w:rsidP="00712862">
            <w:pPr>
              <w:spacing w:before="40"/>
              <w:jc w:val="center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B15BFA5" w14:textId="77777777" w:rsidR="00E677DF" w:rsidRPr="00E64819" w:rsidRDefault="00E677DF" w:rsidP="00712862">
            <w:pPr>
              <w:spacing w:before="40"/>
              <w:jc w:val="center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C65D297" w14:textId="77777777" w:rsidR="00E677DF" w:rsidRPr="00E64819" w:rsidRDefault="00E677DF" w:rsidP="00712862">
            <w:pPr>
              <w:spacing w:before="40"/>
              <w:jc w:val="center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E64819" w:rsidDel="00260F3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94CC6CB" w14:textId="77777777" w:rsidR="00E677DF" w:rsidRPr="00E64819" w:rsidRDefault="00E677DF" w:rsidP="00712862">
            <w:pPr>
              <w:spacing w:before="40"/>
              <w:jc w:val="center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E677DF" w:rsidRPr="00E64819" w14:paraId="32E1E1F4" w14:textId="77777777" w:rsidTr="00712862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AD3FB92" w14:textId="77777777" w:rsidR="00E677DF" w:rsidRPr="00E64819" w:rsidRDefault="00E677DF" w:rsidP="00712862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sz w:val="22"/>
                <w:szCs w:val="22"/>
              </w:rPr>
              <w:t>Jednostki samorządu terytorialnego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166E8C2" w14:textId="77777777" w:rsidR="00E677DF" w:rsidRPr="00E64819" w:rsidRDefault="00E677DF" w:rsidP="00712862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spacing w:val="-2"/>
                <w:sz w:val="22"/>
                <w:szCs w:val="22"/>
              </w:rPr>
              <w:t>około 2800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3FC105A" w14:textId="77777777" w:rsidR="00E677DF" w:rsidRPr="00E64819" w:rsidRDefault="00E677DF" w:rsidP="00712862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spacing w:val="-2"/>
                <w:sz w:val="22"/>
                <w:szCs w:val="22"/>
              </w:rPr>
              <w:t>szacunki własne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80C172C" w14:textId="0FBD30B7" w:rsidR="00E677DF" w:rsidRPr="00E64819" w:rsidRDefault="008F776B" w:rsidP="00712862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8F776B">
              <w:rPr>
                <w:spacing w:val="-2"/>
                <w:sz w:val="22"/>
                <w:szCs w:val="22"/>
              </w:rPr>
              <w:t xml:space="preserve">Brak urealnionych maksymalnych wartości kosztów inwestycyjnych oraz kosztów operacyjnych wybudowania i funkcjonowania nowej porównywalnej jednostki kogeneracji uniemożliwia </w:t>
            </w:r>
            <w:r w:rsidRPr="00E64819">
              <w:rPr>
                <w:spacing w:val="-2"/>
                <w:sz w:val="22"/>
                <w:szCs w:val="22"/>
              </w:rPr>
              <w:t>ocen</w:t>
            </w:r>
            <w:r>
              <w:rPr>
                <w:spacing w:val="-2"/>
                <w:sz w:val="22"/>
                <w:szCs w:val="22"/>
              </w:rPr>
              <w:t>ę</w:t>
            </w:r>
            <w:r w:rsidRPr="00E64819">
              <w:rPr>
                <w:spacing w:val="-2"/>
                <w:sz w:val="22"/>
                <w:szCs w:val="22"/>
              </w:rPr>
              <w:t xml:space="preserve"> </w:t>
            </w:r>
            <w:r w:rsidR="00E677DF" w:rsidRPr="00E64819">
              <w:rPr>
                <w:spacing w:val="-2"/>
                <w:sz w:val="22"/>
                <w:szCs w:val="22"/>
              </w:rPr>
              <w:t xml:space="preserve">opłacalności </w:t>
            </w:r>
            <w:r w:rsidR="00E677DF">
              <w:rPr>
                <w:spacing w:val="-2"/>
                <w:sz w:val="22"/>
                <w:szCs w:val="22"/>
              </w:rPr>
              <w:t>procesu inwestycyjnego związanego z modernizacją bądź znaczną modernizacją</w:t>
            </w:r>
            <w:r w:rsidR="00E677DF" w:rsidRPr="00E64819">
              <w:rPr>
                <w:spacing w:val="-2"/>
                <w:sz w:val="22"/>
                <w:szCs w:val="22"/>
              </w:rPr>
              <w:t xml:space="preserve"> </w:t>
            </w:r>
            <w:r w:rsidR="00E677DF">
              <w:rPr>
                <w:spacing w:val="-2"/>
                <w:sz w:val="22"/>
                <w:szCs w:val="22"/>
              </w:rPr>
              <w:t xml:space="preserve">(w tym również konwersją konwencjonalnych źródeł ciepła na źródła wytwarzające energię elektryczną i ciepło w skojarzeniu) </w:t>
            </w:r>
            <w:r w:rsidR="00E677DF" w:rsidRPr="00E64819">
              <w:rPr>
                <w:spacing w:val="-2"/>
                <w:sz w:val="22"/>
                <w:szCs w:val="22"/>
              </w:rPr>
              <w:t>jednostek kogeneracji</w:t>
            </w:r>
            <w:r w:rsidR="00E677DF">
              <w:rPr>
                <w:spacing w:val="-2"/>
                <w:sz w:val="22"/>
                <w:szCs w:val="22"/>
              </w:rPr>
              <w:t>.</w:t>
            </w:r>
          </w:p>
        </w:tc>
      </w:tr>
      <w:tr w:rsidR="00E677DF" w:rsidRPr="00E64819" w14:paraId="55E13BF6" w14:textId="77777777" w:rsidTr="00712862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EA627DB" w14:textId="77777777" w:rsidR="00E677DF" w:rsidRPr="00E64819" w:rsidRDefault="00E677DF" w:rsidP="0071286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sz w:val="22"/>
                <w:szCs w:val="22"/>
              </w:rPr>
              <w:t>Przedsiębiorstwa ciepłownicze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753CAB5" w14:textId="77777777" w:rsidR="00E677DF" w:rsidRPr="00E64819" w:rsidRDefault="00E677DF" w:rsidP="00712862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spacing w:val="-2"/>
                <w:sz w:val="22"/>
                <w:szCs w:val="22"/>
              </w:rPr>
              <w:t>kilkaset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4946CE8" w14:textId="77777777" w:rsidR="00E677DF" w:rsidRPr="00E64819" w:rsidRDefault="00E677DF" w:rsidP="00712862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spacing w:val="-2"/>
                <w:sz w:val="22"/>
                <w:szCs w:val="22"/>
              </w:rPr>
              <w:t>szacunki własne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D22AA05" w14:textId="2DD2CB0A" w:rsidR="00E677DF" w:rsidRPr="00E64819" w:rsidRDefault="008F776B" w:rsidP="00712862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8F776B">
              <w:rPr>
                <w:spacing w:val="-2"/>
                <w:sz w:val="22"/>
                <w:szCs w:val="22"/>
              </w:rPr>
              <w:t>Brak urealnionych maksymalnych wartości kosztów inwestycyjnych oraz kosztów operacyjnych wybudowania i funkcjonowania nowej porównywalnej jednostki kogeneracji uniemożliwia</w:t>
            </w:r>
            <w:r w:rsidR="00C61B99">
              <w:rPr>
                <w:spacing w:val="-2"/>
                <w:sz w:val="22"/>
                <w:szCs w:val="22"/>
              </w:rPr>
              <w:t xml:space="preserve"> </w:t>
            </w:r>
            <w:r w:rsidRPr="008F776B">
              <w:rPr>
                <w:spacing w:val="-2"/>
                <w:sz w:val="22"/>
                <w:szCs w:val="22"/>
              </w:rPr>
              <w:t xml:space="preserve">ocenę </w:t>
            </w:r>
            <w:r w:rsidR="00E677DF" w:rsidRPr="00E64819">
              <w:rPr>
                <w:spacing w:val="-2"/>
                <w:sz w:val="22"/>
                <w:szCs w:val="22"/>
              </w:rPr>
              <w:t xml:space="preserve">opłacalności </w:t>
            </w:r>
            <w:r w:rsidR="00E677DF">
              <w:rPr>
                <w:spacing w:val="-2"/>
                <w:sz w:val="22"/>
                <w:szCs w:val="22"/>
              </w:rPr>
              <w:t>procesu inwestycyjnego związanego z modernizacją bądź znaczną modernizacją</w:t>
            </w:r>
            <w:r w:rsidR="00E677DF" w:rsidRPr="00E64819">
              <w:rPr>
                <w:spacing w:val="-2"/>
                <w:sz w:val="22"/>
                <w:szCs w:val="22"/>
              </w:rPr>
              <w:t xml:space="preserve"> </w:t>
            </w:r>
            <w:r w:rsidR="00E677DF">
              <w:rPr>
                <w:spacing w:val="-2"/>
                <w:sz w:val="22"/>
                <w:szCs w:val="22"/>
              </w:rPr>
              <w:t xml:space="preserve">(w tym również konwersją konwencjonalnych źródeł ciepła na źródła wytwarzające energię elektryczną i ciepło w skojarzeniu) </w:t>
            </w:r>
            <w:r w:rsidR="00E677DF" w:rsidRPr="00E64819">
              <w:rPr>
                <w:spacing w:val="-2"/>
                <w:sz w:val="22"/>
                <w:szCs w:val="22"/>
              </w:rPr>
              <w:t>jednostek kogeneracji</w:t>
            </w:r>
            <w:r w:rsidR="00E677DF">
              <w:rPr>
                <w:spacing w:val="-2"/>
                <w:sz w:val="22"/>
                <w:szCs w:val="22"/>
              </w:rPr>
              <w:t>.</w:t>
            </w:r>
          </w:p>
        </w:tc>
      </w:tr>
      <w:tr w:rsidR="00E677DF" w:rsidRPr="00E64819" w14:paraId="3184A21D" w14:textId="77777777" w:rsidTr="00712862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CC62469" w14:textId="77777777" w:rsidR="00E677DF" w:rsidRPr="00E64819" w:rsidRDefault="00E677DF" w:rsidP="00712862">
            <w:pPr>
              <w:rPr>
                <w:sz w:val="22"/>
                <w:szCs w:val="22"/>
              </w:rPr>
            </w:pPr>
            <w:r>
              <w:lastRenderedPageBreak/>
              <w:t>O</w:t>
            </w:r>
            <w:r w:rsidRPr="005F5BC1">
              <w:t>peratorzy ist</w:t>
            </w:r>
            <w:r w:rsidR="005E6518">
              <w:t>niejących jednostek kogeneracji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86F9408" w14:textId="77777777" w:rsidR="00E677DF" w:rsidRPr="00E64819" w:rsidRDefault="00E677DF" w:rsidP="00712862">
            <w:pPr>
              <w:rPr>
                <w:spacing w:val="-2"/>
                <w:sz w:val="22"/>
                <w:szCs w:val="22"/>
              </w:rPr>
            </w:pPr>
            <w:r w:rsidRPr="005F5BC1">
              <w:rPr>
                <w:spacing w:val="-2"/>
              </w:rPr>
              <w:t>268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B8EC01D" w14:textId="77777777" w:rsidR="00E677DF" w:rsidRPr="00E64819" w:rsidRDefault="00E677DF" w:rsidP="00712862">
            <w:pPr>
              <w:rPr>
                <w:spacing w:val="-2"/>
                <w:sz w:val="22"/>
                <w:szCs w:val="22"/>
              </w:rPr>
            </w:pPr>
            <w:r w:rsidRPr="005F5BC1">
              <w:rPr>
                <w:spacing w:val="-2"/>
              </w:rPr>
              <w:t>opracowanie własne na podstawie danych URE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E6CDDC4" w14:textId="5F728F3A" w:rsidR="00E677DF" w:rsidRPr="00E64819" w:rsidRDefault="008F776B" w:rsidP="008F776B">
            <w:pPr>
              <w:rPr>
                <w:spacing w:val="-2"/>
                <w:sz w:val="22"/>
                <w:szCs w:val="22"/>
              </w:rPr>
            </w:pPr>
            <w:r w:rsidRPr="00925CCB">
              <w:rPr>
                <w:spacing w:val="-2"/>
                <w:sz w:val="22"/>
                <w:szCs w:val="22"/>
              </w:rPr>
              <w:t>Urealni</w:t>
            </w:r>
            <w:r w:rsidR="00474253" w:rsidRPr="00925CCB">
              <w:rPr>
                <w:spacing w:val="-2"/>
                <w:sz w:val="22"/>
                <w:szCs w:val="22"/>
              </w:rPr>
              <w:t>enie</w:t>
            </w:r>
            <w:r w:rsidRPr="00925CCB">
              <w:rPr>
                <w:spacing w:val="-2"/>
                <w:sz w:val="22"/>
                <w:szCs w:val="22"/>
              </w:rPr>
              <w:t xml:space="preserve"> do warunków rynkowych w rozporządzeniu maksymalnych wartości kosztów inwestycyjnych oraz kosztów operacyjnych wybudowania i funkcjonowania nowej porównywalnej jednostki kogeneracji, potencjalnie kwalifikujące do odpowiedniego poziomu wsparcia będzie miało w</w:t>
            </w:r>
            <w:r w:rsidR="00E677DF" w:rsidRPr="00925CCB">
              <w:rPr>
                <w:spacing w:val="-2"/>
                <w:sz w:val="22"/>
                <w:szCs w:val="22"/>
              </w:rPr>
              <w:t>pływ na podejmowanie decyzji w zakresie modernizacji istniejących jednostek kogeneracji.</w:t>
            </w:r>
          </w:p>
        </w:tc>
      </w:tr>
      <w:tr w:rsidR="00E677DF" w:rsidRPr="00E64819" w14:paraId="25D1AF96" w14:textId="77777777" w:rsidTr="00712862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84BFA64" w14:textId="77777777" w:rsidR="00E677DF" w:rsidRPr="00E64819" w:rsidRDefault="00E677DF" w:rsidP="00E677DF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E677DF" w:rsidRPr="00E64819" w14:paraId="23CF72C6" w14:textId="77777777" w:rsidTr="00712862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9354CFD" w14:textId="5426D388" w:rsidR="0009269F" w:rsidRDefault="0009269F" w:rsidP="0009269F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 xml:space="preserve">Projekt nie był przedmiotem pre-konsultacji. </w:t>
            </w:r>
          </w:p>
          <w:p w14:paraId="5C39EA2F" w14:textId="77777777" w:rsidR="0009269F" w:rsidRDefault="0009269F" w:rsidP="00744C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14:paraId="706414E4" w14:textId="1823BBF7" w:rsidR="00744CBA" w:rsidRDefault="00744CBA" w:rsidP="00744C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44CBA">
              <w:rPr>
                <w:rFonts w:eastAsia="Calibri"/>
                <w:color w:val="000000"/>
                <w:sz w:val="22"/>
                <w:szCs w:val="22"/>
              </w:rPr>
              <w:t xml:space="preserve">Projekt, zgodnie z art. 5 ustawy z dnia 7 lipca 2005 r. o działalności lobbingowej w procesie stanowienia prawa (Dz. U. z 2017 r. poz. 248) i § 52 </w:t>
            </w:r>
            <w:r w:rsidR="00145350">
              <w:rPr>
                <w:rFonts w:eastAsia="Calibri"/>
                <w:color w:val="000000"/>
                <w:sz w:val="22"/>
                <w:szCs w:val="22"/>
              </w:rPr>
              <w:t xml:space="preserve">ust. 1 </w:t>
            </w:r>
            <w:r w:rsidRPr="00744CBA">
              <w:rPr>
                <w:rFonts w:eastAsia="Calibri"/>
                <w:color w:val="000000"/>
                <w:sz w:val="22"/>
                <w:szCs w:val="22"/>
              </w:rPr>
              <w:t xml:space="preserve">uchwały nr 190 Rady Ministrów z dnia 29 października 2013 r. – Regulamin pracy Rady Ministrów (M.P. z </w:t>
            </w:r>
            <w:r w:rsidR="009B39D0" w:rsidRPr="00744CBA">
              <w:rPr>
                <w:rFonts w:eastAsia="Calibri"/>
                <w:color w:val="000000"/>
                <w:sz w:val="22"/>
                <w:szCs w:val="22"/>
              </w:rPr>
              <w:t>20</w:t>
            </w:r>
            <w:r w:rsidR="009B39D0">
              <w:rPr>
                <w:rFonts w:eastAsia="Calibri"/>
                <w:color w:val="000000"/>
                <w:sz w:val="22"/>
                <w:szCs w:val="22"/>
              </w:rPr>
              <w:t>22</w:t>
            </w:r>
            <w:r w:rsidR="009B39D0" w:rsidRPr="00744CB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744CBA">
              <w:rPr>
                <w:rFonts w:eastAsia="Calibri"/>
                <w:color w:val="000000"/>
                <w:sz w:val="22"/>
                <w:szCs w:val="22"/>
              </w:rPr>
              <w:t xml:space="preserve">r. poz. </w:t>
            </w:r>
            <w:r w:rsidR="009B39D0">
              <w:rPr>
                <w:rFonts w:eastAsia="Calibri"/>
                <w:color w:val="000000"/>
                <w:sz w:val="22"/>
                <w:szCs w:val="22"/>
              </w:rPr>
              <w:t>348</w:t>
            </w:r>
            <w:r w:rsidRPr="00744CBA">
              <w:rPr>
                <w:rFonts w:eastAsia="Calibri"/>
                <w:color w:val="000000"/>
                <w:sz w:val="22"/>
                <w:szCs w:val="22"/>
              </w:rPr>
              <w:t xml:space="preserve">) </w:t>
            </w:r>
            <w:r w:rsidR="009B39D0">
              <w:rPr>
                <w:rFonts w:eastAsia="Calibri"/>
                <w:color w:val="000000"/>
                <w:sz w:val="22"/>
                <w:szCs w:val="22"/>
              </w:rPr>
              <w:t>zostanie</w:t>
            </w:r>
            <w:r w:rsidR="009B39D0" w:rsidRPr="00744CB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744CBA">
              <w:rPr>
                <w:rFonts w:eastAsia="Calibri"/>
                <w:color w:val="000000"/>
                <w:sz w:val="22"/>
                <w:szCs w:val="22"/>
              </w:rPr>
              <w:t>udostępniony w Biuletynie Informacji Publicznej, na stronie podmiotowej Rządowego Centrum Legislacji, w serwisie Rządowy Proces Legislacyjny.</w:t>
            </w:r>
          </w:p>
          <w:p w14:paraId="6F577204" w14:textId="77777777" w:rsidR="0013486C" w:rsidRDefault="0013486C" w:rsidP="00744CB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14:paraId="19723E0D" w14:textId="15D5EC2D" w:rsidR="0013486C" w:rsidRDefault="0013486C" w:rsidP="001348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3486C">
              <w:rPr>
                <w:rFonts w:eastAsia="Calibri"/>
                <w:color w:val="000000"/>
                <w:sz w:val="22"/>
                <w:szCs w:val="22"/>
              </w:rPr>
              <w:t xml:space="preserve">Projekt zostanie </w:t>
            </w:r>
            <w:r w:rsidR="00F8379B">
              <w:rPr>
                <w:rFonts w:eastAsia="Calibri"/>
                <w:color w:val="000000"/>
                <w:sz w:val="22"/>
                <w:szCs w:val="22"/>
              </w:rPr>
              <w:t>skierowany</w:t>
            </w:r>
            <w:r w:rsidRPr="0013486C">
              <w:rPr>
                <w:rFonts w:eastAsia="Calibri"/>
                <w:color w:val="000000"/>
                <w:sz w:val="22"/>
                <w:szCs w:val="22"/>
              </w:rPr>
              <w:t xml:space="preserve"> do konsultacji </w:t>
            </w:r>
            <w:r w:rsidR="00F8379B">
              <w:rPr>
                <w:rFonts w:eastAsia="Calibri"/>
                <w:color w:val="000000"/>
                <w:sz w:val="22"/>
                <w:szCs w:val="22"/>
              </w:rPr>
              <w:t xml:space="preserve">publicznych </w:t>
            </w:r>
            <w:r w:rsidRPr="0013486C">
              <w:rPr>
                <w:rFonts w:eastAsia="Calibri"/>
                <w:color w:val="000000"/>
                <w:sz w:val="22"/>
                <w:szCs w:val="22"/>
              </w:rPr>
              <w:t>(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7 </w:t>
            </w:r>
            <w:r w:rsidRPr="0013486C">
              <w:rPr>
                <w:rFonts w:eastAsia="Calibri"/>
                <w:color w:val="000000"/>
                <w:sz w:val="22"/>
                <w:szCs w:val="22"/>
              </w:rPr>
              <w:t xml:space="preserve">dni) </w:t>
            </w:r>
            <w:r w:rsidR="00F8379B">
              <w:rPr>
                <w:rFonts w:eastAsia="Calibri"/>
                <w:color w:val="000000"/>
                <w:sz w:val="22"/>
                <w:szCs w:val="22"/>
              </w:rPr>
              <w:t xml:space="preserve">do </w:t>
            </w:r>
            <w:r w:rsidRPr="0013486C">
              <w:rPr>
                <w:rFonts w:eastAsia="Calibri"/>
                <w:color w:val="000000"/>
                <w:sz w:val="22"/>
                <w:szCs w:val="22"/>
              </w:rPr>
              <w:t>następujący</w:t>
            </w:r>
            <w:r w:rsidR="00F8379B">
              <w:rPr>
                <w:rFonts w:eastAsia="Calibri"/>
                <w:color w:val="000000"/>
                <w:sz w:val="22"/>
                <w:szCs w:val="22"/>
              </w:rPr>
              <w:t>ch</w:t>
            </w:r>
            <w:r w:rsidRPr="0013486C">
              <w:rPr>
                <w:rFonts w:eastAsia="Calibri"/>
                <w:color w:val="000000"/>
                <w:sz w:val="22"/>
                <w:szCs w:val="22"/>
              </w:rPr>
              <w:t xml:space="preserve"> podmiot</w:t>
            </w:r>
            <w:r w:rsidR="00F8379B">
              <w:rPr>
                <w:rFonts w:eastAsia="Calibri"/>
                <w:color w:val="000000"/>
                <w:sz w:val="22"/>
                <w:szCs w:val="22"/>
              </w:rPr>
              <w:t>ów</w:t>
            </w:r>
            <w:r w:rsidRPr="0013486C"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  <w:p w14:paraId="5A08FD4E" w14:textId="4279D649" w:rsidR="008220D3" w:rsidRPr="00A2624D" w:rsidRDefault="008220D3" w:rsidP="00A262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2624D">
              <w:rPr>
                <w:rFonts w:ascii="Times New Roman" w:eastAsia="Calibri" w:hAnsi="Times New Roman" w:cs="Times New Roman"/>
                <w:color w:val="000000"/>
              </w:rPr>
              <w:t>Izb</w:t>
            </w:r>
            <w:r w:rsidR="00F8379B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A2624D">
              <w:rPr>
                <w:rFonts w:ascii="Times New Roman" w:eastAsia="Calibri" w:hAnsi="Times New Roman" w:cs="Times New Roman"/>
                <w:color w:val="000000"/>
              </w:rPr>
              <w:t xml:space="preserve"> Gospodarcz</w:t>
            </w:r>
            <w:r w:rsidR="00A2624D">
              <w:rPr>
                <w:rFonts w:ascii="Times New Roman" w:eastAsia="Calibri" w:hAnsi="Times New Roman" w:cs="Times New Roman"/>
                <w:color w:val="000000"/>
              </w:rPr>
              <w:t>ej</w:t>
            </w:r>
            <w:r w:rsidRPr="00A2624D">
              <w:rPr>
                <w:rFonts w:ascii="Times New Roman" w:eastAsia="Calibri" w:hAnsi="Times New Roman" w:cs="Times New Roman"/>
                <w:color w:val="000000"/>
              </w:rPr>
              <w:t xml:space="preserve"> Ciepłownictwo Polskie;</w:t>
            </w:r>
          </w:p>
          <w:p w14:paraId="25EA8084" w14:textId="47FDF037" w:rsidR="008220D3" w:rsidRPr="00A2624D" w:rsidRDefault="008220D3" w:rsidP="00A262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2624D">
              <w:rPr>
                <w:rFonts w:ascii="Times New Roman" w:eastAsia="Calibri" w:hAnsi="Times New Roman" w:cs="Times New Roman"/>
                <w:color w:val="000000"/>
              </w:rPr>
              <w:t>Polskie</w:t>
            </w:r>
            <w:r w:rsidR="00F8379B">
              <w:rPr>
                <w:rFonts w:ascii="Times New Roman" w:eastAsia="Calibri" w:hAnsi="Times New Roman" w:cs="Times New Roman"/>
                <w:color w:val="000000"/>
              </w:rPr>
              <w:t>go</w:t>
            </w:r>
            <w:r w:rsidRPr="00A2624D">
              <w:rPr>
                <w:rFonts w:ascii="Times New Roman" w:eastAsia="Calibri" w:hAnsi="Times New Roman" w:cs="Times New Roman"/>
                <w:color w:val="000000"/>
              </w:rPr>
              <w:t xml:space="preserve"> Towarzystw</w:t>
            </w:r>
            <w:r w:rsidR="00F8379B"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Pr="00A2624D">
              <w:rPr>
                <w:rFonts w:ascii="Times New Roman" w:eastAsia="Calibri" w:hAnsi="Times New Roman" w:cs="Times New Roman"/>
                <w:color w:val="000000"/>
              </w:rPr>
              <w:t xml:space="preserve"> Elektrociepłowni Zawodowych;</w:t>
            </w:r>
          </w:p>
          <w:p w14:paraId="30510000" w14:textId="4CF47F77" w:rsidR="008220D3" w:rsidRPr="00A2624D" w:rsidRDefault="008220D3" w:rsidP="00A262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2624D">
              <w:rPr>
                <w:rFonts w:ascii="Times New Roman" w:eastAsia="Calibri" w:hAnsi="Times New Roman" w:cs="Times New Roman"/>
                <w:color w:val="000000"/>
              </w:rPr>
              <w:t>Izb</w:t>
            </w:r>
            <w:r w:rsidR="00F8379B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A2624D">
              <w:rPr>
                <w:rFonts w:ascii="Times New Roman" w:eastAsia="Calibri" w:hAnsi="Times New Roman" w:cs="Times New Roman"/>
                <w:color w:val="000000"/>
              </w:rPr>
              <w:t xml:space="preserve"> Energetyki Przemysłowej i Odbiorców Energii;</w:t>
            </w:r>
          </w:p>
          <w:p w14:paraId="2E79D4BF" w14:textId="08CC5ECD" w:rsidR="008220D3" w:rsidRPr="00A2624D" w:rsidRDefault="008220D3" w:rsidP="00A262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2624D">
              <w:rPr>
                <w:rFonts w:ascii="Times New Roman" w:eastAsia="Calibri" w:hAnsi="Times New Roman" w:cs="Times New Roman"/>
                <w:color w:val="000000"/>
              </w:rPr>
              <w:t>Forum Odbiorców Energii Elektrycznej i Gazu;</w:t>
            </w:r>
          </w:p>
          <w:p w14:paraId="12E36793" w14:textId="10A29991" w:rsidR="008220D3" w:rsidRPr="00A2624D" w:rsidRDefault="008220D3" w:rsidP="00A262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2624D">
              <w:rPr>
                <w:rFonts w:ascii="Times New Roman" w:eastAsia="Calibri" w:hAnsi="Times New Roman" w:cs="Times New Roman"/>
                <w:color w:val="000000"/>
              </w:rPr>
              <w:t>Izb</w:t>
            </w:r>
            <w:r w:rsidR="00F8379B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A2624D">
              <w:rPr>
                <w:rFonts w:ascii="Times New Roman" w:eastAsia="Calibri" w:hAnsi="Times New Roman" w:cs="Times New Roman"/>
                <w:color w:val="000000"/>
              </w:rPr>
              <w:t xml:space="preserve"> Gospodarcz</w:t>
            </w:r>
            <w:r w:rsidR="00A2624D">
              <w:rPr>
                <w:rFonts w:ascii="Times New Roman" w:eastAsia="Calibri" w:hAnsi="Times New Roman" w:cs="Times New Roman"/>
                <w:color w:val="000000"/>
              </w:rPr>
              <w:t>ej</w:t>
            </w:r>
            <w:r w:rsidRPr="00A2624D">
              <w:rPr>
                <w:rFonts w:ascii="Times New Roman" w:eastAsia="Calibri" w:hAnsi="Times New Roman" w:cs="Times New Roman"/>
                <w:color w:val="000000"/>
              </w:rPr>
              <w:t xml:space="preserve"> Gazownictwa; </w:t>
            </w:r>
          </w:p>
          <w:p w14:paraId="3909311E" w14:textId="150F9239" w:rsidR="008220D3" w:rsidRPr="00A2624D" w:rsidRDefault="008220D3" w:rsidP="00A262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2624D">
              <w:rPr>
                <w:rFonts w:ascii="Times New Roman" w:eastAsia="Calibri" w:hAnsi="Times New Roman" w:cs="Times New Roman"/>
                <w:color w:val="000000"/>
              </w:rPr>
              <w:t>Towarzyst</w:t>
            </w:r>
            <w:r w:rsidR="00F8379B">
              <w:rPr>
                <w:rFonts w:ascii="Times New Roman" w:eastAsia="Calibri" w:hAnsi="Times New Roman" w:cs="Times New Roman"/>
                <w:color w:val="000000"/>
              </w:rPr>
              <w:t>wa</w:t>
            </w:r>
            <w:r w:rsidRPr="00A2624D">
              <w:rPr>
                <w:rFonts w:ascii="Times New Roman" w:eastAsia="Calibri" w:hAnsi="Times New Roman" w:cs="Times New Roman"/>
                <w:color w:val="000000"/>
              </w:rPr>
              <w:t xml:space="preserve"> Gospodarcze</w:t>
            </w:r>
            <w:r w:rsidR="00F8379B">
              <w:rPr>
                <w:rFonts w:ascii="Times New Roman" w:eastAsia="Calibri" w:hAnsi="Times New Roman" w:cs="Times New Roman"/>
                <w:color w:val="000000"/>
              </w:rPr>
              <w:t>go</w:t>
            </w:r>
            <w:r w:rsidRPr="00A2624D">
              <w:rPr>
                <w:rFonts w:ascii="Times New Roman" w:eastAsia="Calibri" w:hAnsi="Times New Roman" w:cs="Times New Roman"/>
                <w:color w:val="000000"/>
              </w:rPr>
              <w:t xml:space="preserve"> Polskie Elektrownie; </w:t>
            </w:r>
          </w:p>
          <w:p w14:paraId="30AE2703" w14:textId="2A908AEA" w:rsidR="008220D3" w:rsidRPr="00A2624D" w:rsidRDefault="008220D3" w:rsidP="00A262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2624D">
              <w:rPr>
                <w:rFonts w:ascii="Times New Roman" w:eastAsia="Calibri" w:hAnsi="Times New Roman" w:cs="Times New Roman"/>
                <w:color w:val="000000"/>
              </w:rPr>
              <w:t>Polski</w:t>
            </w:r>
            <w:r w:rsidR="00A2624D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="00F8379B">
              <w:rPr>
                <w:rFonts w:ascii="Times New Roman" w:eastAsia="Calibri" w:hAnsi="Times New Roman" w:cs="Times New Roman"/>
                <w:color w:val="000000"/>
              </w:rPr>
              <w:t>go</w:t>
            </w:r>
            <w:r w:rsidRPr="00A2624D">
              <w:rPr>
                <w:rFonts w:ascii="Times New Roman" w:eastAsia="Calibri" w:hAnsi="Times New Roman" w:cs="Times New Roman"/>
                <w:color w:val="000000"/>
              </w:rPr>
              <w:t xml:space="preserve"> Komitet</w:t>
            </w:r>
            <w:r w:rsidR="00F8379B">
              <w:rPr>
                <w:rFonts w:ascii="Times New Roman" w:eastAsia="Calibri" w:hAnsi="Times New Roman" w:cs="Times New Roman"/>
                <w:color w:val="000000"/>
              </w:rPr>
              <w:t>u</w:t>
            </w:r>
            <w:r w:rsidRPr="00A2624D">
              <w:rPr>
                <w:rFonts w:ascii="Times New Roman" w:eastAsia="Calibri" w:hAnsi="Times New Roman" w:cs="Times New Roman"/>
                <w:color w:val="000000"/>
              </w:rPr>
              <w:t xml:space="preserve"> Energii Elektrycznej; </w:t>
            </w:r>
          </w:p>
          <w:p w14:paraId="241B7323" w14:textId="226293AB" w:rsidR="008220D3" w:rsidRPr="00F8379B" w:rsidRDefault="008220D3" w:rsidP="00A262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2624D">
              <w:rPr>
                <w:rFonts w:ascii="Times New Roman" w:eastAsia="Calibri" w:hAnsi="Times New Roman" w:cs="Times New Roman"/>
                <w:color w:val="000000"/>
              </w:rPr>
              <w:t>Izb</w:t>
            </w:r>
            <w:r w:rsidR="00F8379B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A2624D">
              <w:rPr>
                <w:rFonts w:ascii="Times New Roman" w:eastAsia="Calibri" w:hAnsi="Times New Roman" w:cs="Times New Roman"/>
                <w:color w:val="000000"/>
              </w:rPr>
              <w:t xml:space="preserve"> Gospodarcz</w:t>
            </w:r>
            <w:r w:rsidR="00A2624D">
              <w:rPr>
                <w:rFonts w:ascii="Times New Roman" w:eastAsia="Calibri" w:hAnsi="Times New Roman" w:cs="Times New Roman"/>
                <w:color w:val="000000"/>
              </w:rPr>
              <w:t>ej</w:t>
            </w:r>
            <w:r w:rsidRPr="00A2624D">
              <w:rPr>
                <w:rFonts w:ascii="Times New Roman" w:eastAsia="Calibri" w:hAnsi="Times New Roman" w:cs="Times New Roman"/>
                <w:color w:val="000000"/>
              </w:rPr>
              <w:t xml:space="preserve"> Energetyki i Ochrony Środowiska; </w:t>
            </w:r>
          </w:p>
          <w:p w14:paraId="2930E1B5" w14:textId="2876E812" w:rsidR="008220D3" w:rsidRPr="00F8379B" w:rsidRDefault="008220D3" w:rsidP="00A2624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F8379B">
              <w:rPr>
                <w:rFonts w:ascii="Times New Roman" w:eastAsia="Calibri" w:hAnsi="Times New Roman" w:cs="Times New Roman"/>
                <w:color w:val="000000"/>
              </w:rPr>
              <w:t>Krajow</w:t>
            </w:r>
            <w:r w:rsidR="00A2624D">
              <w:rPr>
                <w:rFonts w:ascii="Times New Roman" w:eastAsia="Calibri" w:hAnsi="Times New Roman" w:cs="Times New Roman"/>
                <w:color w:val="000000"/>
              </w:rPr>
              <w:t>ej</w:t>
            </w:r>
            <w:r w:rsidRPr="00F8379B">
              <w:rPr>
                <w:rFonts w:ascii="Times New Roman" w:eastAsia="Calibri" w:hAnsi="Times New Roman" w:cs="Times New Roman"/>
                <w:color w:val="000000"/>
              </w:rPr>
              <w:t xml:space="preserve"> Izb</w:t>
            </w:r>
            <w:r w:rsidR="00F8379B">
              <w:rPr>
                <w:rFonts w:ascii="Times New Roman" w:eastAsia="Calibri" w:hAnsi="Times New Roman" w:cs="Times New Roman"/>
                <w:color w:val="000000"/>
              </w:rPr>
              <w:t>y</w:t>
            </w:r>
            <w:r w:rsidRPr="00F8379B">
              <w:rPr>
                <w:rFonts w:ascii="Times New Roman" w:eastAsia="Calibri" w:hAnsi="Times New Roman" w:cs="Times New Roman"/>
                <w:color w:val="000000"/>
              </w:rPr>
              <w:t xml:space="preserve"> Gospodarcz</w:t>
            </w:r>
            <w:r w:rsidR="00A2624D">
              <w:rPr>
                <w:rFonts w:ascii="Times New Roman" w:eastAsia="Calibri" w:hAnsi="Times New Roman" w:cs="Times New Roman"/>
                <w:color w:val="000000"/>
              </w:rPr>
              <w:t>ej</w:t>
            </w:r>
            <w:r w:rsidR="00222448" w:rsidRPr="00F8379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729D37CA" w14:textId="77777777" w:rsidR="0013486C" w:rsidRPr="00B65806" w:rsidRDefault="0013486C" w:rsidP="001348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14:paraId="14722F21" w14:textId="1417793C" w:rsidR="0013486C" w:rsidRDefault="0013486C" w:rsidP="001348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65806">
              <w:rPr>
                <w:rFonts w:eastAsia="Calibri"/>
                <w:color w:val="000000"/>
                <w:sz w:val="22"/>
                <w:szCs w:val="22"/>
              </w:rPr>
              <w:t xml:space="preserve">Projekt zostanie </w:t>
            </w:r>
            <w:r w:rsidR="00F8379B">
              <w:rPr>
                <w:rFonts w:eastAsia="Calibri"/>
                <w:color w:val="000000"/>
                <w:sz w:val="22"/>
                <w:szCs w:val="22"/>
              </w:rPr>
              <w:t xml:space="preserve">skierowany </w:t>
            </w:r>
            <w:r w:rsidRPr="00B65806">
              <w:rPr>
                <w:rFonts w:eastAsia="Calibri"/>
                <w:color w:val="000000"/>
                <w:sz w:val="22"/>
                <w:szCs w:val="22"/>
              </w:rPr>
              <w:t>do zaopiniowania</w:t>
            </w:r>
            <w:r w:rsidRPr="0013486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(7 </w:t>
            </w:r>
            <w:r w:rsidRPr="0013486C">
              <w:rPr>
                <w:rFonts w:eastAsia="Calibri"/>
                <w:color w:val="000000"/>
                <w:sz w:val="22"/>
                <w:szCs w:val="22"/>
              </w:rPr>
              <w:t xml:space="preserve">dni) </w:t>
            </w:r>
            <w:r w:rsidR="00F8379B">
              <w:rPr>
                <w:rFonts w:eastAsia="Calibri"/>
                <w:color w:val="000000"/>
                <w:sz w:val="22"/>
                <w:szCs w:val="22"/>
              </w:rPr>
              <w:t xml:space="preserve">przez </w:t>
            </w:r>
            <w:r w:rsidRPr="0013486C">
              <w:rPr>
                <w:rFonts w:eastAsia="Calibri"/>
                <w:color w:val="000000"/>
                <w:sz w:val="22"/>
                <w:szCs w:val="22"/>
              </w:rPr>
              <w:t>Prezes</w:t>
            </w:r>
            <w:r w:rsidR="00F8379B">
              <w:rPr>
                <w:rFonts w:eastAsia="Calibri"/>
                <w:color w:val="000000"/>
                <w:sz w:val="22"/>
                <w:szCs w:val="22"/>
              </w:rPr>
              <w:t>a</w:t>
            </w:r>
            <w:r w:rsidRPr="0013486C">
              <w:rPr>
                <w:rFonts w:eastAsia="Calibri"/>
                <w:color w:val="000000"/>
                <w:sz w:val="22"/>
                <w:szCs w:val="22"/>
              </w:rPr>
              <w:t xml:space="preserve"> Urzędu Regulacji Energetyki.</w:t>
            </w:r>
          </w:p>
          <w:p w14:paraId="3062A2F6" w14:textId="77777777" w:rsidR="00766531" w:rsidRPr="0013486C" w:rsidRDefault="00766531" w:rsidP="001348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14:paraId="7B86CA72" w14:textId="64649248" w:rsidR="0013486C" w:rsidRPr="0013486C" w:rsidRDefault="0013486C" w:rsidP="001348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3486C">
              <w:rPr>
                <w:rFonts w:eastAsia="Calibri"/>
                <w:color w:val="000000"/>
                <w:sz w:val="22"/>
                <w:szCs w:val="22"/>
              </w:rPr>
              <w:t xml:space="preserve">Skrócono termin konsultacji i opiniowania do 7 dni, z uwagi na </w:t>
            </w:r>
            <w:r w:rsidR="00130D2E">
              <w:rPr>
                <w:rFonts w:eastAsia="Calibri"/>
                <w:color w:val="000000"/>
                <w:sz w:val="22"/>
                <w:szCs w:val="22"/>
              </w:rPr>
              <w:t xml:space="preserve">pilną </w:t>
            </w:r>
            <w:r w:rsidRPr="0013486C">
              <w:rPr>
                <w:rFonts w:eastAsia="Calibri"/>
                <w:color w:val="000000"/>
                <w:sz w:val="22"/>
                <w:szCs w:val="22"/>
              </w:rPr>
              <w:t>konieczność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dostosowania</w:t>
            </w:r>
            <w:r>
              <w:t xml:space="preserve"> </w:t>
            </w:r>
            <w:r w:rsidRPr="0013486C">
              <w:rPr>
                <w:rFonts w:eastAsia="Calibri"/>
                <w:color w:val="000000"/>
                <w:sz w:val="22"/>
                <w:szCs w:val="22"/>
              </w:rPr>
              <w:t>maksymalnych wartości kosztów inwestycyjnych oraz kosztów operacyjnych wybudowania i funkcjonowania nowej porównywalnej jednostki kogeneracji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do zmienionych warunków makroekonomicznych.</w:t>
            </w:r>
          </w:p>
          <w:p w14:paraId="7D115FDC" w14:textId="77777777" w:rsidR="0013486C" w:rsidRPr="0013486C" w:rsidRDefault="0013486C" w:rsidP="001348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14:paraId="1E978338" w14:textId="77777777" w:rsidR="0013486C" w:rsidRPr="0013486C" w:rsidRDefault="0013486C" w:rsidP="001348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3486C">
              <w:rPr>
                <w:rFonts w:eastAsia="Calibri"/>
                <w:color w:val="000000"/>
                <w:sz w:val="22"/>
                <w:szCs w:val="22"/>
              </w:rPr>
              <w:t>Z uwagi na zakres projektu, który nie dotyczy zadań związków zawodowych oraz praw i interesów związków pracodawców, projekt nie podlega opiniowaniu przez reprezentatywne związki zawodowe oraz reprezentatywne organizacje pracodawców.</w:t>
            </w:r>
          </w:p>
          <w:p w14:paraId="3591BE68" w14:textId="77777777" w:rsidR="0013486C" w:rsidRPr="0013486C" w:rsidRDefault="0013486C" w:rsidP="001348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14:paraId="33426510" w14:textId="77777777" w:rsidR="0013486C" w:rsidRPr="0013486C" w:rsidRDefault="0013486C" w:rsidP="001348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3486C">
              <w:rPr>
                <w:rFonts w:eastAsia="Calibri"/>
                <w:color w:val="000000"/>
                <w:sz w:val="22"/>
                <w:szCs w:val="22"/>
              </w:rPr>
              <w:t xml:space="preserve">Projekt nie podlega opiniowaniu przez Komisję Wspólną Rządu i Samorządu Terytorialnego, gdyż nie dotyczy spraw związanych z samorządem terytorialnym, o których mowa w ustawie z dnia 6 maja 2005 r. o Komisji Wspólnej Rządu i Samorządu Terytorialnego oraz o przedstawicielach Rzeczypospolitej Polskiej w Komitecie Regionów Unii Europejskiej. </w:t>
            </w:r>
          </w:p>
          <w:p w14:paraId="152BE304" w14:textId="77777777" w:rsidR="0013486C" w:rsidRPr="0013486C" w:rsidRDefault="0013486C" w:rsidP="001348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14:paraId="4FB0DFE0" w14:textId="11E4AFDA" w:rsidR="0013486C" w:rsidRPr="0013486C" w:rsidRDefault="0013486C" w:rsidP="001348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3486C">
              <w:rPr>
                <w:rFonts w:eastAsia="Calibri"/>
                <w:color w:val="000000"/>
                <w:sz w:val="22"/>
                <w:szCs w:val="22"/>
              </w:rPr>
              <w:t xml:space="preserve">Projekt nie dotyczy spraw, o których mowa w art. 1 ustawy z dnia 24 lipca 2015 r. o Radzie Dialogu Społecznego i innych instytucjach dialogu społecznego, w związku z czym nie podlega zaopiniowaniu przez Radę Dialogu Społecznego. </w:t>
            </w:r>
          </w:p>
          <w:p w14:paraId="4F8982E5" w14:textId="77777777" w:rsidR="0013486C" w:rsidRPr="0013486C" w:rsidRDefault="0013486C" w:rsidP="001348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14:paraId="696F61F5" w14:textId="77777777" w:rsidR="0013486C" w:rsidRPr="0013486C" w:rsidRDefault="0013486C" w:rsidP="001348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3486C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Projekt rozporządzenia nie wymaga przedstawienia właściwym instytucjom i organom Unii Europejskiej, w tym Europejskiemu Bankowi Centralnemu, celem uzyskania opinii, dokonania powiadomienia, konsultacji albo uzgodnienia projektu. </w:t>
            </w:r>
          </w:p>
          <w:p w14:paraId="710DDAE1" w14:textId="77777777" w:rsidR="0013486C" w:rsidRPr="0013486C" w:rsidRDefault="0013486C" w:rsidP="0013486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14:paraId="60FEA366" w14:textId="6D2C7D48" w:rsidR="00E677DF" w:rsidRPr="00E64819" w:rsidRDefault="0013486C" w:rsidP="00766531">
            <w:pPr>
              <w:pStyle w:val="Default"/>
              <w:jc w:val="both"/>
              <w:rPr>
                <w:spacing w:val="-2"/>
              </w:rPr>
            </w:pPr>
            <w:r w:rsidRPr="0013486C">
              <w:rPr>
                <w:rFonts w:eastAsia="Calibri"/>
                <w:sz w:val="22"/>
                <w:szCs w:val="22"/>
              </w:rPr>
              <w:t>Wyniki opiniowania i konsultacji publicznych zostaną omówione w raporcie z konsultacji, zawierającym zestawienie przedstawionych stanowisk lub opinii i odniesie się do nich przez organ wnioskujący, udostępnionym na stronie Rządowego Centrum Legislacji, w zakładce Rządowy Proces Legislacyjny, najpóźniej z dniem przekazania projektu na kolejny etap prac legislacyjnych.</w:t>
            </w:r>
          </w:p>
        </w:tc>
      </w:tr>
      <w:tr w:rsidR="00E677DF" w:rsidRPr="00E64819" w14:paraId="172C8661" w14:textId="77777777" w:rsidTr="00712862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872CCED" w14:textId="77777777" w:rsidR="00E677DF" w:rsidRPr="00E64819" w:rsidRDefault="00E677DF" w:rsidP="00E677DF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Wpływ na sektor finansów publicznych</w:t>
            </w:r>
          </w:p>
        </w:tc>
      </w:tr>
      <w:tr w:rsidR="00E677DF" w:rsidRPr="00E64819" w14:paraId="6D9B1EF2" w14:textId="77777777" w:rsidTr="00712862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222BE865" w14:textId="77777777" w:rsidR="00E677DF" w:rsidRPr="00E64819" w:rsidRDefault="00E677DF" w:rsidP="00712862">
            <w:pPr>
              <w:spacing w:before="40" w:after="40" w:line="276" w:lineRule="auto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97F242A" w14:textId="77777777" w:rsidR="00E677DF" w:rsidRPr="00E64819" w:rsidRDefault="00E677DF" w:rsidP="00712862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E677DF" w:rsidRPr="00E64819" w14:paraId="214F3DFD" w14:textId="77777777" w:rsidTr="00712862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2FF12E3" w14:textId="77777777" w:rsidR="00E677DF" w:rsidRPr="00E64819" w:rsidRDefault="00E677DF" w:rsidP="00712862">
            <w:pPr>
              <w:spacing w:before="40" w:after="40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E847ABD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656A44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AAA916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25B0E5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001D6D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675CF71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0A3EAA8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6E093F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658409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87386B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A8C30F9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F3F7A9A" w14:textId="77777777" w:rsidR="00E677DF" w:rsidRPr="00E64819" w:rsidRDefault="00E677DF" w:rsidP="00712862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E677DF" w:rsidRPr="00E64819" w14:paraId="50D67E22" w14:textId="77777777" w:rsidTr="00712862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09D6CB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821951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11FDBD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3FEFCF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EDFC238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2ADF5F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CC81143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24AF156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193A58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E03475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495B53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F414B80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6FA713A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E677DF" w:rsidRPr="00E64819" w14:paraId="2F851C5A" w14:textId="77777777" w:rsidTr="00712862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B1C3CE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1B18D6D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8B7566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23ABFC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89CBE5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5FF8DE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CDB2D0D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F5BFB61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C77FCC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7E7A7E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2E1541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3F24484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03B56FD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E677DF" w:rsidRPr="00E64819" w14:paraId="715BFD12" w14:textId="77777777" w:rsidTr="00712862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9D66AA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78438D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C4501E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4244D9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580A47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8F30A5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849DE50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4E2A1FE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6D5BB9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64A8DE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AF0C44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D764859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DC2484A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E677DF" w:rsidRPr="00E64819" w14:paraId="67717747" w14:textId="77777777" w:rsidTr="00712862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089299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ECE98C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C88456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89C768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B3DDC3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4F5AC7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05A7570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95807CE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1303390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371154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A07A38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F7D5A63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701499A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E677DF" w:rsidRPr="00E64819" w14:paraId="7A3EF3FD" w14:textId="77777777" w:rsidTr="0071286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6F9D2F0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91DE321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9F4DB1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745DEF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7448378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749725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5D7265C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E74894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D80F3D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CD56DA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89ABCE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790EA08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D6F19D7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E677DF" w:rsidRPr="00E64819" w14:paraId="118671A9" w14:textId="77777777" w:rsidTr="0071286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233B87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AF8561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9CC430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1F3922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DFA313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7FBB97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84C3F5C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0278C68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8423F67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875984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81E39D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905BC87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C1E4D40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E677DF" w:rsidRPr="00E64819" w14:paraId="24C74C7C" w14:textId="77777777" w:rsidTr="0071286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C318F7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A19AE3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BFEAAF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9AE490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3F2981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280565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063AAC4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A9AE815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C66764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792140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FD5762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40E4136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1E8A324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E677DF" w:rsidRPr="00E64819" w14:paraId="54A6AABE" w14:textId="77777777" w:rsidTr="0071286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DF190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B8E3D9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09E10F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0BE57F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702C73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662685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BE0A7FD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996F80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D574C20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106488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ED8774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7724302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58183B7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E677DF" w:rsidRPr="00E64819" w14:paraId="6D95812F" w14:textId="77777777" w:rsidTr="00712862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8F11BC2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C2A80E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B62555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C31EA5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7B87F2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1B06E3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DE4003E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EEA12D5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E133B9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89F87B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0E49F8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5388D47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590C300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E677DF" w:rsidRPr="00E64819" w14:paraId="7D9E5824" w14:textId="77777777" w:rsidTr="00712862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89CC08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650E60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E52696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05F453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7AF7F5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8749BE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924F2C2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981FCAE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C770F6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45475D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CF84E4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029EAF6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3278175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E677DF" w:rsidRPr="00E64819" w14:paraId="3D004AA2" w14:textId="77777777" w:rsidTr="0071286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A86838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B31205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C73650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7B7581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57928E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9E3060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6B27DBB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8E6B3D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B4EA1D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86240A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2174BE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0886016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ADAF545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E677DF" w:rsidRPr="00E64819" w14:paraId="213C57E8" w14:textId="77777777" w:rsidTr="0071286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3BF85A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B363D2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0941EF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335514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539F48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125DC9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3A491B8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B7709B0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0BB6BD2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242AAE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865BC9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47BEA30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0D407CF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E677DF" w:rsidRPr="00E64819" w14:paraId="6F4D4CB9" w14:textId="77777777" w:rsidTr="00712862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305329B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9731730" w14:textId="082A4CF7" w:rsidR="00E677DF" w:rsidRPr="003C54BF" w:rsidRDefault="00744CBA" w:rsidP="0071286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6531">
              <w:rPr>
                <w:color w:val="000000"/>
                <w:sz w:val="22"/>
                <w:szCs w:val="22"/>
              </w:rPr>
              <w:t>Rozporządzenie nie powoduje skutków finansowych dla jednostek sektora finansów publicznych, w tym budżetu państwa i budżetów jednostek samorządu terytorialnego, polegających na zwiększeniu wydatków lub zmniejszeniu dochodów tych jednostek w stosunku do wielkości wynikających z obowiązujących przepisów.</w:t>
            </w:r>
          </w:p>
        </w:tc>
      </w:tr>
      <w:tr w:rsidR="00E677DF" w:rsidRPr="00E64819" w14:paraId="3678BDB7" w14:textId="77777777" w:rsidTr="00712862">
        <w:trPr>
          <w:gridAfter w:val="1"/>
          <w:wAfter w:w="10" w:type="dxa"/>
          <w:trHeight w:val="1162"/>
        </w:trPr>
        <w:tc>
          <w:tcPr>
            <w:tcW w:w="2243" w:type="dxa"/>
            <w:gridSpan w:val="2"/>
            <w:shd w:val="clear" w:color="auto" w:fill="FFFFFF"/>
          </w:tcPr>
          <w:p w14:paraId="03854F92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23C44929" w14:textId="59D74904" w:rsidR="00E677DF" w:rsidRDefault="00E677DF" w:rsidP="00712862">
            <w:pPr>
              <w:jc w:val="both"/>
              <w:rPr>
                <w:color w:val="000000"/>
              </w:rPr>
            </w:pPr>
          </w:p>
          <w:p w14:paraId="2C4A38FB" w14:textId="4FC5E653" w:rsidR="00744CBA" w:rsidRPr="00E64819" w:rsidRDefault="00744CBA" w:rsidP="007128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4CBA">
              <w:rPr>
                <w:rFonts w:eastAsia="Calibri"/>
                <w:sz w:val="22"/>
                <w:szCs w:val="22"/>
                <w:lang w:eastAsia="en-US"/>
              </w:rPr>
              <w:t>Regulacja ma charakter wtórny wobec rozwiązań przyjętych w ustawie i nie będzie angażować środków budżetowych.</w:t>
            </w:r>
          </w:p>
        </w:tc>
      </w:tr>
      <w:tr w:rsidR="00E677DF" w:rsidRPr="00E64819" w14:paraId="5D76F9D7" w14:textId="77777777" w:rsidTr="00712862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112E8BA" w14:textId="77777777" w:rsidR="00E677DF" w:rsidRPr="00E64819" w:rsidRDefault="00E677DF" w:rsidP="00E677DF">
            <w:pPr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E6481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E677DF" w:rsidRPr="00E64819" w14:paraId="2CDE665C" w14:textId="77777777" w:rsidTr="0071286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85B97E1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E677DF" w:rsidRPr="00E64819" w14:paraId="564C28FE" w14:textId="77777777" w:rsidTr="00712862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B09A62B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C38BC26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796F9CF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5FA6BB7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3032C71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BCCA02D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429AFDF" w14:textId="77777777" w:rsidR="00E677DF" w:rsidRPr="00E64819" w:rsidRDefault="00E677DF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E4CE078" w14:textId="77777777" w:rsidR="00E677DF" w:rsidRPr="00E64819" w:rsidRDefault="00E677DF" w:rsidP="00712862">
            <w:pPr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E64819" w:rsidDel="0073273A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E64819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766531" w:rsidRPr="00E64819" w14:paraId="6837D364" w14:textId="77777777" w:rsidTr="00712862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2CD8A77" w14:textId="77777777" w:rsidR="00766531" w:rsidRPr="00E64819" w:rsidRDefault="00766531" w:rsidP="00712862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6245CA2D" w14:textId="77777777" w:rsidR="00766531" w:rsidRPr="00E64819" w:rsidRDefault="00766531" w:rsidP="00712862">
            <w:pPr>
              <w:spacing w:line="276" w:lineRule="auto"/>
              <w:rPr>
                <w:rFonts w:eastAsia="Calibri"/>
                <w:spacing w:val="-2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14:paraId="2A69FD1C" w14:textId="77777777" w:rsidR="00766531" w:rsidRPr="00E64819" w:rsidRDefault="00766531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spacing w:val="-2"/>
                <w:sz w:val="21"/>
                <w:szCs w:val="21"/>
                <w:lang w:eastAsia="en-US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F1FF011" w14:textId="77777777" w:rsidR="00766531" w:rsidRPr="00E64819" w:rsidRDefault="00766531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7498E4C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BE4D671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503AF47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96804F2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6927CB2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CC6AF21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0D393F23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766531" w:rsidRPr="00E64819" w14:paraId="0A2EE6CA" w14:textId="77777777" w:rsidTr="00712862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0B58D94" w14:textId="77777777" w:rsidR="00766531" w:rsidRPr="00E64819" w:rsidRDefault="00766531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0052FF9" w14:textId="77777777" w:rsidR="00766531" w:rsidRPr="00E64819" w:rsidRDefault="00766531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20E28B1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43BE1D8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854099C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B01A652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9569346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95CA517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2365A31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766531" w:rsidRPr="00E64819" w14:paraId="630C3F90" w14:textId="77777777" w:rsidTr="00712862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45896D1" w14:textId="77777777" w:rsidR="00766531" w:rsidRPr="00E64819" w:rsidRDefault="00766531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9EBC0D" w14:textId="77777777" w:rsidR="00766531" w:rsidRPr="00E64819" w:rsidRDefault="00766531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5A0F653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167917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8301DE6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8F809BF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E9AD4B5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4DEE1F1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58ED19C" w14:textId="77777777" w:rsidR="00766531" w:rsidRPr="00E64819" w:rsidRDefault="00766531" w:rsidP="00712862">
            <w:pPr>
              <w:jc w:val="center"/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766531" w:rsidRPr="00E64819" w14:paraId="7E820A29" w14:textId="77777777" w:rsidTr="00712862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E6E54F9" w14:textId="77777777" w:rsidR="00766531" w:rsidRPr="00E64819" w:rsidRDefault="00766531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9BECB5F" w14:textId="38B90C94" w:rsidR="00766531" w:rsidRPr="00E64819" w:rsidRDefault="00766531" w:rsidP="00712862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766531">
              <w:rPr>
                <w:rFonts w:eastAsia="Calibri"/>
                <w:sz w:val="21"/>
                <w:szCs w:val="21"/>
                <w:lang w:eastAsia="en-US"/>
              </w:rPr>
              <w:t>osoby niepełnosprawne oraz osoby starsze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78CB92D" w14:textId="7EDB43ED" w:rsidR="00766531" w:rsidRPr="00E64819" w:rsidRDefault="00766531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CA8DFFE" w14:textId="6F347557" w:rsidR="00766531" w:rsidRPr="00E64819" w:rsidRDefault="00766531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5A5FBA5" w14:textId="05DC5B34" w:rsidR="00766531" w:rsidRPr="00E64819" w:rsidRDefault="00766531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BB3EA30" w14:textId="44D31D06" w:rsidR="00766531" w:rsidRPr="00E64819" w:rsidRDefault="00766531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02C4061" w14:textId="34D8E387" w:rsidR="00766531" w:rsidRPr="00E64819" w:rsidRDefault="00766531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CAE9656" w14:textId="5656E967" w:rsidR="00766531" w:rsidRPr="00E64819" w:rsidRDefault="00766531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0CA5DEC" w14:textId="1F2467B0" w:rsidR="00766531" w:rsidRPr="00E64819" w:rsidRDefault="00766531" w:rsidP="00712862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E677DF" w:rsidRPr="00E64819" w14:paraId="2AB45319" w14:textId="77777777" w:rsidTr="00712862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7EF54BF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39310A1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shd w:val="clear" w:color="auto" w:fill="FFFFFF"/>
          </w:tcPr>
          <w:p w14:paraId="1BF1EA40" w14:textId="4B2E399E" w:rsidR="00E677DF" w:rsidRPr="00E64819" w:rsidRDefault="00E677DF" w:rsidP="00712862">
            <w:pPr>
              <w:jc w:val="both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  <w:t xml:space="preserve">Projekt rozporządzenia nie wprowadza dodatkowych obciążeń ani obowiązków, </w:t>
            </w:r>
            <w:r w:rsidRPr="00E64819"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  <w:br/>
              <w:t xml:space="preserve">a jedynie określa </w:t>
            </w:r>
            <w:r w:rsidRPr="00E64819">
              <w:rPr>
                <w:sz w:val="22"/>
                <w:szCs w:val="22"/>
              </w:rPr>
              <w:t xml:space="preserve">wartości mające znaczenie dla kwalifikowania </w:t>
            </w:r>
            <w:r>
              <w:rPr>
                <w:sz w:val="22"/>
                <w:szCs w:val="22"/>
              </w:rPr>
              <w:t xml:space="preserve">zmodernizowanych i znacznie zmodernizowanych </w:t>
            </w:r>
            <w:r w:rsidRPr="00E64819">
              <w:rPr>
                <w:sz w:val="22"/>
                <w:szCs w:val="22"/>
              </w:rPr>
              <w:t>jednostek kogenerac</w:t>
            </w:r>
            <w:r>
              <w:rPr>
                <w:sz w:val="22"/>
                <w:szCs w:val="22"/>
              </w:rPr>
              <w:t>ji do odpowiedniego poziomu wsparcia.</w:t>
            </w:r>
          </w:p>
        </w:tc>
      </w:tr>
      <w:tr w:rsidR="00E677DF" w:rsidRPr="00E64819" w14:paraId="200D4AFE" w14:textId="77777777" w:rsidTr="00712862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2E4A23F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831459E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64819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shd w:val="clear" w:color="auto" w:fill="FFFFFF"/>
          </w:tcPr>
          <w:p w14:paraId="1548AC79" w14:textId="77777777" w:rsidR="00E677DF" w:rsidRPr="00E64819" w:rsidRDefault="00E677DF" w:rsidP="00712862">
            <w:pPr>
              <w:jc w:val="both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E677DF" w:rsidRPr="00E64819" w14:paraId="3A4F1996" w14:textId="77777777" w:rsidTr="00712862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3902AC1E" w14:textId="77777777" w:rsidR="00E677DF" w:rsidRPr="00E64819" w:rsidRDefault="00E677DF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691DD6E" w14:textId="6075C15B" w:rsidR="00E677DF" w:rsidRPr="00E64819" w:rsidRDefault="00744CBA" w:rsidP="00712862">
            <w:pPr>
              <w:tabs>
                <w:tab w:val="right" w:pos="1936"/>
              </w:tabs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44CBA">
              <w:rPr>
                <w:rFonts w:eastAsia="Calibri"/>
                <w:color w:val="000000"/>
                <w:sz w:val="21"/>
                <w:szCs w:val="21"/>
                <w:lang w:eastAsia="en-US"/>
              </w:rPr>
              <w:t>rodzina, osoby niepełnosprawne oraz osoby starsze, 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4E89955" w14:textId="30194E7A" w:rsidR="00E677DF" w:rsidRPr="00E64819" w:rsidRDefault="00E677DF" w:rsidP="00712862">
            <w:pPr>
              <w:pStyle w:val="Default"/>
              <w:jc w:val="both"/>
              <w:rPr>
                <w:sz w:val="22"/>
                <w:szCs w:val="22"/>
              </w:rPr>
            </w:pPr>
            <w:r w:rsidRPr="00E64819">
              <w:rPr>
                <w:sz w:val="22"/>
                <w:szCs w:val="22"/>
              </w:rPr>
              <w:t>P</w:t>
            </w:r>
            <w:r w:rsidR="00744CBA">
              <w:rPr>
                <w:sz w:val="22"/>
                <w:szCs w:val="22"/>
              </w:rPr>
              <w:t>rzewiduje się, że p</w:t>
            </w:r>
            <w:r w:rsidRPr="00E64819">
              <w:rPr>
                <w:sz w:val="22"/>
                <w:szCs w:val="22"/>
              </w:rPr>
              <w:t xml:space="preserve">rojektowane rozporządzenie nie będzie miało </w:t>
            </w:r>
            <w:r w:rsidR="00744CBA">
              <w:rPr>
                <w:sz w:val="22"/>
                <w:szCs w:val="22"/>
              </w:rPr>
              <w:t xml:space="preserve">znaczącego </w:t>
            </w:r>
            <w:r w:rsidRPr="00E64819">
              <w:rPr>
                <w:sz w:val="22"/>
                <w:szCs w:val="22"/>
              </w:rPr>
              <w:t>wpływu na funkcjonowanie rodzin, obywateli</w:t>
            </w:r>
            <w:r w:rsidR="00744CBA">
              <w:rPr>
                <w:sz w:val="22"/>
                <w:szCs w:val="22"/>
              </w:rPr>
              <w:t>, osób starszych i niepełnosprawnych</w:t>
            </w:r>
            <w:r w:rsidRPr="00E64819">
              <w:rPr>
                <w:sz w:val="22"/>
                <w:szCs w:val="22"/>
              </w:rPr>
              <w:t xml:space="preserve"> oraz gospodarstw domowych. </w:t>
            </w:r>
          </w:p>
        </w:tc>
      </w:tr>
      <w:tr w:rsidR="00766531" w:rsidRPr="00E64819" w14:paraId="0E8A9529" w14:textId="77777777" w:rsidTr="00712862">
        <w:trPr>
          <w:gridAfter w:val="1"/>
          <w:wAfter w:w="10" w:type="dxa"/>
          <w:trHeight w:val="596"/>
        </w:trPr>
        <w:tc>
          <w:tcPr>
            <w:tcW w:w="1596" w:type="dxa"/>
            <w:shd w:val="clear" w:color="auto" w:fill="FFFFFF"/>
          </w:tcPr>
          <w:p w14:paraId="12CE13EE" w14:textId="77777777" w:rsidR="00766531" w:rsidRPr="00E64819" w:rsidRDefault="00766531" w:rsidP="00712862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6DF47CA" w14:textId="3F0920EA" w:rsidR="00766531" w:rsidRPr="00744CBA" w:rsidRDefault="00766531" w:rsidP="00712862">
            <w:pPr>
              <w:tabs>
                <w:tab w:val="right" w:pos="1936"/>
              </w:tabs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66531">
              <w:rPr>
                <w:rFonts w:eastAsia="Calibri"/>
                <w:color w:val="000000"/>
                <w:sz w:val="21"/>
                <w:szCs w:val="21"/>
                <w:lang w:eastAsia="en-US"/>
              </w:rPr>
              <w:t>osoby niepełnosprawne oraz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ED1B7F2" w14:textId="581F30A2" w:rsidR="00766531" w:rsidRPr="00E64819" w:rsidRDefault="00766531" w:rsidP="00712862">
            <w:pPr>
              <w:pStyle w:val="Default"/>
              <w:jc w:val="both"/>
              <w:rPr>
                <w:sz w:val="22"/>
                <w:szCs w:val="22"/>
              </w:rPr>
            </w:pPr>
            <w:r w:rsidRPr="00766531">
              <w:rPr>
                <w:sz w:val="22"/>
                <w:szCs w:val="22"/>
              </w:rPr>
              <w:t>Przewiduje się, że projektowane rozporządzenie nie będzie miało znaczącego wpływu na funkcjonowanie rodzin, obywateli, osób starszych i niepełnosprawnych oraz gospodarstw domowych.</w:t>
            </w:r>
          </w:p>
        </w:tc>
      </w:tr>
      <w:tr w:rsidR="00766531" w:rsidRPr="00E64819" w14:paraId="16EAD747" w14:textId="77777777" w:rsidTr="005904BE">
        <w:trPr>
          <w:gridAfter w:val="1"/>
          <w:wAfter w:w="10" w:type="dxa"/>
          <w:trHeight w:val="596"/>
        </w:trPr>
        <w:tc>
          <w:tcPr>
            <w:tcW w:w="3889" w:type="dxa"/>
            <w:gridSpan w:val="7"/>
            <w:shd w:val="clear" w:color="auto" w:fill="FFFFFF"/>
          </w:tcPr>
          <w:p w14:paraId="009699DE" w14:textId="0B48EC9D" w:rsidR="00766531" w:rsidRPr="00744CBA" w:rsidRDefault="00766531" w:rsidP="00712862">
            <w:pPr>
              <w:tabs>
                <w:tab w:val="right" w:pos="1936"/>
              </w:tabs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66531">
              <w:rPr>
                <w:rFonts w:eastAsia="Calibri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C997A05" w14:textId="021C6F6F" w:rsidR="00766531" w:rsidRPr="00E64819" w:rsidRDefault="00766531" w:rsidP="00766531">
            <w:pPr>
              <w:pStyle w:val="Default"/>
              <w:jc w:val="both"/>
              <w:rPr>
                <w:sz w:val="22"/>
                <w:szCs w:val="22"/>
              </w:rPr>
            </w:pPr>
            <w:r w:rsidRPr="00766531">
              <w:rPr>
                <w:sz w:val="22"/>
                <w:szCs w:val="22"/>
              </w:rPr>
              <w:t>Projekt rozporządzenia nie wprowadza dodatkowych obciążeń ani obowiązków, a jedynie określa wartości mające znaczenie dla kwalifikowania zmodernizowanych i znacznie zmodernizowanych jednostek kogeneracji do odpowiedniego poziomu wsparcia.</w:t>
            </w:r>
          </w:p>
        </w:tc>
      </w:tr>
      <w:tr w:rsidR="00766531" w:rsidRPr="00E64819" w14:paraId="72140160" w14:textId="77777777" w:rsidTr="005632D5">
        <w:trPr>
          <w:gridAfter w:val="1"/>
          <w:wAfter w:w="10" w:type="dxa"/>
          <w:trHeight w:val="596"/>
        </w:trPr>
        <w:tc>
          <w:tcPr>
            <w:tcW w:w="3889" w:type="dxa"/>
            <w:gridSpan w:val="7"/>
            <w:shd w:val="clear" w:color="auto" w:fill="FFFFFF"/>
          </w:tcPr>
          <w:p w14:paraId="5C7104B6" w14:textId="428414D6" w:rsidR="00766531" w:rsidRPr="00744CBA" w:rsidRDefault="00766531" w:rsidP="00712862">
            <w:pPr>
              <w:tabs>
                <w:tab w:val="right" w:pos="1936"/>
              </w:tabs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66531">
              <w:rPr>
                <w:rFonts w:eastAsia="Calibri"/>
                <w:color w:val="000000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6CEAEC7" w14:textId="455BB808" w:rsidR="00766531" w:rsidRPr="00E64819" w:rsidRDefault="00766531" w:rsidP="00712862">
            <w:pPr>
              <w:pStyle w:val="Default"/>
              <w:jc w:val="both"/>
              <w:rPr>
                <w:sz w:val="22"/>
                <w:szCs w:val="22"/>
              </w:rPr>
            </w:pPr>
            <w:r w:rsidRPr="00766531">
              <w:rPr>
                <w:sz w:val="22"/>
                <w:szCs w:val="22"/>
              </w:rPr>
              <w:t>Projektowana regulacja nie będzie miała wpływu na konkurencyjność gospodarki i przedsiębiorczość, w tym na funkcjonowanie przedsiębiorstw.</w:t>
            </w:r>
          </w:p>
        </w:tc>
      </w:tr>
      <w:tr w:rsidR="00E677DF" w:rsidRPr="00E64819" w14:paraId="08FC9ECE" w14:textId="77777777" w:rsidTr="00712862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79562D1" w14:textId="77777777" w:rsidR="00E677DF" w:rsidRPr="00E64819" w:rsidRDefault="00E677DF" w:rsidP="00E677DF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E677DF" w:rsidRPr="00E64819" w14:paraId="6482709E" w14:textId="77777777" w:rsidTr="00712862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E65051F" w14:textId="77777777" w:rsidR="00E677DF" w:rsidRPr="00E64819" w:rsidRDefault="00E677DF" w:rsidP="0071286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E677DF" w:rsidRPr="00E64819" w14:paraId="54230C83" w14:textId="77777777" w:rsidTr="00712862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B274EFD" w14:textId="77777777" w:rsidR="00E677DF" w:rsidRPr="00E64819" w:rsidRDefault="00E677DF" w:rsidP="00712862">
            <w:pPr>
              <w:spacing w:line="276" w:lineRule="auto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E0E27D6" w14:textId="77777777" w:rsidR="00E677DF" w:rsidRPr="00E64819" w:rsidRDefault="00E677DF" w:rsidP="0071286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701B142E" w14:textId="77777777" w:rsidR="00E677DF" w:rsidRPr="00E64819" w:rsidRDefault="00E677DF" w:rsidP="0071286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59E227F0" w14:textId="77777777" w:rsidR="00E677DF" w:rsidRPr="00E64819" w:rsidRDefault="00E677DF" w:rsidP="00712862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"/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E677DF" w:rsidRPr="00E64819" w14:paraId="697FCC0E" w14:textId="77777777" w:rsidTr="00712862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5FA3CDC3" w14:textId="77777777" w:rsidR="00E677DF" w:rsidRPr="00E64819" w:rsidRDefault="00E677DF" w:rsidP="00712862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6481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2A199951" w14:textId="77777777" w:rsidR="00E677DF" w:rsidRPr="00E64819" w:rsidRDefault="00E677DF" w:rsidP="00712862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6481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331B8C59" w14:textId="77777777" w:rsidR="00E677DF" w:rsidRPr="00E64819" w:rsidRDefault="00E677DF" w:rsidP="00712862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6481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42E3F698" w14:textId="77777777" w:rsidR="00E677DF" w:rsidRPr="00E64819" w:rsidRDefault="00E677DF" w:rsidP="00712862">
            <w:pPr>
              <w:spacing w:line="276" w:lineRule="auto"/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6481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E6481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E6481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E6481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E6481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E77EAE7" w14:textId="77777777" w:rsidR="00E677DF" w:rsidRPr="00E64819" w:rsidRDefault="00E677DF" w:rsidP="00712862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6481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197B76EA" w14:textId="77777777" w:rsidR="00E677DF" w:rsidRPr="00E64819" w:rsidRDefault="00E677DF" w:rsidP="00712862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6481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308D9E10" w14:textId="77777777" w:rsidR="00E677DF" w:rsidRPr="00E64819" w:rsidRDefault="00E677DF" w:rsidP="00712862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6481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43F5A859" w14:textId="77777777" w:rsidR="00E677DF" w:rsidRPr="00E64819" w:rsidRDefault="00E677DF" w:rsidP="0071286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6481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E6481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E6481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E6481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E64819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424844AF" w14:textId="77777777" w:rsidR="00E677DF" w:rsidRPr="00E64819" w:rsidRDefault="00E677DF" w:rsidP="0071286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677DF" w:rsidRPr="00E64819" w14:paraId="5BE99E56" w14:textId="77777777" w:rsidTr="00712862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66C43729" w14:textId="77777777" w:rsidR="00E677DF" w:rsidRPr="00E64819" w:rsidRDefault="00E677DF" w:rsidP="0071286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0850653" w14:textId="77777777" w:rsidR="00E677DF" w:rsidRPr="00E64819" w:rsidRDefault="00E677DF" w:rsidP="0071286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5A505D3E" w14:textId="77777777" w:rsidR="00E677DF" w:rsidRPr="00E64819" w:rsidRDefault="00E677DF" w:rsidP="0071286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5815EB1D" w14:textId="77777777" w:rsidR="00E677DF" w:rsidRPr="00E64819" w:rsidRDefault="00E677DF" w:rsidP="0071286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E677DF" w:rsidRPr="00E64819" w14:paraId="4CC12055" w14:textId="77777777" w:rsidTr="00712862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2C6C2B2D" w14:textId="77777777" w:rsidR="00E677DF" w:rsidRPr="00E64819" w:rsidRDefault="00E677DF" w:rsidP="0071286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t>Komentarz: Brak</w:t>
            </w:r>
          </w:p>
        </w:tc>
      </w:tr>
      <w:tr w:rsidR="00E677DF" w:rsidRPr="00E64819" w14:paraId="7A3328E8" w14:textId="77777777" w:rsidTr="0071286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802458E" w14:textId="77777777" w:rsidR="00E677DF" w:rsidRPr="00E64819" w:rsidRDefault="00E677DF" w:rsidP="00E677DF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E677DF" w:rsidRPr="00E64819" w14:paraId="1FA6156B" w14:textId="77777777" w:rsidTr="0071286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7B541B2" w14:textId="77777777" w:rsidR="00E677DF" w:rsidRPr="00E64819" w:rsidRDefault="00E677DF" w:rsidP="0071286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sz w:val="22"/>
                <w:szCs w:val="22"/>
                <w:lang w:eastAsia="en-US"/>
              </w:rPr>
              <w:t>Regulacja ma charakter wtórny wobec ustawy o promowaniu energii elektrycznej z wysokosprawnej kogeneracji. Wpływ wprowadzenia proponowanych rozwiązań na rynek pracy został opisany w ocenie skutków regulacji do przedmiotowej ustawy.</w:t>
            </w:r>
          </w:p>
        </w:tc>
      </w:tr>
      <w:tr w:rsidR="00E677DF" w:rsidRPr="00E64819" w14:paraId="5E05E6B6" w14:textId="77777777" w:rsidTr="0071286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9075D9" w14:textId="77777777" w:rsidR="00E677DF" w:rsidRPr="00E64819" w:rsidRDefault="00E677DF" w:rsidP="00E677DF">
            <w:pPr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E677DF" w:rsidRPr="00E64819" w14:paraId="404BD31B" w14:textId="77777777" w:rsidTr="00712862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5D8C57E" w14:textId="77777777" w:rsidR="00B01F48" w:rsidRPr="00B01F48" w:rsidRDefault="00B01F48" w:rsidP="00B01F48">
            <w:pPr>
              <w:spacing w:line="276" w:lineRule="auto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B01F48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48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B01F48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B01F4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01F48">
              <w:rPr>
                <w:rFonts w:eastAsia="Calibri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281D4293" w14:textId="47E8FDBA" w:rsidR="00B01F48" w:rsidRPr="00B01F48" w:rsidRDefault="00B01F48" w:rsidP="00B01F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1F48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48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B01F48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01F48">
              <w:rPr>
                <w:rFonts w:eastAsia="Calibri"/>
                <w:sz w:val="22"/>
                <w:szCs w:val="22"/>
                <w:lang w:eastAsia="en-US"/>
              </w:rPr>
              <w:t>sytuacja i rozwój regionalny</w:t>
            </w:r>
          </w:p>
          <w:p w14:paraId="1AAD32CF" w14:textId="50DDA202" w:rsidR="00E677DF" w:rsidRPr="00E64819" w:rsidRDefault="00B01F48" w:rsidP="00712862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B01F48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48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01F48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01F48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01F48">
              <w:rPr>
                <w:rFonts w:eastAsiaTheme="minorHAnsi" w:cstheme="minorBidi"/>
                <w:spacing w:val="-2"/>
                <w:sz w:val="22"/>
                <w:szCs w:val="22"/>
                <w:lang w:eastAsia="en-US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EC8F287" w14:textId="77777777" w:rsidR="00B01F48" w:rsidRPr="00B01F48" w:rsidRDefault="00B01F48" w:rsidP="00B01F48">
            <w:pPr>
              <w:spacing w:line="276" w:lineRule="auto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B01F48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48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B01F48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B01F4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01F48">
              <w:rPr>
                <w:rFonts w:eastAsia="Calibri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6E0CF1D8" w14:textId="77777777" w:rsidR="00B01F48" w:rsidRPr="00B01F48" w:rsidRDefault="00B01F48" w:rsidP="00B01F4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01F48"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48">
              <w:rPr>
                <w:rFonts w:eastAsia="Calibr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Pr="00B01F48"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r w:rsidRPr="00B01F4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01F48">
              <w:rPr>
                <w:rFonts w:eastAsia="Calibri"/>
                <w:sz w:val="22"/>
                <w:szCs w:val="22"/>
                <w:lang w:eastAsia="en-US"/>
              </w:rPr>
              <w:t>mienie państwowe</w:t>
            </w:r>
          </w:p>
          <w:p w14:paraId="5233194A" w14:textId="01A6CC48" w:rsidR="00E677DF" w:rsidRPr="00E64819" w:rsidRDefault="00B01F48" w:rsidP="00B01F4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1F48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F48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01F48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B01F48">
              <w:rPr>
                <w:rFonts w:eastAsiaTheme="minorHAnsi" w:cstheme="minorBid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01F48">
              <w:rPr>
                <w:rFonts w:eastAsiaTheme="minorHAnsi" w:cstheme="minorBidi"/>
                <w:color w:val="000000"/>
                <w:spacing w:val="-2"/>
                <w:sz w:val="22"/>
                <w:szCs w:val="22"/>
                <w:lang w:eastAsia="en-US"/>
              </w:rPr>
              <w:t xml:space="preserve">inne: </w:t>
            </w:r>
            <w:r w:rsidRPr="00B01F48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01F48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B01F48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</w:r>
            <w:r w:rsidRPr="00B01F48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B01F48">
              <w:rPr>
                <w:rFonts w:eastAsiaTheme="minorHAnsi" w:hAnsiTheme="minorHAnsi" w:cstheme="minorBid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B01F48">
              <w:rPr>
                <w:rFonts w:eastAsiaTheme="minorHAnsi" w:hAnsiTheme="minorHAnsi" w:cstheme="minorBid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B01F48">
              <w:rPr>
                <w:rFonts w:eastAsiaTheme="minorHAnsi" w:hAnsiTheme="minorHAnsi" w:cstheme="minorBid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B01F48">
              <w:rPr>
                <w:rFonts w:eastAsiaTheme="minorHAnsi" w:hAnsiTheme="minorHAnsi" w:cstheme="minorBid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B01F48">
              <w:rPr>
                <w:rFonts w:eastAsiaTheme="minorHAnsi" w:hAnsiTheme="minorHAnsi" w:cstheme="minorBid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B01F48">
              <w:rPr>
                <w:rFonts w:eastAsiaTheme="minorHAnsi" w:cstheme="minorBid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99CFC88" w14:textId="77777777" w:rsidR="00E677DF" w:rsidRPr="00E64819" w:rsidRDefault="00E677DF" w:rsidP="00712862">
            <w:pP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6481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4690E91D" w14:textId="77777777" w:rsidR="00E677DF" w:rsidRPr="00E64819" w:rsidRDefault="00E677DF" w:rsidP="0071286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E6481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E677DF" w:rsidRPr="00E64819" w14:paraId="200D94EB" w14:textId="77777777" w:rsidTr="00712862">
        <w:trPr>
          <w:gridAfter w:val="1"/>
          <w:wAfter w:w="10" w:type="dxa"/>
          <w:trHeight w:val="44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7EE76EB" w14:textId="77777777" w:rsidR="00E677DF" w:rsidRPr="00E64819" w:rsidRDefault="00E677DF" w:rsidP="0071286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254F37B" w14:textId="77777777" w:rsidR="00E677DF" w:rsidRPr="00E64819" w:rsidRDefault="00E677DF" w:rsidP="00712862">
            <w:pPr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dotyczy.</w:t>
            </w:r>
          </w:p>
        </w:tc>
      </w:tr>
      <w:tr w:rsidR="00E677DF" w:rsidRPr="00E64819" w14:paraId="3A37F337" w14:textId="77777777" w:rsidTr="0071286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416D00A" w14:textId="77777777" w:rsidR="00E677DF" w:rsidRPr="00E64819" w:rsidRDefault="00E677DF" w:rsidP="00E677DF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E677DF" w:rsidRPr="00E64819" w14:paraId="6121F7AA" w14:textId="77777777" w:rsidTr="0071286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F7A47D2" w14:textId="77777777" w:rsidR="00E677DF" w:rsidRPr="00E64819" w:rsidRDefault="00E677DF" w:rsidP="00712862">
            <w:pPr>
              <w:jc w:val="both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spacing w:val="-2"/>
                <w:sz w:val="22"/>
                <w:szCs w:val="22"/>
                <w:lang w:eastAsia="en-US"/>
              </w:rPr>
              <w:t>Projektowana regulacja wchodzi w życie po upływie 14 dni od dnia ogłoszenia.</w:t>
            </w:r>
          </w:p>
        </w:tc>
      </w:tr>
      <w:tr w:rsidR="00E677DF" w:rsidRPr="00E64819" w14:paraId="4836F774" w14:textId="77777777" w:rsidTr="0071286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F270D52" w14:textId="77777777" w:rsidR="00E677DF" w:rsidRPr="00E64819" w:rsidRDefault="00E677DF" w:rsidP="00E677DF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E677DF" w:rsidRPr="00E64819" w14:paraId="0B4EE53B" w14:textId="77777777" w:rsidTr="0071286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1649904" w14:textId="770D9174" w:rsidR="00E677DF" w:rsidRPr="00E64819" w:rsidRDefault="00E677DF" w:rsidP="00712862">
            <w:pPr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B0456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Ewaluacja zostanie dokonana</w:t>
            </w:r>
            <w:r w:rsidR="0049665E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w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przypadku istotnej zmiany uwarunkowań rynkowych, tj. np. wzrostu kosztów budowy jednostek wytwórczych, rozważona zostanie możliwość wydania nowej regulacji w przedmiotowym zakresie.</w:t>
            </w:r>
          </w:p>
        </w:tc>
      </w:tr>
      <w:tr w:rsidR="00E677DF" w:rsidRPr="00E64819" w14:paraId="1E3CE56F" w14:textId="77777777" w:rsidTr="0071286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BCB371" w14:textId="77777777" w:rsidR="00E677DF" w:rsidRPr="00E64819" w:rsidRDefault="00E677DF" w:rsidP="00E677DF">
            <w:pPr>
              <w:numPr>
                <w:ilvl w:val="0"/>
                <w:numId w:val="1"/>
              </w:numPr>
              <w:spacing w:before="60" w:after="60" w:line="276" w:lineRule="auto"/>
              <w:ind w:left="318" w:hanging="284"/>
              <w:jc w:val="both"/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E64819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E64819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E64819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E677DF" w:rsidRPr="00E64819" w14:paraId="60435642" w14:textId="77777777" w:rsidTr="0071286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13A9A6F" w14:textId="77777777" w:rsidR="00E677DF" w:rsidRPr="00E64819" w:rsidRDefault="00E677DF" w:rsidP="00712862">
            <w:pPr>
              <w:jc w:val="both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</w:tbl>
    <w:p w14:paraId="12511C30" w14:textId="77777777" w:rsidR="00905340" w:rsidRDefault="00905340"/>
    <w:sectPr w:rsidR="00905340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C18B" w14:textId="77777777" w:rsidR="00F60655" w:rsidRDefault="00F60655">
      <w:r>
        <w:separator/>
      </w:r>
    </w:p>
  </w:endnote>
  <w:endnote w:type="continuationSeparator" w:id="0">
    <w:p w14:paraId="27D95939" w14:textId="77777777" w:rsidR="00F60655" w:rsidRDefault="00F6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78D5" w14:textId="77777777" w:rsidR="00F60655" w:rsidRDefault="00F60655">
      <w:r>
        <w:separator/>
      </w:r>
    </w:p>
  </w:footnote>
  <w:footnote w:type="continuationSeparator" w:id="0">
    <w:p w14:paraId="18569C90" w14:textId="77777777" w:rsidR="00F60655" w:rsidRDefault="00F6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E998" w14:textId="77777777" w:rsidR="00C961F5" w:rsidRPr="00B371CC" w:rsidRDefault="00E677D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9665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38A3"/>
    <w:multiLevelType w:val="hybridMultilevel"/>
    <w:tmpl w:val="F22067E2"/>
    <w:lvl w:ilvl="0" w:tplc="AB9277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B4E65"/>
    <w:multiLevelType w:val="hybridMultilevel"/>
    <w:tmpl w:val="9214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56D88"/>
    <w:multiLevelType w:val="hybridMultilevel"/>
    <w:tmpl w:val="AFAAB262"/>
    <w:lvl w:ilvl="0" w:tplc="D096C50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955246">
    <w:abstractNumId w:val="1"/>
  </w:num>
  <w:num w:numId="2" w16cid:durableId="1861889172">
    <w:abstractNumId w:val="2"/>
  </w:num>
  <w:num w:numId="3" w16cid:durableId="1156410796">
    <w:abstractNumId w:val="0"/>
  </w:num>
  <w:num w:numId="4" w16cid:durableId="1435444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DF"/>
    <w:rsid w:val="000141D0"/>
    <w:rsid w:val="0001512B"/>
    <w:rsid w:val="0003398D"/>
    <w:rsid w:val="00077ECD"/>
    <w:rsid w:val="0009269F"/>
    <w:rsid w:val="000C619A"/>
    <w:rsid w:val="000E303F"/>
    <w:rsid w:val="00114F45"/>
    <w:rsid w:val="00130D2E"/>
    <w:rsid w:val="0013486C"/>
    <w:rsid w:val="00145350"/>
    <w:rsid w:val="00187132"/>
    <w:rsid w:val="00187CE1"/>
    <w:rsid w:val="001B3220"/>
    <w:rsid w:val="001D660A"/>
    <w:rsid w:val="001E07E9"/>
    <w:rsid w:val="00222448"/>
    <w:rsid w:val="002919BA"/>
    <w:rsid w:val="002D1510"/>
    <w:rsid w:val="00320A4E"/>
    <w:rsid w:val="00337B40"/>
    <w:rsid w:val="00360DBE"/>
    <w:rsid w:val="00390187"/>
    <w:rsid w:val="00392344"/>
    <w:rsid w:val="003A184A"/>
    <w:rsid w:val="003A3068"/>
    <w:rsid w:val="003C54BF"/>
    <w:rsid w:val="00416F82"/>
    <w:rsid w:val="00426C6B"/>
    <w:rsid w:val="004325C1"/>
    <w:rsid w:val="004370CB"/>
    <w:rsid w:val="00474253"/>
    <w:rsid w:val="0049665E"/>
    <w:rsid w:val="004B2077"/>
    <w:rsid w:val="004C5356"/>
    <w:rsid w:val="004F2B6B"/>
    <w:rsid w:val="00562704"/>
    <w:rsid w:val="00592102"/>
    <w:rsid w:val="005E6518"/>
    <w:rsid w:val="006127B1"/>
    <w:rsid w:val="0065154D"/>
    <w:rsid w:val="00692858"/>
    <w:rsid w:val="00725438"/>
    <w:rsid w:val="00726A50"/>
    <w:rsid w:val="00744CBA"/>
    <w:rsid w:val="00766531"/>
    <w:rsid w:val="007B5C92"/>
    <w:rsid w:val="007E6312"/>
    <w:rsid w:val="00801052"/>
    <w:rsid w:val="00816A59"/>
    <w:rsid w:val="008220D3"/>
    <w:rsid w:val="008A7AA7"/>
    <w:rsid w:val="008D2666"/>
    <w:rsid w:val="008E5C16"/>
    <w:rsid w:val="008F1764"/>
    <w:rsid w:val="008F776B"/>
    <w:rsid w:val="00905340"/>
    <w:rsid w:val="00925CCB"/>
    <w:rsid w:val="0098773A"/>
    <w:rsid w:val="00993C17"/>
    <w:rsid w:val="009B39D0"/>
    <w:rsid w:val="009C1B76"/>
    <w:rsid w:val="00A2624D"/>
    <w:rsid w:val="00A568C3"/>
    <w:rsid w:val="00A762B3"/>
    <w:rsid w:val="00A7719A"/>
    <w:rsid w:val="00A85F64"/>
    <w:rsid w:val="00AC1F98"/>
    <w:rsid w:val="00AD3980"/>
    <w:rsid w:val="00B01F48"/>
    <w:rsid w:val="00B17824"/>
    <w:rsid w:val="00B42666"/>
    <w:rsid w:val="00B65806"/>
    <w:rsid w:val="00BA7CB8"/>
    <w:rsid w:val="00BB6647"/>
    <w:rsid w:val="00BE0206"/>
    <w:rsid w:val="00C00B94"/>
    <w:rsid w:val="00C1604A"/>
    <w:rsid w:val="00C61B99"/>
    <w:rsid w:val="00C9189D"/>
    <w:rsid w:val="00C958EF"/>
    <w:rsid w:val="00C961F5"/>
    <w:rsid w:val="00CA13AE"/>
    <w:rsid w:val="00D01E65"/>
    <w:rsid w:val="00D23BCF"/>
    <w:rsid w:val="00D53A69"/>
    <w:rsid w:val="00DA43EE"/>
    <w:rsid w:val="00DB794E"/>
    <w:rsid w:val="00DD7679"/>
    <w:rsid w:val="00DF370C"/>
    <w:rsid w:val="00E131E9"/>
    <w:rsid w:val="00E14AB6"/>
    <w:rsid w:val="00E677DF"/>
    <w:rsid w:val="00E97356"/>
    <w:rsid w:val="00EB7019"/>
    <w:rsid w:val="00F2456A"/>
    <w:rsid w:val="00F37B24"/>
    <w:rsid w:val="00F60655"/>
    <w:rsid w:val="00F65314"/>
    <w:rsid w:val="00F8379B"/>
    <w:rsid w:val="00F8520F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A23E"/>
  <w15:chartTrackingRefBased/>
  <w15:docId w15:val="{DF1E8EB1-8992-45ED-B229-C2AE768D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677DF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77D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677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677DF"/>
    <w:rPr>
      <w:color w:val="0563C1" w:themeColor="hyperlink"/>
      <w:u w:val="single"/>
    </w:rPr>
  </w:style>
  <w:style w:type="paragraph" w:customStyle="1" w:styleId="Default">
    <w:name w:val="Default"/>
    <w:rsid w:val="00E67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1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D01E6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01E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1E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D253-3D18-44F7-BB93-945BB427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1958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Banaszak Wojciech</cp:lastModifiedBy>
  <cp:revision>7</cp:revision>
  <dcterms:created xsi:type="dcterms:W3CDTF">2023-10-17T09:50:00Z</dcterms:created>
  <dcterms:modified xsi:type="dcterms:W3CDTF">2023-10-17T12:25:00Z</dcterms:modified>
</cp:coreProperties>
</file>