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342"/>
        <w:gridCol w:w="393"/>
        <w:gridCol w:w="236"/>
        <w:gridCol w:w="308"/>
        <w:gridCol w:w="262"/>
        <w:gridCol w:w="23"/>
        <w:gridCol w:w="546"/>
        <w:gridCol w:w="107"/>
        <w:gridCol w:w="463"/>
        <w:gridCol w:w="404"/>
        <w:gridCol w:w="71"/>
        <w:gridCol w:w="95"/>
        <w:gridCol w:w="37"/>
        <w:gridCol w:w="400"/>
        <w:gridCol w:w="133"/>
        <w:gridCol w:w="272"/>
        <w:gridCol w:w="297"/>
        <w:gridCol w:w="570"/>
        <w:gridCol w:w="71"/>
        <w:gridCol w:w="499"/>
        <w:gridCol w:w="439"/>
        <w:gridCol w:w="131"/>
        <w:gridCol w:w="1291"/>
        <w:gridCol w:w="7"/>
      </w:tblGrid>
      <w:tr w:rsidR="006A701A" w:rsidRPr="008B4FE6" w14:paraId="61BB2A2D" w14:textId="77777777" w:rsidTr="00746ABF">
        <w:trPr>
          <w:gridAfter w:val="1"/>
          <w:wAfter w:w="7" w:type="dxa"/>
          <w:trHeight w:val="1611"/>
        </w:trPr>
        <w:tc>
          <w:tcPr>
            <w:tcW w:w="6631" w:type="dxa"/>
            <w:gridSpan w:val="15"/>
          </w:tcPr>
          <w:p w14:paraId="357280AA" w14:textId="77777777" w:rsidR="006A701A" w:rsidRPr="00210541" w:rsidRDefault="006A701A" w:rsidP="00210541">
            <w:pPr>
              <w:spacing w:before="120" w:line="240" w:lineRule="auto"/>
              <w:ind w:hanging="45"/>
              <w:rPr>
                <w:rFonts w:ascii="Times New Roman" w:hAnsi="Times New Roman"/>
                <w:color w:val="000000"/>
              </w:rPr>
            </w:pPr>
            <w:bookmarkStart w:id="0" w:name="t1"/>
            <w:r w:rsidRPr="00210541">
              <w:rPr>
                <w:rFonts w:ascii="Times New Roman" w:hAnsi="Times New Roman"/>
                <w:b/>
                <w:color w:val="000000"/>
              </w:rPr>
              <w:t xml:space="preserve">Nazwa </w:t>
            </w:r>
            <w:r w:rsidR="001B75D8" w:rsidRPr="00210541">
              <w:rPr>
                <w:rFonts w:ascii="Times New Roman" w:hAnsi="Times New Roman"/>
                <w:b/>
                <w:color w:val="000000"/>
              </w:rPr>
              <w:t>projektu</w:t>
            </w:r>
          </w:p>
          <w:p w14:paraId="1EC65481" w14:textId="76A0F857" w:rsidR="00210541" w:rsidRPr="00210541" w:rsidRDefault="00021933" w:rsidP="00210541">
            <w:pPr>
              <w:spacing w:before="120" w:line="240" w:lineRule="auto"/>
              <w:ind w:hanging="45"/>
              <w:rPr>
                <w:rFonts w:ascii="Times New Roman" w:hAnsi="Times New Roman"/>
                <w:color w:val="000000"/>
              </w:rPr>
            </w:pPr>
            <w:r w:rsidRPr="00210541">
              <w:rPr>
                <w:rFonts w:ascii="Times New Roman" w:hAnsi="Times New Roman"/>
                <w:color w:val="000000"/>
              </w:rPr>
              <w:t>Projekt ustawy o kryptoaktywach</w:t>
            </w:r>
          </w:p>
          <w:p w14:paraId="23F1527C" w14:textId="77777777" w:rsidR="006A701A" w:rsidRPr="00210541" w:rsidRDefault="006A701A" w:rsidP="00210541">
            <w:pPr>
              <w:spacing w:before="120" w:line="240" w:lineRule="auto"/>
              <w:ind w:hanging="45"/>
              <w:rPr>
                <w:rFonts w:ascii="Times New Roman" w:hAnsi="Times New Roman"/>
                <w:b/>
                <w:color w:val="000000"/>
              </w:rPr>
            </w:pPr>
            <w:r w:rsidRPr="00210541">
              <w:rPr>
                <w:rFonts w:ascii="Times New Roman" w:hAnsi="Times New Roman"/>
                <w:b/>
                <w:color w:val="000000"/>
              </w:rPr>
              <w:t>Ministerstwo wiodące i ministerstwa współpracujące</w:t>
            </w:r>
          </w:p>
          <w:bookmarkEnd w:id="0"/>
          <w:p w14:paraId="7BF62E65" w14:textId="640F96DE" w:rsidR="00021933" w:rsidRPr="00210541" w:rsidRDefault="00021933" w:rsidP="00210541">
            <w:pPr>
              <w:spacing w:line="240" w:lineRule="auto"/>
              <w:rPr>
                <w:rFonts w:ascii="Times New Roman" w:hAnsi="Times New Roman"/>
                <w:color w:val="000000"/>
              </w:rPr>
            </w:pPr>
            <w:r w:rsidRPr="00210541">
              <w:rPr>
                <w:rFonts w:ascii="Times New Roman" w:hAnsi="Times New Roman"/>
                <w:color w:val="000000"/>
              </w:rPr>
              <w:t>Ministerstwo Finansów</w:t>
            </w:r>
          </w:p>
          <w:p w14:paraId="67A31672" w14:textId="77777777" w:rsidR="00210541" w:rsidRDefault="00210541" w:rsidP="00210541">
            <w:pPr>
              <w:spacing w:line="240" w:lineRule="auto"/>
              <w:rPr>
                <w:rFonts w:ascii="Times New Roman" w:hAnsi="Times New Roman"/>
                <w:color w:val="000000"/>
              </w:rPr>
            </w:pPr>
          </w:p>
          <w:p w14:paraId="2E5EC03E" w14:textId="4B547E28" w:rsidR="001B3460" w:rsidRPr="00210541" w:rsidRDefault="001B3460" w:rsidP="00210541">
            <w:pPr>
              <w:spacing w:line="240" w:lineRule="auto"/>
              <w:rPr>
                <w:rFonts w:ascii="Times New Roman" w:hAnsi="Times New Roman"/>
                <w:b/>
              </w:rPr>
            </w:pPr>
            <w:r w:rsidRPr="00210541">
              <w:rPr>
                <w:rFonts w:ascii="Times New Roman" w:hAnsi="Times New Roman"/>
                <w:b/>
              </w:rPr>
              <w:t>Osoba odpowiedzialna za projekt w randze Ministra, Sekretarza Stanu lub Podsekretarza Stanu</w:t>
            </w:r>
          </w:p>
          <w:p w14:paraId="7C04309B" w14:textId="4551A02F" w:rsidR="00210541" w:rsidRPr="00210541" w:rsidRDefault="00210541" w:rsidP="00210541">
            <w:pPr>
              <w:spacing w:line="240" w:lineRule="auto"/>
              <w:rPr>
                <w:rFonts w:ascii="Times New Roman" w:hAnsi="Times New Roman"/>
                <w:bCs/>
              </w:rPr>
            </w:pPr>
            <w:r w:rsidRPr="00210541">
              <w:rPr>
                <w:rFonts w:ascii="Times New Roman" w:hAnsi="Times New Roman"/>
                <w:bCs/>
              </w:rPr>
              <w:t>Jurand Drop, Podsekretarz Stanu w Ministerstwie Finansów</w:t>
            </w:r>
          </w:p>
          <w:p w14:paraId="57D09363" w14:textId="77777777" w:rsidR="006A701A" w:rsidRPr="00210541" w:rsidRDefault="006A701A" w:rsidP="00210541">
            <w:pPr>
              <w:spacing w:before="120" w:line="240" w:lineRule="auto"/>
              <w:ind w:hanging="45"/>
              <w:rPr>
                <w:rFonts w:ascii="Times New Roman" w:hAnsi="Times New Roman"/>
                <w:b/>
                <w:color w:val="000000"/>
              </w:rPr>
            </w:pPr>
            <w:r w:rsidRPr="00210541">
              <w:rPr>
                <w:rFonts w:ascii="Times New Roman" w:hAnsi="Times New Roman"/>
                <w:b/>
                <w:color w:val="000000"/>
              </w:rPr>
              <w:t>Kontakt do opiekuna merytorycznego projektu</w:t>
            </w:r>
          </w:p>
          <w:p w14:paraId="77B32124" w14:textId="77777777" w:rsidR="006A701A" w:rsidRPr="00210541" w:rsidRDefault="00021933" w:rsidP="00210541">
            <w:pPr>
              <w:spacing w:line="240" w:lineRule="auto"/>
              <w:ind w:hanging="34"/>
              <w:rPr>
                <w:rFonts w:ascii="Times New Roman" w:hAnsi="Times New Roman"/>
                <w:color w:val="000000"/>
              </w:rPr>
            </w:pPr>
            <w:r w:rsidRPr="00210541">
              <w:rPr>
                <w:rFonts w:ascii="Times New Roman" w:hAnsi="Times New Roman"/>
                <w:color w:val="000000"/>
              </w:rPr>
              <w:t xml:space="preserve">Magdalena Tomczyk, </w:t>
            </w:r>
            <w:hyperlink r:id="rId7" w:history="1">
              <w:r w:rsidRPr="00210541">
                <w:rPr>
                  <w:rStyle w:val="Hipercze"/>
                  <w:rFonts w:ascii="Times New Roman" w:hAnsi="Times New Roman"/>
                </w:rPr>
                <w:t>Magdalena.tomczyk@mf.gov.pl</w:t>
              </w:r>
            </w:hyperlink>
            <w:r w:rsidRPr="00210541">
              <w:rPr>
                <w:rFonts w:ascii="Times New Roman" w:hAnsi="Times New Roman"/>
                <w:color w:val="000000"/>
              </w:rPr>
              <w:t xml:space="preserve">, tel. </w:t>
            </w:r>
            <w:r w:rsidR="007D2405" w:rsidRPr="00210541">
              <w:rPr>
                <w:rFonts w:ascii="Times New Roman" w:hAnsi="Times New Roman"/>
                <w:color w:val="000000"/>
              </w:rPr>
              <w:t>539 149 827</w:t>
            </w:r>
          </w:p>
          <w:p w14:paraId="2E0B5CAA" w14:textId="6C00360A" w:rsidR="00021933" w:rsidRPr="007601D7" w:rsidRDefault="00021933" w:rsidP="00210541">
            <w:pPr>
              <w:spacing w:line="240" w:lineRule="auto"/>
              <w:ind w:hanging="34"/>
              <w:rPr>
                <w:rFonts w:ascii="Times New Roman" w:hAnsi="Times New Roman"/>
                <w:color w:val="000000"/>
                <w:lang w:val="en-GB"/>
              </w:rPr>
            </w:pPr>
          </w:p>
        </w:tc>
        <w:tc>
          <w:tcPr>
            <w:tcW w:w="4306" w:type="dxa"/>
            <w:gridSpan w:val="13"/>
            <w:shd w:val="clear" w:color="auto" w:fill="FFFFFF"/>
          </w:tcPr>
          <w:p w14:paraId="04EE9F88" w14:textId="074A4AB3" w:rsidR="001B3460" w:rsidRPr="00642825" w:rsidRDefault="001B3460" w:rsidP="001B3460">
            <w:pPr>
              <w:spacing w:line="240" w:lineRule="auto"/>
              <w:rPr>
                <w:rFonts w:ascii="Times New Roman" w:hAnsi="Times New Roman"/>
                <w:b/>
                <w:sz w:val="21"/>
                <w:szCs w:val="21"/>
              </w:rPr>
            </w:pPr>
            <w:r w:rsidRPr="00642825">
              <w:rPr>
                <w:rFonts w:ascii="Times New Roman" w:hAnsi="Times New Roman"/>
                <w:b/>
                <w:sz w:val="21"/>
                <w:szCs w:val="21"/>
              </w:rPr>
              <w:t>Data sporządzenia</w:t>
            </w:r>
            <w:r w:rsidRPr="00642825">
              <w:rPr>
                <w:rFonts w:ascii="Times New Roman" w:hAnsi="Times New Roman"/>
                <w:b/>
                <w:sz w:val="21"/>
                <w:szCs w:val="21"/>
              </w:rPr>
              <w:br/>
            </w:r>
            <w:sdt>
              <w:sdtPr>
                <w:rPr>
                  <w:rFonts w:ascii="Times New Roman" w:hAnsi="Times New Roman"/>
                  <w:b/>
                  <w:sz w:val="21"/>
                  <w:szCs w:val="21"/>
                </w:rPr>
                <w:id w:val="-345788683"/>
                <w:placeholder>
                  <w:docPart w:val="DefaultPlaceholder_1082065160"/>
                </w:placeholder>
                <w:date w:fullDate="2024-02-22T00:00:00Z">
                  <w:dateFormat w:val="dd.MM.yyyy"/>
                  <w:lid w:val="pl-PL"/>
                  <w:storeMappedDataAs w:val="dateTime"/>
                  <w:calendar w:val="gregorian"/>
                </w:date>
              </w:sdtPr>
              <w:sdtEndPr/>
              <w:sdtContent>
                <w:r w:rsidR="00E36A2B">
                  <w:rPr>
                    <w:rFonts w:ascii="Times New Roman" w:hAnsi="Times New Roman"/>
                    <w:b/>
                    <w:sz w:val="21"/>
                    <w:szCs w:val="21"/>
                  </w:rPr>
                  <w:t>22.02.2024</w:t>
                </w:r>
              </w:sdtContent>
            </w:sdt>
          </w:p>
          <w:p w14:paraId="516AD99B" w14:textId="77777777" w:rsidR="00F76884" w:rsidRDefault="00F76884" w:rsidP="00F76884">
            <w:pPr>
              <w:spacing w:line="240" w:lineRule="auto"/>
              <w:rPr>
                <w:rFonts w:ascii="Times New Roman" w:hAnsi="Times New Roman"/>
                <w:b/>
              </w:rPr>
            </w:pPr>
          </w:p>
          <w:p w14:paraId="0B2AE7CD" w14:textId="77777777" w:rsidR="00F76884" w:rsidRPr="00E15262" w:rsidRDefault="00F76884" w:rsidP="00F76884">
            <w:pPr>
              <w:spacing w:line="240" w:lineRule="auto"/>
              <w:rPr>
                <w:rFonts w:ascii="Times New Roman" w:hAnsi="Times New Roman"/>
                <w:b/>
              </w:rPr>
            </w:pPr>
            <w:r w:rsidRPr="0065019F">
              <w:rPr>
                <w:rFonts w:ascii="Times New Roman" w:hAnsi="Times New Roman"/>
                <w:b/>
              </w:rPr>
              <w:t>Źródło:</w:t>
            </w:r>
            <w:r w:rsidRPr="00E15262">
              <w:rPr>
                <w:rFonts w:ascii="Times New Roman" w:hAnsi="Times New Roman"/>
                <w:b/>
              </w:rPr>
              <w:t xml:space="preserve"> </w:t>
            </w:r>
            <w:bookmarkStart w:id="1" w:name="Lista1"/>
          </w:p>
          <w:bookmarkEnd w:id="1"/>
          <w:p w14:paraId="390D37AE" w14:textId="1E865BC3" w:rsidR="00BA2BB7" w:rsidRPr="0065019F" w:rsidRDefault="006850BB" w:rsidP="00EF5735">
            <w:pPr>
              <w:spacing w:line="240" w:lineRule="auto"/>
              <w:jc w:val="both"/>
              <w:rPr>
                <w:rFonts w:ascii="Times New Roman" w:hAnsi="Times New Roman"/>
              </w:rPr>
            </w:pPr>
            <w:sdt>
              <w:sdtPr>
                <w:rPr>
                  <w:rFonts w:ascii="Times New Roman" w:hAnsi="Times New Roman"/>
                </w:rPr>
                <w:id w:val="-1451614635"/>
                <w:placeholder>
                  <w:docPart w:val="DefaultPlaceholder_1082065159"/>
                </w:placeholder>
                <w:dropDownList>
                  <w:listItem w:value="Wybierz element."/>
                  <w:listItem w:displayText="Exposé PRM" w:value="Exposé PRM"/>
                  <w:listItem w:displayText="Decyzja PRM/RM" w:value="Decyzja PRM/RM"/>
                  <w:listItem w:displayText="Prawo UE" w:value="Prawo UE"/>
                  <w:listItem w:displayText="Orzeczenie TK" w:value="Orzeczenie TK"/>
                  <w:listItem w:displayText="Upoważnienie ustawowe" w:value="Upoważnienie ustawowe"/>
                  <w:listItem w:displayText="Strategia" w:value="Strategia"/>
                  <w:listItem w:displayText="Inne" w:value="Inne"/>
                </w:dropDownList>
              </w:sdtPr>
              <w:sdtEndPr/>
              <w:sdtContent>
                <w:r w:rsidR="00021933" w:rsidRPr="00E15262">
                  <w:rPr>
                    <w:rFonts w:ascii="Times New Roman" w:hAnsi="Times New Roman"/>
                  </w:rPr>
                  <w:t>Prawo UE</w:t>
                </w:r>
              </w:sdtContent>
            </w:sdt>
            <w:r w:rsidR="00400FA0" w:rsidRPr="00E15262">
              <w:rPr>
                <w:rFonts w:ascii="Times New Roman" w:hAnsi="Times New Roman"/>
              </w:rPr>
              <w:t xml:space="preserve"> </w:t>
            </w:r>
            <w:r w:rsidR="00400FA0" w:rsidRPr="00E15262">
              <w:rPr>
                <w:rFonts w:ascii="Times New Roman" w:hAnsi="Times New Roman"/>
              </w:rPr>
              <w:sym w:font="Symbol" w:char="F02D"/>
            </w:r>
            <w:r w:rsidR="00400FA0" w:rsidRPr="00E15262">
              <w:rPr>
                <w:rFonts w:ascii="Times New Roman" w:hAnsi="Times New Roman"/>
              </w:rPr>
              <w:t xml:space="preserve"> </w:t>
            </w:r>
            <w:r w:rsidR="0092643B" w:rsidRPr="00746ABF">
              <w:rPr>
                <w:rFonts w:ascii="Times New Roman" w:hAnsi="Times New Roman"/>
              </w:rPr>
              <w:t xml:space="preserve">rozporządzenie Parlamentu Europejskiego i Rady (UE) 2023/1113 z dnia 31 maja 2023 r. w sprawie informacji towarzyszących transferom środków pieniężnych i niektórych kryptoaktywów oraz zmiany dyrektywy (UE) 2015/849 (Dz. Urz. UE L 150 z 09.06.2023, str. 1) oraz </w:t>
            </w:r>
            <w:r w:rsidR="00EA1D42" w:rsidRPr="00E15262">
              <w:rPr>
                <w:rFonts w:ascii="Times New Roman" w:hAnsi="Times New Roman"/>
              </w:rPr>
              <w:t>r</w:t>
            </w:r>
            <w:r w:rsidR="00EA1D42" w:rsidRPr="000E602F">
              <w:rPr>
                <w:rFonts w:ascii="Times New Roman" w:hAnsi="Times New Roman"/>
              </w:rPr>
              <w:t>ozporządzenie Parlamentu Europejskiego i Rady (UE) 2023/1114 z dnia 31 maja 2023</w:t>
            </w:r>
            <w:r w:rsidR="00400FA0">
              <w:rPr>
                <w:rFonts w:ascii="Times New Roman" w:hAnsi="Times New Roman"/>
              </w:rPr>
              <w:t> </w:t>
            </w:r>
            <w:r w:rsidR="00EA1D42" w:rsidRPr="000E602F">
              <w:rPr>
                <w:rFonts w:ascii="Times New Roman" w:hAnsi="Times New Roman"/>
              </w:rPr>
              <w:t>r. w sprawie rynków kryptoaktywów oraz zmiany rozporządzeń (UE) nr 1093/2010 i (UE) nr 1095/2010 oraz dyrektyw 2013/36/UE i (UE) 2019/1937</w:t>
            </w:r>
            <w:r w:rsidR="00EA1D42">
              <w:rPr>
                <w:rFonts w:ascii="Times New Roman" w:hAnsi="Times New Roman"/>
              </w:rPr>
              <w:t xml:space="preserve"> </w:t>
            </w:r>
            <w:r w:rsidR="00EA1D42" w:rsidRPr="000E602F">
              <w:rPr>
                <w:rFonts w:ascii="Times New Roman" w:hAnsi="Times New Roman"/>
              </w:rPr>
              <w:t>(Dz. Urz. UE L 150 z 09.06.2023, str. 40</w:t>
            </w:r>
            <w:r w:rsidR="0092643B">
              <w:rPr>
                <w:rFonts w:ascii="Times New Roman" w:hAnsi="Times New Roman"/>
              </w:rPr>
              <w:t xml:space="preserve"> </w:t>
            </w:r>
            <w:r w:rsidR="0092643B" w:rsidRPr="00E15262">
              <w:rPr>
                <w:rFonts w:ascii="Times New Roman" w:hAnsi="Times New Roman"/>
              </w:rPr>
              <w:t xml:space="preserve">oraz </w:t>
            </w:r>
            <w:r w:rsidR="0092643B" w:rsidRPr="00746ABF">
              <w:rPr>
                <w:rFonts w:ascii="Times New Roman" w:hAnsi="Times New Roman"/>
              </w:rPr>
              <w:t>Dz. Urz. UE L 2023/2869 z 20.12.2023</w:t>
            </w:r>
            <w:r w:rsidR="00EA1D42" w:rsidRPr="00E15262">
              <w:rPr>
                <w:rFonts w:ascii="Times New Roman" w:hAnsi="Times New Roman"/>
              </w:rPr>
              <w:t>)</w:t>
            </w:r>
            <w:r w:rsidR="0092643B">
              <w:rPr>
                <w:rFonts w:ascii="Times New Roman" w:hAnsi="Times New Roman"/>
              </w:rPr>
              <w:t xml:space="preserve"> </w:t>
            </w:r>
          </w:p>
          <w:p w14:paraId="4B1DD5B1" w14:textId="77777777" w:rsidR="00F76884" w:rsidRPr="0065019F" w:rsidRDefault="00F76884" w:rsidP="00F76884">
            <w:pPr>
              <w:spacing w:line="240" w:lineRule="auto"/>
              <w:rPr>
                <w:rFonts w:ascii="Times New Roman" w:hAnsi="Times New Roman"/>
              </w:rPr>
            </w:pPr>
          </w:p>
          <w:p w14:paraId="4654C931" w14:textId="440E71A0" w:rsidR="006A701A" w:rsidRDefault="006A701A" w:rsidP="00746ABF">
            <w:pPr>
              <w:spacing w:before="120" w:line="240" w:lineRule="auto"/>
              <w:rPr>
                <w:rFonts w:ascii="Times New Roman" w:hAnsi="Times New Roman"/>
                <w:color w:val="000000"/>
                <w:sz w:val="28"/>
                <w:szCs w:val="28"/>
              </w:rPr>
            </w:pPr>
            <w:r w:rsidRPr="008B4FE6">
              <w:rPr>
                <w:rFonts w:ascii="Times New Roman" w:hAnsi="Times New Roman"/>
                <w:b/>
                <w:color w:val="000000"/>
              </w:rPr>
              <w:t xml:space="preserve">Nr </w:t>
            </w:r>
            <w:r w:rsidR="0057668E">
              <w:rPr>
                <w:rFonts w:ascii="Times New Roman" w:hAnsi="Times New Roman"/>
                <w:b/>
                <w:color w:val="000000"/>
              </w:rPr>
              <w:t>w</w:t>
            </w:r>
            <w:r w:rsidRPr="008B4FE6">
              <w:rPr>
                <w:rFonts w:ascii="Times New Roman" w:hAnsi="Times New Roman"/>
                <w:b/>
                <w:color w:val="000000"/>
              </w:rPr>
              <w:t xml:space="preserve"> wykaz</w:t>
            </w:r>
            <w:r w:rsidR="0057668E">
              <w:rPr>
                <w:rFonts w:ascii="Times New Roman" w:hAnsi="Times New Roman"/>
                <w:b/>
                <w:color w:val="000000"/>
              </w:rPr>
              <w:t>ie</w:t>
            </w:r>
            <w:r w:rsidRPr="008B4FE6">
              <w:rPr>
                <w:rFonts w:ascii="Times New Roman" w:hAnsi="Times New Roman"/>
                <w:b/>
                <w:color w:val="000000"/>
              </w:rPr>
              <w:t xml:space="preserve"> prac</w:t>
            </w:r>
            <w:r w:rsidR="006961F6">
              <w:rPr>
                <w:rFonts w:ascii="Times New Roman" w:hAnsi="Times New Roman"/>
                <w:b/>
                <w:color w:val="000000"/>
              </w:rPr>
              <w:t xml:space="preserve"> legislacyjnych i programowych Rady Ministrów: </w:t>
            </w:r>
            <w:r w:rsidR="002A7C5E">
              <w:rPr>
                <w:rFonts w:ascii="Times New Roman" w:hAnsi="Times New Roman"/>
                <w:b/>
                <w:color w:val="000000"/>
              </w:rPr>
              <w:t>UC2</w:t>
            </w:r>
          </w:p>
          <w:p w14:paraId="3DF100DE" w14:textId="0378A4BE" w:rsidR="00210541" w:rsidRPr="008B4FE6" w:rsidRDefault="00210541" w:rsidP="00021933">
            <w:pPr>
              <w:spacing w:line="240" w:lineRule="auto"/>
              <w:rPr>
                <w:rFonts w:ascii="Times New Roman" w:hAnsi="Times New Roman"/>
                <w:color w:val="000000"/>
                <w:sz w:val="28"/>
                <w:szCs w:val="28"/>
              </w:rPr>
            </w:pPr>
          </w:p>
        </w:tc>
      </w:tr>
      <w:tr w:rsidR="006A701A" w:rsidRPr="0022687A" w14:paraId="1A6D4CF7" w14:textId="77777777" w:rsidTr="00E36A2B">
        <w:trPr>
          <w:gridAfter w:val="1"/>
          <w:wAfter w:w="7" w:type="dxa"/>
          <w:trHeight w:val="142"/>
        </w:trPr>
        <w:tc>
          <w:tcPr>
            <w:tcW w:w="10937" w:type="dxa"/>
            <w:gridSpan w:val="28"/>
            <w:shd w:val="clear" w:color="auto" w:fill="99CCFF"/>
          </w:tcPr>
          <w:p w14:paraId="644DDEE8" w14:textId="77777777" w:rsidR="006A701A" w:rsidRPr="00627221" w:rsidRDefault="006A701A"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14:paraId="037FBB51" w14:textId="77777777" w:rsidTr="00E36A2B">
        <w:trPr>
          <w:gridAfter w:val="1"/>
          <w:wAfter w:w="7" w:type="dxa"/>
          <w:trHeight w:val="333"/>
        </w:trPr>
        <w:tc>
          <w:tcPr>
            <w:tcW w:w="10937" w:type="dxa"/>
            <w:gridSpan w:val="28"/>
            <w:shd w:val="clear" w:color="auto" w:fill="99CCFF"/>
            <w:vAlign w:val="center"/>
          </w:tcPr>
          <w:p w14:paraId="6E2E5BAC" w14:textId="77777777" w:rsidR="006A701A" w:rsidRPr="008B4FE6" w:rsidRDefault="003D12F6" w:rsidP="006A701A">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2" w:name="Wybór1"/>
            <w:bookmarkEnd w:id="2"/>
          </w:p>
        </w:tc>
      </w:tr>
      <w:tr w:rsidR="006A701A" w:rsidRPr="008B4FE6" w14:paraId="63E50010" w14:textId="77777777" w:rsidTr="00746ABF">
        <w:trPr>
          <w:gridAfter w:val="1"/>
          <w:wAfter w:w="7" w:type="dxa"/>
          <w:trHeight w:val="142"/>
        </w:trPr>
        <w:tc>
          <w:tcPr>
            <w:tcW w:w="10937" w:type="dxa"/>
            <w:gridSpan w:val="28"/>
            <w:shd w:val="clear" w:color="auto" w:fill="FFFFFF"/>
          </w:tcPr>
          <w:p w14:paraId="5641C035" w14:textId="46391F9D" w:rsidR="006A701A" w:rsidRDefault="00021933" w:rsidP="00EF5735">
            <w:pPr>
              <w:spacing w:line="240" w:lineRule="auto"/>
              <w:jc w:val="both"/>
              <w:rPr>
                <w:rFonts w:ascii="Times New Roman" w:hAnsi="Times New Roman"/>
                <w:color w:val="000000"/>
              </w:rPr>
            </w:pPr>
            <w:bookmarkStart w:id="3" w:name="_Hlk148962832"/>
            <w:r w:rsidRPr="00021933">
              <w:rPr>
                <w:rFonts w:ascii="Times New Roman" w:hAnsi="Times New Roman"/>
                <w:color w:val="000000"/>
              </w:rPr>
              <w:t xml:space="preserve">Projekt ustawy jest wynikiem przyjęcia przez Parlament Europejski i Radę (UE) </w:t>
            </w:r>
            <w:r w:rsidR="0023389C" w:rsidRPr="00190656">
              <w:rPr>
                <w:rFonts w:ascii="Times New Roman" w:hAnsi="Times New Roman"/>
              </w:rPr>
              <w:t>rozporządzeni</w:t>
            </w:r>
            <w:r w:rsidR="0023389C">
              <w:rPr>
                <w:rFonts w:ascii="Times New Roman" w:hAnsi="Times New Roman"/>
              </w:rPr>
              <w:t>a</w:t>
            </w:r>
            <w:r w:rsidR="0023389C" w:rsidRPr="00190656">
              <w:rPr>
                <w:rFonts w:ascii="Times New Roman" w:hAnsi="Times New Roman"/>
              </w:rPr>
              <w:t xml:space="preserve"> 2023/1113 z dnia 31 maja 2023 r. w sprawie informacji towarzyszących transferom środków pieniężnych i niektórych kryptoaktywów oraz zmiany dyrektywy (UE) 2015/849 oraz </w:t>
            </w:r>
            <w:r w:rsidR="00EA1D42">
              <w:rPr>
                <w:rFonts w:ascii="Times New Roman" w:hAnsi="Times New Roman"/>
                <w:color w:val="000000"/>
              </w:rPr>
              <w:t>r</w:t>
            </w:r>
            <w:r w:rsidRPr="00021933">
              <w:rPr>
                <w:rFonts w:ascii="Times New Roman" w:hAnsi="Times New Roman"/>
                <w:color w:val="000000"/>
              </w:rPr>
              <w:t>ozporządzenia 2023/1114 z dnia 31 maja 2023 r</w:t>
            </w:r>
            <w:r w:rsidR="00EA1D42">
              <w:rPr>
                <w:rFonts w:ascii="Times New Roman" w:hAnsi="Times New Roman"/>
                <w:color w:val="000000"/>
              </w:rPr>
              <w:t>.</w:t>
            </w:r>
            <w:r w:rsidRPr="00021933">
              <w:rPr>
                <w:rFonts w:ascii="Times New Roman" w:hAnsi="Times New Roman"/>
                <w:color w:val="000000"/>
              </w:rPr>
              <w:t xml:space="preserve"> w sprawie rynków kryptoaktywów oraz zmiany rozporządzeń (UE) nr 1093/2010 i (UE) nr 1095/2010 oraz dyrektyw 2013/36/UE i (UE) 2019/1937</w:t>
            </w:r>
            <w:r w:rsidR="00EA1D42">
              <w:rPr>
                <w:rFonts w:ascii="Times New Roman" w:hAnsi="Times New Roman"/>
                <w:color w:val="000000"/>
              </w:rPr>
              <w:t>, zwan</w:t>
            </w:r>
            <w:r w:rsidR="00625178">
              <w:rPr>
                <w:rFonts w:ascii="Times New Roman" w:hAnsi="Times New Roman"/>
                <w:color w:val="000000"/>
              </w:rPr>
              <w:t>ego</w:t>
            </w:r>
            <w:r w:rsidR="00EA1D42">
              <w:rPr>
                <w:rFonts w:ascii="Times New Roman" w:hAnsi="Times New Roman"/>
                <w:color w:val="000000"/>
              </w:rPr>
              <w:t xml:space="preserve"> dalej „rozporządzeniem 2023/1114”</w:t>
            </w:r>
            <w:r>
              <w:rPr>
                <w:rFonts w:ascii="Times New Roman" w:hAnsi="Times New Roman"/>
                <w:color w:val="000000"/>
              </w:rPr>
              <w:t xml:space="preserve">. </w:t>
            </w:r>
            <w:r w:rsidRPr="00021933">
              <w:rPr>
                <w:rFonts w:ascii="Times New Roman" w:hAnsi="Times New Roman"/>
                <w:color w:val="000000"/>
              </w:rPr>
              <w:t>Wprowadzenie nowych przepisów podyktowane jest koniecznością przygotowania ram prawnych dla prawidłowego funk</w:t>
            </w:r>
            <w:r w:rsidR="00297A2C">
              <w:rPr>
                <w:rFonts w:ascii="Times New Roman" w:hAnsi="Times New Roman"/>
                <w:color w:val="000000"/>
              </w:rPr>
              <w:t>cjonowania rynk</w:t>
            </w:r>
            <w:r w:rsidR="0023389C">
              <w:rPr>
                <w:rFonts w:ascii="Times New Roman" w:hAnsi="Times New Roman"/>
                <w:color w:val="000000"/>
              </w:rPr>
              <w:t>u</w:t>
            </w:r>
            <w:r w:rsidR="00297A2C">
              <w:rPr>
                <w:rFonts w:ascii="Times New Roman" w:hAnsi="Times New Roman"/>
                <w:color w:val="000000"/>
              </w:rPr>
              <w:t xml:space="preserve"> kryptoaktywów, n</w:t>
            </w:r>
            <w:r w:rsidRPr="00021933">
              <w:rPr>
                <w:rFonts w:ascii="Times New Roman" w:hAnsi="Times New Roman"/>
                <w:color w:val="000000"/>
              </w:rPr>
              <w:t xml:space="preserve">iezbędne jest </w:t>
            </w:r>
            <w:r w:rsidR="00297A2C">
              <w:rPr>
                <w:rFonts w:ascii="Times New Roman" w:hAnsi="Times New Roman"/>
                <w:color w:val="000000"/>
              </w:rPr>
              <w:t xml:space="preserve">tym samym </w:t>
            </w:r>
            <w:r w:rsidRPr="00021933">
              <w:rPr>
                <w:rFonts w:ascii="Times New Roman" w:hAnsi="Times New Roman"/>
                <w:color w:val="000000"/>
              </w:rPr>
              <w:t>zapewnienie skutecznego nadzoru i ochrony inwestorów przez wyposażenie Komisji Nadzoru Finansowego</w:t>
            </w:r>
            <w:r w:rsidR="00981DFA">
              <w:rPr>
                <w:rFonts w:ascii="Times New Roman" w:hAnsi="Times New Roman"/>
                <w:color w:val="000000"/>
              </w:rPr>
              <w:t>, zwanej dalej „KNF”,</w:t>
            </w:r>
            <w:r w:rsidRPr="00021933">
              <w:rPr>
                <w:rFonts w:ascii="Times New Roman" w:hAnsi="Times New Roman"/>
                <w:color w:val="000000"/>
              </w:rPr>
              <w:t xml:space="preserve"> w</w:t>
            </w:r>
            <w:r w:rsidR="00184E94">
              <w:rPr>
                <w:rFonts w:ascii="Times New Roman" w:hAnsi="Times New Roman"/>
                <w:color w:val="000000"/>
              </w:rPr>
              <w:t> </w:t>
            </w:r>
            <w:r w:rsidRPr="00021933">
              <w:rPr>
                <w:rFonts w:ascii="Times New Roman" w:hAnsi="Times New Roman"/>
                <w:color w:val="000000"/>
              </w:rPr>
              <w:t>odpowiednie do tego środki.</w:t>
            </w:r>
          </w:p>
          <w:bookmarkEnd w:id="3"/>
          <w:p w14:paraId="32439F36" w14:textId="6B369327" w:rsidR="002A7C5E" w:rsidRDefault="00ED1474" w:rsidP="002A7C5E">
            <w:pPr>
              <w:spacing w:line="240" w:lineRule="auto"/>
              <w:jc w:val="both"/>
              <w:rPr>
                <w:rFonts w:ascii="Times New Roman" w:hAnsi="Times New Roman"/>
                <w:color w:val="000000"/>
              </w:rPr>
            </w:pPr>
            <w:r w:rsidRPr="00ED1474">
              <w:rPr>
                <w:rFonts w:ascii="Times New Roman" w:hAnsi="Times New Roman"/>
                <w:color w:val="000000"/>
              </w:rPr>
              <w:t>Kryptoaktywa stanowią rodzaj aktywów cyfrowych, które zależą głównie od kryptografii i technologii rozproszonego rejestru</w:t>
            </w:r>
            <w:r w:rsidR="002A7C5E">
              <w:rPr>
                <w:rFonts w:ascii="Times New Roman" w:hAnsi="Times New Roman"/>
                <w:color w:val="000000"/>
              </w:rPr>
              <w:t xml:space="preserve"> (</w:t>
            </w:r>
            <w:r w:rsidRPr="00ED1474">
              <w:rPr>
                <w:rFonts w:ascii="Times New Roman" w:hAnsi="Times New Roman"/>
                <w:color w:val="000000"/>
              </w:rPr>
              <w:t>DLT</w:t>
            </w:r>
            <w:r w:rsidR="00377119">
              <w:rPr>
                <w:rFonts w:ascii="Times New Roman" w:hAnsi="Times New Roman"/>
                <w:color w:val="000000"/>
              </w:rPr>
              <w:t xml:space="preserve"> – </w:t>
            </w:r>
            <w:r w:rsidR="00377119" w:rsidRPr="00746ABF">
              <w:rPr>
                <w:rFonts w:ascii="Times New Roman" w:hAnsi="Times New Roman"/>
                <w:color w:val="000000"/>
              </w:rPr>
              <w:t xml:space="preserve">Distributed </w:t>
            </w:r>
            <w:proofErr w:type="spellStart"/>
            <w:r w:rsidR="00377119" w:rsidRPr="00746ABF">
              <w:rPr>
                <w:rFonts w:ascii="Times New Roman" w:hAnsi="Times New Roman"/>
                <w:color w:val="000000"/>
              </w:rPr>
              <w:t>Ledger</w:t>
            </w:r>
            <w:proofErr w:type="spellEnd"/>
            <w:r w:rsidR="00377119" w:rsidRPr="00746ABF">
              <w:rPr>
                <w:rFonts w:ascii="Times New Roman" w:hAnsi="Times New Roman"/>
                <w:color w:val="000000"/>
              </w:rPr>
              <w:t xml:space="preserve"> Technology</w:t>
            </w:r>
            <w:r w:rsidR="002A7C5E">
              <w:rPr>
                <w:rFonts w:ascii="Times New Roman" w:hAnsi="Times New Roman"/>
                <w:color w:val="000000"/>
              </w:rPr>
              <w:t>)</w:t>
            </w:r>
            <w:r w:rsidRPr="00ED1474">
              <w:rPr>
                <w:rFonts w:ascii="Times New Roman" w:hAnsi="Times New Roman"/>
                <w:color w:val="000000"/>
              </w:rPr>
              <w:t xml:space="preserve">. Niektóre kryptoaktywa można zaklasyfikować jako instrumenty finansowe zgodnie z dyrektywą </w:t>
            </w:r>
            <w:r w:rsidR="00981DFA" w:rsidRPr="00AE1506">
              <w:rPr>
                <w:rFonts w:ascii="Times New Roman" w:hAnsi="Times New Roman"/>
                <w:shd w:val="clear" w:color="auto" w:fill="FFFFFF"/>
              </w:rPr>
              <w:t xml:space="preserve">Parlamentu Europejskiego i Rady 2014/65/UE z dnia 15 maja 2014 r. </w:t>
            </w:r>
            <w:r w:rsidRPr="00AE1506">
              <w:rPr>
                <w:rFonts w:ascii="Times New Roman" w:hAnsi="Times New Roman"/>
              </w:rPr>
              <w:t>w</w:t>
            </w:r>
            <w:r w:rsidRPr="00AE1506">
              <w:rPr>
                <w:rFonts w:ascii="Times New Roman" w:hAnsi="Times New Roman"/>
                <w:sz w:val="20"/>
                <w:szCs w:val="20"/>
              </w:rPr>
              <w:t xml:space="preserve"> </w:t>
            </w:r>
            <w:r w:rsidRPr="00AE1506">
              <w:rPr>
                <w:rFonts w:ascii="Times New Roman" w:hAnsi="Times New Roman"/>
              </w:rPr>
              <w:t>sprawie rynków instrumentów finansowych</w:t>
            </w:r>
            <w:r w:rsidR="00981DFA" w:rsidRPr="00AE1506">
              <w:rPr>
                <w:rFonts w:ascii="Times New Roman" w:hAnsi="Times New Roman"/>
              </w:rPr>
              <w:t xml:space="preserve"> </w:t>
            </w:r>
            <w:r w:rsidR="00981DFA" w:rsidRPr="00AE1506">
              <w:rPr>
                <w:rFonts w:ascii="Times New Roman" w:hAnsi="Times New Roman"/>
                <w:shd w:val="clear" w:color="auto" w:fill="FFFFFF"/>
              </w:rPr>
              <w:t>oraz zmieniającą dyrektywę 2002/92/WE i</w:t>
            </w:r>
            <w:r w:rsidR="0023389C">
              <w:rPr>
                <w:rFonts w:ascii="Times New Roman" w:hAnsi="Times New Roman"/>
                <w:shd w:val="clear" w:color="auto" w:fill="FFFFFF"/>
              </w:rPr>
              <w:t xml:space="preserve"> </w:t>
            </w:r>
            <w:r w:rsidR="00981DFA" w:rsidRPr="00AE1506">
              <w:rPr>
                <w:rFonts w:ascii="Times New Roman" w:hAnsi="Times New Roman"/>
                <w:shd w:val="clear" w:color="auto" w:fill="FFFFFF"/>
              </w:rPr>
              <w:t>dyrektywę 2011/61/UE</w:t>
            </w:r>
            <w:r w:rsidR="0023389C">
              <w:rPr>
                <w:rFonts w:ascii="Times New Roman" w:hAnsi="Times New Roman"/>
                <w:shd w:val="clear" w:color="auto" w:fill="FFFFFF"/>
              </w:rPr>
              <w:t xml:space="preserve"> (Dz. Urz. UE L 173 z 12.06.2014, str. 349, z późn. zm.)</w:t>
            </w:r>
            <w:r w:rsidRPr="00ED1474">
              <w:rPr>
                <w:rFonts w:ascii="Times New Roman" w:hAnsi="Times New Roman"/>
                <w:color w:val="000000"/>
              </w:rPr>
              <w:t xml:space="preserve"> lub jako pieniądz elektroniczny zgodnie z dyrektywą </w:t>
            </w:r>
            <w:r w:rsidR="00981DFA" w:rsidRPr="00AE1506">
              <w:rPr>
                <w:rFonts w:ascii="Times New Roman" w:hAnsi="Times New Roman"/>
                <w:shd w:val="clear" w:color="auto" w:fill="FFFFFF"/>
              </w:rPr>
              <w:t>Parlamentu Europejskiego i Rady 2009/110/WE z dnia 16 września 2009 r. w sprawie podejmowania i prowadzenia działalności przez instytucje pieniądza elektronicznego oraz nadzoru ostrożnościowego nad ich działalnością</w:t>
            </w:r>
            <w:r w:rsidR="0023389C">
              <w:rPr>
                <w:rFonts w:ascii="Times New Roman" w:hAnsi="Times New Roman"/>
                <w:shd w:val="clear" w:color="auto" w:fill="FFFFFF"/>
              </w:rPr>
              <w:t>, zmieniającą dyrektywy 2005/60/WE i 2006/48/WE oraz uchylającą dyrektywę 2000/46/WE (Dz. Urz. UE L 267 z 10.10.2009, str. 7, z późn. zm.)</w:t>
            </w:r>
            <w:r w:rsidR="00981DFA">
              <w:rPr>
                <w:rFonts w:ascii="Times New Roman" w:hAnsi="Times New Roman"/>
                <w:color w:val="000000"/>
              </w:rPr>
              <w:t>.</w:t>
            </w:r>
            <w:r w:rsidRPr="00ED1474">
              <w:rPr>
                <w:rFonts w:ascii="Times New Roman" w:hAnsi="Times New Roman"/>
                <w:color w:val="000000"/>
              </w:rPr>
              <w:t xml:space="preserve"> </w:t>
            </w:r>
            <w:r w:rsidR="00981DFA">
              <w:rPr>
                <w:rFonts w:ascii="Times New Roman" w:hAnsi="Times New Roman"/>
                <w:color w:val="000000"/>
              </w:rPr>
              <w:t>W</w:t>
            </w:r>
            <w:r w:rsidRPr="00ED1474">
              <w:rPr>
                <w:rFonts w:ascii="Times New Roman" w:hAnsi="Times New Roman"/>
                <w:color w:val="000000"/>
              </w:rPr>
              <w:t xml:space="preserve">iększość z nich nie wchodzi </w:t>
            </w:r>
            <w:r w:rsidR="00981DFA">
              <w:rPr>
                <w:rFonts w:ascii="Times New Roman" w:hAnsi="Times New Roman"/>
                <w:color w:val="000000"/>
              </w:rPr>
              <w:t xml:space="preserve">natomiast </w:t>
            </w:r>
            <w:r w:rsidRPr="00ED1474">
              <w:rPr>
                <w:rFonts w:ascii="Times New Roman" w:hAnsi="Times New Roman"/>
                <w:color w:val="000000"/>
              </w:rPr>
              <w:t>w zakres istniejących unijnych przepisów regulujących sektor finansowy.</w:t>
            </w:r>
            <w:r>
              <w:rPr>
                <w:rFonts w:ascii="Times New Roman" w:hAnsi="Times New Roman"/>
                <w:color w:val="000000"/>
              </w:rPr>
              <w:t xml:space="preserve"> </w:t>
            </w:r>
            <w:r w:rsidR="002A7C5E">
              <w:rPr>
                <w:rFonts w:ascii="Times New Roman" w:hAnsi="Times New Roman"/>
                <w:color w:val="000000"/>
              </w:rPr>
              <w:t>Stan, w którym nie obowiązują ogólne ramy regulacyjne</w:t>
            </w:r>
            <w:r w:rsidR="002A7C5E" w:rsidRPr="000223F2">
              <w:rPr>
                <w:rFonts w:ascii="Times New Roman" w:hAnsi="Times New Roman"/>
                <w:color w:val="000000"/>
              </w:rPr>
              <w:t xml:space="preserve"> </w:t>
            </w:r>
            <w:r w:rsidR="002A7C5E">
              <w:rPr>
                <w:rFonts w:ascii="Times New Roman" w:hAnsi="Times New Roman"/>
                <w:color w:val="000000"/>
              </w:rPr>
              <w:t>dotyczące</w:t>
            </w:r>
            <w:r w:rsidR="002A7C5E" w:rsidRPr="000223F2">
              <w:rPr>
                <w:rFonts w:ascii="Times New Roman" w:hAnsi="Times New Roman"/>
                <w:color w:val="000000"/>
              </w:rPr>
              <w:t xml:space="preserve"> rynków kryptoaktywów, </w:t>
            </w:r>
            <w:r w:rsidR="002A7C5E">
              <w:rPr>
                <w:rFonts w:ascii="Times New Roman" w:hAnsi="Times New Roman"/>
                <w:color w:val="000000"/>
              </w:rPr>
              <w:t xml:space="preserve">a przede wszystkim dotyczące </w:t>
            </w:r>
            <w:r w:rsidR="002A7C5E" w:rsidRPr="000223F2">
              <w:rPr>
                <w:rFonts w:ascii="Times New Roman" w:hAnsi="Times New Roman"/>
                <w:color w:val="000000"/>
              </w:rPr>
              <w:t>świadczenia usług związanych z nieuregulowanymi kryptoaktywami, w tym funkcjonowania platform obrotu, wymiany kryptoaktywów na środki pieniężne lub inne kryptoaktywa oraz zapewniania przechowywania i administr</w:t>
            </w:r>
            <w:r w:rsidR="002A7C5E">
              <w:rPr>
                <w:rFonts w:ascii="Times New Roman" w:hAnsi="Times New Roman"/>
                <w:color w:val="000000"/>
              </w:rPr>
              <w:t xml:space="preserve">owania nimi w imieniu klientów, </w:t>
            </w:r>
            <w:r w:rsidR="002A7C5E" w:rsidRPr="000223F2">
              <w:rPr>
                <w:rFonts w:ascii="Times New Roman" w:hAnsi="Times New Roman"/>
                <w:color w:val="000000"/>
              </w:rPr>
              <w:t xml:space="preserve">naraża posiadaczy tych kryptoaktywów na ryzyko, w szczególności w obszarach nieobjętych przepisami dotyczącymi ochrony konsumentów. Brak takich przepisów może również powodować znaczne zagrożenie nadużyciami na rynku </w:t>
            </w:r>
            <w:r w:rsidR="002A7C5E">
              <w:rPr>
                <w:rFonts w:ascii="Times New Roman" w:hAnsi="Times New Roman"/>
                <w:color w:val="000000"/>
              </w:rPr>
              <w:t xml:space="preserve">finansowym </w:t>
            </w:r>
            <w:r w:rsidR="002A7C5E" w:rsidRPr="000223F2">
              <w:rPr>
                <w:rFonts w:ascii="Times New Roman" w:hAnsi="Times New Roman"/>
                <w:color w:val="000000"/>
              </w:rPr>
              <w:t>i przestępstwami finansowymi.</w:t>
            </w:r>
          </w:p>
          <w:p w14:paraId="105E0B35" w14:textId="12AC5CB5" w:rsidR="0085524C" w:rsidRDefault="00ED1474" w:rsidP="00EF5735">
            <w:pPr>
              <w:spacing w:line="240" w:lineRule="auto"/>
              <w:jc w:val="both"/>
              <w:rPr>
                <w:rFonts w:ascii="Times New Roman" w:hAnsi="Times New Roman"/>
                <w:color w:val="000000"/>
              </w:rPr>
            </w:pPr>
            <w:r w:rsidRPr="00ED1474">
              <w:rPr>
                <w:rFonts w:ascii="Times New Roman" w:hAnsi="Times New Roman"/>
                <w:color w:val="000000"/>
              </w:rPr>
              <w:t xml:space="preserve">Chociaż rynek kryptoaktywów </w:t>
            </w:r>
            <w:r w:rsidR="00D56E1F">
              <w:rPr>
                <w:rFonts w:ascii="Times New Roman" w:hAnsi="Times New Roman"/>
                <w:color w:val="000000"/>
              </w:rPr>
              <w:t xml:space="preserve">w swej wielkości </w:t>
            </w:r>
            <w:r w:rsidRPr="00ED1474">
              <w:rPr>
                <w:rFonts w:ascii="Times New Roman" w:hAnsi="Times New Roman"/>
                <w:color w:val="000000"/>
              </w:rPr>
              <w:t>nadal</w:t>
            </w:r>
            <w:r w:rsidR="00D56E1F">
              <w:rPr>
                <w:rFonts w:ascii="Times New Roman" w:hAnsi="Times New Roman"/>
                <w:color w:val="000000"/>
              </w:rPr>
              <w:t xml:space="preserve"> nie</w:t>
            </w:r>
            <w:r w:rsidRPr="00ED1474">
              <w:rPr>
                <w:rFonts w:ascii="Times New Roman" w:hAnsi="Times New Roman"/>
                <w:color w:val="000000"/>
              </w:rPr>
              <w:t xml:space="preserve"> jest </w:t>
            </w:r>
            <w:r w:rsidR="00D56E1F">
              <w:rPr>
                <w:rFonts w:ascii="Times New Roman" w:hAnsi="Times New Roman"/>
                <w:color w:val="000000"/>
              </w:rPr>
              <w:t>znaczny, przez co</w:t>
            </w:r>
            <w:r w:rsidRPr="00ED1474">
              <w:rPr>
                <w:rFonts w:ascii="Times New Roman" w:hAnsi="Times New Roman"/>
                <w:color w:val="000000"/>
              </w:rPr>
              <w:t xml:space="preserve"> nie stanowi obecnie zagrożenia dla stabilności finansowej, dzienny wolumen obrotu stale rośnie. Powszechne </w:t>
            </w:r>
            <w:r w:rsidR="009A06CA">
              <w:rPr>
                <w:rFonts w:ascii="Times New Roman" w:hAnsi="Times New Roman"/>
                <w:color w:val="000000"/>
              </w:rPr>
              <w:t>stosowanie</w:t>
            </w:r>
            <w:r w:rsidR="009A06CA" w:rsidRPr="00ED1474">
              <w:rPr>
                <w:rFonts w:ascii="Times New Roman" w:hAnsi="Times New Roman"/>
                <w:color w:val="000000"/>
              </w:rPr>
              <w:t xml:space="preserve"> </w:t>
            </w:r>
            <w:r w:rsidRPr="00ED1474">
              <w:rPr>
                <w:rFonts w:ascii="Times New Roman" w:hAnsi="Times New Roman"/>
                <w:color w:val="000000"/>
              </w:rPr>
              <w:t>przez k</w:t>
            </w:r>
            <w:r w:rsidR="00746ABF">
              <w:rPr>
                <w:rFonts w:ascii="Times New Roman" w:hAnsi="Times New Roman"/>
                <w:color w:val="000000"/>
              </w:rPr>
              <w:t xml:space="preserve">lientów </w:t>
            </w:r>
            <w:r w:rsidRPr="00ED1474">
              <w:rPr>
                <w:rFonts w:ascii="Times New Roman" w:hAnsi="Times New Roman"/>
                <w:color w:val="000000"/>
              </w:rPr>
              <w:t>tak zwanych stabilnych kryptowalut (kryptoaktywów mających cechy zapewniające stabilizację ich ceny) może stwarzać dodatkowe wyzwania (np. w zakresie stabilności finansowej i suwerenności monetarnej).</w:t>
            </w:r>
          </w:p>
          <w:p w14:paraId="09BBC8A4" w14:textId="708D9B07" w:rsidR="00D5149F" w:rsidRDefault="00456201" w:rsidP="00EF5735">
            <w:pPr>
              <w:spacing w:line="240" w:lineRule="auto"/>
              <w:jc w:val="both"/>
              <w:rPr>
                <w:rFonts w:ascii="Times New Roman" w:hAnsi="Times New Roman"/>
                <w:color w:val="000000"/>
              </w:rPr>
            </w:pPr>
            <w:r>
              <w:rPr>
                <w:rFonts w:ascii="Times New Roman" w:hAnsi="Times New Roman"/>
                <w:color w:val="000000"/>
              </w:rPr>
              <w:t>C</w:t>
            </w:r>
            <w:r w:rsidR="00ED1474" w:rsidRPr="00ED1474">
              <w:rPr>
                <w:rFonts w:ascii="Times New Roman" w:hAnsi="Times New Roman"/>
                <w:color w:val="000000"/>
              </w:rPr>
              <w:t xml:space="preserve">elem </w:t>
            </w:r>
            <w:r w:rsidR="00876D4F">
              <w:rPr>
                <w:rFonts w:ascii="Times New Roman" w:hAnsi="Times New Roman"/>
                <w:color w:val="000000"/>
              </w:rPr>
              <w:t xml:space="preserve">projektu ustawy jest </w:t>
            </w:r>
            <w:r w:rsidR="00297A2C">
              <w:rPr>
                <w:rFonts w:ascii="Times New Roman" w:hAnsi="Times New Roman"/>
                <w:color w:val="000000"/>
              </w:rPr>
              <w:t xml:space="preserve">zatem </w:t>
            </w:r>
            <w:r w:rsidR="00876D4F">
              <w:rPr>
                <w:rFonts w:ascii="Times New Roman" w:hAnsi="Times New Roman"/>
                <w:color w:val="000000"/>
              </w:rPr>
              <w:t xml:space="preserve">zapewnienie stosowania przepisów </w:t>
            </w:r>
            <w:r w:rsidR="00EA1D42">
              <w:rPr>
                <w:rFonts w:ascii="Times New Roman" w:hAnsi="Times New Roman"/>
                <w:color w:val="000000"/>
              </w:rPr>
              <w:t>r</w:t>
            </w:r>
            <w:r w:rsidR="00876D4F" w:rsidRPr="00876D4F">
              <w:rPr>
                <w:rFonts w:ascii="Times New Roman" w:hAnsi="Times New Roman"/>
                <w:color w:val="000000"/>
              </w:rPr>
              <w:t>ozporządzenia 2023/1114</w:t>
            </w:r>
            <w:r w:rsidR="0083567A">
              <w:rPr>
                <w:rFonts w:ascii="Times New Roman" w:hAnsi="Times New Roman"/>
                <w:color w:val="000000"/>
              </w:rPr>
              <w:t xml:space="preserve">, które ustanawia </w:t>
            </w:r>
            <w:r w:rsidR="00ED1474" w:rsidRPr="00ED1474">
              <w:rPr>
                <w:rFonts w:ascii="Times New Roman" w:hAnsi="Times New Roman"/>
                <w:color w:val="000000"/>
              </w:rPr>
              <w:t>ram</w:t>
            </w:r>
            <w:r w:rsidR="0083567A">
              <w:rPr>
                <w:rFonts w:ascii="Times New Roman" w:hAnsi="Times New Roman"/>
                <w:color w:val="000000"/>
              </w:rPr>
              <w:t>y</w:t>
            </w:r>
            <w:r w:rsidR="00ED1474" w:rsidRPr="00ED1474">
              <w:rPr>
                <w:rFonts w:ascii="Times New Roman" w:hAnsi="Times New Roman"/>
                <w:color w:val="000000"/>
              </w:rPr>
              <w:t xml:space="preserve"> emisji kryptoaktywów i świadczenia związanych z nimi usług</w:t>
            </w:r>
            <w:r w:rsidR="0031772B">
              <w:rPr>
                <w:rFonts w:ascii="Times New Roman" w:hAnsi="Times New Roman"/>
                <w:color w:val="000000"/>
              </w:rPr>
              <w:t>, a</w:t>
            </w:r>
            <w:r w:rsidR="00184E94">
              <w:rPr>
                <w:rFonts w:ascii="Times New Roman" w:hAnsi="Times New Roman"/>
                <w:color w:val="000000"/>
              </w:rPr>
              <w:t> </w:t>
            </w:r>
            <w:r w:rsidR="0031772B">
              <w:rPr>
                <w:rFonts w:ascii="Times New Roman" w:hAnsi="Times New Roman"/>
                <w:color w:val="000000"/>
              </w:rPr>
              <w:t xml:space="preserve">także wprowadza przepisy dotyczące </w:t>
            </w:r>
            <w:r w:rsidR="00ED1474" w:rsidRPr="00ED1474">
              <w:rPr>
                <w:rFonts w:ascii="Times New Roman" w:hAnsi="Times New Roman"/>
                <w:color w:val="000000"/>
              </w:rPr>
              <w:t>ochrony k</w:t>
            </w:r>
            <w:r w:rsidR="00746ABF">
              <w:rPr>
                <w:rFonts w:ascii="Times New Roman" w:hAnsi="Times New Roman"/>
                <w:color w:val="000000"/>
              </w:rPr>
              <w:t xml:space="preserve">lientów </w:t>
            </w:r>
            <w:r w:rsidR="00ED1474" w:rsidRPr="00ED1474">
              <w:rPr>
                <w:rFonts w:ascii="Times New Roman" w:hAnsi="Times New Roman"/>
                <w:color w:val="000000"/>
              </w:rPr>
              <w:t>i inwestorów oraz integralności rynku kryptoaktywów.</w:t>
            </w:r>
          </w:p>
          <w:p w14:paraId="313BF2F9" w14:textId="54EE6777" w:rsidR="006A701A" w:rsidRPr="00B37C80" w:rsidRDefault="00D5149F" w:rsidP="00EF5735">
            <w:pPr>
              <w:spacing w:line="240" w:lineRule="auto"/>
              <w:jc w:val="both"/>
              <w:rPr>
                <w:rFonts w:ascii="Times New Roman" w:hAnsi="Times New Roman"/>
                <w:color w:val="000000"/>
              </w:rPr>
            </w:pPr>
            <w:r>
              <w:rPr>
                <w:rFonts w:ascii="Times New Roman" w:hAnsi="Times New Roman"/>
                <w:color w:val="000000"/>
              </w:rPr>
              <w:t xml:space="preserve">Projekt ustawy zapewnia również stosowanie </w:t>
            </w:r>
            <w:r w:rsidR="009B764C">
              <w:rPr>
                <w:rFonts w:ascii="Times New Roman" w:hAnsi="Times New Roman"/>
                <w:color w:val="000000"/>
              </w:rPr>
              <w:t xml:space="preserve">przepisów </w:t>
            </w:r>
            <w:r>
              <w:rPr>
                <w:rFonts w:ascii="Times New Roman" w:hAnsi="Times New Roman"/>
                <w:color w:val="000000"/>
              </w:rPr>
              <w:t>ro</w:t>
            </w:r>
            <w:r w:rsidRPr="00D5149F">
              <w:rPr>
                <w:rFonts w:ascii="Times New Roman" w:hAnsi="Times New Roman"/>
                <w:color w:val="000000"/>
              </w:rPr>
              <w:t>zporządzenia Parlamentu Europejskiego i Rady (UE) 2023/1113 z dnia 31 maja 2023 r. w sprawie informacji towarzyszących transferom środków pieniężnych i niektórych kryptoaktywów oraz zmiany dyrektywy (UE) 2015/8</w:t>
            </w:r>
            <w:r w:rsidR="00173CB6">
              <w:rPr>
                <w:rFonts w:ascii="Times New Roman" w:hAnsi="Times New Roman"/>
                <w:color w:val="000000"/>
              </w:rPr>
              <w:t>49.</w:t>
            </w:r>
          </w:p>
        </w:tc>
      </w:tr>
      <w:tr w:rsidR="006A701A" w:rsidRPr="008B4FE6" w14:paraId="371DEA11" w14:textId="77777777" w:rsidTr="00E36A2B">
        <w:trPr>
          <w:gridAfter w:val="1"/>
          <w:wAfter w:w="7" w:type="dxa"/>
          <w:trHeight w:val="142"/>
        </w:trPr>
        <w:tc>
          <w:tcPr>
            <w:tcW w:w="10937" w:type="dxa"/>
            <w:gridSpan w:val="28"/>
            <w:shd w:val="clear" w:color="auto" w:fill="99CCFF"/>
            <w:vAlign w:val="center"/>
          </w:tcPr>
          <w:p w14:paraId="63405C33" w14:textId="77777777" w:rsidR="006A701A" w:rsidRPr="008B4FE6" w:rsidRDefault="0013216E" w:rsidP="00C53F26">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6A701A" w:rsidRPr="008B4FE6" w14:paraId="5AEC6625" w14:textId="77777777" w:rsidTr="00746ABF">
        <w:trPr>
          <w:gridAfter w:val="1"/>
          <w:wAfter w:w="7" w:type="dxa"/>
          <w:trHeight w:val="142"/>
        </w:trPr>
        <w:tc>
          <w:tcPr>
            <w:tcW w:w="10937" w:type="dxa"/>
            <w:gridSpan w:val="28"/>
            <w:shd w:val="clear" w:color="auto" w:fill="auto"/>
          </w:tcPr>
          <w:p w14:paraId="491A507F" w14:textId="2348F277" w:rsidR="0031772B" w:rsidRDefault="00ED1474" w:rsidP="00ED1474">
            <w:pPr>
              <w:spacing w:line="240" w:lineRule="auto"/>
              <w:jc w:val="both"/>
              <w:rPr>
                <w:rFonts w:ascii="Times New Roman" w:hAnsi="Times New Roman"/>
                <w:color w:val="000000"/>
                <w:spacing w:val="-2"/>
              </w:rPr>
            </w:pPr>
            <w:bookmarkStart w:id="4" w:name="_Hlk148962917"/>
            <w:r w:rsidRPr="00ED1474">
              <w:rPr>
                <w:rFonts w:ascii="Times New Roman" w:hAnsi="Times New Roman"/>
                <w:color w:val="000000"/>
                <w:spacing w:val="-2"/>
              </w:rPr>
              <w:lastRenderedPageBreak/>
              <w:t>Projekt ustawy przewiduje wprowadzenie nowych rozwiązań w obszarze sektora rynku kryptoaktywów</w:t>
            </w:r>
            <w:r w:rsidR="009A06CA">
              <w:rPr>
                <w:rFonts w:ascii="Times New Roman" w:hAnsi="Times New Roman"/>
                <w:color w:val="000000"/>
                <w:spacing w:val="-2"/>
              </w:rPr>
              <w:t xml:space="preserve">, </w:t>
            </w:r>
            <w:r w:rsidR="00426EB3">
              <w:rPr>
                <w:rFonts w:ascii="Times New Roman" w:hAnsi="Times New Roman"/>
                <w:color w:val="000000"/>
                <w:spacing w:val="-2"/>
              </w:rPr>
              <w:t xml:space="preserve">mających na celu realizację zadań wynikających z </w:t>
            </w:r>
            <w:r w:rsidR="004C3E38">
              <w:rPr>
                <w:rFonts w:ascii="Times New Roman" w:hAnsi="Times New Roman"/>
                <w:color w:val="000000"/>
                <w:spacing w:val="-2"/>
              </w:rPr>
              <w:t>r</w:t>
            </w:r>
            <w:r w:rsidR="00426EB3">
              <w:rPr>
                <w:rFonts w:ascii="Times New Roman" w:hAnsi="Times New Roman"/>
                <w:color w:val="000000"/>
                <w:spacing w:val="-2"/>
              </w:rPr>
              <w:t xml:space="preserve">ozporządzenia </w:t>
            </w:r>
            <w:r w:rsidR="0031772B" w:rsidRPr="0031772B">
              <w:rPr>
                <w:rFonts w:ascii="Times New Roman" w:hAnsi="Times New Roman"/>
                <w:color w:val="000000"/>
                <w:spacing w:val="-2"/>
              </w:rPr>
              <w:t>2023/1114</w:t>
            </w:r>
            <w:r w:rsidR="00625178">
              <w:rPr>
                <w:rFonts w:ascii="Times New Roman" w:hAnsi="Times New Roman"/>
                <w:color w:val="000000"/>
                <w:spacing w:val="-2"/>
              </w:rPr>
              <w:t xml:space="preserve">, w szczególności w zakresie </w:t>
            </w:r>
            <w:r w:rsidR="00625178" w:rsidRPr="00426EB3">
              <w:rPr>
                <w:rFonts w:ascii="Times New Roman" w:hAnsi="Times New Roman"/>
                <w:color w:val="000000"/>
                <w:spacing w:val="-2"/>
              </w:rPr>
              <w:t xml:space="preserve">skutecznego nadzoru </w:t>
            </w:r>
            <w:r w:rsidR="005015C9">
              <w:rPr>
                <w:rFonts w:ascii="Times New Roman" w:hAnsi="Times New Roman"/>
                <w:color w:val="000000"/>
                <w:spacing w:val="-2"/>
              </w:rPr>
              <w:t xml:space="preserve">nad tym rynkiem </w:t>
            </w:r>
            <w:r w:rsidR="00625178" w:rsidRPr="00426EB3">
              <w:rPr>
                <w:rFonts w:ascii="Times New Roman" w:hAnsi="Times New Roman"/>
                <w:color w:val="000000"/>
                <w:spacing w:val="-2"/>
              </w:rPr>
              <w:t>i ochrony inwestorów</w:t>
            </w:r>
            <w:r w:rsidRPr="00ED1474">
              <w:rPr>
                <w:rFonts w:ascii="Times New Roman" w:hAnsi="Times New Roman"/>
                <w:color w:val="000000"/>
                <w:spacing w:val="-2"/>
              </w:rPr>
              <w:t xml:space="preserve">. Podjęcie działań zmierzających do realizacji wspomnianych celów zapewni rozwój </w:t>
            </w:r>
            <w:r w:rsidR="005015C9">
              <w:rPr>
                <w:rFonts w:ascii="Times New Roman" w:hAnsi="Times New Roman"/>
                <w:color w:val="000000"/>
                <w:spacing w:val="-2"/>
              </w:rPr>
              <w:t xml:space="preserve">tego </w:t>
            </w:r>
            <w:r w:rsidRPr="00ED1474">
              <w:rPr>
                <w:rFonts w:ascii="Times New Roman" w:hAnsi="Times New Roman"/>
                <w:color w:val="000000"/>
                <w:spacing w:val="-2"/>
              </w:rPr>
              <w:t>rynku w perspektywie wieloletniej oraz bezpieczeństwo przez rozszerzenie kompetencji nadzorczych</w:t>
            </w:r>
            <w:r w:rsidR="005015C9">
              <w:rPr>
                <w:rFonts w:ascii="Times New Roman" w:hAnsi="Times New Roman"/>
                <w:color w:val="000000"/>
                <w:spacing w:val="-2"/>
              </w:rPr>
              <w:t xml:space="preserve"> KNF</w:t>
            </w:r>
            <w:r w:rsidRPr="00ED1474">
              <w:rPr>
                <w:rFonts w:ascii="Times New Roman" w:hAnsi="Times New Roman"/>
                <w:color w:val="000000"/>
                <w:spacing w:val="-2"/>
              </w:rPr>
              <w:t xml:space="preserve">. </w:t>
            </w:r>
          </w:p>
          <w:p w14:paraId="4F24FEA0" w14:textId="6C0AC93E" w:rsidR="00A71141" w:rsidRPr="007601D7" w:rsidRDefault="00B91463" w:rsidP="007601D7">
            <w:pPr>
              <w:spacing w:line="240" w:lineRule="auto"/>
              <w:jc w:val="both"/>
              <w:rPr>
                <w:rFonts w:ascii="Times New Roman" w:hAnsi="Times New Roman"/>
                <w:color w:val="000000"/>
                <w:spacing w:val="-2"/>
              </w:rPr>
            </w:pPr>
            <w:r>
              <w:rPr>
                <w:rFonts w:ascii="Times New Roman" w:hAnsi="Times New Roman"/>
                <w:color w:val="000000"/>
                <w:spacing w:val="-2"/>
              </w:rPr>
              <w:t xml:space="preserve">Najważniejsze </w:t>
            </w:r>
            <w:r w:rsidR="00A86FEB">
              <w:rPr>
                <w:rFonts w:ascii="Times New Roman" w:hAnsi="Times New Roman"/>
                <w:color w:val="000000"/>
                <w:spacing w:val="-2"/>
              </w:rPr>
              <w:t xml:space="preserve">rozwiązania przewidziane w </w:t>
            </w:r>
            <w:r w:rsidR="00A71141">
              <w:rPr>
                <w:rFonts w:ascii="Times New Roman" w:hAnsi="Times New Roman"/>
                <w:color w:val="000000"/>
                <w:spacing w:val="-2"/>
              </w:rPr>
              <w:t>proponowanych przepis</w:t>
            </w:r>
            <w:r w:rsidR="00A86FEB">
              <w:rPr>
                <w:rFonts w:ascii="Times New Roman" w:hAnsi="Times New Roman"/>
                <w:color w:val="000000"/>
                <w:spacing w:val="-2"/>
              </w:rPr>
              <w:t>ach</w:t>
            </w:r>
            <w:r w:rsidR="00A71141">
              <w:rPr>
                <w:rFonts w:ascii="Times New Roman" w:hAnsi="Times New Roman"/>
                <w:color w:val="000000"/>
                <w:spacing w:val="-2"/>
              </w:rPr>
              <w:t>:</w:t>
            </w:r>
          </w:p>
          <w:p w14:paraId="42AD1317" w14:textId="388E7B9F" w:rsidR="00FF6AC9" w:rsidRDefault="005015C9" w:rsidP="00A71141">
            <w:pPr>
              <w:pStyle w:val="Akapitzlist"/>
              <w:numPr>
                <w:ilvl w:val="0"/>
                <w:numId w:val="22"/>
              </w:numPr>
              <w:spacing w:line="240" w:lineRule="auto"/>
              <w:jc w:val="both"/>
              <w:rPr>
                <w:rFonts w:ascii="Times New Roman" w:hAnsi="Times New Roman"/>
                <w:color w:val="000000"/>
                <w:spacing w:val="-2"/>
              </w:rPr>
            </w:pPr>
            <w:r>
              <w:rPr>
                <w:rFonts w:ascii="Times New Roman" w:hAnsi="Times New Roman"/>
                <w:color w:val="000000"/>
                <w:spacing w:val="-2"/>
              </w:rPr>
              <w:t>w</w:t>
            </w:r>
            <w:r w:rsidR="00FF6AC9">
              <w:rPr>
                <w:rFonts w:ascii="Times New Roman" w:hAnsi="Times New Roman"/>
                <w:color w:val="000000"/>
                <w:spacing w:val="-2"/>
              </w:rPr>
              <w:t xml:space="preserve">yznaczenie </w:t>
            </w:r>
            <w:r w:rsidR="00EA1D42">
              <w:rPr>
                <w:rFonts w:ascii="Times New Roman" w:hAnsi="Times New Roman"/>
                <w:color w:val="000000"/>
                <w:spacing w:val="-2"/>
              </w:rPr>
              <w:t>KNF</w:t>
            </w:r>
            <w:r w:rsidR="00FF6AC9">
              <w:rPr>
                <w:rFonts w:ascii="Times New Roman" w:hAnsi="Times New Roman"/>
                <w:color w:val="000000"/>
                <w:spacing w:val="-2"/>
              </w:rPr>
              <w:t xml:space="preserve"> jako organu właściwego w zakresie stosowania </w:t>
            </w:r>
            <w:r w:rsidR="00C504F4">
              <w:rPr>
                <w:rFonts w:ascii="Times New Roman" w:hAnsi="Times New Roman"/>
                <w:color w:val="000000"/>
                <w:spacing w:val="-2"/>
              </w:rPr>
              <w:t>r</w:t>
            </w:r>
            <w:r w:rsidR="00FF6AC9" w:rsidRPr="00FF6AC9">
              <w:rPr>
                <w:rFonts w:ascii="Times New Roman" w:hAnsi="Times New Roman"/>
                <w:color w:val="000000"/>
                <w:spacing w:val="-2"/>
              </w:rPr>
              <w:t>ozporządzenia 2023/1114</w:t>
            </w:r>
            <w:r w:rsidR="00FF6AC9">
              <w:rPr>
                <w:rFonts w:ascii="Times New Roman" w:hAnsi="Times New Roman"/>
                <w:color w:val="000000"/>
                <w:spacing w:val="-2"/>
              </w:rPr>
              <w:t xml:space="preserve"> </w:t>
            </w:r>
            <w:r>
              <w:rPr>
                <w:rFonts w:ascii="Times New Roman" w:hAnsi="Times New Roman"/>
                <w:color w:val="000000"/>
                <w:spacing w:val="-2"/>
              </w:rPr>
              <w:t>oraz</w:t>
            </w:r>
            <w:r w:rsidR="00FF6AC9">
              <w:rPr>
                <w:rFonts w:ascii="Times New Roman" w:hAnsi="Times New Roman"/>
                <w:color w:val="000000"/>
                <w:spacing w:val="-2"/>
              </w:rPr>
              <w:t xml:space="preserve"> wprowadzenie narzędzi służący</w:t>
            </w:r>
            <w:r w:rsidR="005B6808">
              <w:rPr>
                <w:rFonts w:ascii="Times New Roman" w:hAnsi="Times New Roman"/>
                <w:color w:val="000000"/>
                <w:spacing w:val="-2"/>
              </w:rPr>
              <w:t>ch</w:t>
            </w:r>
            <w:r w:rsidR="00FF6AC9">
              <w:rPr>
                <w:rFonts w:ascii="Times New Roman" w:hAnsi="Times New Roman"/>
                <w:color w:val="000000"/>
                <w:spacing w:val="-2"/>
              </w:rPr>
              <w:t xml:space="preserve"> </w:t>
            </w:r>
            <w:r w:rsidR="00FF6AC9" w:rsidRPr="00FF6AC9">
              <w:rPr>
                <w:rFonts w:ascii="Times New Roman" w:hAnsi="Times New Roman"/>
                <w:color w:val="000000"/>
                <w:spacing w:val="-2"/>
              </w:rPr>
              <w:t>skuteczn</w:t>
            </w:r>
            <w:r w:rsidR="00C504F4">
              <w:rPr>
                <w:rFonts w:ascii="Times New Roman" w:hAnsi="Times New Roman"/>
                <w:color w:val="000000"/>
                <w:spacing w:val="-2"/>
              </w:rPr>
              <w:t>emu</w:t>
            </w:r>
            <w:r w:rsidR="00FF6AC9" w:rsidRPr="00FF6AC9">
              <w:rPr>
                <w:rFonts w:ascii="Times New Roman" w:hAnsi="Times New Roman"/>
                <w:color w:val="000000"/>
                <w:spacing w:val="-2"/>
              </w:rPr>
              <w:t xml:space="preserve"> wykonywan</w:t>
            </w:r>
            <w:r w:rsidR="00C504F4">
              <w:rPr>
                <w:rFonts w:ascii="Times New Roman" w:hAnsi="Times New Roman"/>
                <w:color w:val="000000"/>
                <w:spacing w:val="-2"/>
              </w:rPr>
              <w:t>iu</w:t>
            </w:r>
            <w:r w:rsidR="00FF6AC9" w:rsidRPr="00FF6AC9">
              <w:rPr>
                <w:rFonts w:ascii="Times New Roman" w:hAnsi="Times New Roman"/>
                <w:color w:val="000000"/>
                <w:spacing w:val="-2"/>
              </w:rPr>
              <w:t xml:space="preserve"> przez KNF nadzoru i realizacj</w:t>
            </w:r>
            <w:r w:rsidR="005B6808">
              <w:rPr>
                <w:rFonts w:ascii="Times New Roman" w:hAnsi="Times New Roman"/>
                <w:color w:val="000000"/>
                <w:spacing w:val="-2"/>
              </w:rPr>
              <w:t>i</w:t>
            </w:r>
            <w:r w:rsidR="00FF6AC9" w:rsidRPr="00FF6AC9">
              <w:rPr>
                <w:rFonts w:ascii="Times New Roman" w:hAnsi="Times New Roman"/>
                <w:color w:val="000000"/>
                <w:spacing w:val="-2"/>
              </w:rPr>
              <w:t xml:space="preserve"> postanowień </w:t>
            </w:r>
            <w:r w:rsidR="00C504F4">
              <w:rPr>
                <w:rFonts w:ascii="Times New Roman" w:hAnsi="Times New Roman"/>
                <w:color w:val="000000"/>
                <w:spacing w:val="-2"/>
              </w:rPr>
              <w:t>przedmiotowego rozporządzenia</w:t>
            </w:r>
            <w:r>
              <w:rPr>
                <w:rFonts w:ascii="Times New Roman" w:hAnsi="Times New Roman"/>
                <w:color w:val="000000"/>
                <w:spacing w:val="-2"/>
              </w:rPr>
              <w:t>;</w:t>
            </w:r>
          </w:p>
          <w:p w14:paraId="1AAE4ACF" w14:textId="3F83D46F" w:rsidR="00A71141" w:rsidRPr="00A71141" w:rsidRDefault="005015C9" w:rsidP="00A71141">
            <w:pPr>
              <w:pStyle w:val="Akapitzlist"/>
              <w:numPr>
                <w:ilvl w:val="0"/>
                <w:numId w:val="22"/>
              </w:numPr>
              <w:spacing w:line="240" w:lineRule="auto"/>
              <w:jc w:val="both"/>
              <w:rPr>
                <w:rFonts w:ascii="Times New Roman" w:hAnsi="Times New Roman"/>
                <w:color w:val="000000"/>
                <w:spacing w:val="-2"/>
              </w:rPr>
            </w:pPr>
            <w:r>
              <w:rPr>
                <w:rFonts w:ascii="Times New Roman" w:hAnsi="Times New Roman"/>
                <w:color w:val="000000"/>
                <w:spacing w:val="-2"/>
              </w:rPr>
              <w:t>o</w:t>
            </w:r>
            <w:r w:rsidR="00A71141" w:rsidRPr="00A71141">
              <w:rPr>
                <w:rFonts w:ascii="Times New Roman" w:hAnsi="Times New Roman"/>
                <w:color w:val="000000"/>
                <w:spacing w:val="-2"/>
              </w:rPr>
              <w:t>kreślenie obowiązków emitentów tokenów powiązanych z aktywami i tokenów powiązanych z e-pieniądzem oraz dostawców usług w zakresie kryptoaktywów</w:t>
            </w:r>
            <w:r w:rsidR="00A86FEB">
              <w:rPr>
                <w:rFonts w:ascii="Times New Roman" w:hAnsi="Times New Roman"/>
                <w:color w:val="000000"/>
                <w:spacing w:val="-2"/>
              </w:rPr>
              <w:t xml:space="preserve">, w tym </w:t>
            </w:r>
            <w:r w:rsidR="00A71141" w:rsidRPr="00A71141">
              <w:rPr>
                <w:rFonts w:ascii="Times New Roman" w:hAnsi="Times New Roman"/>
                <w:color w:val="000000"/>
                <w:spacing w:val="-2"/>
              </w:rPr>
              <w:t>zobowiązan</w:t>
            </w:r>
            <w:r w:rsidR="00FF6AC9">
              <w:rPr>
                <w:rFonts w:ascii="Times New Roman" w:hAnsi="Times New Roman"/>
                <w:color w:val="000000"/>
                <w:spacing w:val="-2"/>
              </w:rPr>
              <w:t>ie</w:t>
            </w:r>
            <w:r w:rsidR="00A71141" w:rsidRPr="00A71141">
              <w:rPr>
                <w:rFonts w:ascii="Times New Roman" w:hAnsi="Times New Roman"/>
                <w:color w:val="000000"/>
                <w:spacing w:val="-2"/>
              </w:rPr>
              <w:t xml:space="preserve"> </w:t>
            </w:r>
            <w:r w:rsidR="00173CB6">
              <w:rPr>
                <w:rFonts w:ascii="Times New Roman" w:hAnsi="Times New Roman"/>
                <w:color w:val="000000"/>
                <w:spacing w:val="-2"/>
              </w:rPr>
              <w:t xml:space="preserve">ww. </w:t>
            </w:r>
            <w:r w:rsidR="00A71141" w:rsidRPr="00A71141">
              <w:rPr>
                <w:rFonts w:ascii="Times New Roman" w:hAnsi="Times New Roman"/>
                <w:color w:val="000000"/>
                <w:spacing w:val="-2"/>
              </w:rPr>
              <w:t>emitentów do przekazywania KNF informacji dotyczących ich działalności, które podlegają ocenie</w:t>
            </w:r>
            <w:r w:rsidR="00C504F4">
              <w:rPr>
                <w:rFonts w:ascii="Times New Roman" w:hAnsi="Times New Roman"/>
                <w:color w:val="000000"/>
                <w:spacing w:val="-2"/>
              </w:rPr>
              <w:t xml:space="preserve"> nadzorcy</w:t>
            </w:r>
            <w:r>
              <w:rPr>
                <w:rFonts w:ascii="Times New Roman" w:hAnsi="Times New Roman"/>
                <w:color w:val="000000"/>
                <w:spacing w:val="-2"/>
              </w:rPr>
              <w:t>;</w:t>
            </w:r>
          </w:p>
          <w:p w14:paraId="1486381B" w14:textId="220AFA5A" w:rsidR="00DE7915" w:rsidRPr="00DE7915" w:rsidRDefault="005015C9" w:rsidP="00EF5735">
            <w:pPr>
              <w:pStyle w:val="Akapitzlist"/>
              <w:numPr>
                <w:ilvl w:val="0"/>
                <w:numId w:val="22"/>
              </w:numPr>
              <w:jc w:val="both"/>
              <w:rPr>
                <w:rFonts w:ascii="Times New Roman" w:hAnsi="Times New Roman"/>
                <w:color w:val="000000"/>
                <w:spacing w:val="-2"/>
              </w:rPr>
            </w:pPr>
            <w:r>
              <w:rPr>
                <w:rFonts w:ascii="Times New Roman" w:hAnsi="Times New Roman"/>
                <w:color w:val="000000"/>
                <w:spacing w:val="-2"/>
              </w:rPr>
              <w:t>w</w:t>
            </w:r>
            <w:r w:rsidR="00DE7915" w:rsidRPr="00DE7915">
              <w:rPr>
                <w:rFonts w:ascii="Times New Roman" w:hAnsi="Times New Roman"/>
                <w:color w:val="000000"/>
                <w:spacing w:val="-2"/>
              </w:rPr>
              <w:t xml:space="preserve"> przypadku naruszenia przepisów rozporządzenia 2023/1114, aktów delegowanych lub wykonawczych, proponuje się przyznanie KNF środków nadzorczych służących przeciwdziałaniu naruszeniom, których mogą dopuścić się podmioty nadzorowane</w:t>
            </w:r>
            <w:r>
              <w:rPr>
                <w:rFonts w:ascii="Times New Roman" w:hAnsi="Times New Roman"/>
                <w:color w:val="000000"/>
                <w:spacing w:val="-2"/>
              </w:rPr>
              <w:t>;</w:t>
            </w:r>
          </w:p>
          <w:p w14:paraId="50D4E259" w14:textId="01325676" w:rsidR="00A71141" w:rsidRPr="0085524C" w:rsidRDefault="00A85A0E" w:rsidP="0085524C">
            <w:pPr>
              <w:pStyle w:val="Akapitzlist"/>
              <w:numPr>
                <w:ilvl w:val="0"/>
                <w:numId w:val="22"/>
              </w:numPr>
              <w:spacing w:line="240" w:lineRule="auto"/>
              <w:jc w:val="both"/>
              <w:rPr>
                <w:rFonts w:ascii="Times New Roman" w:hAnsi="Times New Roman"/>
                <w:color w:val="000000"/>
                <w:spacing w:val="-2"/>
              </w:rPr>
            </w:pPr>
            <w:r>
              <w:rPr>
                <w:rFonts w:ascii="Times New Roman" w:hAnsi="Times New Roman"/>
                <w:color w:val="000000"/>
                <w:spacing w:val="-2"/>
              </w:rPr>
              <w:t>w</w:t>
            </w:r>
            <w:r w:rsidR="00A71141" w:rsidRPr="0085524C">
              <w:rPr>
                <w:rFonts w:ascii="Times New Roman" w:hAnsi="Times New Roman"/>
                <w:color w:val="000000"/>
                <w:spacing w:val="-2"/>
              </w:rPr>
              <w:t>prowadzeni</w:t>
            </w:r>
            <w:r w:rsidR="00FC377F" w:rsidRPr="0085524C">
              <w:rPr>
                <w:rFonts w:ascii="Times New Roman" w:hAnsi="Times New Roman"/>
                <w:color w:val="000000"/>
                <w:spacing w:val="-2"/>
              </w:rPr>
              <w:t>e</w:t>
            </w:r>
            <w:r w:rsidR="00A71141" w:rsidRPr="0085524C">
              <w:rPr>
                <w:rFonts w:ascii="Times New Roman" w:hAnsi="Times New Roman"/>
                <w:color w:val="000000"/>
                <w:spacing w:val="-2"/>
              </w:rPr>
              <w:t xml:space="preserve"> możliwoś</w:t>
            </w:r>
            <w:r w:rsidR="004C3E38">
              <w:rPr>
                <w:rFonts w:ascii="Times New Roman" w:hAnsi="Times New Roman"/>
                <w:color w:val="000000"/>
                <w:spacing w:val="-2"/>
              </w:rPr>
              <w:t>ci</w:t>
            </w:r>
            <w:r w:rsidR="00A71141" w:rsidRPr="0085524C">
              <w:rPr>
                <w:rFonts w:ascii="Times New Roman" w:hAnsi="Times New Roman"/>
                <w:color w:val="000000"/>
                <w:spacing w:val="-2"/>
              </w:rPr>
              <w:t xml:space="preserve"> nakładania </w:t>
            </w:r>
            <w:r w:rsidR="00EA1D42">
              <w:rPr>
                <w:rFonts w:ascii="Times New Roman" w:hAnsi="Times New Roman"/>
                <w:color w:val="000000"/>
                <w:spacing w:val="-2"/>
              </w:rPr>
              <w:t>sankcji</w:t>
            </w:r>
            <w:r w:rsidR="00060D52">
              <w:rPr>
                <w:rFonts w:ascii="Times New Roman" w:hAnsi="Times New Roman"/>
                <w:color w:val="000000"/>
                <w:spacing w:val="-2"/>
              </w:rPr>
              <w:t xml:space="preserve"> administracyjnych</w:t>
            </w:r>
            <w:r w:rsidR="00EA1D42">
              <w:rPr>
                <w:rFonts w:ascii="Times New Roman" w:hAnsi="Times New Roman"/>
                <w:color w:val="000000"/>
                <w:spacing w:val="-2"/>
              </w:rPr>
              <w:t xml:space="preserve"> </w:t>
            </w:r>
            <w:r w:rsidR="00A71141" w:rsidRPr="0085524C">
              <w:rPr>
                <w:rFonts w:ascii="Times New Roman" w:hAnsi="Times New Roman"/>
                <w:color w:val="000000"/>
                <w:spacing w:val="-2"/>
              </w:rPr>
              <w:t>przez KNF na oferujących, emitentów</w:t>
            </w:r>
            <w:r w:rsidR="00060D52">
              <w:rPr>
                <w:rFonts w:ascii="Times New Roman" w:hAnsi="Times New Roman"/>
                <w:color w:val="000000"/>
                <w:spacing w:val="-2"/>
              </w:rPr>
              <w:t xml:space="preserve"> tokenów powiązanych z aktywami lub tokenów będących e-pieniądzem,</w:t>
            </w:r>
            <w:r w:rsidR="00A71141" w:rsidRPr="0085524C">
              <w:rPr>
                <w:rFonts w:ascii="Times New Roman" w:hAnsi="Times New Roman"/>
                <w:color w:val="000000"/>
                <w:spacing w:val="-2"/>
              </w:rPr>
              <w:t xml:space="preserve"> os</w:t>
            </w:r>
            <w:r w:rsidR="00EA1D42">
              <w:rPr>
                <w:rFonts w:ascii="Times New Roman" w:hAnsi="Times New Roman"/>
                <w:color w:val="000000"/>
                <w:spacing w:val="-2"/>
              </w:rPr>
              <w:t>oby</w:t>
            </w:r>
            <w:r w:rsidR="00A71141" w:rsidRPr="0085524C">
              <w:rPr>
                <w:rFonts w:ascii="Times New Roman" w:hAnsi="Times New Roman"/>
                <w:color w:val="000000"/>
                <w:spacing w:val="-2"/>
              </w:rPr>
              <w:t xml:space="preserve"> ubiegając</w:t>
            </w:r>
            <w:r w:rsidR="00EA1D42">
              <w:rPr>
                <w:rFonts w:ascii="Times New Roman" w:hAnsi="Times New Roman"/>
                <w:color w:val="000000"/>
                <w:spacing w:val="-2"/>
              </w:rPr>
              <w:t>e</w:t>
            </w:r>
            <w:r w:rsidR="00A71141" w:rsidRPr="0085524C">
              <w:rPr>
                <w:rFonts w:ascii="Times New Roman" w:hAnsi="Times New Roman"/>
                <w:color w:val="000000"/>
                <w:spacing w:val="-2"/>
              </w:rPr>
              <w:t xml:space="preserve"> się o</w:t>
            </w:r>
            <w:r w:rsidR="00184E94">
              <w:rPr>
                <w:rFonts w:ascii="Times New Roman" w:hAnsi="Times New Roman"/>
                <w:color w:val="000000"/>
                <w:spacing w:val="-2"/>
              </w:rPr>
              <w:t> </w:t>
            </w:r>
            <w:r w:rsidR="00A71141" w:rsidRPr="0085524C">
              <w:rPr>
                <w:rFonts w:ascii="Times New Roman" w:hAnsi="Times New Roman"/>
                <w:color w:val="000000"/>
                <w:spacing w:val="-2"/>
              </w:rPr>
              <w:t>dopuszczenie kryptoaktywów</w:t>
            </w:r>
            <w:r w:rsidR="00060D52">
              <w:rPr>
                <w:rFonts w:ascii="Times New Roman" w:hAnsi="Times New Roman"/>
                <w:color w:val="000000"/>
                <w:spacing w:val="-2"/>
              </w:rPr>
              <w:t xml:space="preserve"> do obrotu oraz dostawców usług w zakresie kryptoaktywów; </w:t>
            </w:r>
          </w:p>
          <w:p w14:paraId="1098622A" w14:textId="3581028C" w:rsidR="005161B1" w:rsidRDefault="00060D52" w:rsidP="000223F2">
            <w:pPr>
              <w:pStyle w:val="Akapitzlist"/>
              <w:numPr>
                <w:ilvl w:val="0"/>
                <w:numId w:val="22"/>
              </w:numPr>
              <w:spacing w:line="240" w:lineRule="auto"/>
              <w:jc w:val="both"/>
              <w:rPr>
                <w:rFonts w:ascii="Times New Roman" w:hAnsi="Times New Roman"/>
                <w:color w:val="000000"/>
                <w:spacing w:val="-2"/>
              </w:rPr>
            </w:pPr>
            <w:r>
              <w:rPr>
                <w:rFonts w:ascii="Times New Roman" w:hAnsi="Times New Roman"/>
                <w:color w:val="000000"/>
                <w:spacing w:val="-2"/>
              </w:rPr>
              <w:t>w</w:t>
            </w:r>
            <w:r w:rsidR="005B6808">
              <w:rPr>
                <w:rFonts w:ascii="Times New Roman" w:hAnsi="Times New Roman"/>
                <w:color w:val="000000"/>
                <w:spacing w:val="-2"/>
              </w:rPr>
              <w:t xml:space="preserve">prowadzenie </w:t>
            </w:r>
            <w:r w:rsidR="00A71141" w:rsidRPr="00A71141">
              <w:rPr>
                <w:rFonts w:ascii="Times New Roman" w:hAnsi="Times New Roman"/>
                <w:color w:val="000000"/>
                <w:spacing w:val="-2"/>
              </w:rPr>
              <w:t xml:space="preserve">odpowiedzialności karnej </w:t>
            </w:r>
            <w:r w:rsidR="005B6808">
              <w:rPr>
                <w:rFonts w:ascii="Times New Roman" w:hAnsi="Times New Roman"/>
                <w:color w:val="000000"/>
                <w:spacing w:val="-2"/>
              </w:rPr>
              <w:t>podmiotów nadzorowanych</w:t>
            </w:r>
            <w:r>
              <w:rPr>
                <w:rFonts w:ascii="Times New Roman" w:hAnsi="Times New Roman"/>
                <w:color w:val="000000"/>
                <w:spacing w:val="-2"/>
              </w:rPr>
              <w:t>;</w:t>
            </w:r>
            <w:r w:rsidR="00AE1506">
              <w:rPr>
                <w:rFonts w:ascii="Times New Roman" w:hAnsi="Times New Roman"/>
                <w:color w:val="000000"/>
                <w:spacing w:val="-2"/>
              </w:rPr>
              <w:t xml:space="preserve"> </w:t>
            </w:r>
            <w:r>
              <w:rPr>
                <w:rFonts w:ascii="Times New Roman" w:hAnsi="Times New Roman"/>
                <w:color w:val="000000"/>
                <w:spacing w:val="-2"/>
              </w:rPr>
              <w:t>s</w:t>
            </w:r>
            <w:r w:rsidR="00A71141" w:rsidRPr="00A71141">
              <w:rPr>
                <w:rFonts w:ascii="Times New Roman" w:hAnsi="Times New Roman"/>
                <w:color w:val="000000"/>
                <w:spacing w:val="-2"/>
              </w:rPr>
              <w:t xml:space="preserve">urowość środków penalnych </w:t>
            </w:r>
            <w:r w:rsidR="00C52460">
              <w:rPr>
                <w:rFonts w:ascii="Times New Roman" w:hAnsi="Times New Roman"/>
                <w:color w:val="000000"/>
                <w:spacing w:val="-2"/>
              </w:rPr>
              <w:t xml:space="preserve">będzie </w:t>
            </w:r>
            <w:r w:rsidR="00A71141" w:rsidRPr="00A71141">
              <w:rPr>
                <w:rFonts w:ascii="Times New Roman" w:hAnsi="Times New Roman"/>
                <w:color w:val="000000"/>
                <w:spacing w:val="-2"/>
              </w:rPr>
              <w:t xml:space="preserve">uzależniona od stopnia przewinienia i </w:t>
            </w:r>
            <w:r w:rsidR="00C52460">
              <w:rPr>
                <w:rFonts w:ascii="Times New Roman" w:hAnsi="Times New Roman"/>
                <w:color w:val="000000"/>
                <w:spacing w:val="-2"/>
              </w:rPr>
              <w:t xml:space="preserve">będzie </w:t>
            </w:r>
            <w:r w:rsidR="00A71141" w:rsidRPr="00A71141">
              <w:rPr>
                <w:rFonts w:ascii="Times New Roman" w:hAnsi="Times New Roman"/>
                <w:color w:val="000000"/>
                <w:spacing w:val="-2"/>
              </w:rPr>
              <w:t>pozosta</w:t>
            </w:r>
            <w:r w:rsidR="00C52460">
              <w:rPr>
                <w:rFonts w:ascii="Times New Roman" w:hAnsi="Times New Roman"/>
                <w:color w:val="000000"/>
                <w:spacing w:val="-2"/>
              </w:rPr>
              <w:t>wała</w:t>
            </w:r>
            <w:r w:rsidR="00A71141" w:rsidRPr="00A71141">
              <w:rPr>
                <w:rFonts w:ascii="Times New Roman" w:hAnsi="Times New Roman"/>
                <w:color w:val="000000"/>
                <w:spacing w:val="-2"/>
              </w:rPr>
              <w:t xml:space="preserve"> w ścisłym związku z rodzajem czynu poddanego kryminalizacji</w:t>
            </w:r>
            <w:r w:rsidR="00173CB6">
              <w:rPr>
                <w:rFonts w:ascii="Times New Roman" w:hAnsi="Times New Roman"/>
                <w:color w:val="000000"/>
                <w:spacing w:val="-2"/>
              </w:rPr>
              <w:t xml:space="preserve"> </w:t>
            </w:r>
            <w:r>
              <w:rPr>
                <w:rFonts w:ascii="Times New Roman" w:hAnsi="Times New Roman"/>
                <w:color w:val="000000"/>
                <w:spacing w:val="-2"/>
              </w:rPr>
              <w:t>(r</w:t>
            </w:r>
            <w:r w:rsidR="00A71141" w:rsidRPr="00A71141">
              <w:rPr>
                <w:rFonts w:ascii="Times New Roman" w:hAnsi="Times New Roman"/>
                <w:color w:val="000000"/>
                <w:spacing w:val="-2"/>
              </w:rPr>
              <w:t>ozwiązanie ma na celu zapewnienie bezpieczeństwa obrotu</w:t>
            </w:r>
            <w:r>
              <w:rPr>
                <w:rFonts w:ascii="Times New Roman" w:hAnsi="Times New Roman"/>
                <w:color w:val="000000"/>
                <w:spacing w:val="-2"/>
              </w:rPr>
              <w:t xml:space="preserve"> kryptoaktywami</w:t>
            </w:r>
            <w:r w:rsidR="00A71141" w:rsidRPr="00A71141">
              <w:rPr>
                <w:rFonts w:ascii="Times New Roman" w:hAnsi="Times New Roman"/>
                <w:color w:val="000000"/>
                <w:spacing w:val="-2"/>
              </w:rPr>
              <w:t>,</w:t>
            </w:r>
            <w:r w:rsidR="005B6808">
              <w:rPr>
                <w:rFonts w:ascii="Times New Roman" w:hAnsi="Times New Roman"/>
                <w:color w:val="000000"/>
                <w:spacing w:val="-2"/>
              </w:rPr>
              <w:t xml:space="preserve"> w tym przede wszystki</w:t>
            </w:r>
            <w:r w:rsidR="00625178">
              <w:rPr>
                <w:rFonts w:ascii="Times New Roman" w:hAnsi="Times New Roman"/>
                <w:color w:val="000000"/>
                <w:spacing w:val="-2"/>
              </w:rPr>
              <w:t>m</w:t>
            </w:r>
            <w:r w:rsidR="005B6808">
              <w:rPr>
                <w:rFonts w:ascii="Times New Roman" w:hAnsi="Times New Roman"/>
                <w:color w:val="000000"/>
                <w:spacing w:val="-2"/>
              </w:rPr>
              <w:t xml:space="preserve"> k</w:t>
            </w:r>
            <w:r w:rsidR="00746ABF">
              <w:rPr>
                <w:rFonts w:ascii="Times New Roman" w:hAnsi="Times New Roman"/>
                <w:color w:val="000000"/>
                <w:spacing w:val="-2"/>
              </w:rPr>
              <w:t>lientów</w:t>
            </w:r>
            <w:r w:rsidR="005B6808">
              <w:rPr>
                <w:rFonts w:ascii="Times New Roman" w:hAnsi="Times New Roman"/>
                <w:color w:val="000000"/>
                <w:spacing w:val="-2"/>
              </w:rPr>
              <w:t>,</w:t>
            </w:r>
            <w:r w:rsidR="00A71141" w:rsidRPr="00A71141">
              <w:rPr>
                <w:rFonts w:ascii="Times New Roman" w:hAnsi="Times New Roman"/>
                <w:color w:val="000000"/>
                <w:spacing w:val="-2"/>
              </w:rPr>
              <w:t xml:space="preserve"> ochronę państwa i inwestorów</w:t>
            </w:r>
            <w:r>
              <w:rPr>
                <w:rFonts w:ascii="Times New Roman" w:hAnsi="Times New Roman"/>
                <w:color w:val="000000"/>
                <w:spacing w:val="-2"/>
              </w:rPr>
              <w:t>);</w:t>
            </w:r>
          </w:p>
          <w:p w14:paraId="400B2D70" w14:textId="7DE31AA0" w:rsidR="005161B1" w:rsidRPr="007601D7" w:rsidRDefault="00060D52" w:rsidP="00AE1506">
            <w:pPr>
              <w:pStyle w:val="Akapitzlist"/>
              <w:numPr>
                <w:ilvl w:val="0"/>
                <w:numId w:val="22"/>
              </w:numPr>
              <w:jc w:val="both"/>
              <w:rPr>
                <w:rFonts w:ascii="Times New Roman" w:hAnsi="Times New Roman"/>
                <w:color w:val="000000"/>
                <w:spacing w:val="-2"/>
              </w:rPr>
            </w:pPr>
            <w:r>
              <w:rPr>
                <w:rFonts w:ascii="Times New Roman" w:hAnsi="Times New Roman"/>
                <w:color w:val="000000"/>
                <w:spacing w:val="-2"/>
              </w:rPr>
              <w:t>u</w:t>
            </w:r>
            <w:r w:rsidR="005161B1" w:rsidRPr="005161B1">
              <w:rPr>
                <w:rFonts w:ascii="Times New Roman" w:hAnsi="Times New Roman"/>
                <w:color w:val="000000"/>
                <w:spacing w:val="-2"/>
              </w:rPr>
              <w:t xml:space="preserve">stalenie zakresu i zasad </w:t>
            </w:r>
            <w:r w:rsidR="004C3E38">
              <w:rPr>
                <w:rFonts w:ascii="Times New Roman" w:hAnsi="Times New Roman"/>
                <w:color w:val="000000"/>
                <w:spacing w:val="-2"/>
              </w:rPr>
              <w:t>za</w:t>
            </w:r>
            <w:r w:rsidR="005161B1" w:rsidRPr="005161B1">
              <w:rPr>
                <w:rFonts w:ascii="Times New Roman" w:hAnsi="Times New Roman"/>
                <w:color w:val="000000"/>
                <w:spacing w:val="-2"/>
              </w:rPr>
              <w:t xml:space="preserve">chowania tajemnicy zawodowej </w:t>
            </w:r>
            <w:r w:rsidR="004C3E38">
              <w:rPr>
                <w:rFonts w:ascii="Times New Roman" w:hAnsi="Times New Roman"/>
                <w:color w:val="000000"/>
                <w:spacing w:val="-2"/>
              </w:rPr>
              <w:t>obejmującej informacje uzyskane w związku ze świadczeniem usług w zakresie kryptoaktywów</w:t>
            </w:r>
            <w:r w:rsidR="009B37B9">
              <w:rPr>
                <w:rFonts w:ascii="Times New Roman" w:hAnsi="Times New Roman"/>
                <w:color w:val="000000"/>
                <w:spacing w:val="-2"/>
              </w:rPr>
              <w:t>; p</w:t>
            </w:r>
            <w:r w:rsidR="005161B1" w:rsidRPr="005161B1">
              <w:rPr>
                <w:rFonts w:ascii="Times New Roman" w:hAnsi="Times New Roman"/>
                <w:color w:val="000000"/>
                <w:spacing w:val="-2"/>
              </w:rPr>
              <w:t xml:space="preserve">rojektowane rozwiązanie przewiduje stworzenie katalogu sytuacji, w których ujawnienie informacji nie </w:t>
            </w:r>
            <w:r w:rsidR="009B37B9">
              <w:rPr>
                <w:rFonts w:ascii="Times New Roman" w:hAnsi="Times New Roman"/>
                <w:color w:val="000000"/>
                <w:spacing w:val="-2"/>
              </w:rPr>
              <w:t xml:space="preserve">będzie </w:t>
            </w:r>
            <w:r w:rsidR="005161B1" w:rsidRPr="005161B1">
              <w:rPr>
                <w:rFonts w:ascii="Times New Roman" w:hAnsi="Times New Roman"/>
                <w:color w:val="000000"/>
                <w:spacing w:val="-2"/>
              </w:rPr>
              <w:t>stanowi</w:t>
            </w:r>
            <w:r w:rsidR="009B37B9">
              <w:rPr>
                <w:rFonts w:ascii="Times New Roman" w:hAnsi="Times New Roman"/>
                <w:color w:val="000000"/>
                <w:spacing w:val="-2"/>
              </w:rPr>
              <w:t>ło</w:t>
            </w:r>
            <w:r w:rsidR="005161B1" w:rsidRPr="005161B1">
              <w:rPr>
                <w:rFonts w:ascii="Times New Roman" w:hAnsi="Times New Roman"/>
                <w:color w:val="000000"/>
                <w:spacing w:val="-2"/>
              </w:rPr>
              <w:t xml:space="preserve"> niedochowania tajemnicy zawodowej</w:t>
            </w:r>
            <w:r w:rsidR="009B37B9">
              <w:rPr>
                <w:rFonts w:ascii="Times New Roman" w:hAnsi="Times New Roman"/>
                <w:color w:val="000000"/>
                <w:spacing w:val="-2"/>
              </w:rPr>
              <w:t>,</w:t>
            </w:r>
            <w:r w:rsidR="005161B1" w:rsidRPr="005161B1">
              <w:rPr>
                <w:rFonts w:ascii="Times New Roman" w:hAnsi="Times New Roman"/>
                <w:color w:val="000000"/>
                <w:spacing w:val="-2"/>
              </w:rPr>
              <w:t xml:space="preserve"> </w:t>
            </w:r>
            <w:r w:rsidR="009B37B9">
              <w:rPr>
                <w:rFonts w:ascii="Times New Roman" w:hAnsi="Times New Roman"/>
                <w:color w:val="000000"/>
                <w:spacing w:val="-2"/>
              </w:rPr>
              <w:t>z</w:t>
            </w:r>
            <w:r w:rsidR="005161B1" w:rsidRPr="005161B1">
              <w:rPr>
                <w:rFonts w:ascii="Times New Roman" w:hAnsi="Times New Roman"/>
                <w:color w:val="000000"/>
                <w:spacing w:val="-2"/>
              </w:rPr>
              <w:t>ostan</w:t>
            </w:r>
            <w:r w:rsidR="009B37B9">
              <w:rPr>
                <w:rFonts w:ascii="Times New Roman" w:hAnsi="Times New Roman"/>
                <w:color w:val="000000"/>
                <w:spacing w:val="-2"/>
              </w:rPr>
              <w:t>ie</w:t>
            </w:r>
            <w:r w:rsidR="005161B1" w:rsidRPr="005161B1">
              <w:rPr>
                <w:rFonts w:ascii="Times New Roman" w:hAnsi="Times New Roman"/>
                <w:color w:val="000000"/>
                <w:spacing w:val="-2"/>
              </w:rPr>
              <w:t xml:space="preserve"> także </w:t>
            </w:r>
            <w:r w:rsidR="00B045A5">
              <w:rPr>
                <w:rFonts w:ascii="Times New Roman" w:hAnsi="Times New Roman"/>
                <w:color w:val="000000"/>
                <w:spacing w:val="-2"/>
              </w:rPr>
              <w:t>określon</w:t>
            </w:r>
            <w:r w:rsidR="009B37B9">
              <w:rPr>
                <w:rFonts w:ascii="Times New Roman" w:hAnsi="Times New Roman"/>
                <w:color w:val="000000"/>
                <w:spacing w:val="-2"/>
              </w:rPr>
              <w:t>y krąg</w:t>
            </w:r>
            <w:r w:rsidR="00B045A5">
              <w:rPr>
                <w:rFonts w:ascii="Times New Roman" w:hAnsi="Times New Roman"/>
                <w:color w:val="000000"/>
                <w:spacing w:val="-2"/>
              </w:rPr>
              <w:t xml:space="preserve"> </w:t>
            </w:r>
            <w:r w:rsidR="005161B1" w:rsidRPr="005161B1">
              <w:rPr>
                <w:rFonts w:ascii="Times New Roman" w:hAnsi="Times New Roman"/>
                <w:color w:val="000000"/>
                <w:spacing w:val="-2"/>
              </w:rPr>
              <w:t>podmiot</w:t>
            </w:r>
            <w:r w:rsidR="009B37B9">
              <w:rPr>
                <w:rFonts w:ascii="Times New Roman" w:hAnsi="Times New Roman"/>
                <w:color w:val="000000"/>
                <w:spacing w:val="-2"/>
              </w:rPr>
              <w:t>ów</w:t>
            </w:r>
            <w:r w:rsidR="005161B1" w:rsidRPr="005161B1">
              <w:rPr>
                <w:rFonts w:ascii="Times New Roman" w:hAnsi="Times New Roman"/>
                <w:color w:val="000000"/>
                <w:spacing w:val="-2"/>
              </w:rPr>
              <w:t xml:space="preserve">, </w:t>
            </w:r>
            <w:r w:rsidR="009B37B9">
              <w:rPr>
                <w:rFonts w:ascii="Times New Roman" w:hAnsi="Times New Roman"/>
                <w:color w:val="000000"/>
                <w:spacing w:val="-2"/>
              </w:rPr>
              <w:t xml:space="preserve">na żądanie </w:t>
            </w:r>
            <w:r w:rsidR="005161B1" w:rsidRPr="005161B1">
              <w:rPr>
                <w:rFonts w:ascii="Times New Roman" w:hAnsi="Times New Roman"/>
                <w:color w:val="000000"/>
                <w:spacing w:val="-2"/>
              </w:rPr>
              <w:t xml:space="preserve">których </w:t>
            </w:r>
            <w:r w:rsidR="00C52460">
              <w:rPr>
                <w:rFonts w:ascii="Times New Roman" w:hAnsi="Times New Roman"/>
                <w:color w:val="000000"/>
                <w:spacing w:val="-2"/>
              </w:rPr>
              <w:t xml:space="preserve">ww. </w:t>
            </w:r>
            <w:r w:rsidR="005161B1" w:rsidRPr="005161B1">
              <w:rPr>
                <w:rFonts w:ascii="Times New Roman" w:hAnsi="Times New Roman"/>
                <w:color w:val="000000"/>
                <w:spacing w:val="-2"/>
              </w:rPr>
              <w:t>informacj</w:t>
            </w:r>
            <w:r w:rsidR="009B37B9">
              <w:rPr>
                <w:rFonts w:ascii="Times New Roman" w:hAnsi="Times New Roman"/>
                <w:color w:val="000000"/>
                <w:spacing w:val="-2"/>
              </w:rPr>
              <w:t>e</w:t>
            </w:r>
            <w:r w:rsidR="005161B1" w:rsidRPr="005161B1">
              <w:rPr>
                <w:rFonts w:ascii="Times New Roman" w:hAnsi="Times New Roman"/>
                <w:color w:val="000000"/>
                <w:spacing w:val="-2"/>
              </w:rPr>
              <w:t xml:space="preserve"> </w:t>
            </w:r>
            <w:r w:rsidR="009B37B9">
              <w:rPr>
                <w:rFonts w:ascii="Times New Roman" w:hAnsi="Times New Roman"/>
                <w:color w:val="000000"/>
                <w:spacing w:val="-2"/>
              </w:rPr>
              <w:t>będą ujawniane;</w:t>
            </w:r>
          </w:p>
          <w:p w14:paraId="5C6DF669" w14:textId="72AD6156" w:rsidR="005161B1" w:rsidRPr="007601D7" w:rsidRDefault="009B37B9" w:rsidP="007601D7">
            <w:pPr>
              <w:pStyle w:val="Akapitzlist"/>
              <w:numPr>
                <w:ilvl w:val="0"/>
                <w:numId w:val="22"/>
              </w:numPr>
              <w:spacing w:line="240" w:lineRule="auto"/>
              <w:jc w:val="both"/>
              <w:rPr>
                <w:rFonts w:ascii="Times New Roman" w:hAnsi="Times New Roman"/>
                <w:color w:val="000000"/>
                <w:spacing w:val="-2"/>
              </w:rPr>
            </w:pPr>
            <w:r>
              <w:rPr>
                <w:rFonts w:ascii="Times New Roman" w:hAnsi="Times New Roman"/>
                <w:color w:val="000000"/>
                <w:spacing w:val="-2"/>
              </w:rPr>
              <w:t>w</w:t>
            </w:r>
            <w:r w:rsidR="005161B1" w:rsidRPr="005161B1">
              <w:rPr>
                <w:rFonts w:ascii="Times New Roman" w:hAnsi="Times New Roman"/>
                <w:color w:val="000000"/>
                <w:spacing w:val="-2"/>
              </w:rPr>
              <w:t>prowadzenie możliwości składania oświadczeń woli</w:t>
            </w:r>
            <w:r w:rsidR="00AE1506">
              <w:rPr>
                <w:rFonts w:ascii="Times New Roman" w:hAnsi="Times New Roman"/>
                <w:color w:val="000000"/>
                <w:spacing w:val="-2"/>
              </w:rPr>
              <w:t xml:space="preserve"> w </w:t>
            </w:r>
            <w:r>
              <w:rPr>
                <w:rFonts w:ascii="Times New Roman" w:hAnsi="Times New Roman"/>
                <w:color w:val="000000"/>
                <w:spacing w:val="-2"/>
              </w:rPr>
              <w:t xml:space="preserve">postaci </w:t>
            </w:r>
            <w:r w:rsidR="005161B1" w:rsidRPr="005161B1">
              <w:rPr>
                <w:rFonts w:ascii="Times New Roman" w:hAnsi="Times New Roman"/>
                <w:color w:val="000000"/>
                <w:spacing w:val="-2"/>
              </w:rPr>
              <w:t>elektroniczn</w:t>
            </w:r>
            <w:r w:rsidR="00AE1506">
              <w:rPr>
                <w:rFonts w:ascii="Times New Roman" w:hAnsi="Times New Roman"/>
                <w:color w:val="000000"/>
                <w:spacing w:val="-2"/>
              </w:rPr>
              <w:t>ej</w:t>
            </w:r>
            <w:r w:rsidR="005161B1" w:rsidRPr="005161B1">
              <w:rPr>
                <w:rFonts w:ascii="Times New Roman" w:hAnsi="Times New Roman"/>
                <w:color w:val="000000"/>
                <w:spacing w:val="-2"/>
              </w:rPr>
              <w:t xml:space="preserve"> w odniesieniu do usług dotyczących kryptoaktywów lub ich oferty publicznej</w:t>
            </w:r>
            <w:r>
              <w:rPr>
                <w:rFonts w:ascii="Times New Roman" w:hAnsi="Times New Roman"/>
                <w:color w:val="000000"/>
                <w:spacing w:val="-2"/>
              </w:rPr>
              <w:t>; p</w:t>
            </w:r>
            <w:r w:rsidR="005161B1" w:rsidRPr="005161B1">
              <w:rPr>
                <w:rFonts w:ascii="Times New Roman" w:hAnsi="Times New Roman"/>
                <w:color w:val="000000"/>
                <w:spacing w:val="-2"/>
              </w:rPr>
              <w:t>rzewiduje się nadanie tak złożonemu oświadczeniu woli mocy równej oświadczeniu złożonemu w formie pisemnej zastrzeżonej pod rygorem nieważności</w:t>
            </w:r>
            <w:r>
              <w:rPr>
                <w:rFonts w:ascii="Times New Roman" w:hAnsi="Times New Roman"/>
                <w:color w:val="000000"/>
                <w:spacing w:val="-2"/>
              </w:rPr>
              <w:t>.</w:t>
            </w:r>
          </w:p>
          <w:p w14:paraId="467287AB" w14:textId="77777777" w:rsidR="000164FB" w:rsidRPr="000164FB" w:rsidRDefault="000164FB" w:rsidP="000164FB">
            <w:pPr>
              <w:spacing w:line="240" w:lineRule="auto"/>
              <w:ind w:left="360"/>
              <w:jc w:val="both"/>
              <w:rPr>
                <w:rFonts w:ascii="Times New Roman" w:hAnsi="Times New Roman"/>
                <w:color w:val="000000"/>
                <w:spacing w:val="-2"/>
              </w:rPr>
            </w:pPr>
          </w:p>
          <w:p w14:paraId="7E42CEC4" w14:textId="77777777" w:rsidR="00173CB6" w:rsidRDefault="0031772B" w:rsidP="00B37C80">
            <w:pPr>
              <w:spacing w:line="240" w:lineRule="auto"/>
              <w:jc w:val="both"/>
              <w:rPr>
                <w:rFonts w:ascii="Times New Roman" w:hAnsi="Times New Roman"/>
                <w:color w:val="000000"/>
                <w:spacing w:val="-2"/>
              </w:rPr>
            </w:pPr>
            <w:r>
              <w:rPr>
                <w:rFonts w:ascii="Times New Roman" w:hAnsi="Times New Roman"/>
                <w:color w:val="000000"/>
                <w:spacing w:val="-2"/>
              </w:rPr>
              <w:t xml:space="preserve">Konieczne </w:t>
            </w:r>
            <w:r w:rsidR="000164FB" w:rsidRPr="000164FB">
              <w:rPr>
                <w:rFonts w:ascii="Times New Roman" w:hAnsi="Times New Roman"/>
                <w:color w:val="000000"/>
                <w:spacing w:val="-2"/>
              </w:rPr>
              <w:t xml:space="preserve">będzie również wprowadzenie zmian w </w:t>
            </w:r>
            <w:r w:rsidR="00400FA0">
              <w:rPr>
                <w:rFonts w:ascii="Times New Roman" w:hAnsi="Times New Roman"/>
                <w:color w:val="000000"/>
                <w:spacing w:val="-2"/>
              </w:rPr>
              <w:t xml:space="preserve">następujących </w:t>
            </w:r>
            <w:r w:rsidR="000164FB" w:rsidRPr="000164FB">
              <w:rPr>
                <w:rFonts w:ascii="Times New Roman" w:hAnsi="Times New Roman"/>
                <w:color w:val="000000"/>
                <w:spacing w:val="-2"/>
              </w:rPr>
              <w:t>ustawach</w:t>
            </w:r>
            <w:r w:rsidR="00400FA0">
              <w:rPr>
                <w:rFonts w:ascii="Times New Roman" w:hAnsi="Times New Roman"/>
                <w:color w:val="000000"/>
                <w:spacing w:val="-2"/>
              </w:rPr>
              <w:t>:</w:t>
            </w:r>
            <w:r w:rsidR="00483D8B">
              <w:t xml:space="preserve"> </w:t>
            </w:r>
            <w:r w:rsidR="009B37B9" w:rsidRPr="009B37B9">
              <w:rPr>
                <w:rFonts w:ascii="Times New Roman" w:hAnsi="Times New Roman"/>
                <w:color w:val="000000"/>
                <w:spacing w:val="-2"/>
              </w:rPr>
              <w:t>ustaw</w:t>
            </w:r>
            <w:r w:rsidR="009B37B9">
              <w:rPr>
                <w:rFonts w:ascii="Times New Roman" w:hAnsi="Times New Roman"/>
                <w:color w:val="000000"/>
                <w:spacing w:val="-2"/>
              </w:rPr>
              <w:t>ie</w:t>
            </w:r>
            <w:r w:rsidR="009B37B9" w:rsidRPr="009B37B9">
              <w:rPr>
                <w:rFonts w:ascii="Times New Roman" w:hAnsi="Times New Roman"/>
                <w:color w:val="000000"/>
                <w:spacing w:val="-2"/>
              </w:rPr>
              <w:t xml:space="preserve"> z dnia 6 kwietnia 1990 r. o Policji</w:t>
            </w:r>
            <w:r w:rsidR="009B37B9">
              <w:rPr>
                <w:rFonts w:ascii="Times New Roman" w:hAnsi="Times New Roman"/>
                <w:color w:val="000000"/>
                <w:spacing w:val="-2"/>
              </w:rPr>
              <w:t xml:space="preserve"> (Dz.</w:t>
            </w:r>
            <w:r w:rsidR="00173CB6">
              <w:rPr>
                <w:rFonts w:ascii="Times New Roman" w:hAnsi="Times New Roman"/>
                <w:color w:val="000000"/>
                <w:spacing w:val="-2"/>
              </w:rPr>
              <w:t> </w:t>
            </w:r>
            <w:r w:rsidR="009B37B9">
              <w:rPr>
                <w:rFonts w:ascii="Times New Roman" w:hAnsi="Times New Roman"/>
                <w:color w:val="000000"/>
                <w:spacing w:val="-2"/>
              </w:rPr>
              <w:t>U. z 2024 r. poz. 145)</w:t>
            </w:r>
            <w:r w:rsidR="009B37B9" w:rsidRPr="009B37B9">
              <w:rPr>
                <w:rFonts w:ascii="Times New Roman" w:hAnsi="Times New Roman"/>
                <w:color w:val="000000"/>
                <w:spacing w:val="-2"/>
              </w:rPr>
              <w:t>, ustaw</w:t>
            </w:r>
            <w:r w:rsidR="009B37B9">
              <w:rPr>
                <w:rFonts w:ascii="Times New Roman" w:hAnsi="Times New Roman"/>
                <w:color w:val="000000"/>
                <w:spacing w:val="-2"/>
              </w:rPr>
              <w:t>ie</w:t>
            </w:r>
            <w:r w:rsidR="009B37B9" w:rsidRPr="009B37B9">
              <w:rPr>
                <w:rFonts w:ascii="Times New Roman" w:hAnsi="Times New Roman"/>
                <w:color w:val="000000"/>
                <w:spacing w:val="-2"/>
              </w:rPr>
              <w:t xml:space="preserve"> z dnia 26 lipca 1991 r. o podatku dochodowym od osób fizycznych</w:t>
            </w:r>
            <w:r w:rsidR="009B37B9">
              <w:rPr>
                <w:rFonts w:ascii="Times New Roman" w:hAnsi="Times New Roman"/>
                <w:color w:val="000000"/>
                <w:spacing w:val="-2"/>
              </w:rPr>
              <w:t xml:space="preserve"> (Dz. U. z 2022 r. poz. 2647, z późn. zm.)</w:t>
            </w:r>
            <w:r w:rsidR="009B37B9" w:rsidRPr="009B37B9">
              <w:rPr>
                <w:rFonts w:ascii="Times New Roman" w:hAnsi="Times New Roman"/>
                <w:color w:val="000000"/>
                <w:spacing w:val="-2"/>
              </w:rPr>
              <w:t>, ustaw</w:t>
            </w:r>
            <w:r w:rsidR="009B37B9">
              <w:rPr>
                <w:rFonts w:ascii="Times New Roman" w:hAnsi="Times New Roman"/>
                <w:color w:val="000000"/>
                <w:spacing w:val="-2"/>
              </w:rPr>
              <w:t>ie</w:t>
            </w:r>
            <w:r w:rsidR="009B37B9" w:rsidRPr="009B37B9">
              <w:rPr>
                <w:rFonts w:ascii="Times New Roman" w:hAnsi="Times New Roman"/>
                <w:color w:val="000000"/>
                <w:spacing w:val="-2"/>
              </w:rPr>
              <w:t xml:space="preserve"> z dnia 15 lutego 1992 r. o podatku dochodowym od osób prawnych</w:t>
            </w:r>
            <w:r w:rsidR="009B37B9">
              <w:rPr>
                <w:rFonts w:ascii="Times New Roman" w:hAnsi="Times New Roman"/>
                <w:color w:val="000000"/>
                <w:spacing w:val="-2"/>
              </w:rPr>
              <w:t xml:space="preserve"> (Dz. U. z </w:t>
            </w:r>
            <w:r w:rsidR="009D2A6C">
              <w:rPr>
                <w:rFonts w:ascii="Times New Roman" w:hAnsi="Times New Roman"/>
                <w:color w:val="000000"/>
                <w:spacing w:val="-2"/>
              </w:rPr>
              <w:t>2023 r. poz. 2805)</w:t>
            </w:r>
            <w:r w:rsidR="009B37B9" w:rsidRPr="009B37B9">
              <w:rPr>
                <w:rFonts w:ascii="Times New Roman" w:hAnsi="Times New Roman"/>
                <w:color w:val="000000"/>
                <w:spacing w:val="-2"/>
              </w:rPr>
              <w:t>, ustaw</w:t>
            </w:r>
            <w:r w:rsidR="009D2A6C">
              <w:rPr>
                <w:rFonts w:ascii="Times New Roman" w:hAnsi="Times New Roman"/>
                <w:color w:val="000000"/>
                <w:spacing w:val="-2"/>
              </w:rPr>
              <w:t>ie</w:t>
            </w:r>
            <w:r w:rsidR="009B37B9" w:rsidRPr="009B37B9">
              <w:rPr>
                <w:rFonts w:ascii="Times New Roman" w:hAnsi="Times New Roman"/>
                <w:color w:val="000000"/>
                <w:spacing w:val="-2"/>
              </w:rPr>
              <w:t xml:space="preserve"> z dnia 29 września 1994 r. o rachunkowości</w:t>
            </w:r>
            <w:r w:rsidR="009D2A6C">
              <w:rPr>
                <w:rFonts w:ascii="Times New Roman" w:hAnsi="Times New Roman"/>
                <w:color w:val="000000"/>
                <w:spacing w:val="-2"/>
              </w:rPr>
              <w:t xml:space="preserve"> (Dz. U. z 2023 r. poz. 120, z późn. zm.)</w:t>
            </w:r>
            <w:r w:rsidR="009B37B9" w:rsidRPr="009B37B9">
              <w:rPr>
                <w:rFonts w:ascii="Times New Roman" w:hAnsi="Times New Roman"/>
                <w:color w:val="000000"/>
                <w:spacing w:val="-2"/>
              </w:rPr>
              <w:t>, ustaw</w:t>
            </w:r>
            <w:r w:rsidR="009D2A6C">
              <w:rPr>
                <w:rFonts w:ascii="Times New Roman" w:hAnsi="Times New Roman"/>
                <w:color w:val="000000"/>
                <w:spacing w:val="-2"/>
              </w:rPr>
              <w:t>ie</w:t>
            </w:r>
            <w:r w:rsidR="009B37B9" w:rsidRPr="009B37B9">
              <w:rPr>
                <w:rFonts w:ascii="Times New Roman" w:hAnsi="Times New Roman"/>
                <w:color w:val="000000"/>
                <w:spacing w:val="-2"/>
              </w:rPr>
              <w:t xml:space="preserve"> z dnia 21 czerwca 1996 r. o szczególnych formach sprawowania nadzoru przez ministra właściwego do spraw wewnętrznych</w:t>
            </w:r>
            <w:r w:rsidR="009D2A6C">
              <w:rPr>
                <w:rFonts w:ascii="Times New Roman" w:hAnsi="Times New Roman"/>
                <w:color w:val="000000"/>
                <w:spacing w:val="-2"/>
              </w:rPr>
              <w:t xml:space="preserve"> (Dz. U. z 2022 r. poz.</w:t>
            </w:r>
            <w:r w:rsidR="00173CB6">
              <w:rPr>
                <w:rFonts w:ascii="Times New Roman" w:hAnsi="Times New Roman"/>
                <w:color w:val="000000"/>
                <w:spacing w:val="-2"/>
              </w:rPr>
              <w:t> </w:t>
            </w:r>
            <w:r w:rsidR="009D2A6C">
              <w:rPr>
                <w:rFonts w:ascii="Times New Roman" w:hAnsi="Times New Roman"/>
                <w:color w:val="000000"/>
                <w:spacing w:val="-2"/>
              </w:rPr>
              <w:t>2487, z późn. zm.))</w:t>
            </w:r>
            <w:r w:rsidR="009B37B9" w:rsidRPr="009B37B9">
              <w:rPr>
                <w:rFonts w:ascii="Times New Roman" w:hAnsi="Times New Roman"/>
                <w:color w:val="000000"/>
                <w:spacing w:val="-2"/>
              </w:rPr>
              <w:t>, ustaw</w:t>
            </w:r>
            <w:r w:rsidR="009D2A6C">
              <w:rPr>
                <w:rFonts w:ascii="Times New Roman" w:hAnsi="Times New Roman"/>
                <w:color w:val="000000"/>
                <w:spacing w:val="-2"/>
              </w:rPr>
              <w:t>ie</w:t>
            </w:r>
            <w:r w:rsidR="009B37B9" w:rsidRPr="009B37B9">
              <w:rPr>
                <w:rFonts w:ascii="Times New Roman" w:hAnsi="Times New Roman"/>
                <w:color w:val="000000"/>
                <w:spacing w:val="-2"/>
              </w:rPr>
              <w:t xml:space="preserve"> z dnia 6 czerwca 1997 r. </w:t>
            </w:r>
            <w:r w:rsidR="009D2A6C">
              <w:rPr>
                <w:rFonts w:ascii="Times New Roman" w:hAnsi="Times New Roman"/>
                <w:color w:val="000000"/>
                <w:spacing w:val="-2"/>
              </w:rPr>
              <w:sym w:font="Symbol" w:char="F02D"/>
            </w:r>
            <w:r w:rsidR="009D2A6C">
              <w:rPr>
                <w:rFonts w:ascii="Times New Roman" w:hAnsi="Times New Roman"/>
                <w:color w:val="000000"/>
                <w:spacing w:val="-2"/>
              </w:rPr>
              <w:t xml:space="preserve"> </w:t>
            </w:r>
            <w:r w:rsidR="009B37B9" w:rsidRPr="009B37B9">
              <w:rPr>
                <w:rFonts w:ascii="Times New Roman" w:hAnsi="Times New Roman"/>
                <w:color w:val="000000"/>
                <w:spacing w:val="-2"/>
              </w:rPr>
              <w:t>Kodeks postępowania karnego</w:t>
            </w:r>
            <w:r w:rsidR="009D2A6C">
              <w:rPr>
                <w:rFonts w:ascii="Times New Roman" w:hAnsi="Times New Roman"/>
                <w:color w:val="000000"/>
                <w:spacing w:val="-2"/>
              </w:rPr>
              <w:t xml:space="preserve"> (Dz. U. z 2024 r. poz. 37)</w:t>
            </w:r>
            <w:r w:rsidR="009B37B9" w:rsidRPr="009B37B9">
              <w:rPr>
                <w:rFonts w:ascii="Times New Roman" w:hAnsi="Times New Roman"/>
                <w:color w:val="000000"/>
                <w:spacing w:val="-2"/>
              </w:rPr>
              <w:t>, ustaw</w:t>
            </w:r>
            <w:r w:rsidR="009D2A6C">
              <w:rPr>
                <w:rFonts w:ascii="Times New Roman" w:hAnsi="Times New Roman"/>
                <w:color w:val="000000"/>
                <w:spacing w:val="-2"/>
              </w:rPr>
              <w:t>ie</w:t>
            </w:r>
            <w:r w:rsidR="009B37B9" w:rsidRPr="009B37B9">
              <w:rPr>
                <w:rFonts w:ascii="Times New Roman" w:hAnsi="Times New Roman"/>
                <w:color w:val="000000"/>
                <w:spacing w:val="-2"/>
              </w:rPr>
              <w:t xml:space="preserve"> z dnia 29 sierpnia 1997 r. – Prawo bankowe</w:t>
            </w:r>
            <w:r w:rsidR="009D2A6C">
              <w:rPr>
                <w:rFonts w:ascii="Times New Roman" w:hAnsi="Times New Roman"/>
                <w:color w:val="000000"/>
                <w:spacing w:val="-2"/>
              </w:rPr>
              <w:t xml:space="preserve"> (Dz. U. z 2023 r. poz. 2488)</w:t>
            </w:r>
            <w:r w:rsidR="009B37B9" w:rsidRPr="009B37B9">
              <w:rPr>
                <w:rFonts w:ascii="Times New Roman" w:hAnsi="Times New Roman"/>
                <w:color w:val="000000"/>
                <w:spacing w:val="-2"/>
              </w:rPr>
              <w:t>, ustaw</w:t>
            </w:r>
            <w:r w:rsidR="009D2A6C">
              <w:rPr>
                <w:rFonts w:ascii="Times New Roman" w:hAnsi="Times New Roman"/>
                <w:color w:val="000000"/>
                <w:spacing w:val="-2"/>
              </w:rPr>
              <w:t>ie</w:t>
            </w:r>
            <w:r w:rsidR="009B37B9" w:rsidRPr="009B37B9">
              <w:rPr>
                <w:rFonts w:ascii="Times New Roman" w:hAnsi="Times New Roman"/>
                <w:color w:val="000000"/>
                <w:spacing w:val="-2"/>
              </w:rPr>
              <w:t xml:space="preserve"> z dnia 9 września 2000 r. o podatku od czynności cywilnoprawnych</w:t>
            </w:r>
            <w:r w:rsidR="009D2A6C">
              <w:rPr>
                <w:rFonts w:ascii="Times New Roman" w:hAnsi="Times New Roman"/>
                <w:color w:val="000000"/>
                <w:spacing w:val="-2"/>
              </w:rPr>
              <w:t xml:space="preserve"> (Dz. U. z 2023 r. poz. 170, z późn. zm.)</w:t>
            </w:r>
            <w:r w:rsidR="009B37B9" w:rsidRPr="009B37B9">
              <w:rPr>
                <w:rFonts w:ascii="Times New Roman" w:hAnsi="Times New Roman"/>
                <w:color w:val="000000"/>
                <w:spacing w:val="-2"/>
              </w:rPr>
              <w:t>, ustaw</w:t>
            </w:r>
            <w:r w:rsidR="009D2A6C">
              <w:rPr>
                <w:rFonts w:ascii="Times New Roman" w:hAnsi="Times New Roman"/>
                <w:color w:val="000000"/>
                <w:spacing w:val="-2"/>
              </w:rPr>
              <w:t>ie</w:t>
            </w:r>
            <w:r w:rsidR="009B37B9" w:rsidRPr="009B37B9">
              <w:rPr>
                <w:rFonts w:ascii="Times New Roman" w:hAnsi="Times New Roman"/>
                <w:color w:val="000000"/>
                <w:spacing w:val="-2"/>
              </w:rPr>
              <w:t xml:space="preserve"> z dnia 24 sierpnia 2001 r. o Żandarmerii Wojskowej i wojskowych organach porządkowych</w:t>
            </w:r>
            <w:r w:rsidR="009D2A6C">
              <w:rPr>
                <w:rFonts w:ascii="Times New Roman" w:hAnsi="Times New Roman"/>
                <w:color w:val="000000"/>
                <w:spacing w:val="-2"/>
              </w:rPr>
              <w:t xml:space="preserve"> (Dz. U. 2023 r. poz. 1266)</w:t>
            </w:r>
            <w:r w:rsidR="009B37B9" w:rsidRPr="009B37B9">
              <w:rPr>
                <w:rFonts w:ascii="Times New Roman" w:hAnsi="Times New Roman"/>
                <w:color w:val="000000"/>
                <w:spacing w:val="-2"/>
              </w:rPr>
              <w:t>, ustaw</w:t>
            </w:r>
            <w:r w:rsidR="009D2A6C">
              <w:rPr>
                <w:rFonts w:ascii="Times New Roman" w:hAnsi="Times New Roman"/>
                <w:color w:val="000000"/>
                <w:spacing w:val="-2"/>
              </w:rPr>
              <w:t>ie</w:t>
            </w:r>
            <w:r w:rsidR="009B37B9" w:rsidRPr="009B37B9">
              <w:rPr>
                <w:rFonts w:ascii="Times New Roman" w:hAnsi="Times New Roman"/>
                <w:color w:val="000000"/>
                <w:spacing w:val="-2"/>
              </w:rPr>
              <w:t xml:space="preserve"> z dnia 24 maja 2002 r. o Agencji Bezpieczeństwa Wewnętrznego oraz Agencji Wywiadu</w:t>
            </w:r>
            <w:r w:rsidR="009D2A6C">
              <w:rPr>
                <w:rFonts w:ascii="Times New Roman" w:hAnsi="Times New Roman"/>
                <w:color w:val="000000"/>
                <w:spacing w:val="-2"/>
              </w:rPr>
              <w:t xml:space="preserve"> (Dz. U. z 2023 r. poz. 1136, z późn, zm.)</w:t>
            </w:r>
            <w:r w:rsidR="009B37B9" w:rsidRPr="009B37B9">
              <w:rPr>
                <w:rFonts w:ascii="Times New Roman" w:hAnsi="Times New Roman"/>
                <w:color w:val="000000"/>
                <w:spacing w:val="-2"/>
              </w:rPr>
              <w:t>, ustaw</w:t>
            </w:r>
            <w:r w:rsidR="009D2A6C">
              <w:rPr>
                <w:rFonts w:ascii="Times New Roman" w:hAnsi="Times New Roman"/>
                <w:color w:val="000000"/>
                <w:spacing w:val="-2"/>
              </w:rPr>
              <w:t>ie</w:t>
            </w:r>
            <w:r w:rsidR="009B37B9" w:rsidRPr="009B37B9">
              <w:rPr>
                <w:rFonts w:ascii="Times New Roman" w:hAnsi="Times New Roman"/>
                <w:color w:val="000000"/>
                <w:spacing w:val="-2"/>
              </w:rPr>
              <w:t xml:space="preserve"> z dnia 27 maja 2004 r. o funduszach inwestycyjnych i zarządzaniu alternatywnymi funduszami inwestycyjnymi</w:t>
            </w:r>
            <w:r w:rsidR="009D2A6C">
              <w:rPr>
                <w:rFonts w:ascii="Times New Roman" w:hAnsi="Times New Roman"/>
                <w:color w:val="000000"/>
                <w:spacing w:val="-2"/>
              </w:rPr>
              <w:t xml:space="preserve"> (Dz. U. z 2023 r. poz. 681, z późn. zm.)</w:t>
            </w:r>
            <w:r w:rsidR="009B37B9" w:rsidRPr="009B37B9">
              <w:rPr>
                <w:rFonts w:ascii="Times New Roman" w:hAnsi="Times New Roman"/>
                <w:color w:val="000000"/>
                <w:spacing w:val="-2"/>
              </w:rPr>
              <w:t>, ustawie z dnia 29 lipca 2005 r. o nadzorze nad rynkiem kapitałowym</w:t>
            </w:r>
            <w:r w:rsidR="009D2A6C">
              <w:rPr>
                <w:rFonts w:ascii="Times New Roman" w:hAnsi="Times New Roman"/>
                <w:color w:val="000000"/>
                <w:spacing w:val="-2"/>
              </w:rPr>
              <w:t xml:space="preserve"> (Dz. U. z 2023 r. poz. 188, z późn. zm.</w:t>
            </w:r>
            <w:r w:rsidR="009B37B9" w:rsidRPr="009B37B9">
              <w:rPr>
                <w:rFonts w:ascii="Times New Roman" w:hAnsi="Times New Roman"/>
                <w:color w:val="000000"/>
                <w:spacing w:val="-2"/>
              </w:rPr>
              <w:t>, ustaw</w:t>
            </w:r>
            <w:r w:rsidR="009D2A6C">
              <w:rPr>
                <w:rFonts w:ascii="Times New Roman" w:hAnsi="Times New Roman"/>
                <w:color w:val="000000"/>
                <w:spacing w:val="-2"/>
              </w:rPr>
              <w:t>ie</w:t>
            </w:r>
            <w:r w:rsidR="009B37B9" w:rsidRPr="009B37B9">
              <w:rPr>
                <w:rFonts w:ascii="Times New Roman" w:hAnsi="Times New Roman"/>
                <w:color w:val="000000"/>
                <w:spacing w:val="-2"/>
              </w:rPr>
              <w:t xml:space="preserve"> z dnia 29 lipca 2005 r. o obrocie instrumentami finansowymi</w:t>
            </w:r>
            <w:r w:rsidR="009D2A6C">
              <w:rPr>
                <w:rFonts w:ascii="Times New Roman" w:hAnsi="Times New Roman"/>
                <w:color w:val="000000"/>
                <w:spacing w:val="-2"/>
              </w:rPr>
              <w:t xml:space="preserve"> (Dz. U. z 2023 r. poz. 646, z późn. zm.)</w:t>
            </w:r>
            <w:r w:rsidR="009B37B9" w:rsidRPr="009B37B9">
              <w:rPr>
                <w:rFonts w:ascii="Times New Roman" w:hAnsi="Times New Roman"/>
                <w:color w:val="000000"/>
                <w:spacing w:val="-2"/>
              </w:rPr>
              <w:t>, ustaw</w:t>
            </w:r>
            <w:r w:rsidR="009D2A6C">
              <w:rPr>
                <w:rFonts w:ascii="Times New Roman" w:hAnsi="Times New Roman"/>
                <w:color w:val="000000"/>
                <w:spacing w:val="-2"/>
              </w:rPr>
              <w:t>ie</w:t>
            </w:r>
            <w:r w:rsidR="009B37B9" w:rsidRPr="009B37B9">
              <w:rPr>
                <w:rFonts w:ascii="Times New Roman" w:hAnsi="Times New Roman"/>
                <w:color w:val="000000"/>
                <w:spacing w:val="-2"/>
              </w:rPr>
              <w:t xml:space="preserve"> z dnia 9 czerwca 2006 r. o Centralnym Biurze Antykorupcyjnym</w:t>
            </w:r>
            <w:r w:rsidR="009D2A6C">
              <w:rPr>
                <w:rFonts w:ascii="Times New Roman" w:hAnsi="Times New Roman"/>
                <w:color w:val="000000"/>
                <w:spacing w:val="-2"/>
              </w:rPr>
              <w:t xml:space="preserve"> (Dz. U. z 2024 r. poz. 184)</w:t>
            </w:r>
            <w:r w:rsidR="009B37B9" w:rsidRPr="009B37B9">
              <w:rPr>
                <w:rFonts w:ascii="Times New Roman" w:hAnsi="Times New Roman"/>
                <w:color w:val="000000"/>
                <w:spacing w:val="-2"/>
              </w:rPr>
              <w:t>, ustaw</w:t>
            </w:r>
            <w:r w:rsidR="009D2A6C">
              <w:rPr>
                <w:rFonts w:ascii="Times New Roman" w:hAnsi="Times New Roman"/>
                <w:color w:val="000000"/>
                <w:spacing w:val="-2"/>
              </w:rPr>
              <w:t>ie</w:t>
            </w:r>
            <w:r w:rsidR="009B37B9" w:rsidRPr="009B37B9">
              <w:rPr>
                <w:rFonts w:ascii="Times New Roman" w:hAnsi="Times New Roman"/>
                <w:color w:val="000000"/>
                <w:spacing w:val="-2"/>
              </w:rPr>
              <w:t xml:space="preserve"> z dnia 21 lipca 2006 r. o nadzorze nad rynkiem finansowym</w:t>
            </w:r>
            <w:r w:rsidR="009D2A6C">
              <w:rPr>
                <w:rFonts w:ascii="Times New Roman" w:hAnsi="Times New Roman"/>
                <w:color w:val="000000"/>
                <w:spacing w:val="-2"/>
              </w:rPr>
              <w:t xml:space="preserve"> (Dz. U. z 2024 r. poz. 134)</w:t>
            </w:r>
            <w:r w:rsidR="009B37B9" w:rsidRPr="009B37B9">
              <w:rPr>
                <w:rFonts w:ascii="Times New Roman" w:hAnsi="Times New Roman"/>
                <w:color w:val="000000"/>
                <w:spacing w:val="-2"/>
              </w:rPr>
              <w:t>,</w:t>
            </w:r>
            <w:r w:rsidR="009D2A6C">
              <w:rPr>
                <w:rFonts w:ascii="Times New Roman" w:hAnsi="Times New Roman"/>
                <w:color w:val="000000"/>
                <w:spacing w:val="-2"/>
              </w:rPr>
              <w:t xml:space="preserve"> </w:t>
            </w:r>
            <w:r w:rsidR="009D2A6C" w:rsidRPr="009D2A6C">
              <w:rPr>
                <w:rFonts w:ascii="Times New Roman" w:hAnsi="Times New Roman"/>
                <w:color w:val="000000"/>
                <w:spacing w:val="-2"/>
              </w:rPr>
              <w:t>ustaw</w:t>
            </w:r>
            <w:r w:rsidR="009D2A6C">
              <w:rPr>
                <w:rFonts w:ascii="Times New Roman" w:hAnsi="Times New Roman"/>
                <w:color w:val="000000"/>
                <w:spacing w:val="-2"/>
              </w:rPr>
              <w:t>ie</w:t>
            </w:r>
            <w:r w:rsidR="009D2A6C" w:rsidRPr="009D2A6C">
              <w:rPr>
                <w:rFonts w:ascii="Times New Roman" w:hAnsi="Times New Roman"/>
                <w:color w:val="000000"/>
                <w:spacing w:val="-2"/>
              </w:rPr>
              <w:t xml:space="preserve"> z dnia 19 sierpnia 2011 r o usługach płatniczych</w:t>
            </w:r>
            <w:r w:rsidR="009D2A6C">
              <w:rPr>
                <w:rFonts w:ascii="Times New Roman" w:hAnsi="Times New Roman"/>
                <w:color w:val="000000"/>
                <w:spacing w:val="-2"/>
              </w:rPr>
              <w:t xml:space="preserve"> (Dz. U. z 2024 r. poz. 30)</w:t>
            </w:r>
            <w:r w:rsidR="00173CB6">
              <w:rPr>
                <w:rFonts w:ascii="Times New Roman" w:hAnsi="Times New Roman"/>
                <w:color w:val="000000"/>
                <w:spacing w:val="-2"/>
              </w:rPr>
              <w:t xml:space="preserve"> oraz </w:t>
            </w:r>
            <w:r w:rsidR="009B37B9" w:rsidRPr="009B37B9">
              <w:rPr>
                <w:rFonts w:ascii="Times New Roman" w:hAnsi="Times New Roman"/>
                <w:color w:val="000000"/>
                <w:spacing w:val="-2"/>
              </w:rPr>
              <w:t>ustaw</w:t>
            </w:r>
            <w:r w:rsidR="009D2A6C">
              <w:rPr>
                <w:rFonts w:ascii="Times New Roman" w:hAnsi="Times New Roman"/>
                <w:color w:val="000000"/>
                <w:spacing w:val="-2"/>
              </w:rPr>
              <w:t>ie</w:t>
            </w:r>
            <w:r w:rsidR="009B37B9" w:rsidRPr="009B37B9">
              <w:rPr>
                <w:rFonts w:ascii="Times New Roman" w:hAnsi="Times New Roman"/>
                <w:color w:val="000000"/>
                <w:spacing w:val="-2"/>
              </w:rPr>
              <w:t xml:space="preserve"> z dnia 16 listopada 2016 r. o Krajowej Administracji Skarbowej</w:t>
            </w:r>
            <w:r w:rsidR="009D2A6C">
              <w:rPr>
                <w:rFonts w:ascii="Times New Roman" w:hAnsi="Times New Roman"/>
                <w:color w:val="000000"/>
                <w:spacing w:val="-2"/>
              </w:rPr>
              <w:t xml:space="preserve"> (Dz. U. z 2023 r. poz.</w:t>
            </w:r>
            <w:r w:rsidR="00173CB6">
              <w:rPr>
                <w:rFonts w:ascii="Times New Roman" w:hAnsi="Times New Roman"/>
                <w:color w:val="000000"/>
                <w:spacing w:val="-2"/>
              </w:rPr>
              <w:t> </w:t>
            </w:r>
            <w:r w:rsidR="009D2A6C">
              <w:rPr>
                <w:rFonts w:ascii="Times New Roman" w:hAnsi="Times New Roman"/>
                <w:color w:val="000000"/>
                <w:spacing w:val="-2"/>
              </w:rPr>
              <w:t>615, z późn. zm.)</w:t>
            </w:r>
            <w:bookmarkEnd w:id="4"/>
            <w:r w:rsidR="00173CB6">
              <w:rPr>
                <w:rFonts w:ascii="Times New Roman" w:hAnsi="Times New Roman"/>
                <w:color w:val="000000"/>
                <w:spacing w:val="-2"/>
              </w:rPr>
              <w:t xml:space="preserve">. </w:t>
            </w:r>
          </w:p>
          <w:p w14:paraId="6944729D" w14:textId="77777777" w:rsidR="00173CB6" w:rsidRDefault="00173CB6" w:rsidP="00B37C80">
            <w:pPr>
              <w:spacing w:line="240" w:lineRule="auto"/>
              <w:jc w:val="both"/>
              <w:rPr>
                <w:rFonts w:ascii="Times New Roman" w:hAnsi="Times New Roman"/>
                <w:color w:val="000000"/>
                <w:spacing w:val="-2"/>
              </w:rPr>
            </w:pPr>
          </w:p>
          <w:p w14:paraId="4417AA48" w14:textId="0F626CB6" w:rsidR="00173CB6" w:rsidRPr="00B37C80" w:rsidRDefault="00173CB6" w:rsidP="00B37C80">
            <w:pPr>
              <w:spacing w:line="240" w:lineRule="auto"/>
              <w:jc w:val="both"/>
              <w:rPr>
                <w:rFonts w:ascii="Times New Roman" w:hAnsi="Times New Roman"/>
                <w:color w:val="000000"/>
                <w:spacing w:val="-2"/>
              </w:rPr>
            </w:pPr>
            <w:r w:rsidRPr="00173CB6">
              <w:rPr>
                <w:rFonts w:ascii="Times New Roman" w:eastAsia="Times New Roman" w:hAnsi="Times New Roman" w:cs="Arial"/>
                <w:szCs w:val="18"/>
                <w:lang w:eastAsia="pl-PL"/>
              </w:rPr>
              <w:t xml:space="preserve">Projektowana ustawa wprowadzi zmiany także w ustawie z dnia 1 marca 2018 r. o przeciwdziałaniu praniu pieniędzy </w:t>
            </w:r>
            <w:r>
              <w:rPr>
                <w:rFonts w:ascii="Times New Roman" w:eastAsia="Times New Roman" w:hAnsi="Times New Roman" w:cs="Arial"/>
                <w:szCs w:val="18"/>
                <w:lang w:eastAsia="pl-PL"/>
              </w:rPr>
              <w:t>oraz</w:t>
            </w:r>
            <w:r w:rsidRPr="00173CB6">
              <w:rPr>
                <w:rFonts w:ascii="Times New Roman" w:eastAsia="Times New Roman" w:hAnsi="Times New Roman" w:cs="Arial"/>
                <w:szCs w:val="18"/>
                <w:lang w:eastAsia="pl-PL"/>
              </w:rPr>
              <w:t xml:space="preserve"> finansowaniu terroryzmu (Dz. U. z 2023 r. poz. 1124, z późń. zm.), zmiany te będą miały charakter dostosowujący </w:t>
            </w:r>
            <w:r>
              <w:rPr>
                <w:rFonts w:ascii="Times New Roman" w:eastAsia="Times New Roman" w:hAnsi="Times New Roman" w:cs="Arial"/>
                <w:szCs w:val="18"/>
                <w:lang w:eastAsia="pl-PL"/>
              </w:rPr>
              <w:t xml:space="preserve">do </w:t>
            </w:r>
            <w:r>
              <w:rPr>
                <w:rFonts w:ascii="Times New Roman" w:hAnsi="Times New Roman"/>
                <w:color w:val="000000"/>
              </w:rPr>
              <w:t>ro</w:t>
            </w:r>
            <w:r w:rsidRPr="00D5149F">
              <w:rPr>
                <w:rFonts w:ascii="Times New Roman" w:hAnsi="Times New Roman"/>
                <w:color w:val="000000"/>
              </w:rPr>
              <w:t>zporządzenia Parlamentu Europejskiego i Rady (UE) 2023/1113 z dnia 31 maja 2023 r. w sprawie informacji towarzyszących transferom środków pieniężnych i niektórych kryptoaktywów oraz zmiany dyrektywy (UE) 2015/8</w:t>
            </w:r>
            <w:r>
              <w:rPr>
                <w:rFonts w:ascii="Times New Roman" w:hAnsi="Times New Roman"/>
                <w:color w:val="000000"/>
              </w:rPr>
              <w:t>49</w:t>
            </w:r>
            <w:r w:rsidRPr="00173CB6">
              <w:rPr>
                <w:rFonts w:ascii="Times New Roman" w:eastAsia="Times New Roman" w:hAnsi="Times New Roman" w:cs="Arial"/>
                <w:szCs w:val="18"/>
                <w:lang w:eastAsia="pl-PL"/>
              </w:rPr>
              <w:t>.</w:t>
            </w:r>
          </w:p>
        </w:tc>
      </w:tr>
      <w:tr w:rsidR="006A701A" w:rsidRPr="008B4FE6" w14:paraId="318BB8DF" w14:textId="77777777" w:rsidTr="00D5149F">
        <w:trPr>
          <w:gridAfter w:val="1"/>
          <w:wAfter w:w="7" w:type="dxa"/>
          <w:trHeight w:val="307"/>
        </w:trPr>
        <w:tc>
          <w:tcPr>
            <w:tcW w:w="10937" w:type="dxa"/>
            <w:gridSpan w:val="28"/>
            <w:shd w:val="clear" w:color="auto" w:fill="99CCFF"/>
            <w:vAlign w:val="center"/>
          </w:tcPr>
          <w:p w14:paraId="3A17790D" w14:textId="77777777" w:rsidR="006A701A" w:rsidRPr="008B4FE6" w:rsidRDefault="009E3C4B" w:rsidP="007D2192">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t>Jak problem został rozwiązany</w:t>
            </w:r>
            <w:r w:rsidRPr="001812C7">
              <w:rPr>
                <w:rFonts w:ascii="Times New Roman" w:hAnsi="Times New Roman"/>
                <w:b/>
                <w:spacing w:val="-2"/>
              </w:rPr>
              <w:t xml:space="preserve"> w innych krajach, w szczególności krajach członkowskich OECD/UE</w:t>
            </w:r>
            <w:r w:rsidR="006A701A" w:rsidRPr="008B4FE6">
              <w:rPr>
                <w:rFonts w:ascii="Times New Roman" w:hAnsi="Times New Roman"/>
                <w:b/>
                <w:color w:val="000000"/>
              </w:rPr>
              <w:t>?</w:t>
            </w:r>
            <w:r w:rsidR="006A701A" w:rsidRPr="008B4FE6">
              <w:rPr>
                <w:rFonts w:ascii="Times New Roman" w:hAnsi="Times New Roman"/>
                <w:i/>
                <w:color w:val="000000"/>
              </w:rPr>
              <w:t xml:space="preserve"> </w:t>
            </w:r>
          </w:p>
        </w:tc>
      </w:tr>
      <w:tr w:rsidR="006A701A" w:rsidRPr="008B4FE6" w14:paraId="476CAE75" w14:textId="77777777" w:rsidTr="00D5149F">
        <w:trPr>
          <w:gridAfter w:val="1"/>
          <w:wAfter w:w="7" w:type="dxa"/>
          <w:trHeight w:val="142"/>
        </w:trPr>
        <w:tc>
          <w:tcPr>
            <w:tcW w:w="10937" w:type="dxa"/>
            <w:gridSpan w:val="28"/>
            <w:shd w:val="clear" w:color="auto" w:fill="auto"/>
          </w:tcPr>
          <w:p w14:paraId="584011FC" w14:textId="77777777" w:rsidR="00E67900" w:rsidRDefault="00E67900" w:rsidP="00B37C80">
            <w:pPr>
              <w:spacing w:line="240" w:lineRule="auto"/>
              <w:jc w:val="both"/>
              <w:rPr>
                <w:rFonts w:ascii="Times New Roman" w:hAnsi="Times New Roman"/>
                <w:color w:val="000000"/>
                <w:spacing w:val="-2"/>
              </w:rPr>
            </w:pPr>
          </w:p>
          <w:p w14:paraId="2CFEDB9F" w14:textId="77777777" w:rsidR="006A701A" w:rsidRDefault="00E67900" w:rsidP="00B37C80">
            <w:pPr>
              <w:spacing w:line="240" w:lineRule="auto"/>
              <w:jc w:val="both"/>
              <w:rPr>
                <w:rFonts w:ascii="Times New Roman" w:hAnsi="Times New Roman"/>
                <w:color w:val="000000"/>
                <w:spacing w:val="-2"/>
              </w:rPr>
            </w:pPr>
            <w:r w:rsidRPr="00E67900">
              <w:rPr>
                <w:rFonts w:ascii="Times New Roman" w:hAnsi="Times New Roman"/>
                <w:color w:val="000000"/>
                <w:spacing w:val="-2"/>
              </w:rPr>
              <w:t>Zakres regulacji podlega harmonizacji w Unii Europejskiej.</w:t>
            </w:r>
          </w:p>
          <w:p w14:paraId="483C2BE4" w14:textId="77777777" w:rsidR="006A701A" w:rsidRPr="00B37C80" w:rsidRDefault="006A701A" w:rsidP="00B37C80">
            <w:pPr>
              <w:spacing w:line="240" w:lineRule="auto"/>
              <w:jc w:val="both"/>
              <w:rPr>
                <w:rFonts w:ascii="Times New Roman" w:hAnsi="Times New Roman"/>
                <w:color w:val="000000"/>
                <w:spacing w:val="-2"/>
              </w:rPr>
            </w:pPr>
          </w:p>
        </w:tc>
      </w:tr>
      <w:tr w:rsidR="006A701A" w:rsidRPr="008B4FE6" w14:paraId="1A26DD65" w14:textId="77777777" w:rsidTr="00D5149F">
        <w:trPr>
          <w:gridAfter w:val="1"/>
          <w:wAfter w:w="7" w:type="dxa"/>
          <w:trHeight w:val="359"/>
        </w:trPr>
        <w:tc>
          <w:tcPr>
            <w:tcW w:w="10937" w:type="dxa"/>
            <w:gridSpan w:val="28"/>
            <w:shd w:val="clear" w:color="auto" w:fill="99CCFF"/>
            <w:vAlign w:val="center"/>
          </w:tcPr>
          <w:p w14:paraId="2F6D962C" w14:textId="77777777" w:rsidR="006A701A" w:rsidRPr="008B4FE6" w:rsidRDefault="006A701A"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260F33" w:rsidRPr="008B4FE6" w14:paraId="2DACA45D" w14:textId="77777777" w:rsidTr="00D5149F">
        <w:trPr>
          <w:gridAfter w:val="1"/>
          <w:wAfter w:w="7" w:type="dxa"/>
          <w:trHeight w:val="142"/>
        </w:trPr>
        <w:tc>
          <w:tcPr>
            <w:tcW w:w="2668" w:type="dxa"/>
            <w:gridSpan w:val="3"/>
            <w:shd w:val="clear" w:color="auto" w:fill="auto"/>
          </w:tcPr>
          <w:p w14:paraId="60082323"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1614" w:type="dxa"/>
            <w:gridSpan w:val="4"/>
            <w:shd w:val="clear" w:color="auto" w:fill="auto"/>
          </w:tcPr>
          <w:p w14:paraId="3338DF71" w14:textId="77777777" w:rsidR="00260F33" w:rsidRPr="008B4FE6" w:rsidRDefault="00563199" w:rsidP="0072636A">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552" w:type="dxa"/>
            <w:gridSpan w:val="11"/>
            <w:shd w:val="clear" w:color="auto" w:fill="auto"/>
          </w:tcPr>
          <w:p w14:paraId="27E0B0D8"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4103" w:type="dxa"/>
            <w:gridSpan w:val="10"/>
            <w:shd w:val="clear" w:color="auto" w:fill="auto"/>
          </w:tcPr>
          <w:p w14:paraId="71ED0A2F"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691C6F" w:rsidRPr="008B4FE6" w14:paraId="7B9A626D" w14:textId="77777777" w:rsidTr="00D5149F">
        <w:trPr>
          <w:gridAfter w:val="1"/>
          <w:wAfter w:w="7" w:type="dxa"/>
          <w:trHeight w:val="142"/>
        </w:trPr>
        <w:tc>
          <w:tcPr>
            <w:tcW w:w="2668" w:type="dxa"/>
            <w:gridSpan w:val="3"/>
            <w:shd w:val="clear" w:color="auto" w:fill="auto"/>
          </w:tcPr>
          <w:p w14:paraId="51B751CC" w14:textId="1ED1984F" w:rsidR="00691C6F" w:rsidRPr="00AC1776" w:rsidRDefault="00691C6F" w:rsidP="00D5149F">
            <w:pPr>
              <w:tabs>
                <w:tab w:val="right" w:pos="2311"/>
              </w:tabs>
              <w:spacing w:line="280" w:lineRule="atLeast"/>
              <w:jc w:val="both"/>
              <w:rPr>
                <w:rFonts w:ascii="Times New Roman" w:eastAsia="Times New Roman" w:hAnsi="Times New Roman"/>
                <w:lang w:eastAsia="pl-PL"/>
              </w:rPr>
            </w:pPr>
            <w:r w:rsidRPr="00AC1776">
              <w:rPr>
                <w:rFonts w:ascii="Times New Roman" w:eastAsia="Times New Roman" w:hAnsi="Times New Roman"/>
                <w:lang w:eastAsia="pl-PL"/>
              </w:rPr>
              <w:lastRenderedPageBreak/>
              <w:t xml:space="preserve">Komisja Nadzoru Finansowego </w:t>
            </w:r>
          </w:p>
          <w:p w14:paraId="00C9EB63" w14:textId="77777777" w:rsidR="00691C6F" w:rsidRPr="008B4FE6" w:rsidRDefault="00691C6F" w:rsidP="00691C6F">
            <w:pPr>
              <w:spacing w:line="240" w:lineRule="auto"/>
              <w:rPr>
                <w:rFonts w:ascii="Times New Roman" w:hAnsi="Times New Roman"/>
                <w:color w:val="000000"/>
                <w:spacing w:val="-2"/>
              </w:rPr>
            </w:pPr>
          </w:p>
        </w:tc>
        <w:tc>
          <w:tcPr>
            <w:tcW w:w="1614" w:type="dxa"/>
            <w:gridSpan w:val="4"/>
            <w:shd w:val="clear" w:color="auto" w:fill="auto"/>
          </w:tcPr>
          <w:p w14:paraId="5D57D422" w14:textId="77777777" w:rsidR="00691C6F" w:rsidRPr="00B37C80" w:rsidRDefault="00691C6F" w:rsidP="00434879">
            <w:pPr>
              <w:spacing w:line="240" w:lineRule="auto"/>
              <w:jc w:val="center"/>
              <w:rPr>
                <w:rFonts w:ascii="Times New Roman" w:hAnsi="Times New Roman"/>
                <w:color w:val="000000"/>
                <w:spacing w:val="-2"/>
              </w:rPr>
            </w:pPr>
            <w:r w:rsidRPr="00AC1776">
              <w:rPr>
                <w:rFonts w:ascii="Times New Roman" w:eastAsia="Times New Roman" w:hAnsi="Times New Roman"/>
                <w:lang w:eastAsia="pl-PL"/>
              </w:rPr>
              <w:t>1</w:t>
            </w:r>
          </w:p>
        </w:tc>
        <w:tc>
          <w:tcPr>
            <w:tcW w:w="2552" w:type="dxa"/>
            <w:gridSpan w:val="11"/>
            <w:shd w:val="clear" w:color="auto" w:fill="auto"/>
          </w:tcPr>
          <w:p w14:paraId="0D720BC6" w14:textId="79F228CD" w:rsidR="00691C6F" w:rsidRPr="00B37C80" w:rsidRDefault="00691C6F" w:rsidP="00691C6F">
            <w:pPr>
              <w:spacing w:line="240" w:lineRule="auto"/>
              <w:rPr>
                <w:rFonts w:ascii="Times New Roman" w:hAnsi="Times New Roman"/>
                <w:color w:val="000000"/>
                <w:spacing w:val="-2"/>
              </w:rPr>
            </w:pPr>
            <w:r w:rsidRPr="00AC1776">
              <w:rPr>
                <w:rFonts w:ascii="Times New Roman" w:hAnsi="Times New Roman"/>
                <w:bCs/>
                <w:color w:val="000000"/>
              </w:rPr>
              <w:t>Ustawa z dnia 21 lipca 2006 r. o nadzorze nad rynkiem finansowym</w:t>
            </w:r>
            <w:r>
              <w:rPr>
                <w:rFonts w:ascii="Times New Roman" w:hAnsi="Times New Roman"/>
                <w:bCs/>
                <w:color w:val="000000"/>
              </w:rPr>
              <w:t xml:space="preserve"> </w:t>
            </w:r>
          </w:p>
        </w:tc>
        <w:tc>
          <w:tcPr>
            <w:tcW w:w="4103" w:type="dxa"/>
            <w:gridSpan w:val="10"/>
            <w:shd w:val="clear" w:color="auto" w:fill="auto"/>
          </w:tcPr>
          <w:p w14:paraId="3B8EF312" w14:textId="1D5D17CF" w:rsidR="00691C6F" w:rsidRPr="00EF5735" w:rsidRDefault="00F54A02" w:rsidP="00EF5735">
            <w:pPr>
              <w:pStyle w:val="Akapitzlist"/>
              <w:numPr>
                <w:ilvl w:val="0"/>
                <w:numId w:val="24"/>
              </w:numPr>
              <w:spacing w:after="120" w:line="240" w:lineRule="auto"/>
              <w:ind w:left="320" w:hanging="320"/>
              <w:jc w:val="both"/>
              <w:rPr>
                <w:rFonts w:ascii="Times New Roman" w:hAnsi="Times New Roman"/>
                <w:color w:val="000000"/>
                <w:spacing w:val="-2"/>
              </w:rPr>
            </w:pPr>
            <w:r w:rsidRPr="00EF5735">
              <w:rPr>
                <w:rFonts w:ascii="Times New Roman" w:hAnsi="Times New Roman"/>
                <w:color w:val="000000"/>
                <w:spacing w:val="-2"/>
              </w:rPr>
              <w:t>k</w:t>
            </w:r>
            <w:r w:rsidR="00691C6F" w:rsidRPr="00EF5735">
              <w:rPr>
                <w:rFonts w:ascii="Times New Roman" w:hAnsi="Times New Roman"/>
                <w:color w:val="000000"/>
                <w:spacing w:val="-2"/>
              </w:rPr>
              <w:t>onieczność dostosowania działalności do zmienianych regulacji w zakresie m.in.:</w:t>
            </w:r>
            <w:r w:rsidR="00400FA0" w:rsidRPr="00EF5735">
              <w:rPr>
                <w:rFonts w:ascii="Times New Roman" w:hAnsi="Times New Roman"/>
                <w:color w:val="000000"/>
                <w:spacing w:val="-2"/>
              </w:rPr>
              <w:t xml:space="preserve"> </w:t>
            </w:r>
            <w:r w:rsidR="00691C6F" w:rsidRPr="00EF5735">
              <w:rPr>
                <w:rFonts w:ascii="Times New Roman" w:hAnsi="Times New Roman"/>
                <w:color w:val="000000"/>
                <w:spacing w:val="-2"/>
              </w:rPr>
              <w:t>sprawowanego przez KNF nadzoru nad rynkiem finansowym</w:t>
            </w:r>
            <w:r w:rsidR="00625178">
              <w:rPr>
                <w:rFonts w:ascii="Times New Roman" w:hAnsi="Times New Roman"/>
                <w:color w:val="000000"/>
                <w:spacing w:val="-2"/>
              </w:rPr>
              <w:t>,</w:t>
            </w:r>
          </w:p>
          <w:p w14:paraId="760FD65F" w14:textId="529864E1" w:rsidR="00691C6F" w:rsidRPr="00EF5735" w:rsidRDefault="00F54A02" w:rsidP="00EF5735">
            <w:pPr>
              <w:pStyle w:val="Akapitzlist"/>
              <w:numPr>
                <w:ilvl w:val="0"/>
                <w:numId w:val="24"/>
              </w:numPr>
              <w:spacing w:after="120" w:line="240" w:lineRule="auto"/>
              <w:ind w:left="320" w:hanging="320"/>
              <w:jc w:val="both"/>
              <w:rPr>
                <w:rFonts w:ascii="Times New Roman" w:eastAsia="Times New Roman" w:hAnsi="Times New Roman"/>
                <w:lang w:eastAsia="pl-PL"/>
              </w:rPr>
            </w:pPr>
            <w:r w:rsidRPr="00EF5735">
              <w:rPr>
                <w:rFonts w:ascii="Times New Roman" w:eastAsia="Times New Roman" w:hAnsi="Times New Roman"/>
                <w:lang w:eastAsia="pl-PL"/>
              </w:rPr>
              <w:t>d</w:t>
            </w:r>
            <w:r w:rsidR="00691C6F" w:rsidRPr="00EF5735">
              <w:rPr>
                <w:rFonts w:ascii="Times New Roman" w:eastAsia="Times New Roman" w:hAnsi="Times New Roman"/>
                <w:lang w:eastAsia="pl-PL"/>
              </w:rPr>
              <w:t>ziałania nadzorcze wobec</w:t>
            </w:r>
            <w:r w:rsidR="00FC302B" w:rsidRPr="00EF5735">
              <w:rPr>
                <w:rFonts w:ascii="Times New Roman" w:eastAsia="Times New Roman" w:hAnsi="Times New Roman"/>
                <w:lang w:eastAsia="pl-PL"/>
              </w:rPr>
              <w:t xml:space="preserve"> nowych</w:t>
            </w:r>
            <w:r w:rsidR="00691C6F" w:rsidRPr="00EF5735">
              <w:rPr>
                <w:rFonts w:ascii="Times New Roman" w:eastAsia="Times New Roman" w:hAnsi="Times New Roman"/>
                <w:lang w:eastAsia="pl-PL"/>
              </w:rPr>
              <w:t xml:space="preserve"> podmiotów nadzorowanych</w:t>
            </w:r>
            <w:r w:rsidR="00625178">
              <w:rPr>
                <w:rFonts w:ascii="Times New Roman" w:eastAsia="Times New Roman" w:hAnsi="Times New Roman"/>
                <w:lang w:eastAsia="pl-PL"/>
              </w:rPr>
              <w:t>,</w:t>
            </w:r>
          </w:p>
          <w:p w14:paraId="4A856C59" w14:textId="5DDCFB9D" w:rsidR="00691C6F" w:rsidRPr="00EF5735" w:rsidRDefault="00F54A02" w:rsidP="00EF5735">
            <w:pPr>
              <w:pStyle w:val="Akapitzlist"/>
              <w:numPr>
                <w:ilvl w:val="0"/>
                <w:numId w:val="24"/>
              </w:numPr>
              <w:spacing w:after="120" w:line="240" w:lineRule="auto"/>
              <w:ind w:left="320" w:hanging="320"/>
              <w:jc w:val="both"/>
              <w:rPr>
                <w:rFonts w:ascii="Times New Roman" w:hAnsi="Times New Roman"/>
                <w:color w:val="000000"/>
                <w:spacing w:val="-2"/>
              </w:rPr>
            </w:pPr>
            <w:r w:rsidRPr="00EF5735">
              <w:rPr>
                <w:rFonts w:ascii="Times New Roman" w:hAnsi="Times New Roman"/>
              </w:rPr>
              <w:t>w</w:t>
            </w:r>
            <w:r w:rsidR="00691C6F" w:rsidRPr="00EF5735">
              <w:rPr>
                <w:rFonts w:ascii="Times New Roman" w:hAnsi="Times New Roman"/>
              </w:rPr>
              <w:t>zmocnienie kompetencji organu nadzoru w zakresie</w:t>
            </w:r>
            <w:r w:rsidR="00400FA0" w:rsidRPr="00EF5735">
              <w:rPr>
                <w:rFonts w:ascii="Times New Roman" w:hAnsi="Times New Roman"/>
              </w:rPr>
              <w:t xml:space="preserve"> </w:t>
            </w:r>
            <w:r w:rsidR="00691C6F" w:rsidRPr="00EF5735">
              <w:rPr>
                <w:rFonts w:ascii="Times New Roman" w:hAnsi="Times New Roman"/>
              </w:rPr>
              <w:t xml:space="preserve"> nakładania kar pieniężnych na </w:t>
            </w:r>
            <w:r w:rsidR="00C155EC" w:rsidRPr="00EF5735">
              <w:rPr>
                <w:rFonts w:ascii="Times New Roman" w:hAnsi="Times New Roman"/>
              </w:rPr>
              <w:t xml:space="preserve">nowe </w:t>
            </w:r>
            <w:r w:rsidR="00691C6F" w:rsidRPr="00EF5735">
              <w:rPr>
                <w:rFonts w:ascii="Times New Roman" w:hAnsi="Times New Roman"/>
              </w:rPr>
              <w:t>podmioty nadzorowane</w:t>
            </w:r>
            <w:r w:rsidR="00400FA0" w:rsidRPr="00EF5735">
              <w:rPr>
                <w:rFonts w:ascii="Times New Roman" w:hAnsi="Times New Roman"/>
              </w:rPr>
              <w:t>.</w:t>
            </w:r>
          </w:p>
        </w:tc>
      </w:tr>
      <w:tr w:rsidR="002E440E" w:rsidRPr="008B4FE6" w14:paraId="69B35E6D" w14:textId="77777777" w:rsidTr="00D5149F">
        <w:trPr>
          <w:gridAfter w:val="1"/>
          <w:wAfter w:w="7" w:type="dxa"/>
          <w:trHeight w:val="142"/>
        </w:trPr>
        <w:tc>
          <w:tcPr>
            <w:tcW w:w="2668" w:type="dxa"/>
            <w:gridSpan w:val="3"/>
            <w:shd w:val="clear" w:color="auto" w:fill="auto"/>
          </w:tcPr>
          <w:p w14:paraId="6CBEF677" w14:textId="77777777" w:rsidR="002E440E" w:rsidRPr="00AC1776" w:rsidRDefault="002E440E" w:rsidP="002E440E">
            <w:pPr>
              <w:spacing w:line="240" w:lineRule="auto"/>
              <w:rPr>
                <w:rFonts w:ascii="Times New Roman" w:hAnsi="Times New Roman"/>
              </w:rPr>
            </w:pPr>
            <w:r w:rsidRPr="004522BA">
              <w:rPr>
                <w:rFonts w:ascii="Times New Roman" w:hAnsi="Times New Roman"/>
              </w:rPr>
              <w:t>Polska Izba Biegłych Rewidentów</w:t>
            </w:r>
          </w:p>
        </w:tc>
        <w:tc>
          <w:tcPr>
            <w:tcW w:w="1614" w:type="dxa"/>
            <w:gridSpan w:val="4"/>
            <w:shd w:val="clear" w:color="auto" w:fill="auto"/>
          </w:tcPr>
          <w:p w14:paraId="750231A2" w14:textId="77777777" w:rsidR="002E440E" w:rsidRDefault="002E440E" w:rsidP="002E440E">
            <w:pPr>
              <w:spacing w:line="240" w:lineRule="auto"/>
              <w:jc w:val="center"/>
              <w:rPr>
                <w:rFonts w:ascii="Times New Roman" w:hAnsi="Times New Roman"/>
                <w:color w:val="000000"/>
                <w:spacing w:val="-2"/>
              </w:rPr>
            </w:pPr>
            <w:r w:rsidRPr="004522BA">
              <w:rPr>
                <w:rFonts w:ascii="Times New Roman" w:hAnsi="Times New Roman"/>
              </w:rPr>
              <w:t>1</w:t>
            </w:r>
          </w:p>
        </w:tc>
        <w:tc>
          <w:tcPr>
            <w:tcW w:w="2552" w:type="dxa"/>
            <w:gridSpan w:val="11"/>
            <w:shd w:val="clear" w:color="auto" w:fill="auto"/>
          </w:tcPr>
          <w:p w14:paraId="7036FE2C" w14:textId="01ADAA7A" w:rsidR="002E440E" w:rsidRDefault="002E440E" w:rsidP="00EF5735">
            <w:pPr>
              <w:spacing w:line="240" w:lineRule="auto"/>
              <w:rPr>
                <w:rFonts w:ascii="Times New Roman" w:hAnsi="Times New Roman"/>
                <w:noProof/>
                <w:color w:val="000000"/>
              </w:rPr>
            </w:pPr>
            <w:r w:rsidRPr="004522BA">
              <w:rPr>
                <w:rFonts w:ascii="Times New Roman" w:hAnsi="Times New Roman"/>
              </w:rPr>
              <w:t xml:space="preserve">Ustawa </w:t>
            </w:r>
            <w:r>
              <w:rPr>
                <w:rFonts w:ascii="Times New Roman" w:hAnsi="Times New Roman"/>
              </w:rPr>
              <w:t xml:space="preserve">z dnia 11 maja 2017 r. </w:t>
            </w:r>
            <w:r w:rsidRPr="004522BA">
              <w:rPr>
                <w:rFonts w:ascii="Times New Roman" w:hAnsi="Times New Roman"/>
              </w:rPr>
              <w:t>o biegłych rewidentach, firmach audytorskich oraz nadzorze publicznym</w:t>
            </w:r>
            <w:r w:rsidR="001D20CD">
              <w:rPr>
                <w:rFonts w:ascii="Times New Roman" w:hAnsi="Times New Roman"/>
              </w:rPr>
              <w:t xml:space="preserve"> (Dz. U. z 2023 r. poz. 1015, z późn. zm.)</w:t>
            </w:r>
          </w:p>
        </w:tc>
        <w:tc>
          <w:tcPr>
            <w:tcW w:w="4103" w:type="dxa"/>
            <w:gridSpan w:val="10"/>
            <w:shd w:val="clear" w:color="auto" w:fill="auto"/>
          </w:tcPr>
          <w:p w14:paraId="08C1D499" w14:textId="7E71C822" w:rsidR="002E440E" w:rsidRPr="00EF5735" w:rsidRDefault="00565B84" w:rsidP="00EF5735">
            <w:pPr>
              <w:pStyle w:val="Akapitzlist"/>
              <w:numPr>
                <w:ilvl w:val="0"/>
                <w:numId w:val="25"/>
              </w:numPr>
              <w:spacing w:line="240" w:lineRule="auto"/>
              <w:ind w:left="320" w:hanging="320"/>
              <w:jc w:val="both"/>
              <w:rPr>
                <w:rFonts w:ascii="Times New Roman" w:hAnsi="Times New Roman"/>
                <w:color w:val="000000"/>
                <w:spacing w:val="-2"/>
              </w:rPr>
            </w:pPr>
            <w:r w:rsidRPr="00EF5735">
              <w:rPr>
                <w:rFonts w:ascii="Times New Roman" w:hAnsi="Times New Roman"/>
                <w:color w:val="000000"/>
                <w:spacing w:val="-2"/>
              </w:rPr>
              <w:t>badanie sprawozdań finansow</w:t>
            </w:r>
            <w:r w:rsidR="00400FA0" w:rsidRPr="00EF5735">
              <w:rPr>
                <w:rFonts w:ascii="Times New Roman" w:hAnsi="Times New Roman"/>
                <w:color w:val="000000"/>
                <w:spacing w:val="-2"/>
              </w:rPr>
              <w:t>ych</w:t>
            </w:r>
            <w:r w:rsidRPr="00EF5735">
              <w:rPr>
                <w:rFonts w:ascii="Times New Roman" w:hAnsi="Times New Roman"/>
                <w:color w:val="000000"/>
                <w:spacing w:val="-2"/>
              </w:rPr>
              <w:t xml:space="preserve"> dostawcy usług w zakresie kryptoaktywów</w:t>
            </w:r>
            <w:r w:rsidR="00F54A02" w:rsidRPr="00EF5735">
              <w:rPr>
                <w:rFonts w:ascii="Times New Roman" w:hAnsi="Times New Roman"/>
                <w:color w:val="000000"/>
                <w:spacing w:val="-2"/>
              </w:rPr>
              <w:t>,</w:t>
            </w:r>
          </w:p>
          <w:p w14:paraId="0F05B9BE" w14:textId="6E17BAEF" w:rsidR="00565B84" w:rsidRPr="00EF5735" w:rsidRDefault="00565B84" w:rsidP="00EF5735">
            <w:pPr>
              <w:pStyle w:val="Akapitzlist"/>
              <w:numPr>
                <w:ilvl w:val="0"/>
                <w:numId w:val="25"/>
              </w:numPr>
              <w:spacing w:line="240" w:lineRule="auto"/>
              <w:ind w:left="320" w:hanging="320"/>
              <w:jc w:val="both"/>
              <w:rPr>
                <w:rFonts w:ascii="Times New Roman" w:hAnsi="Times New Roman"/>
                <w:color w:val="000000"/>
                <w:spacing w:val="-2"/>
              </w:rPr>
            </w:pPr>
            <w:r w:rsidRPr="00EF5735">
              <w:rPr>
                <w:rFonts w:ascii="Times New Roman" w:hAnsi="Times New Roman"/>
                <w:color w:val="000000"/>
                <w:spacing w:val="-2"/>
              </w:rPr>
              <w:t>przekazywanie KNF informacji</w:t>
            </w:r>
            <w:r w:rsidR="00400FA0" w:rsidRPr="00EF5735">
              <w:rPr>
                <w:rFonts w:ascii="Times New Roman" w:hAnsi="Times New Roman"/>
                <w:color w:val="000000"/>
                <w:spacing w:val="-2"/>
              </w:rPr>
              <w:t xml:space="preserve"> uzyskanych</w:t>
            </w:r>
            <w:r w:rsidRPr="00EF5735">
              <w:rPr>
                <w:rFonts w:ascii="Times New Roman" w:hAnsi="Times New Roman"/>
                <w:color w:val="000000"/>
                <w:spacing w:val="-2"/>
              </w:rPr>
              <w:t xml:space="preserve"> w związku z wykonywanymi czynnościami</w:t>
            </w:r>
            <w:r w:rsidR="00F54A02" w:rsidRPr="00EF5735">
              <w:rPr>
                <w:rFonts w:ascii="Times New Roman" w:hAnsi="Times New Roman"/>
                <w:color w:val="000000"/>
                <w:spacing w:val="-2"/>
              </w:rPr>
              <w:t>.</w:t>
            </w:r>
          </w:p>
        </w:tc>
      </w:tr>
      <w:tr w:rsidR="002E440E" w:rsidRPr="008B4FE6" w14:paraId="7FC14169" w14:textId="77777777" w:rsidTr="00D5149F">
        <w:trPr>
          <w:gridAfter w:val="1"/>
          <w:wAfter w:w="7" w:type="dxa"/>
          <w:trHeight w:val="142"/>
        </w:trPr>
        <w:tc>
          <w:tcPr>
            <w:tcW w:w="2668" w:type="dxa"/>
            <w:gridSpan w:val="3"/>
            <w:shd w:val="clear" w:color="auto" w:fill="auto"/>
          </w:tcPr>
          <w:p w14:paraId="213A627A" w14:textId="69CCC9F7" w:rsidR="002E440E" w:rsidRDefault="002E440E" w:rsidP="002E440E">
            <w:pPr>
              <w:spacing w:line="240" w:lineRule="auto"/>
              <w:rPr>
                <w:rFonts w:ascii="Times New Roman" w:eastAsia="Times New Roman" w:hAnsi="Times New Roman"/>
                <w:lang w:eastAsia="pl-PL"/>
              </w:rPr>
            </w:pPr>
            <w:r>
              <w:rPr>
                <w:rFonts w:ascii="Times New Roman" w:eastAsia="Times New Roman" w:hAnsi="Times New Roman"/>
                <w:lang w:eastAsia="pl-PL"/>
              </w:rPr>
              <w:t>Generalny Inspektor Informacji Finansowej</w:t>
            </w:r>
          </w:p>
          <w:p w14:paraId="1B3DDAEF" w14:textId="77777777" w:rsidR="002E440E" w:rsidRPr="00AC1776" w:rsidRDefault="002E440E" w:rsidP="00730F92">
            <w:pPr>
              <w:spacing w:line="240" w:lineRule="auto"/>
              <w:rPr>
                <w:rFonts w:ascii="Times New Roman" w:hAnsi="Times New Roman"/>
              </w:rPr>
            </w:pPr>
          </w:p>
        </w:tc>
        <w:tc>
          <w:tcPr>
            <w:tcW w:w="1614" w:type="dxa"/>
            <w:gridSpan w:val="4"/>
            <w:shd w:val="clear" w:color="auto" w:fill="auto"/>
          </w:tcPr>
          <w:p w14:paraId="39A7111B" w14:textId="0827159F" w:rsidR="002E440E" w:rsidRDefault="002E440E" w:rsidP="00D5149F">
            <w:pPr>
              <w:spacing w:line="240" w:lineRule="auto"/>
              <w:jc w:val="center"/>
              <w:rPr>
                <w:rFonts w:ascii="Times New Roman" w:eastAsia="Times New Roman" w:hAnsi="Times New Roman"/>
                <w:lang w:eastAsia="pl-PL"/>
              </w:rPr>
            </w:pPr>
            <w:r>
              <w:rPr>
                <w:rFonts w:ascii="Times New Roman" w:eastAsia="Times New Roman" w:hAnsi="Times New Roman"/>
                <w:lang w:eastAsia="pl-PL"/>
              </w:rPr>
              <w:t>1</w:t>
            </w:r>
          </w:p>
          <w:p w14:paraId="5947FE0B" w14:textId="77777777" w:rsidR="002E440E" w:rsidRDefault="002E440E" w:rsidP="002E440E">
            <w:pPr>
              <w:spacing w:line="240" w:lineRule="auto"/>
              <w:jc w:val="center"/>
              <w:rPr>
                <w:rFonts w:ascii="Times New Roman" w:hAnsi="Times New Roman"/>
                <w:color w:val="000000"/>
                <w:spacing w:val="-2"/>
              </w:rPr>
            </w:pPr>
          </w:p>
        </w:tc>
        <w:tc>
          <w:tcPr>
            <w:tcW w:w="2552" w:type="dxa"/>
            <w:gridSpan w:val="11"/>
            <w:shd w:val="clear" w:color="auto" w:fill="auto"/>
          </w:tcPr>
          <w:p w14:paraId="7EFF2114" w14:textId="01450864" w:rsidR="002E440E" w:rsidRDefault="002E440E" w:rsidP="00D5149F">
            <w:pPr>
              <w:spacing w:after="120" w:line="240" w:lineRule="auto"/>
              <w:rPr>
                <w:rFonts w:ascii="Times New Roman" w:hAnsi="Times New Roman"/>
                <w:noProof/>
                <w:color w:val="000000"/>
              </w:rPr>
            </w:pPr>
            <w:r>
              <w:rPr>
                <w:rFonts w:ascii="Times New Roman" w:hAnsi="Times New Roman"/>
                <w:bCs/>
              </w:rPr>
              <w:t>U</w:t>
            </w:r>
            <w:r w:rsidRPr="00A76646">
              <w:rPr>
                <w:rFonts w:ascii="Times New Roman" w:hAnsi="Times New Roman"/>
                <w:bCs/>
              </w:rPr>
              <w:t>staw</w:t>
            </w:r>
            <w:r w:rsidR="00BF5F8D">
              <w:rPr>
                <w:rFonts w:ascii="Times New Roman" w:hAnsi="Times New Roman"/>
                <w:bCs/>
              </w:rPr>
              <w:t>a</w:t>
            </w:r>
            <w:r w:rsidRPr="00A76646">
              <w:rPr>
                <w:rFonts w:ascii="Times New Roman" w:hAnsi="Times New Roman"/>
                <w:bCs/>
              </w:rPr>
              <w:t xml:space="preserve"> </w:t>
            </w:r>
            <w:r>
              <w:rPr>
                <w:rFonts w:ascii="Times New Roman" w:hAnsi="Times New Roman"/>
                <w:bCs/>
              </w:rPr>
              <w:t xml:space="preserve">z dnia 1 marca 2018 r. </w:t>
            </w:r>
            <w:r w:rsidRPr="00A76646">
              <w:rPr>
                <w:rFonts w:ascii="Times New Roman" w:hAnsi="Times New Roman"/>
                <w:bCs/>
              </w:rPr>
              <w:t>o przeciwdziałaniu praniu pieniędzy oraz finansowaniu terroryzmu</w:t>
            </w:r>
            <w:r>
              <w:rPr>
                <w:rFonts w:ascii="Times New Roman" w:hAnsi="Times New Roman"/>
                <w:bCs/>
              </w:rPr>
              <w:t xml:space="preserve"> </w:t>
            </w:r>
          </w:p>
        </w:tc>
        <w:tc>
          <w:tcPr>
            <w:tcW w:w="4103" w:type="dxa"/>
            <w:gridSpan w:val="10"/>
            <w:shd w:val="clear" w:color="auto" w:fill="auto"/>
          </w:tcPr>
          <w:p w14:paraId="1CA4F7C0" w14:textId="505F93D5" w:rsidR="002E440E" w:rsidRPr="00B37C80" w:rsidRDefault="00AE1506" w:rsidP="00434879">
            <w:pPr>
              <w:spacing w:line="240" w:lineRule="auto"/>
              <w:jc w:val="both"/>
              <w:rPr>
                <w:rFonts w:ascii="Times New Roman" w:hAnsi="Times New Roman"/>
                <w:color w:val="000000"/>
                <w:spacing w:val="-2"/>
              </w:rPr>
            </w:pPr>
            <w:r w:rsidRPr="00AE1506">
              <w:rPr>
                <w:rFonts w:ascii="Times New Roman" w:hAnsi="Times New Roman"/>
                <w:color w:val="000000"/>
                <w:spacing w:val="-2"/>
              </w:rPr>
              <w:t>KNF jako właściwy organ nadzoru podczas procedury udzielania zezwolenia na złożenie oferty publicznej lub dopuszczenie do obrotu tokena powiązanego z aktywami lub zezwolenia na świadczenie usług w zakresie kryptoaktywów może współpracować lub konsultować się z właściwymi organami ds. przeciwdziałani</w:t>
            </w:r>
            <w:r w:rsidR="00625178">
              <w:rPr>
                <w:rFonts w:ascii="Times New Roman" w:hAnsi="Times New Roman"/>
                <w:color w:val="000000"/>
                <w:spacing w:val="-2"/>
              </w:rPr>
              <w:t>a</w:t>
            </w:r>
            <w:r w:rsidRPr="00AE1506">
              <w:rPr>
                <w:rFonts w:ascii="Times New Roman" w:hAnsi="Times New Roman"/>
                <w:color w:val="000000"/>
                <w:spacing w:val="-2"/>
              </w:rPr>
              <w:t xml:space="preserve"> praniu pieniędzy i finansowani</w:t>
            </w:r>
            <w:r w:rsidR="00625178">
              <w:rPr>
                <w:rFonts w:ascii="Times New Roman" w:hAnsi="Times New Roman"/>
                <w:color w:val="000000"/>
                <w:spacing w:val="-2"/>
              </w:rPr>
              <w:t>a</w:t>
            </w:r>
            <w:r w:rsidRPr="00AE1506">
              <w:rPr>
                <w:rFonts w:ascii="Times New Roman" w:hAnsi="Times New Roman"/>
                <w:color w:val="000000"/>
                <w:spacing w:val="-2"/>
              </w:rPr>
              <w:t xml:space="preserve"> terroryzmu</w:t>
            </w:r>
            <w:r w:rsidR="001D20CD">
              <w:rPr>
                <w:rFonts w:ascii="Times New Roman" w:hAnsi="Times New Roman"/>
                <w:color w:val="000000"/>
                <w:spacing w:val="-2"/>
              </w:rPr>
              <w:t>.</w:t>
            </w:r>
          </w:p>
        </w:tc>
      </w:tr>
      <w:tr w:rsidR="005114C0" w:rsidRPr="008B4FE6" w14:paraId="57B13283" w14:textId="77777777" w:rsidTr="00D5149F">
        <w:trPr>
          <w:gridAfter w:val="1"/>
          <w:wAfter w:w="7" w:type="dxa"/>
          <w:trHeight w:val="142"/>
        </w:trPr>
        <w:tc>
          <w:tcPr>
            <w:tcW w:w="2668" w:type="dxa"/>
            <w:gridSpan w:val="3"/>
            <w:shd w:val="clear" w:color="auto" w:fill="auto"/>
          </w:tcPr>
          <w:p w14:paraId="33F74FFB" w14:textId="77777777" w:rsidR="005114C0" w:rsidRPr="008B4FE6" w:rsidRDefault="005114C0" w:rsidP="005114C0">
            <w:pPr>
              <w:spacing w:line="240" w:lineRule="auto"/>
              <w:rPr>
                <w:rFonts w:ascii="Times New Roman" w:hAnsi="Times New Roman"/>
                <w:color w:val="000000"/>
                <w:spacing w:val="-2"/>
              </w:rPr>
            </w:pPr>
            <w:r w:rsidRPr="00AC1776">
              <w:rPr>
                <w:rFonts w:ascii="Times New Roman" w:hAnsi="Times New Roman"/>
              </w:rPr>
              <w:t>Banki</w:t>
            </w:r>
          </w:p>
        </w:tc>
        <w:tc>
          <w:tcPr>
            <w:tcW w:w="1614" w:type="dxa"/>
            <w:gridSpan w:val="4"/>
            <w:shd w:val="clear" w:color="auto" w:fill="auto"/>
          </w:tcPr>
          <w:p w14:paraId="31C42D52" w14:textId="3059542B" w:rsidR="005114C0" w:rsidRPr="00AC1776" w:rsidRDefault="004F2F07" w:rsidP="005114C0">
            <w:pPr>
              <w:spacing w:line="240" w:lineRule="auto"/>
              <w:jc w:val="center"/>
              <w:rPr>
                <w:rFonts w:ascii="Times New Roman" w:hAnsi="Times New Roman"/>
                <w:color w:val="000000"/>
                <w:spacing w:val="-2"/>
              </w:rPr>
            </w:pPr>
            <w:r>
              <w:rPr>
                <w:rFonts w:ascii="Times New Roman" w:hAnsi="Times New Roman"/>
                <w:color w:val="000000"/>
                <w:spacing w:val="-2"/>
              </w:rPr>
              <w:t>29</w:t>
            </w:r>
            <w:r w:rsidR="005114C0">
              <w:rPr>
                <w:rFonts w:ascii="Times New Roman" w:hAnsi="Times New Roman"/>
                <w:color w:val="000000"/>
                <w:spacing w:val="-2"/>
              </w:rPr>
              <w:t xml:space="preserve"> </w:t>
            </w:r>
            <w:r w:rsidR="005114C0" w:rsidRPr="00AC1776">
              <w:rPr>
                <w:rFonts w:ascii="Times New Roman" w:hAnsi="Times New Roman"/>
                <w:color w:val="000000"/>
                <w:spacing w:val="-2"/>
              </w:rPr>
              <w:t>banków komercyjnych</w:t>
            </w:r>
            <w:r>
              <w:rPr>
                <w:rFonts w:ascii="Times New Roman" w:hAnsi="Times New Roman"/>
                <w:color w:val="000000"/>
                <w:spacing w:val="-2"/>
              </w:rPr>
              <w:t>, 492 bank</w:t>
            </w:r>
            <w:r w:rsidR="00BF5F8D">
              <w:rPr>
                <w:rFonts w:ascii="Times New Roman" w:hAnsi="Times New Roman"/>
                <w:color w:val="000000"/>
                <w:spacing w:val="-2"/>
              </w:rPr>
              <w:t>i</w:t>
            </w:r>
            <w:r>
              <w:rPr>
                <w:rFonts w:ascii="Times New Roman" w:hAnsi="Times New Roman"/>
                <w:color w:val="000000"/>
                <w:spacing w:val="-2"/>
              </w:rPr>
              <w:t xml:space="preserve"> spółdzielcz</w:t>
            </w:r>
            <w:r w:rsidR="00BF5F8D">
              <w:rPr>
                <w:rFonts w:ascii="Times New Roman" w:hAnsi="Times New Roman"/>
                <w:color w:val="000000"/>
                <w:spacing w:val="-2"/>
              </w:rPr>
              <w:t>e</w:t>
            </w:r>
          </w:p>
          <w:p w14:paraId="4E0B7429" w14:textId="77777777" w:rsidR="005114C0" w:rsidRPr="00B37C80" w:rsidRDefault="005114C0" w:rsidP="005114C0">
            <w:pPr>
              <w:spacing w:line="240" w:lineRule="auto"/>
              <w:jc w:val="center"/>
              <w:rPr>
                <w:rFonts w:ascii="Times New Roman" w:hAnsi="Times New Roman"/>
                <w:color w:val="000000"/>
                <w:spacing w:val="-2"/>
              </w:rPr>
            </w:pPr>
          </w:p>
        </w:tc>
        <w:tc>
          <w:tcPr>
            <w:tcW w:w="2552" w:type="dxa"/>
            <w:gridSpan w:val="11"/>
            <w:shd w:val="clear" w:color="auto" w:fill="auto"/>
          </w:tcPr>
          <w:p w14:paraId="28742CC7" w14:textId="77777777" w:rsidR="005114C0" w:rsidRPr="00B37C80" w:rsidRDefault="005114C0" w:rsidP="00EF5735">
            <w:pPr>
              <w:spacing w:line="240" w:lineRule="auto"/>
              <w:rPr>
                <w:rFonts w:ascii="Times New Roman" w:hAnsi="Times New Roman"/>
                <w:color w:val="000000"/>
                <w:spacing w:val="-2"/>
              </w:rPr>
            </w:pPr>
            <w:r>
              <w:rPr>
                <w:rFonts w:ascii="Times New Roman" w:hAnsi="Times New Roman"/>
                <w:noProof/>
                <w:color w:val="000000"/>
              </w:rPr>
              <w:t>Rejestr</w:t>
            </w:r>
            <w:r w:rsidRPr="00AC1776">
              <w:rPr>
                <w:rFonts w:ascii="Times New Roman" w:hAnsi="Times New Roman"/>
                <w:noProof/>
                <w:color w:val="000000"/>
              </w:rPr>
              <w:t xml:space="preserve"> podmiotów sektora bankowego Urz</w:t>
            </w:r>
            <w:r>
              <w:rPr>
                <w:rFonts w:ascii="Times New Roman" w:hAnsi="Times New Roman"/>
                <w:noProof/>
                <w:color w:val="000000"/>
              </w:rPr>
              <w:t>ę</w:t>
            </w:r>
            <w:r w:rsidRPr="00AC1776">
              <w:rPr>
                <w:rFonts w:ascii="Times New Roman" w:hAnsi="Times New Roman"/>
                <w:noProof/>
                <w:color w:val="000000"/>
              </w:rPr>
              <w:t>d</w:t>
            </w:r>
            <w:r>
              <w:rPr>
                <w:rFonts w:ascii="Times New Roman" w:hAnsi="Times New Roman"/>
                <w:noProof/>
                <w:color w:val="000000"/>
              </w:rPr>
              <w:t>u</w:t>
            </w:r>
            <w:r w:rsidRPr="00AC1776">
              <w:rPr>
                <w:rFonts w:ascii="Times New Roman" w:hAnsi="Times New Roman"/>
                <w:noProof/>
                <w:color w:val="000000"/>
              </w:rPr>
              <w:t xml:space="preserve"> KNF (www.knf.gov.pl)</w:t>
            </w:r>
          </w:p>
        </w:tc>
        <w:tc>
          <w:tcPr>
            <w:tcW w:w="4103" w:type="dxa"/>
            <w:gridSpan w:val="10"/>
            <w:shd w:val="clear" w:color="auto" w:fill="auto"/>
          </w:tcPr>
          <w:p w14:paraId="0BE686A4" w14:textId="16921D53" w:rsidR="005114C0" w:rsidRDefault="005114C0" w:rsidP="005114C0">
            <w:pPr>
              <w:spacing w:line="240" w:lineRule="auto"/>
              <w:jc w:val="both"/>
              <w:rPr>
                <w:rFonts w:ascii="Times New Roman" w:hAnsi="Times New Roman"/>
                <w:color w:val="000000"/>
                <w:spacing w:val="-2"/>
              </w:rPr>
            </w:pPr>
            <w:r>
              <w:rPr>
                <w:rFonts w:ascii="Times New Roman" w:hAnsi="Times New Roman"/>
                <w:color w:val="000000"/>
                <w:spacing w:val="-2"/>
              </w:rPr>
              <w:t>Prowadzenie działalności bez zezwolenia KNF po spełnieniu wymogów określonych w</w:t>
            </w:r>
            <w:r w:rsidR="00184E94">
              <w:rPr>
                <w:rFonts w:ascii="Times New Roman" w:hAnsi="Times New Roman"/>
                <w:color w:val="000000"/>
                <w:spacing w:val="-2"/>
              </w:rPr>
              <w:t> </w:t>
            </w:r>
            <w:r>
              <w:rPr>
                <w:rFonts w:ascii="Times New Roman" w:hAnsi="Times New Roman"/>
                <w:color w:val="000000"/>
                <w:spacing w:val="-2"/>
              </w:rPr>
              <w:t>rozporządzeniu</w:t>
            </w:r>
            <w:r w:rsidR="00AE1506">
              <w:rPr>
                <w:rFonts w:ascii="Times New Roman" w:hAnsi="Times New Roman"/>
                <w:color w:val="000000"/>
                <w:spacing w:val="-2"/>
              </w:rPr>
              <w:t xml:space="preserve"> </w:t>
            </w:r>
            <w:r w:rsidR="00AE1506" w:rsidRPr="00AE1506">
              <w:rPr>
                <w:rFonts w:ascii="Times New Roman" w:hAnsi="Times New Roman"/>
                <w:color w:val="000000"/>
                <w:spacing w:val="-2"/>
              </w:rPr>
              <w:t>2023/1114</w:t>
            </w:r>
            <w:r>
              <w:rPr>
                <w:rFonts w:ascii="Times New Roman" w:hAnsi="Times New Roman"/>
                <w:color w:val="000000"/>
                <w:spacing w:val="-2"/>
              </w:rPr>
              <w:t>, w zakresie:</w:t>
            </w:r>
          </w:p>
          <w:p w14:paraId="25C80BD6" w14:textId="70251413" w:rsidR="005114C0" w:rsidRPr="00EF5735" w:rsidRDefault="005114C0" w:rsidP="00EF5735">
            <w:pPr>
              <w:pStyle w:val="Akapitzlist"/>
              <w:numPr>
                <w:ilvl w:val="0"/>
                <w:numId w:val="26"/>
              </w:numPr>
              <w:spacing w:line="240" w:lineRule="auto"/>
              <w:ind w:left="320" w:hanging="284"/>
              <w:jc w:val="both"/>
              <w:rPr>
                <w:rFonts w:ascii="Times New Roman" w:hAnsi="Times New Roman"/>
                <w:color w:val="000000"/>
                <w:spacing w:val="-2"/>
              </w:rPr>
            </w:pPr>
            <w:r w:rsidRPr="00EF5735">
              <w:rPr>
                <w:rFonts w:ascii="Times New Roman" w:hAnsi="Times New Roman"/>
                <w:color w:val="000000"/>
                <w:spacing w:val="-2"/>
              </w:rPr>
              <w:t xml:space="preserve"> dokonywania oferty publicznej tokenów powiązanych z aktywami i ubiegani</w:t>
            </w:r>
            <w:r w:rsidR="00F54A02" w:rsidRPr="00EF5735">
              <w:rPr>
                <w:rFonts w:ascii="Times New Roman" w:hAnsi="Times New Roman"/>
                <w:color w:val="000000"/>
                <w:spacing w:val="-2"/>
              </w:rPr>
              <w:t>a</w:t>
            </w:r>
            <w:r w:rsidRPr="00EF5735">
              <w:rPr>
                <w:rFonts w:ascii="Times New Roman" w:hAnsi="Times New Roman"/>
                <w:color w:val="000000"/>
                <w:spacing w:val="-2"/>
              </w:rPr>
              <w:t xml:space="preserve"> się o ich dopuszczenie do obrotu</w:t>
            </w:r>
            <w:r w:rsidR="00F54A02" w:rsidRPr="00EF5735">
              <w:rPr>
                <w:rFonts w:ascii="Times New Roman" w:hAnsi="Times New Roman"/>
                <w:color w:val="000000"/>
                <w:spacing w:val="-2"/>
              </w:rPr>
              <w:t>,</w:t>
            </w:r>
          </w:p>
          <w:p w14:paraId="067AC472" w14:textId="598014DC" w:rsidR="005114C0" w:rsidRPr="00EF5735" w:rsidRDefault="005114C0" w:rsidP="00EF5735">
            <w:pPr>
              <w:pStyle w:val="Akapitzlist"/>
              <w:numPr>
                <w:ilvl w:val="0"/>
                <w:numId w:val="26"/>
              </w:numPr>
              <w:spacing w:line="240" w:lineRule="auto"/>
              <w:ind w:left="320" w:hanging="284"/>
              <w:jc w:val="both"/>
              <w:rPr>
                <w:rFonts w:ascii="Times New Roman" w:hAnsi="Times New Roman"/>
                <w:color w:val="000000"/>
                <w:spacing w:val="-2"/>
              </w:rPr>
            </w:pPr>
            <w:r w:rsidRPr="00EF5735">
              <w:rPr>
                <w:rFonts w:ascii="Times New Roman" w:hAnsi="Times New Roman"/>
                <w:color w:val="000000"/>
                <w:spacing w:val="-2"/>
              </w:rPr>
              <w:t xml:space="preserve">dokonywania oferty publicznej tokenów będących e-pieniądzem </w:t>
            </w:r>
            <w:r w:rsidR="00AE1506" w:rsidRPr="00EF5735">
              <w:rPr>
                <w:rFonts w:ascii="Times New Roman" w:hAnsi="Times New Roman"/>
                <w:color w:val="000000"/>
                <w:spacing w:val="-2"/>
              </w:rPr>
              <w:t>i ubiegania się o ich dopuszczenie do obrotu</w:t>
            </w:r>
            <w:r w:rsidR="00C52460" w:rsidRPr="00EF5735">
              <w:rPr>
                <w:rFonts w:ascii="Times New Roman" w:hAnsi="Times New Roman"/>
                <w:color w:val="000000"/>
                <w:spacing w:val="-2"/>
              </w:rPr>
              <w:t>,</w:t>
            </w:r>
          </w:p>
          <w:p w14:paraId="2ECF09A1" w14:textId="21AD34C9" w:rsidR="005114C0" w:rsidRPr="00EF5735" w:rsidRDefault="00AE1506" w:rsidP="00EF5735">
            <w:pPr>
              <w:pStyle w:val="Akapitzlist"/>
              <w:numPr>
                <w:ilvl w:val="0"/>
                <w:numId w:val="26"/>
              </w:numPr>
              <w:spacing w:line="240" w:lineRule="auto"/>
              <w:ind w:left="320" w:hanging="284"/>
              <w:jc w:val="both"/>
              <w:rPr>
                <w:rFonts w:ascii="Times New Roman" w:hAnsi="Times New Roman"/>
                <w:color w:val="000000"/>
                <w:spacing w:val="-2"/>
              </w:rPr>
            </w:pPr>
            <w:r w:rsidRPr="00EF5735">
              <w:rPr>
                <w:rFonts w:ascii="Times New Roman" w:hAnsi="Times New Roman"/>
                <w:color w:val="000000"/>
                <w:spacing w:val="-2"/>
              </w:rPr>
              <w:t>d</w:t>
            </w:r>
            <w:r w:rsidR="005114C0" w:rsidRPr="00EF5735">
              <w:rPr>
                <w:rFonts w:ascii="Times New Roman" w:hAnsi="Times New Roman"/>
                <w:color w:val="000000"/>
                <w:spacing w:val="-2"/>
              </w:rPr>
              <w:t>ostawcy usług w zakresie kryptoaktywów (</w:t>
            </w:r>
            <w:r w:rsidRPr="00EF5735">
              <w:rPr>
                <w:rFonts w:ascii="Times New Roman" w:hAnsi="Times New Roman"/>
                <w:color w:val="000000"/>
                <w:spacing w:val="-2"/>
              </w:rPr>
              <w:t>z</w:t>
            </w:r>
            <w:r w:rsidR="005114C0" w:rsidRPr="00EF5735">
              <w:rPr>
                <w:rFonts w:ascii="Times New Roman" w:hAnsi="Times New Roman"/>
                <w:color w:val="000000"/>
                <w:spacing w:val="-2"/>
              </w:rPr>
              <w:t>apewnianie</w:t>
            </w:r>
            <w:r w:rsidRPr="00EF5735">
              <w:rPr>
                <w:rFonts w:ascii="Times New Roman" w:hAnsi="Times New Roman"/>
                <w:color w:val="000000"/>
                <w:spacing w:val="-2"/>
              </w:rPr>
              <w:t xml:space="preserve"> </w:t>
            </w:r>
            <w:r w:rsidR="005114C0" w:rsidRPr="00EF5735">
              <w:rPr>
                <w:rFonts w:ascii="Times New Roman" w:hAnsi="Times New Roman"/>
                <w:color w:val="000000"/>
                <w:spacing w:val="-2"/>
              </w:rPr>
              <w:t>przechowywania kryptoaktywów i</w:t>
            </w:r>
            <w:r w:rsidR="00184E94" w:rsidRPr="00EF5735">
              <w:rPr>
                <w:rFonts w:ascii="Times New Roman" w:hAnsi="Times New Roman"/>
                <w:color w:val="000000"/>
                <w:spacing w:val="-2"/>
              </w:rPr>
              <w:t> </w:t>
            </w:r>
            <w:r w:rsidR="005114C0" w:rsidRPr="00EF5735">
              <w:rPr>
                <w:rFonts w:ascii="Times New Roman" w:hAnsi="Times New Roman"/>
                <w:color w:val="000000"/>
                <w:spacing w:val="-2"/>
              </w:rPr>
              <w:t xml:space="preserve">administrowanie nimi w imieniu klientów, prowadzenie platformy obrotu kryptoaktywami, wymiany kryptoaktywów na środki pieniężne lub inne kryptoaktywa, </w:t>
            </w:r>
            <w:r w:rsidR="00F54A02" w:rsidRPr="00EF5735">
              <w:rPr>
                <w:rFonts w:ascii="Times New Roman" w:hAnsi="Times New Roman"/>
                <w:color w:val="000000"/>
                <w:spacing w:val="-2"/>
              </w:rPr>
              <w:t>w</w:t>
            </w:r>
            <w:r w:rsidR="005114C0" w:rsidRPr="00EF5735">
              <w:rPr>
                <w:rFonts w:ascii="Times New Roman" w:hAnsi="Times New Roman"/>
                <w:color w:val="000000"/>
                <w:spacing w:val="-2"/>
              </w:rPr>
              <w:t>ykonywanie zleceń związanych z</w:t>
            </w:r>
            <w:r w:rsidR="00184E94" w:rsidRPr="00EF5735">
              <w:rPr>
                <w:rFonts w:ascii="Times New Roman" w:hAnsi="Times New Roman"/>
                <w:color w:val="000000"/>
                <w:spacing w:val="-2"/>
              </w:rPr>
              <w:t> </w:t>
            </w:r>
            <w:r w:rsidR="005114C0" w:rsidRPr="00EF5735">
              <w:rPr>
                <w:rFonts w:ascii="Times New Roman" w:hAnsi="Times New Roman"/>
                <w:color w:val="000000"/>
                <w:spacing w:val="-2"/>
              </w:rPr>
              <w:t>kryptoaktywami w imieniu klientów, plasowanie kryptoaktywów,</w:t>
            </w:r>
            <w:r w:rsidR="005114C0">
              <w:t xml:space="preserve"> p</w:t>
            </w:r>
            <w:r w:rsidR="005114C0" w:rsidRPr="00EF5735">
              <w:rPr>
                <w:rFonts w:ascii="Times New Roman" w:hAnsi="Times New Roman"/>
                <w:color w:val="000000"/>
                <w:spacing w:val="-2"/>
              </w:rPr>
              <w:t>rzyjmowanie i</w:t>
            </w:r>
            <w:r w:rsidR="00184E94" w:rsidRPr="00EF5735">
              <w:rPr>
                <w:rFonts w:ascii="Times New Roman" w:hAnsi="Times New Roman"/>
                <w:color w:val="000000"/>
                <w:spacing w:val="-2"/>
              </w:rPr>
              <w:t> </w:t>
            </w:r>
            <w:r w:rsidR="005114C0" w:rsidRPr="00EF5735">
              <w:rPr>
                <w:rFonts w:ascii="Times New Roman" w:hAnsi="Times New Roman"/>
                <w:color w:val="000000"/>
                <w:spacing w:val="-2"/>
              </w:rPr>
              <w:t>przekazywanie zleceń związanych z</w:t>
            </w:r>
            <w:r w:rsidR="00184E94" w:rsidRPr="00EF5735">
              <w:rPr>
                <w:rFonts w:ascii="Times New Roman" w:hAnsi="Times New Roman"/>
                <w:color w:val="000000"/>
                <w:spacing w:val="-2"/>
              </w:rPr>
              <w:t> </w:t>
            </w:r>
            <w:r w:rsidR="005114C0" w:rsidRPr="00EF5735">
              <w:rPr>
                <w:rFonts w:ascii="Times New Roman" w:hAnsi="Times New Roman"/>
                <w:color w:val="000000"/>
                <w:spacing w:val="-2"/>
              </w:rPr>
              <w:t>kryptoaktywami w imieniu klientów, świadczenie doradztwa w zakresie kryptoaktywów i zarządzanie portfelem w</w:t>
            </w:r>
            <w:r w:rsidR="00184E94" w:rsidRPr="00EF5735">
              <w:rPr>
                <w:rFonts w:ascii="Times New Roman" w:hAnsi="Times New Roman"/>
                <w:color w:val="000000"/>
                <w:spacing w:val="-2"/>
              </w:rPr>
              <w:t> </w:t>
            </w:r>
            <w:r w:rsidR="005114C0" w:rsidRPr="00EF5735">
              <w:rPr>
                <w:rFonts w:ascii="Times New Roman" w:hAnsi="Times New Roman"/>
                <w:color w:val="000000"/>
                <w:spacing w:val="-2"/>
              </w:rPr>
              <w:t>zakresie kryptoaktywów, świadczenie usług transferu kryptoaktywów w imieniu klientów).</w:t>
            </w:r>
          </w:p>
        </w:tc>
      </w:tr>
      <w:tr w:rsidR="005114C0" w:rsidRPr="008B4FE6" w14:paraId="388CC972" w14:textId="77777777" w:rsidTr="00D5149F">
        <w:trPr>
          <w:gridAfter w:val="1"/>
          <w:wAfter w:w="7" w:type="dxa"/>
          <w:trHeight w:val="142"/>
        </w:trPr>
        <w:tc>
          <w:tcPr>
            <w:tcW w:w="2668" w:type="dxa"/>
            <w:gridSpan w:val="3"/>
            <w:shd w:val="clear" w:color="auto" w:fill="auto"/>
          </w:tcPr>
          <w:p w14:paraId="43EBC14D" w14:textId="77777777" w:rsidR="005114C0" w:rsidRPr="00AC1776" w:rsidRDefault="005114C0" w:rsidP="005114C0">
            <w:pPr>
              <w:spacing w:line="240" w:lineRule="auto"/>
              <w:rPr>
                <w:rFonts w:ascii="Times New Roman" w:hAnsi="Times New Roman"/>
              </w:rPr>
            </w:pPr>
            <w:r>
              <w:rPr>
                <w:rFonts w:ascii="Times New Roman" w:hAnsi="Times New Roman"/>
                <w:color w:val="000000"/>
              </w:rPr>
              <w:t>Krajowe instytucje pieniądza elektronicznego</w:t>
            </w:r>
          </w:p>
        </w:tc>
        <w:tc>
          <w:tcPr>
            <w:tcW w:w="1614" w:type="dxa"/>
            <w:gridSpan w:val="4"/>
            <w:shd w:val="clear" w:color="auto" w:fill="auto"/>
          </w:tcPr>
          <w:p w14:paraId="46638E86" w14:textId="77777777" w:rsidR="005114C0" w:rsidRDefault="005114C0" w:rsidP="005114C0">
            <w:pPr>
              <w:spacing w:line="240" w:lineRule="auto"/>
              <w:jc w:val="center"/>
              <w:rPr>
                <w:rFonts w:ascii="Times New Roman" w:hAnsi="Times New Roman"/>
                <w:color w:val="000000"/>
                <w:spacing w:val="-2"/>
              </w:rPr>
            </w:pPr>
            <w:r>
              <w:rPr>
                <w:rFonts w:ascii="Times New Roman" w:hAnsi="Times New Roman"/>
                <w:color w:val="000000"/>
                <w:spacing w:val="-2"/>
              </w:rPr>
              <w:t>1</w:t>
            </w:r>
          </w:p>
        </w:tc>
        <w:tc>
          <w:tcPr>
            <w:tcW w:w="2552" w:type="dxa"/>
            <w:gridSpan w:val="11"/>
            <w:shd w:val="clear" w:color="auto" w:fill="auto"/>
          </w:tcPr>
          <w:p w14:paraId="745F8591" w14:textId="77777777" w:rsidR="005114C0" w:rsidRDefault="005114C0" w:rsidP="005114C0">
            <w:pPr>
              <w:spacing w:line="240" w:lineRule="auto"/>
              <w:rPr>
                <w:rFonts w:ascii="Times New Roman" w:hAnsi="Times New Roman"/>
                <w:noProof/>
                <w:color w:val="000000"/>
              </w:rPr>
            </w:pPr>
            <w:r w:rsidRPr="00451956">
              <w:rPr>
                <w:rFonts w:ascii="Times New Roman" w:hAnsi="Times New Roman"/>
                <w:color w:val="000000"/>
                <w:spacing w:val="-2"/>
              </w:rPr>
              <w:t>https://www.knf.gov.pl/podmioty/podmioty_rynku_uslug_platniczych/rejestr_krajowych_instytucji_pieniadza_elektronicznego</w:t>
            </w:r>
          </w:p>
        </w:tc>
        <w:tc>
          <w:tcPr>
            <w:tcW w:w="4103" w:type="dxa"/>
            <w:gridSpan w:val="10"/>
            <w:shd w:val="clear" w:color="auto" w:fill="auto"/>
          </w:tcPr>
          <w:p w14:paraId="0F93F22E" w14:textId="05D697F3" w:rsidR="005114C0" w:rsidRPr="00C155EC" w:rsidRDefault="005114C0" w:rsidP="005114C0">
            <w:pPr>
              <w:spacing w:line="240" w:lineRule="auto"/>
              <w:jc w:val="both"/>
              <w:rPr>
                <w:rFonts w:ascii="Times New Roman" w:hAnsi="Times New Roman"/>
                <w:color w:val="000000"/>
                <w:spacing w:val="-2"/>
              </w:rPr>
            </w:pPr>
            <w:r w:rsidRPr="00C155EC">
              <w:rPr>
                <w:rFonts w:ascii="Times New Roman" w:hAnsi="Times New Roman"/>
                <w:color w:val="000000"/>
                <w:spacing w:val="-2"/>
              </w:rPr>
              <w:t>Prowadzenie działalności bez zezwolenia KNF po spełnieniu wymogów określonych w</w:t>
            </w:r>
            <w:r w:rsidR="00184E94">
              <w:rPr>
                <w:rFonts w:ascii="Times New Roman" w:hAnsi="Times New Roman"/>
                <w:color w:val="000000"/>
                <w:spacing w:val="-2"/>
              </w:rPr>
              <w:t> </w:t>
            </w:r>
            <w:r w:rsidRPr="00C155EC">
              <w:rPr>
                <w:rFonts w:ascii="Times New Roman" w:hAnsi="Times New Roman"/>
                <w:color w:val="000000"/>
                <w:spacing w:val="-2"/>
              </w:rPr>
              <w:t>rozporządzeniu</w:t>
            </w:r>
            <w:r w:rsidR="00AE1506">
              <w:rPr>
                <w:rFonts w:ascii="Times New Roman" w:hAnsi="Times New Roman"/>
                <w:color w:val="000000"/>
                <w:spacing w:val="-2"/>
              </w:rPr>
              <w:t xml:space="preserve"> </w:t>
            </w:r>
            <w:r w:rsidR="00AE1506" w:rsidRPr="00AE1506">
              <w:rPr>
                <w:rFonts w:ascii="Times New Roman" w:hAnsi="Times New Roman"/>
                <w:color w:val="000000"/>
                <w:spacing w:val="-2"/>
              </w:rPr>
              <w:t>2023/1114</w:t>
            </w:r>
            <w:r w:rsidRPr="00C155EC">
              <w:rPr>
                <w:rFonts w:ascii="Times New Roman" w:hAnsi="Times New Roman"/>
                <w:color w:val="000000"/>
                <w:spacing w:val="-2"/>
              </w:rPr>
              <w:t>, w zakresie</w:t>
            </w:r>
            <w:r w:rsidR="00C52460">
              <w:rPr>
                <w:rFonts w:ascii="Times New Roman" w:hAnsi="Times New Roman"/>
                <w:color w:val="000000"/>
                <w:spacing w:val="-2"/>
              </w:rPr>
              <w:t>:</w:t>
            </w:r>
          </w:p>
          <w:p w14:paraId="39BE94C5" w14:textId="7127D8B6" w:rsidR="005114C0" w:rsidRPr="00EF5735" w:rsidRDefault="00AE1506" w:rsidP="00EF5735">
            <w:pPr>
              <w:pStyle w:val="Akapitzlist"/>
              <w:numPr>
                <w:ilvl w:val="0"/>
                <w:numId w:val="27"/>
              </w:numPr>
              <w:spacing w:line="240" w:lineRule="auto"/>
              <w:ind w:left="320"/>
              <w:jc w:val="both"/>
              <w:rPr>
                <w:rFonts w:ascii="Times New Roman" w:hAnsi="Times New Roman"/>
                <w:color w:val="000000"/>
                <w:spacing w:val="-2"/>
              </w:rPr>
            </w:pPr>
            <w:r w:rsidRPr="00EF5735">
              <w:rPr>
                <w:rFonts w:ascii="Times New Roman" w:hAnsi="Times New Roman"/>
                <w:color w:val="000000"/>
                <w:spacing w:val="-2"/>
              </w:rPr>
              <w:t>dokonywania oferty publicznej tokenów będących e-pieniądzem i ubiegania się o ich dopuszczenie do obrotu</w:t>
            </w:r>
            <w:r w:rsidR="00400FA0" w:rsidRPr="00EF5735">
              <w:rPr>
                <w:rFonts w:ascii="Times New Roman" w:hAnsi="Times New Roman"/>
                <w:color w:val="000000"/>
                <w:spacing w:val="-2"/>
              </w:rPr>
              <w:t>,</w:t>
            </w:r>
          </w:p>
          <w:p w14:paraId="5F5E1D09" w14:textId="20B1B45B" w:rsidR="005114C0" w:rsidRPr="00EF5735" w:rsidRDefault="005114C0" w:rsidP="00EF5735">
            <w:pPr>
              <w:pStyle w:val="Akapitzlist"/>
              <w:numPr>
                <w:ilvl w:val="0"/>
                <w:numId w:val="27"/>
              </w:numPr>
              <w:spacing w:line="240" w:lineRule="auto"/>
              <w:ind w:left="320"/>
              <w:jc w:val="both"/>
              <w:rPr>
                <w:rFonts w:ascii="Times New Roman" w:hAnsi="Times New Roman"/>
                <w:color w:val="000000"/>
                <w:spacing w:val="-2"/>
              </w:rPr>
            </w:pPr>
            <w:r w:rsidRPr="00EF5735">
              <w:rPr>
                <w:rFonts w:ascii="Times New Roman" w:hAnsi="Times New Roman"/>
                <w:color w:val="000000"/>
                <w:spacing w:val="-2"/>
              </w:rPr>
              <w:t xml:space="preserve">dostawcy usług w zakresie kryptoaktywów (zapewnianie </w:t>
            </w:r>
            <w:r w:rsidRPr="00EF5735">
              <w:rPr>
                <w:rFonts w:ascii="Times New Roman" w:hAnsi="Times New Roman"/>
                <w:color w:val="000000"/>
                <w:spacing w:val="-2"/>
              </w:rPr>
              <w:lastRenderedPageBreak/>
              <w:t>przechowywania kryptoaktywów i</w:t>
            </w:r>
            <w:r w:rsidR="00184E94" w:rsidRPr="00EF5735">
              <w:rPr>
                <w:rFonts w:ascii="Times New Roman" w:hAnsi="Times New Roman"/>
                <w:color w:val="000000"/>
                <w:spacing w:val="-2"/>
              </w:rPr>
              <w:t> </w:t>
            </w:r>
            <w:r w:rsidRPr="00EF5735">
              <w:rPr>
                <w:rFonts w:ascii="Times New Roman" w:hAnsi="Times New Roman"/>
                <w:color w:val="000000"/>
                <w:spacing w:val="-2"/>
              </w:rPr>
              <w:t>administrowanie nimi w imieniu klientów</w:t>
            </w:r>
            <w:r w:rsidR="00D258BE" w:rsidRPr="00EF5735">
              <w:rPr>
                <w:rFonts w:ascii="Times New Roman" w:hAnsi="Times New Roman"/>
                <w:color w:val="000000"/>
                <w:spacing w:val="-2"/>
              </w:rPr>
              <w:t xml:space="preserve"> oraz </w:t>
            </w:r>
            <w:r w:rsidRPr="00EF5735">
              <w:rPr>
                <w:rFonts w:ascii="Times New Roman" w:hAnsi="Times New Roman"/>
                <w:color w:val="000000"/>
                <w:spacing w:val="-2"/>
              </w:rPr>
              <w:t xml:space="preserve"> świadczenie usług transferu kryptoaktywów w imieniu klientów</w:t>
            </w:r>
            <w:r w:rsidR="00D258BE" w:rsidRPr="00EF5735">
              <w:rPr>
                <w:rFonts w:ascii="Times New Roman" w:hAnsi="Times New Roman"/>
                <w:color w:val="000000"/>
                <w:spacing w:val="-2"/>
              </w:rPr>
              <w:t>, w</w:t>
            </w:r>
            <w:r w:rsidR="00184E94" w:rsidRPr="00EF5735">
              <w:rPr>
                <w:rFonts w:ascii="Times New Roman" w:hAnsi="Times New Roman"/>
                <w:color w:val="000000"/>
                <w:spacing w:val="-2"/>
              </w:rPr>
              <w:t> </w:t>
            </w:r>
            <w:r w:rsidR="00D258BE" w:rsidRPr="00EF5735">
              <w:rPr>
                <w:rFonts w:ascii="Times New Roman" w:hAnsi="Times New Roman"/>
                <w:color w:val="000000"/>
                <w:spacing w:val="-2"/>
              </w:rPr>
              <w:t>odniesieniu do tokenów będących e-</w:t>
            </w:r>
            <w:r w:rsidR="00184E94" w:rsidRPr="00EF5735">
              <w:rPr>
                <w:rFonts w:ascii="Times New Roman" w:hAnsi="Times New Roman"/>
                <w:color w:val="000000"/>
                <w:spacing w:val="-2"/>
              </w:rPr>
              <w:t>pieniądzem</w:t>
            </w:r>
            <w:r w:rsidRPr="00EF5735">
              <w:rPr>
                <w:rFonts w:ascii="Times New Roman" w:hAnsi="Times New Roman"/>
                <w:color w:val="000000"/>
                <w:spacing w:val="-2"/>
              </w:rPr>
              <w:t>).</w:t>
            </w:r>
          </w:p>
        </w:tc>
      </w:tr>
      <w:tr w:rsidR="00771614" w:rsidRPr="008B4FE6" w14:paraId="5C403E79" w14:textId="77777777" w:rsidTr="00D5149F">
        <w:trPr>
          <w:gridAfter w:val="1"/>
          <w:wAfter w:w="7" w:type="dxa"/>
          <w:trHeight w:val="142"/>
        </w:trPr>
        <w:tc>
          <w:tcPr>
            <w:tcW w:w="2668" w:type="dxa"/>
            <w:gridSpan w:val="3"/>
            <w:shd w:val="clear" w:color="auto" w:fill="auto"/>
          </w:tcPr>
          <w:p w14:paraId="41CD574E" w14:textId="798180E2" w:rsidR="00771614" w:rsidRDefault="00771614" w:rsidP="005114C0">
            <w:pPr>
              <w:spacing w:line="240" w:lineRule="auto"/>
              <w:rPr>
                <w:rFonts w:ascii="Times New Roman" w:hAnsi="Times New Roman"/>
                <w:color w:val="000000"/>
              </w:rPr>
            </w:pPr>
            <w:r>
              <w:rPr>
                <w:rFonts w:ascii="Times New Roman" w:hAnsi="Times New Roman"/>
                <w:color w:val="000000"/>
              </w:rPr>
              <w:lastRenderedPageBreak/>
              <w:t>Krajowe Instytucje Płatnicze</w:t>
            </w:r>
          </w:p>
        </w:tc>
        <w:tc>
          <w:tcPr>
            <w:tcW w:w="1614" w:type="dxa"/>
            <w:gridSpan w:val="4"/>
            <w:shd w:val="clear" w:color="auto" w:fill="auto"/>
          </w:tcPr>
          <w:p w14:paraId="7D9B3176" w14:textId="6E8932D0" w:rsidR="00771614" w:rsidRDefault="00771614" w:rsidP="005114C0">
            <w:pPr>
              <w:spacing w:line="240" w:lineRule="auto"/>
              <w:jc w:val="center"/>
              <w:rPr>
                <w:rFonts w:ascii="Times New Roman" w:hAnsi="Times New Roman"/>
                <w:color w:val="000000"/>
                <w:spacing w:val="-2"/>
              </w:rPr>
            </w:pPr>
            <w:r>
              <w:rPr>
                <w:rFonts w:ascii="Times New Roman" w:hAnsi="Times New Roman"/>
                <w:color w:val="000000"/>
                <w:spacing w:val="-2"/>
              </w:rPr>
              <w:t>42</w:t>
            </w:r>
          </w:p>
        </w:tc>
        <w:tc>
          <w:tcPr>
            <w:tcW w:w="2552" w:type="dxa"/>
            <w:gridSpan w:val="11"/>
            <w:shd w:val="clear" w:color="auto" w:fill="auto"/>
          </w:tcPr>
          <w:p w14:paraId="45C56BCF" w14:textId="2410BF1D" w:rsidR="00771614" w:rsidRPr="00451956" w:rsidRDefault="006850BB" w:rsidP="005114C0">
            <w:pPr>
              <w:spacing w:line="240" w:lineRule="auto"/>
              <w:rPr>
                <w:rFonts w:ascii="Times New Roman" w:hAnsi="Times New Roman"/>
                <w:color w:val="000000"/>
                <w:spacing w:val="-2"/>
              </w:rPr>
            </w:pPr>
            <w:hyperlink r:id="rId8" w:history="1">
              <w:r w:rsidR="00173CB6" w:rsidRPr="00F03859">
                <w:rPr>
                  <w:rStyle w:val="Hipercze"/>
                  <w:rFonts w:ascii="Times New Roman" w:hAnsi="Times New Roman"/>
                  <w:spacing w:val="-2"/>
                </w:rPr>
                <w:t>https://e-rup.knf.gov.pl/?type=PSD_PI</w:t>
              </w:r>
            </w:hyperlink>
          </w:p>
        </w:tc>
        <w:tc>
          <w:tcPr>
            <w:tcW w:w="4103" w:type="dxa"/>
            <w:gridSpan w:val="10"/>
            <w:shd w:val="clear" w:color="auto" w:fill="auto"/>
          </w:tcPr>
          <w:p w14:paraId="41C5CC6D" w14:textId="6DFEB289" w:rsidR="00771614" w:rsidRPr="00C155EC" w:rsidRDefault="00771614" w:rsidP="005114C0">
            <w:pPr>
              <w:spacing w:line="240" w:lineRule="auto"/>
              <w:jc w:val="both"/>
              <w:rPr>
                <w:rFonts w:ascii="Times New Roman" w:hAnsi="Times New Roman"/>
                <w:color w:val="000000"/>
                <w:spacing w:val="-2"/>
              </w:rPr>
            </w:pPr>
            <w:r w:rsidRPr="00771614">
              <w:rPr>
                <w:rFonts w:ascii="Times New Roman" w:hAnsi="Times New Roman"/>
                <w:color w:val="000000"/>
                <w:spacing w:val="-2"/>
              </w:rPr>
              <w:t xml:space="preserve">Dostawcy usług w zakresie kryptoaktywów </w:t>
            </w:r>
            <w:r w:rsidR="00BF5F8D">
              <w:rPr>
                <w:rFonts w:ascii="Times New Roman" w:hAnsi="Times New Roman"/>
                <w:color w:val="000000"/>
                <w:spacing w:val="-2"/>
              </w:rPr>
              <w:t>będą mogli</w:t>
            </w:r>
            <w:r w:rsidR="00BF5F8D" w:rsidRPr="00771614">
              <w:rPr>
                <w:rFonts w:ascii="Times New Roman" w:hAnsi="Times New Roman"/>
                <w:color w:val="000000"/>
                <w:spacing w:val="-2"/>
              </w:rPr>
              <w:t xml:space="preserve"> </w:t>
            </w:r>
            <w:r w:rsidRPr="00771614">
              <w:rPr>
                <w:rFonts w:ascii="Times New Roman" w:hAnsi="Times New Roman"/>
                <w:color w:val="000000"/>
                <w:spacing w:val="-2"/>
              </w:rPr>
              <w:t>sami lub za pośrednictwem osoby trzeciej świadczyć usługi płatnicze związane z oferowaną przez siebie usługą w zakresie kryptoaktywów</w:t>
            </w:r>
            <w:r w:rsidR="00C52460">
              <w:rPr>
                <w:rFonts w:ascii="Times New Roman" w:hAnsi="Times New Roman"/>
                <w:color w:val="000000"/>
                <w:spacing w:val="-2"/>
              </w:rPr>
              <w:t>.</w:t>
            </w:r>
          </w:p>
        </w:tc>
      </w:tr>
      <w:tr w:rsidR="00771614" w:rsidRPr="008B4FE6" w14:paraId="1E3B6380" w14:textId="77777777" w:rsidTr="00D5149F">
        <w:trPr>
          <w:gridAfter w:val="1"/>
          <w:wAfter w:w="7" w:type="dxa"/>
          <w:trHeight w:val="142"/>
        </w:trPr>
        <w:tc>
          <w:tcPr>
            <w:tcW w:w="2668" w:type="dxa"/>
            <w:gridSpan w:val="3"/>
            <w:shd w:val="clear" w:color="auto" w:fill="auto"/>
          </w:tcPr>
          <w:p w14:paraId="60B96087" w14:textId="43CDD909" w:rsidR="00771614" w:rsidRDefault="00771614" w:rsidP="005114C0">
            <w:pPr>
              <w:spacing w:line="240" w:lineRule="auto"/>
              <w:rPr>
                <w:rFonts w:ascii="Times New Roman" w:hAnsi="Times New Roman"/>
                <w:color w:val="000000"/>
              </w:rPr>
            </w:pPr>
            <w:r>
              <w:rPr>
                <w:rFonts w:ascii="Times New Roman" w:hAnsi="Times New Roman"/>
                <w:color w:val="000000"/>
              </w:rPr>
              <w:t>Małe Instytucje Płatnicze</w:t>
            </w:r>
          </w:p>
        </w:tc>
        <w:tc>
          <w:tcPr>
            <w:tcW w:w="1614" w:type="dxa"/>
            <w:gridSpan w:val="4"/>
            <w:shd w:val="clear" w:color="auto" w:fill="auto"/>
          </w:tcPr>
          <w:p w14:paraId="42B91241" w14:textId="064945DF" w:rsidR="00771614" w:rsidRDefault="00771614" w:rsidP="005114C0">
            <w:pPr>
              <w:spacing w:line="240" w:lineRule="auto"/>
              <w:jc w:val="center"/>
              <w:rPr>
                <w:rFonts w:ascii="Times New Roman" w:hAnsi="Times New Roman"/>
                <w:color w:val="000000"/>
                <w:spacing w:val="-2"/>
              </w:rPr>
            </w:pPr>
            <w:r>
              <w:rPr>
                <w:rFonts w:ascii="Times New Roman" w:hAnsi="Times New Roman"/>
                <w:color w:val="000000"/>
                <w:spacing w:val="-2"/>
              </w:rPr>
              <w:t>192</w:t>
            </w:r>
          </w:p>
        </w:tc>
        <w:tc>
          <w:tcPr>
            <w:tcW w:w="2552" w:type="dxa"/>
            <w:gridSpan w:val="11"/>
            <w:shd w:val="clear" w:color="auto" w:fill="auto"/>
          </w:tcPr>
          <w:p w14:paraId="50FE2114" w14:textId="3B423A6F" w:rsidR="00771614" w:rsidRPr="00451956" w:rsidRDefault="006850BB" w:rsidP="005114C0">
            <w:pPr>
              <w:spacing w:line="240" w:lineRule="auto"/>
              <w:rPr>
                <w:rFonts w:ascii="Times New Roman" w:hAnsi="Times New Roman"/>
                <w:color w:val="000000"/>
                <w:spacing w:val="-2"/>
              </w:rPr>
            </w:pPr>
            <w:hyperlink r:id="rId9" w:history="1">
              <w:r w:rsidR="00E91BE9" w:rsidRPr="008D09E7">
                <w:rPr>
                  <w:rStyle w:val="Hipercze"/>
                  <w:rFonts w:ascii="Times New Roman" w:hAnsi="Times New Roman"/>
                  <w:spacing w:val="-2"/>
                </w:rPr>
                <w:t>https://e-rup.knf.gov.pl/?type=PSD_EPI@MIP</w:t>
              </w:r>
            </w:hyperlink>
          </w:p>
        </w:tc>
        <w:tc>
          <w:tcPr>
            <w:tcW w:w="4103" w:type="dxa"/>
            <w:gridSpan w:val="10"/>
            <w:shd w:val="clear" w:color="auto" w:fill="auto"/>
          </w:tcPr>
          <w:p w14:paraId="4047D176" w14:textId="5F142575" w:rsidR="00771614" w:rsidRPr="00C155EC" w:rsidRDefault="00771614" w:rsidP="005114C0">
            <w:pPr>
              <w:spacing w:line="240" w:lineRule="auto"/>
              <w:jc w:val="both"/>
              <w:rPr>
                <w:rFonts w:ascii="Times New Roman" w:hAnsi="Times New Roman"/>
                <w:color w:val="000000"/>
                <w:spacing w:val="-2"/>
              </w:rPr>
            </w:pPr>
            <w:r w:rsidRPr="00771614">
              <w:rPr>
                <w:rFonts w:ascii="Times New Roman" w:hAnsi="Times New Roman"/>
                <w:color w:val="000000"/>
                <w:spacing w:val="-2"/>
              </w:rPr>
              <w:t xml:space="preserve">Dostawcy usług w zakresie kryptoaktywów </w:t>
            </w:r>
            <w:r w:rsidR="00BF5F8D">
              <w:rPr>
                <w:rFonts w:ascii="Times New Roman" w:hAnsi="Times New Roman"/>
                <w:color w:val="000000"/>
                <w:spacing w:val="-2"/>
              </w:rPr>
              <w:t>będą mogli</w:t>
            </w:r>
            <w:r w:rsidR="00BF5F8D" w:rsidRPr="00771614">
              <w:rPr>
                <w:rFonts w:ascii="Times New Roman" w:hAnsi="Times New Roman"/>
                <w:color w:val="000000"/>
                <w:spacing w:val="-2"/>
              </w:rPr>
              <w:t xml:space="preserve"> </w:t>
            </w:r>
            <w:r w:rsidRPr="00771614">
              <w:rPr>
                <w:rFonts w:ascii="Times New Roman" w:hAnsi="Times New Roman"/>
                <w:color w:val="000000"/>
                <w:spacing w:val="-2"/>
              </w:rPr>
              <w:t>sami lub za pośrednictwem osoby trzeciej świadczyć usługi płatnicze związane z oferowaną przez siebie usługą w zakresie kryptoaktywów</w:t>
            </w:r>
            <w:r w:rsidR="00C52460">
              <w:rPr>
                <w:rFonts w:ascii="Times New Roman" w:hAnsi="Times New Roman"/>
                <w:color w:val="000000"/>
                <w:spacing w:val="-2"/>
              </w:rPr>
              <w:t>.</w:t>
            </w:r>
          </w:p>
        </w:tc>
      </w:tr>
      <w:tr w:rsidR="005114C0" w:rsidRPr="008B4FE6" w14:paraId="2961C27A" w14:textId="77777777" w:rsidTr="00D5149F">
        <w:trPr>
          <w:gridAfter w:val="1"/>
          <w:wAfter w:w="7" w:type="dxa"/>
          <w:trHeight w:val="142"/>
        </w:trPr>
        <w:tc>
          <w:tcPr>
            <w:tcW w:w="2668" w:type="dxa"/>
            <w:gridSpan w:val="3"/>
            <w:shd w:val="clear" w:color="auto" w:fill="auto"/>
          </w:tcPr>
          <w:p w14:paraId="0C18F8D4" w14:textId="769EEDA8" w:rsidR="005114C0" w:rsidRPr="008B4FE6" w:rsidRDefault="005114C0" w:rsidP="005114C0">
            <w:pPr>
              <w:spacing w:line="240" w:lineRule="auto"/>
              <w:rPr>
                <w:rFonts w:ascii="Times New Roman" w:hAnsi="Times New Roman"/>
                <w:color w:val="000000"/>
                <w:spacing w:val="-2"/>
              </w:rPr>
            </w:pPr>
            <w:r>
              <w:rPr>
                <w:rFonts w:ascii="Times New Roman" w:hAnsi="Times New Roman"/>
                <w:color w:val="000000"/>
                <w:spacing w:val="-2"/>
              </w:rPr>
              <w:t>Firmy inwestycje</w:t>
            </w:r>
            <w:r w:rsidR="00BF5F8D">
              <w:rPr>
                <w:rFonts w:ascii="Times New Roman" w:hAnsi="Times New Roman"/>
                <w:color w:val="000000"/>
                <w:spacing w:val="-2"/>
              </w:rPr>
              <w:t>,</w:t>
            </w:r>
            <w:r>
              <w:rPr>
                <w:rFonts w:ascii="Times New Roman" w:hAnsi="Times New Roman"/>
                <w:color w:val="000000"/>
                <w:spacing w:val="-2"/>
              </w:rPr>
              <w:t xml:space="preserve"> w tym domy maklerskie</w:t>
            </w:r>
            <w:r w:rsidR="00D258BE">
              <w:rPr>
                <w:rFonts w:ascii="Times New Roman" w:hAnsi="Times New Roman"/>
                <w:color w:val="000000"/>
                <w:spacing w:val="-2"/>
              </w:rPr>
              <w:t xml:space="preserve"> i biura maklerskie</w:t>
            </w:r>
          </w:p>
        </w:tc>
        <w:tc>
          <w:tcPr>
            <w:tcW w:w="1614" w:type="dxa"/>
            <w:gridSpan w:val="4"/>
            <w:shd w:val="clear" w:color="auto" w:fill="auto"/>
          </w:tcPr>
          <w:p w14:paraId="350E8B66" w14:textId="77777777" w:rsidR="005114C0" w:rsidRPr="00B37C80" w:rsidRDefault="005114C0" w:rsidP="005114C0">
            <w:pPr>
              <w:spacing w:line="240" w:lineRule="auto"/>
              <w:jc w:val="center"/>
              <w:rPr>
                <w:rFonts w:ascii="Times New Roman" w:hAnsi="Times New Roman"/>
                <w:color w:val="000000"/>
                <w:spacing w:val="-2"/>
              </w:rPr>
            </w:pPr>
            <w:r>
              <w:rPr>
                <w:rFonts w:ascii="Times New Roman" w:hAnsi="Times New Roman"/>
                <w:color w:val="000000"/>
                <w:spacing w:val="-2"/>
              </w:rPr>
              <w:t>32</w:t>
            </w:r>
          </w:p>
        </w:tc>
        <w:tc>
          <w:tcPr>
            <w:tcW w:w="2552" w:type="dxa"/>
            <w:gridSpan w:val="11"/>
            <w:shd w:val="clear" w:color="auto" w:fill="auto"/>
          </w:tcPr>
          <w:p w14:paraId="0A068C3E" w14:textId="23DF9B1E" w:rsidR="005114C0" w:rsidRPr="00B37C80" w:rsidRDefault="006850BB" w:rsidP="00EF5735">
            <w:pPr>
              <w:spacing w:line="240" w:lineRule="auto"/>
              <w:rPr>
                <w:rFonts w:ascii="Times New Roman" w:hAnsi="Times New Roman"/>
                <w:color w:val="000000"/>
                <w:spacing w:val="-2"/>
              </w:rPr>
            </w:pPr>
            <w:hyperlink r:id="rId10" w:history="1">
              <w:r w:rsidR="00173CB6" w:rsidRPr="00F03859">
                <w:rPr>
                  <w:rStyle w:val="Hipercze"/>
                  <w:rFonts w:ascii="Times New Roman" w:hAnsi="Times New Roman"/>
                  <w:spacing w:val="-2"/>
                </w:rPr>
                <w:t>https://www.knf.gov.pl/podmioty/Podmioty_rynku_kapitalowego/Firmy_inwestycyjne_i_Agenci_firm_inwestycyjnych/domy_maklerskie</w:t>
              </w:r>
            </w:hyperlink>
          </w:p>
        </w:tc>
        <w:tc>
          <w:tcPr>
            <w:tcW w:w="4103" w:type="dxa"/>
            <w:gridSpan w:val="10"/>
            <w:shd w:val="clear" w:color="auto" w:fill="auto"/>
          </w:tcPr>
          <w:p w14:paraId="5FED3045" w14:textId="6E842F22" w:rsidR="005114C0" w:rsidRPr="00B37C80" w:rsidRDefault="005114C0" w:rsidP="005114C0">
            <w:pPr>
              <w:spacing w:line="240" w:lineRule="auto"/>
              <w:jc w:val="both"/>
              <w:rPr>
                <w:rFonts w:ascii="Times New Roman" w:hAnsi="Times New Roman"/>
                <w:color w:val="000000"/>
                <w:spacing w:val="-2"/>
              </w:rPr>
            </w:pPr>
            <w:r w:rsidRPr="00C155EC">
              <w:rPr>
                <w:rFonts w:ascii="Times New Roman" w:hAnsi="Times New Roman"/>
                <w:color w:val="000000"/>
                <w:spacing w:val="-2"/>
              </w:rPr>
              <w:t>Prowadzenie działalności bez zezwolenia KNF po spełnieniu wymogów określonych w</w:t>
            </w:r>
            <w:r w:rsidR="00184E94">
              <w:rPr>
                <w:rFonts w:ascii="Times New Roman" w:hAnsi="Times New Roman"/>
                <w:color w:val="000000"/>
                <w:spacing w:val="-2"/>
              </w:rPr>
              <w:t> </w:t>
            </w:r>
            <w:r w:rsidRPr="00C155EC">
              <w:rPr>
                <w:rFonts w:ascii="Times New Roman" w:hAnsi="Times New Roman"/>
                <w:color w:val="000000"/>
                <w:spacing w:val="-2"/>
              </w:rPr>
              <w:t>rozporządzeniu</w:t>
            </w:r>
            <w:r w:rsidR="00AE1506">
              <w:rPr>
                <w:rFonts w:ascii="Times New Roman" w:hAnsi="Times New Roman"/>
                <w:color w:val="000000"/>
                <w:spacing w:val="-2"/>
              </w:rPr>
              <w:t xml:space="preserve"> </w:t>
            </w:r>
            <w:r w:rsidR="00AE1506" w:rsidRPr="00AE1506">
              <w:rPr>
                <w:rFonts w:ascii="Times New Roman" w:hAnsi="Times New Roman"/>
                <w:color w:val="000000"/>
                <w:spacing w:val="-2"/>
              </w:rPr>
              <w:t>2023/1114</w:t>
            </w:r>
            <w:r w:rsidRPr="00C155EC">
              <w:rPr>
                <w:rFonts w:ascii="Times New Roman" w:hAnsi="Times New Roman"/>
                <w:color w:val="000000"/>
                <w:spacing w:val="-2"/>
              </w:rPr>
              <w:t>, w zakresie</w:t>
            </w:r>
            <w:r w:rsidR="00400FA0">
              <w:rPr>
                <w:rFonts w:ascii="Times New Roman" w:hAnsi="Times New Roman"/>
                <w:color w:val="000000"/>
                <w:spacing w:val="-2"/>
              </w:rPr>
              <w:t xml:space="preserve"> </w:t>
            </w:r>
            <w:r w:rsidRPr="00C155EC">
              <w:rPr>
                <w:rFonts w:ascii="Times New Roman" w:hAnsi="Times New Roman"/>
                <w:color w:val="000000"/>
                <w:spacing w:val="-2"/>
              </w:rPr>
              <w:t>dostawcy usług w zakresie kryptoaktywów (</w:t>
            </w:r>
            <w:r w:rsidR="00AE1506">
              <w:rPr>
                <w:rFonts w:ascii="Times New Roman" w:hAnsi="Times New Roman"/>
                <w:color w:val="000000"/>
                <w:spacing w:val="-2"/>
              </w:rPr>
              <w:t>z</w:t>
            </w:r>
            <w:r w:rsidRPr="00C155EC">
              <w:rPr>
                <w:rFonts w:ascii="Times New Roman" w:hAnsi="Times New Roman"/>
                <w:color w:val="000000"/>
                <w:spacing w:val="-2"/>
              </w:rPr>
              <w:t>apewnianie przechowywania kryptoaktywów i administrowanie nimi w</w:t>
            </w:r>
            <w:r w:rsidR="00184E94">
              <w:rPr>
                <w:rFonts w:ascii="Times New Roman" w:hAnsi="Times New Roman"/>
                <w:color w:val="000000"/>
                <w:spacing w:val="-2"/>
              </w:rPr>
              <w:t> </w:t>
            </w:r>
            <w:r w:rsidRPr="00C155EC">
              <w:rPr>
                <w:rFonts w:ascii="Times New Roman" w:hAnsi="Times New Roman"/>
                <w:color w:val="000000"/>
                <w:spacing w:val="-2"/>
              </w:rPr>
              <w:t xml:space="preserve">imieniu klientów, prowadzenie platformy obrotu kryptoaktywami, wymiany kryptoaktywów na środki pieniężne lub inne kryptoaktywa, </w:t>
            </w:r>
            <w:r w:rsidR="00771614">
              <w:rPr>
                <w:rFonts w:ascii="Times New Roman" w:hAnsi="Times New Roman"/>
                <w:color w:val="000000"/>
                <w:spacing w:val="-2"/>
              </w:rPr>
              <w:t>w</w:t>
            </w:r>
            <w:r w:rsidRPr="00C155EC">
              <w:rPr>
                <w:rFonts w:ascii="Times New Roman" w:hAnsi="Times New Roman"/>
                <w:color w:val="000000"/>
                <w:spacing w:val="-2"/>
              </w:rPr>
              <w:t>ykonywanie zleceń związanych z kryptoaktywami w imieniu klientów, plasowanie kryptoaktywów, przyjmowanie i przekazywanie zleceń związanych z kryptoaktywami w imieniu klientów, świadczenie doradztwa w zakresie kryptoaktywów i zarządzanie portfelem w</w:t>
            </w:r>
            <w:r w:rsidR="00184E94">
              <w:rPr>
                <w:rFonts w:ascii="Times New Roman" w:hAnsi="Times New Roman"/>
                <w:color w:val="000000"/>
                <w:spacing w:val="-2"/>
              </w:rPr>
              <w:t> </w:t>
            </w:r>
            <w:r w:rsidRPr="00C155EC">
              <w:rPr>
                <w:rFonts w:ascii="Times New Roman" w:hAnsi="Times New Roman"/>
                <w:color w:val="000000"/>
                <w:spacing w:val="-2"/>
              </w:rPr>
              <w:t>zakresie kryptoaktywów, świadczenie usług transferu kryptoaktywów w imieniu klientów).</w:t>
            </w:r>
          </w:p>
        </w:tc>
      </w:tr>
      <w:tr w:rsidR="00D258BE" w:rsidRPr="008B4FE6" w14:paraId="37DB3C87" w14:textId="77777777" w:rsidTr="00D5149F">
        <w:trPr>
          <w:gridAfter w:val="1"/>
          <w:wAfter w:w="7" w:type="dxa"/>
          <w:trHeight w:val="142"/>
        </w:trPr>
        <w:tc>
          <w:tcPr>
            <w:tcW w:w="2668" w:type="dxa"/>
            <w:gridSpan w:val="3"/>
            <w:shd w:val="clear" w:color="auto" w:fill="auto"/>
          </w:tcPr>
          <w:p w14:paraId="73AE2B7A" w14:textId="17C882B6" w:rsidR="00D258BE" w:rsidRDefault="00D258BE" w:rsidP="00D258BE">
            <w:pPr>
              <w:spacing w:line="240" w:lineRule="auto"/>
              <w:rPr>
                <w:rFonts w:ascii="Times New Roman" w:hAnsi="Times New Roman"/>
                <w:color w:val="000000"/>
                <w:spacing w:val="-2"/>
              </w:rPr>
            </w:pPr>
            <w:r>
              <w:rPr>
                <w:rFonts w:ascii="Times New Roman" w:eastAsia="Times New Roman" w:hAnsi="Times New Roman"/>
                <w:lang w:eastAsia="pl-PL"/>
              </w:rPr>
              <w:t>Spółki prowadzące rynek regulowany (GPW S</w:t>
            </w:r>
            <w:r w:rsidR="00BF5F8D">
              <w:rPr>
                <w:rFonts w:ascii="Times New Roman" w:eastAsia="Times New Roman" w:hAnsi="Times New Roman"/>
                <w:lang w:eastAsia="pl-PL"/>
              </w:rPr>
              <w:t>.</w:t>
            </w:r>
            <w:r>
              <w:rPr>
                <w:rFonts w:ascii="Times New Roman" w:eastAsia="Times New Roman" w:hAnsi="Times New Roman"/>
                <w:lang w:eastAsia="pl-PL"/>
              </w:rPr>
              <w:t>A</w:t>
            </w:r>
            <w:r w:rsidR="00BF5F8D">
              <w:rPr>
                <w:rFonts w:ascii="Times New Roman" w:eastAsia="Times New Roman" w:hAnsi="Times New Roman"/>
                <w:lang w:eastAsia="pl-PL"/>
              </w:rPr>
              <w:t>.</w:t>
            </w:r>
            <w:r>
              <w:rPr>
                <w:rFonts w:ascii="Times New Roman" w:eastAsia="Times New Roman" w:hAnsi="Times New Roman"/>
                <w:lang w:eastAsia="pl-PL"/>
              </w:rPr>
              <w:t>, TGE S</w:t>
            </w:r>
            <w:r w:rsidR="00BF5F8D">
              <w:rPr>
                <w:rFonts w:ascii="Times New Roman" w:eastAsia="Times New Roman" w:hAnsi="Times New Roman"/>
                <w:lang w:eastAsia="pl-PL"/>
              </w:rPr>
              <w:t>.</w:t>
            </w:r>
            <w:r>
              <w:rPr>
                <w:rFonts w:ascii="Times New Roman" w:eastAsia="Times New Roman" w:hAnsi="Times New Roman"/>
                <w:lang w:eastAsia="pl-PL"/>
              </w:rPr>
              <w:t>A</w:t>
            </w:r>
            <w:r w:rsidR="00BF5F8D">
              <w:rPr>
                <w:rFonts w:ascii="Times New Roman" w:eastAsia="Times New Roman" w:hAnsi="Times New Roman"/>
                <w:lang w:eastAsia="pl-PL"/>
              </w:rPr>
              <w:t>.</w:t>
            </w:r>
            <w:r>
              <w:rPr>
                <w:rFonts w:ascii="Times New Roman" w:eastAsia="Times New Roman" w:hAnsi="Times New Roman"/>
                <w:lang w:eastAsia="pl-PL"/>
              </w:rPr>
              <w:t xml:space="preserve"> oraz </w:t>
            </w:r>
            <w:proofErr w:type="spellStart"/>
            <w:r>
              <w:rPr>
                <w:rFonts w:ascii="Times New Roman" w:eastAsia="Times New Roman" w:hAnsi="Times New Roman"/>
                <w:lang w:eastAsia="pl-PL"/>
              </w:rPr>
              <w:t>BondSpot</w:t>
            </w:r>
            <w:proofErr w:type="spellEnd"/>
            <w:r>
              <w:rPr>
                <w:rFonts w:ascii="Times New Roman" w:eastAsia="Times New Roman" w:hAnsi="Times New Roman"/>
                <w:lang w:eastAsia="pl-PL"/>
              </w:rPr>
              <w:t xml:space="preserve"> S</w:t>
            </w:r>
            <w:r w:rsidR="00BF5F8D">
              <w:rPr>
                <w:rFonts w:ascii="Times New Roman" w:eastAsia="Times New Roman" w:hAnsi="Times New Roman"/>
                <w:lang w:eastAsia="pl-PL"/>
              </w:rPr>
              <w:t>.</w:t>
            </w:r>
            <w:r>
              <w:rPr>
                <w:rFonts w:ascii="Times New Roman" w:eastAsia="Times New Roman" w:hAnsi="Times New Roman"/>
                <w:lang w:eastAsia="pl-PL"/>
              </w:rPr>
              <w:t>A</w:t>
            </w:r>
            <w:r w:rsidR="00BF5F8D">
              <w:rPr>
                <w:rFonts w:ascii="Times New Roman" w:eastAsia="Times New Roman" w:hAnsi="Times New Roman"/>
                <w:lang w:eastAsia="pl-PL"/>
              </w:rPr>
              <w:t>.</w:t>
            </w:r>
            <w:r>
              <w:rPr>
                <w:rFonts w:ascii="Times New Roman" w:eastAsia="Times New Roman" w:hAnsi="Times New Roman"/>
                <w:lang w:eastAsia="pl-PL"/>
              </w:rPr>
              <w:t>)</w:t>
            </w:r>
          </w:p>
        </w:tc>
        <w:tc>
          <w:tcPr>
            <w:tcW w:w="1614" w:type="dxa"/>
            <w:gridSpan w:val="4"/>
            <w:shd w:val="clear" w:color="auto" w:fill="auto"/>
          </w:tcPr>
          <w:p w14:paraId="7BC6D071" w14:textId="63F18166" w:rsidR="00D258BE" w:rsidRDefault="00D258BE" w:rsidP="00D258BE">
            <w:pPr>
              <w:spacing w:line="240" w:lineRule="auto"/>
              <w:jc w:val="center"/>
              <w:rPr>
                <w:rFonts w:ascii="Times New Roman" w:hAnsi="Times New Roman"/>
                <w:color w:val="000000"/>
                <w:spacing w:val="-2"/>
              </w:rPr>
            </w:pPr>
            <w:r>
              <w:rPr>
                <w:rFonts w:ascii="Times New Roman" w:eastAsia="Times New Roman" w:hAnsi="Times New Roman"/>
                <w:lang w:eastAsia="pl-PL"/>
              </w:rPr>
              <w:t>3</w:t>
            </w:r>
          </w:p>
        </w:tc>
        <w:tc>
          <w:tcPr>
            <w:tcW w:w="2552" w:type="dxa"/>
            <w:gridSpan w:val="11"/>
            <w:shd w:val="clear" w:color="auto" w:fill="auto"/>
          </w:tcPr>
          <w:p w14:paraId="15377943" w14:textId="42FE0F2E" w:rsidR="00D258BE" w:rsidRPr="00C32C69" w:rsidRDefault="00D258BE" w:rsidP="00EF5735">
            <w:pPr>
              <w:spacing w:line="240" w:lineRule="auto"/>
              <w:rPr>
                <w:rFonts w:ascii="Times New Roman" w:hAnsi="Times New Roman"/>
                <w:color w:val="000000"/>
                <w:spacing w:val="-2"/>
              </w:rPr>
            </w:pPr>
            <w:r w:rsidRPr="00FC7C74">
              <w:rPr>
                <w:rFonts w:ascii="Times New Roman" w:hAnsi="Times New Roman"/>
                <w:color w:val="000000" w:themeColor="text1"/>
              </w:rPr>
              <w:t>Ustawa z dnia 29 lipca 2005 r. o obrocie instrumentami finansowymi</w:t>
            </w:r>
          </w:p>
        </w:tc>
        <w:tc>
          <w:tcPr>
            <w:tcW w:w="4103" w:type="dxa"/>
            <w:gridSpan w:val="10"/>
            <w:shd w:val="clear" w:color="auto" w:fill="auto"/>
          </w:tcPr>
          <w:p w14:paraId="0C33BCB6" w14:textId="5C60D2CF" w:rsidR="00D258BE" w:rsidRPr="00C155EC" w:rsidRDefault="00D258BE" w:rsidP="00D258BE">
            <w:pPr>
              <w:spacing w:line="240" w:lineRule="auto"/>
              <w:jc w:val="both"/>
              <w:rPr>
                <w:rFonts w:ascii="Times New Roman" w:hAnsi="Times New Roman"/>
                <w:color w:val="000000"/>
                <w:spacing w:val="-2"/>
              </w:rPr>
            </w:pPr>
            <w:r w:rsidRPr="00FC7C74">
              <w:rPr>
                <w:rFonts w:ascii="Times New Roman" w:hAnsi="Times New Roman"/>
                <w:color w:val="000000"/>
                <w:spacing w:val="-2"/>
              </w:rPr>
              <w:t>Prowadzenie działalności bez zezwolenia KNF po spełnieniu wymogów określonych w rozporządzeniu</w:t>
            </w:r>
            <w:r w:rsidR="00AE1506">
              <w:rPr>
                <w:rFonts w:ascii="Times New Roman" w:hAnsi="Times New Roman"/>
                <w:color w:val="000000"/>
                <w:spacing w:val="-2"/>
              </w:rPr>
              <w:t xml:space="preserve"> </w:t>
            </w:r>
            <w:r w:rsidR="00AE1506" w:rsidRPr="00AE1506">
              <w:rPr>
                <w:rFonts w:ascii="Times New Roman" w:hAnsi="Times New Roman"/>
                <w:color w:val="000000"/>
                <w:spacing w:val="-2"/>
              </w:rPr>
              <w:t>2023/1114</w:t>
            </w:r>
            <w:r w:rsidRPr="00FC7C74">
              <w:rPr>
                <w:rFonts w:ascii="Times New Roman" w:hAnsi="Times New Roman"/>
                <w:color w:val="000000"/>
                <w:spacing w:val="-2"/>
              </w:rPr>
              <w:t>, w zakresie dostawcy usług w zakresie kryptoaktywów (prowadzenie platformy obrotu kryptoaktywami).</w:t>
            </w:r>
          </w:p>
        </w:tc>
      </w:tr>
      <w:tr w:rsidR="005114C0" w:rsidRPr="008B4FE6" w14:paraId="65F08419" w14:textId="77777777" w:rsidTr="00D5149F">
        <w:trPr>
          <w:gridAfter w:val="1"/>
          <w:wAfter w:w="7" w:type="dxa"/>
          <w:trHeight w:val="142"/>
        </w:trPr>
        <w:tc>
          <w:tcPr>
            <w:tcW w:w="2668" w:type="dxa"/>
            <w:gridSpan w:val="3"/>
            <w:shd w:val="clear" w:color="auto" w:fill="auto"/>
          </w:tcPr>
          <w:p w14:paraId="266E7C04" w14:textId="77777777" w:rsidR="005114C0" w:rsidRPr="008B4FE6" w:rsidRDefault="005114C0" w:rsidP="005114C0">
            <w:pPr>
              <w:tabs>
                <w:tab w:val="left" w:pos="1560"/>
              </w:tabs>
              <w:spacing w:line="240" w:lineRule="auto"/>
              <w:rPr>
                <w:rFonts w:ascii="Times New Roman" w:hAnsi="Times New Roman"/>
                <w:color w:val="000000"/>
              </w:rPr>
            </w:pPr>
            <w:r w:rsidRPr="005D5596">
              <w:rPr>
                <w:rFonts w:ascii="Times New Roman" w:eastAsia="Times New Roman" w:hAnsi="Times New Roman"/>
                <w:lang w:eastAsia="pl-PL"/>
              </w:rPr>
              <w:t>Krajowy Depozyt Papierów Wartościowych S.A.</w:t>
            </w:r>
          </w:p>
        </w:tc>
        <w:tc>
          <w:tcPr>
            <w:tcW w:w="1614" w:type="dxa"/>
            <w:gridSpan w:val="4"/>
            <w:shd w:val="clear" w:color="auto" w:fill="auto"/>
          </w:tcPr>
          <w:p w14:paraId="77987A0B" w14:textId="77777777" w:rsidR="005114C0" w:rsidRPr="00B37C80" w:rsidRDefault="005114C0" w:rsidP="005114C0">
            <w:pPr>
              <w:spacing w:line="240" w:lineRule="auto"/>
              <w:jc w:val="center"/>
              <w:rPr>
                <w:rFonts w:ascii="Times New Roman" w:hAnsi="Times New Roman"/>
                <w:color w:val="000000"/>
                <w:spacing w:val="-2"/>
              </w:rPr>
            </w:pPr>
            <w:r w:rsidRPr="005D5596">
              <w:rPr>
                <w:rFonts w:ascii="Times New Roman" w:eastAsia="Times New Roman" w:hAnsi="Times New Roman"/>
                <w:lang w:eastAsia="pl-PL"/>
              </w:rPr>
              <w:t>1</w:t>
            </w:r>
          </w:p>
        </w:tc>
        <w:tc>
          <w:tcPr>
            <w:tcW w:w="2552" w:type="dxa"/>
            <w:gridSpan w:val="11"/>
            <w:shd w:val="clear" w:color="auto" w:fill="auto"/>
          </w:tcPr>
          <w:p w14:paraId="2F8EFAF9" w14:textId="77777777" w:rsidR="005114C0" w:rsidRPr="00B37C80" w:rsidRDefault="005114C0" w:rsidP="00EF5735">
            <w:pPr>
              <w:spacing w:line="240" w:lineRule="auto"/>
              <w:rPr>
                <w:rFonts w:ascii="Times New Roman" w:hAnsi="Times New Roman"/>
                <w:color w:val="000000"/>
                <w:spacing w:val="-2"/>
              </w:rPr>
            </w:pPr>
            <w:r w:rsidRPr="005D5596">
              <w:rPr>
                <w:rFonts w:ascii="Times New Roman" w:hAnsi="Times New Roman"/>
                <w:color w:val="000000" w:themeColor="text1"/>
              </w:rPr>
              <w:t>Ustawa z dnia 29 lipca 2005 r. o obrocie instrumentami finansowymi</w:t>
            </w:r>
          </w:p>
        </w:tc>
        <w:tc>
          <w:tcPr>
            <w:tcW w:w="4103" w:type="dxa"/>
            <w:gridSpan w:val="10"/>
            <w:shd w:val="clear" w:color="auto" w:fill="auto"/>
          </w:tcPr>
          <w:p w14:paraId="578D61DF" w14:textId="2E7EA185" w:rsidR="005114C0" w:rsidRPr="00B37C80" w:rsidRDefault="005114C0" w:rsidP="005114C0">
            <w:pPr>
              <w:spacing w:line="240" w:lineRule="auto"/>
              <w:jc w:val="both"/>
              <w:rPr>
                <w:rFonts w:ascii="Times New Roman" w:hAnsi="Times New Roman"/>
                <w:color w:val="000000"/>
                <w:spacing w:val="-2"/>
              </w:rPr>
            </w:pPr>
            <w:r w:rsidRPr="00C155EC">
              <w:rPr>
                <w:rFonts w:ascii="Times New Roman" w:hAnsi="Times New Roman"/>
                <w:color w:val="000000"/>
                <w:spacing w:val="-2"/>
              </w:rPr>
              <w:t>Prowadzenie działalności bez zezwolenia KNF po spełnieniu wymogów określonych w</w:t>
            </w:r>
            <w:r w:rsidR="00184E94">
              <w:rPr>
                <w:rFonts w:ascii="Times New Roman" w:hAnsi="Times New Roman"/>
                <w:color w:val="000000"/>
                <w:spacing w:val="-2"/>
              </w:rPr>
              <w:t> </w:t>
            </w:r>
            <w:r w:rsidRPr="00C155EC">
              <w:rPr>
                <w:rFonts w:ascii="Times New Roman" w:hAnsi="Times New Roman"/>
                <w:color w:val="000000"/>
                <w:spacing w:val="-2"/>
              </w:rPr>
              <w:t>rozporządzeniu</w:t>
            </w:r>
            <w:r w:rsidR="00AE1506">
              <w:rPr>
                <w:rFonts w:ascii="Times New Roman" w:hAnsi="Times New Roman"/>
                <w:color w:val="000000"/>
                <w:spacing w:val="-2"/>
              </w:rPr>
              <w:t xml:space="preserve"> </w:t>
            </w:r>
            <w:r w:rsidR="00AE1506" w:rsidRPr="00AE1506">
              <w:rPr>
                <w:rFonts w:ascii="Times New Roman" w:hAnsi="Times New Roman"/>
                <w:color w:val="000000"/>
                <w:spacing w:val="-2"/>
              </w:rPr>
              <w:t>2023/1114</w:t>
            </w:r>
            <w:r w:rsidRPr="00C155EC">
              <w:rPr>
                <w:rFonts w:ascii="Times New Roman" w:hAnsi="Times New Roman"/>
                <w:color w:val="000000"/>
                <w:spacing w:val="-2"/>
              </w:rPr>
              <w:t>, w zakresie dostawcy usług w zakresie kryptoaktywów (zapewnianie przechowywania kryptoaktywów i administrowanie nimi w</w:t>
            </w:r>
            <w:r w:rsidR="00184E94">
              <w:rPr>
                <w:rFonts w:ascii="Times New Roman" w:hAnsi="Times New Roman"/>
                <w:color w:val="000000"/>
                <w:spacing w:val="-2"/>
              </w:rPr>
              <w:t> </w:t>
            </w:r>
            <w:r w:rsidRPr="00C155EC">
              <w:rPr>
                <w:rFonts w:ascii="Times New Roman" w:hAnsi="Times New Roman"/>
                <w:color w:val="000000"/>
                <w:spacing w:val="-2"/>
              </w:rPr>
              <w:t>imieniu klientów).</w:t>
            </w:r>
          </w:p>
        </w:tc>
      </w:tr>
      <w:tr w:rsidR="005114C0" w:rsidRPr="008B4FE6" w14:paraId="010E2F1B" w14:textId="77777777" w:rsidTr="00D5149F">
        <w:trPr>
          <w:gridAfter w:val="1"/>
          <w:wAfter w:w="7" w:type="dxa"/>
          <w:trHeight w:val="142"/>
        </w:trPr>
        <w:tc>
          <w:tcPr>
            <w:tcW w:w="2668" w:type="dxa"/>
            <w:gridSpan w:val="3"/>
            <w:shd w:val="clear" w:color="auto" w:fill="auto"/>
          </w:tcPr>
          <w:p w14:paraId="570895FC" w14:textId="61E53D26" w:rsidR="005114C0" w:rsidRPr="008B4FE6" w:rsidRDefault="005114C0" w:rsidP="005114C0">
            <w:pPr>
              <w:tabs>
                <w:tab w:val="left" w:pos="1560"/>
              </w:tabs>
              <w:spacing w:line="240" w:lineRule="auto"/>
              <w:rPr>
                <w:rFonts w:ascii="Times New Roman" w:hAnsi="Times New Roman"/>
                <w:color w:val="000000"/>
              </w:rPr>
            </w:pPr>
            <w:r w:rsidRPr="005135BF">
              <w:rPr>
                <w:rFonts w:ascii="Times New Roman" w:hAnsi="Times New Roman"/>
                <w:color w:val="000000"/>
              </w:rPr>
              <w:t xml:space="preserve">Towarzystwa funduszy inwestycyjnych </w:t>
            </w:r>
          </w:p>
        </w:tc>
        <w:tc>
          <w:tcPr>
            <w:tcW w:w="1614" w:type="dxa"/>
            <w:gridSpan w:val="4"/>
            <w:shd w:val="clear" w:color="auto" w:fill="auto"/>
          </w:tcPr>
          <w:p w14:paraId="7F6EDBC1" w14:textId="3267D2D7" w:rsidR="005114C0" w:rsidRPr="00B37C80" w:rsidRDefault="005114C0" w:rsidP="005114C0">
            <w:pPr>
              <w:spacing w:line="240" w:lineRule="auto"/>
              <w:jc w:val="center"/>
              <w:rPr>
                <w:rFonts w:ascii="Times New Roman" w:hAnsi="Times New Roman"/>
                <w:color w:val="000000"/>
                <w:spacing w:val="-2"/>
              </w:rPr>
            </w:pPr>
            <w:r>
              <w:rPr>
                <w:rFonts w:ascii="Times New Roman" w:hAnsi="Times New Roman"/>
                <w:color w:val="000000"/>
                <w:spacing w:val="-2"/>
              </w:rPr>
              <w:t>3</w:t>
            </w:r>
            <w:r w:rsidR="00D258BE">
              <w:rPr>
                <w:rFonts w:ascii="Times New Roman" w:hAnsi="Times New Roman"/>
                <w:color w:val="000000"/>
                <w:spacing w:val="-2"/>
              </w:rPr>
              <w:t>0</w:t>
            </w:r>
          </w:p>
        </w:tc>
        <w:tc>
          <w:tcPr>
            <w:tcW w:w="2552" w:type="dxa"/>
            <w:gridSpan w:val="11"/>
            <w:shd w:val="clear" w:color="auto" w:fill="auto"/>
          </w:tcPr>
          <w:p w14:paraId="5AF17AF1" w14:textId="422D4CF6" w:rsidR="005114C0" w:rsidRPr="00B37C80" w:rsidRDefault="005114C0" w:rsidP="005114C0">
            <w:pPr>
              <w:spacing w:line="240" w:lineRule="auto"/>
              <w:rPr>
                <w:rFonts w:ascii="Times New Roman" w:hAnsi="Times New Roman"/>
                <w:color w:val="000000"/>
                <w:spacing w:val="-2"/>
              </w:rPr>
            </w:pPr>
            <w:r w:rsidRPr="005135BF">
              <w:rPr>
                <w:rFonts w:ascii="Times New Roman" w:hAnsi="Times New Roman"/>
                <w:color w:val="000000"/>
                <w:spacing w:val="-2"/>
              </w:rPr>
              <w:t>https://www.knf.gov.pl/podmioty/Podmioty_rynku_kapitalowego/Fundusze_Inwestycyjne/TFI_i_FI</w:t>
            </w:r>
          </w:p>
        </w:tc>
        <w:tc>
          <w:tcPr>
            <w:tcW w:w="4103" w:type="dxa"/>
            <w:gridSpan w:val="10"/>
            <w:shd w:val="clear" w:color="auto" w:fill="auto"/>
          </w:tcPr>
          <w:p w14:paraId="748DDAC2" w14:textId="0136029B" w:rsidR="005114C0" w:rsidRPr="00B37C80" w:rsidRDefault="00400FA0" w:rsidP="005114C0">
            <w:pPr>
              <w:spacing w:line="240" w:lineRule="auto"/>
              <w:jc w:val="both"/>
              <w:rPr>
                <w:rFonts w:ascii="Times New Roman" w:hAnsi="Times New Roman"/>
                <w:color w:val="000000"/>
                <w:spacing w:val="-2"/>
              </w:rPr>
            </w:pPr>
            <w:r>
              <w:rPr>
                <w:rFonts w:ascii="Times New Roman" w:hAnsi="Times New Roman"/>
                <w:color w:val="000000"/>
                <w:spacing w:val="-2"/>
              </w:rPr>
              <w:t>P</w:t>
            </w:r>
            <w:r w:rsidR="005114C0" w:rsidRPr="00C155EC">
              <w:rPr>
                <w:rFonts w:ascii="Times New Roman" w:hAnsi="Times New Roman"/>
                <w:color w:val="000000"/>
                <w:spacing w:val="-2"/>
              </w:rPr>
              <w:t>rzyjmowanie i przekazywanie zleceń związanych z kryptoaktywami w imieniu klientów, świadczenie doradztwa w zakresie kryptoaktywów i zarządzanie portfelem w</w:t>
            </w:r>
            <w:r w:rsidR="00184E94">
              <w:rPr>
                <w:rFonts w:ascii="Times New Roman" w:hAnsi="Times New Roman"/>
                <w:color w:val="000000"/>
                <w:spacing w:val="-2"/>
              </w:rPr>
              <w:t> </w:t>
            </w:r>
            <w:r w:rsidR="005114C0" w:rsidRPr="00C155EC">
              <w:rPr>
                <w:rFonts w:ascii="Times New Roman" w:hAnsi="Times New Roman"/>
                <w:color w:val="000000"/>
                <w:spacing w:val="-2"/>
              </w:rPr>
              <w:t>zakresie kryptoaktywów, świadczenie usług transferu kryptoaktywów w imieniu klientów.</w:t>
            </w:r>
          </w:p>
        </w:tc>
      </w:tr>
      <w:tr w:rsidR="005114C0" w:rsidRPr="008B4FE6" w14:paraId="63A376E6" w14:textId="77777777" w:rsidTr="00D5149F">
        <w:trPr>
          <w:gridAfter w:val="1"/>
          <w:wAfter w:w="7" w:type="dxa"/>
          <w:trHeight w:val="302"/>
        </w:trPr>
        <w:tc>
          <w:tcPr>
            <w:tcW w:w="10937" w:type="dxa"/>
            <w:gridSpan w:val="28"/>
            <w:shd w:val="clear" w:color="auto" w:fill="99CCFF"/>
            <w:vAlign w:val="center"/>
          </w:tcPr>
          <w:p w14:paraId="50D70339" w14:textId="77777777" w:rsidR="005114C0" w:rsidRPr="008B4FE6" w:rsidRDefault="005114C0" w:rsidP="005114C0">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 czasu trwania i podsumowanie wyników </w:t>
            </w:r>
            <w:r w:rsidRPr="008B4FE6">
              <w:rPr>
                <w:rFonts w:ascii="Times New Roman" w:hAnsi="Times New Roman"/>
                <w:b/>
                <w:color w:val="000000"/>
              </w:rPr>
              <w:t>konsultacji</w:t>
            </w:r>
          </w:p>
        </w:tc>
      </w:tr>
      <w:tr w:rsidR="005114C0" w:rsidRPr="008B4FE6" w14:paraId="086E2347" w14:textId="77777777" w:rsidTr="00D5149F">
        <w:trPr>
          <w:gridAfter w:val="1"/>
          <w:wAfter w:w="7" w:type="dxa"/>
          <w:trHeight w:val="342"/>
        </w:trPr>
        <w:tc>
          <w:tcPr>
            <w:tcW w:w="10937" w:type="dxa"/>
            <w:gridSpan w:val="28"/>
            <w:shd w:val="clear" w:color="auto" w:fill="FFFFFF"/>
          </w:tcPr>
          <w:p w14:paraId="1115438D" w14:textId="77777777" w:rsidR="005114C0" w:rsidRDefault="005114C0" w:rsidP="005114C0">
            <w:pPr>
              <w:spacing w:line="240" w:lineRule="auto"/>
              <w:jc w:val="both"/>
              <w:rPr>
                <w:rFonts w:ascii="Times New Roman" w:hAnsi="Times New Roman"/>
                <w:color w:val="000000"/>
                <w:spacing w:val="-2"/>
              </w:rPr>
            </w:pPr>
            <w:r w:rsidRPr="00E67900">
              <w:rPr>
                <w:rFonts w:ascii="Times New Roman" w:hAnsi="Times New Roman"/>
                <w:color w:val="000000"/>
                <w:spacing w:val="-2"/>
              </w:rPr>
              <w:t xml:space="preserve">Nie przeprowadzono konsultacji poprzedzających przygotowanie projektu ustawy. </w:t>
            </w:r>
          </w:p>
          <w:p w14:paraId="77CD4492" w14:textId="77777777" w:rsidR="005114C0" w:rsidRPr="00E67900" w:rsidRDefault="005114C0" w:rsidP="005114C0">
            <w:pPr>
              <w:spacing w:line="240" w:lineRule="auto"/>
              <w:jc w:val="both"/>
              <w:rPr>
                <w:rFonts w:ascii="Times New Roman" w:hAnsi="Times New Roman"/>
                <w:color w:val="000000"/>
                <w:spacing w:val="-2"/>
              </w:rPr>
            </w:pPr>
          </w:p>
          <w:p w14:paraId="18CC98C4" w14:textId="1B6C8AA4" w:rsidR="005114C0" w:rsidRDefault="005114C0" w:rsidP="005114C0">
            <w:pPr>
              <w:spacing w:line="240" w:lineRule="auto"/>
              <w:jc w:val="both"/>
              <w:rPr>
                <w:rFonts w:ascii="Times New Roman" w:hAnsi="Times New Roman"/>
                <w:color w:val="000000"/>
                <w:spacing w:val="-2"/>
              </w:rPr>
            </w:pPr>
            <w:r w:rsidRPr="00E67900">
              <w:rPr>
                <w:rFonts w:ascii="Times New Roman" w:hAnsi="Times New Roman"/>
                <w:color w:val="000000"/>
                <w:spacing w:val="-2"/>
              </w:rPr>
              <w:t>W ramach konsultacji publicznych i opiniowania projekt ustawy zosta</w:t>
            </w:r>
            <w:r>
              <w:rPr>
                <w:rFonts w:ascii="Times New Roman" w:hAnsi="Times New Roman"/>
                <w:color w:val="000000"/>
                <w:spacing w:val="-2"/>
              </w:rPr>
              <w:t>nie</w:t>
            </w:r>
            <w:r w:rsidRPr="00E67900">
              <w:rPr>
                <w:rFonts w:ascii="Times New Roman" w:hAnsi="Times New Roman"/>
                <w:color w:val="000000"/>
                <w:spacing w:val="-2"/>
              </w:rPr>
              <w:t xml:space="preserve"> przekazany Urzędowi Ochrony Konkurencji i</w:t>
            </w:r>
            <w:r w:rsidR="00184E94">
              <w:rPr>
                <w:rFonts w:ascii="Times New Roman" w:hAnsi="Times New Roman"/>
                <w:color w:val="000000"/>
                <w:spacing w:val="-2"/>
              </w:rPr>
              <w:t> </w:t>
            </w:r>
            <w:r w:rsidRPr="00E67900">
              <w:rPr>
                <w:rFonts w:ascii="Times New Roman" w:hAnsi="Times New Roman"/>
                <w:color w:val="000000"/>
                <w:spacing w:val="-2"/>
              </w:rPr>
              <w:t xml:space="preserve">Konsumentów, Urzędowi Komisji Nadzoru Finansowego, Polskiej Agencji Nadzoru Audytowego, Bankowemu Funduszowi Gwarancyjnemu, Narodowemu Bankowi Polskiemu, Rzecznikowi Praw Obywatelskich, Rzecznikowi </w:t>
            </w:r>
            <w:r w:rsidRPr="00E67900">
              <w:rPr>
                <w:rFonts w:ascii="Times New Roman" w:hAnsi="Times New Roman"/>
                <w:color w:val="000000"/>
                <w:spacing w:val="-2"/>
              </w:rPr>
              <w:lastRenderedPageBreak/>
              <w:t>Finansowemu, Rzecznikowi Małych i Średnich Przedsiębiorców, Głównemu Urzędowi Statystycznemu, Prokuratorii Generalnej Rzeczypospolitej Polskiej, Urzędowi Ochrony Danych Osobowych, Urzędowi Zamówień Publicznych, Urzędowi Regulacji Energetyki, Ubezpieczeniowemu Funduszowi Gwarancyjnemu, Polskiemu Funduszowi Rozwoju S.A., Polskiemu Biuru Ubezpieczycieli Komunikacyjnych, Polskiej Izbie Ubezpieczeń, Stowarzyszeniu Polskich Brokerów Ubezpieczeniowych i Reasekuracyjnych, Polskiej Izbie Brokerów Ubezpieczeniowych i</w:t>
            </w:r>
            <w:r w:rsidR="00184E94">
              <w:rPr>
                <w:rFonts w:ascii="Times New Roman" w:hAnsi="Times New Roman"/>
                <w:color w:val="000000"/>
                <w:spacing w:val="-2"/>
              </w:rPr>
              <w:t> </w:t>
            </w:r>
            <w:r w:rsidRPr="00E67900">
              <w:rPr>
                <w:rFonts w:ascii="Times New Roman" w:hAnsi="Times New Roman"/>
                <w:color w:val="000000"/>
                <w:spacing w:val="-2"/>
              </w:rPr>
              <w:t xml:space="preserve">Reasekuracyjnych, Polskiej Izbie Pośredników Ubezpieczeniowych i Reasekuracyjnych, Polskiemu Stowarzyszeniu Aktuariuszy, Związkowi Banków Polskich, Krajowemu Związkowi Banków Spółdzielczych, Krajowej Spółdzielczej Kasie Oszczędnościowo-Kredytowej, Izbie Gospodarczej Towarzystw Emerytalnych, Polskiej Izbie Biegłych Rewidentów, Radzie Banków Depozytariuszy, Krajowemu Depozytowi Papierów Wartościowych S.A., Giełdzie Papierów Wartościowych S.A., Izbie Domów Maklerskich, Izbie Zarządzających Funduszami i Aktywami, Stowarzyszeniu Emitentów Giełdowych, </w:t>
            </w:r>
            <w:proofErr w:type="spellStart"/>
            <w:r w:rsidRPr="00E67900">
              <w:rPr>
                <w:rFonts w:ascii="Times New Roman" w:hAnsi="Times New Roman"/>
                <w:color w:val="000000"/>
                <w:spacing w:val="-2"/>
              </w:rPr>
              <w:t>BondSpot</w:t>
            </w:r>
            <w:proofErr w:type="spellEnd"/>
            <w:r w:rsidRPr="00E67900">
              <w:rPr>
                <w:rFonts w:ascii="Times New Roman" w:hAnsi="Times New Roman"/>
                <w:color w:val="000000"/>
                <w:spacing w:val="-2"/>
              </w:rPr>
              <w:t xml:space="preserve"> S.A., Stowarzyszeniu </w:t>
            </w:r>
            <w:proofErr w:type="spellStart"/>
            <w:r w:rsidRPr="00E67900">
              <w:rPr>
                <w:rFonts w:ascii="Times New Roman" w:hAnsi="Times New Roman"/>
                <w:color w:val="000000"/>
                <w:spacing w:val="-2"/>
              </w:rPr>
              <w:t>Compliance</w:t>
            </w:r>
            <w:proofErr w:type="spellEnd"/>
            <w:r w:rsidRPr="00E67900">
              <w:rPr>
                <w:rFonts w:ascii="Times New Roman" w:hAnsi="Times New Roman"/>
                <w:color w:val="000000"/>
                <w:spacing w:val="-2"/>
              </w:rPr>
              <w:t xml:space="preserve"> Polska, Towarowej Giełdzie Energii S.A., Związkowi Przedsiębiorstw Finansowych w Polsce, Stowarzyszeniu Inwestorów Indywidulanych, Związkowi Maklerów i Doradców, Stowarzyszeniu Inwestorów Kapitałowych, Stowarzyszeniu CFA </w:t>
            </w:r>
            <w:proofErr w:type="spellStart"/>
            <w:r w:rsidRPr="00E67900">
              <w:rPr>
                <w:rFonts w:ascii="Times New Roman" w:hAnsi="Times New Roman"/>
                <w:color w:val="000000"/>
                <w:spacing w:val="-2"/>
              </w:rPr>
              <w:t>Society</w:t>
            </w:r>
            <w:proofErr w:type="spellEnd"/>
            <w:r w:rsidRPr="00E67900">
              <w:rPr>
                <w:rFonts w:ascii="Times New Roman" w:hAnsi="Times New Roman"/>
                <w:color w:val="000000"/>
                <w:spacing w:val="-2"/>
              </w:rPr>
              <w:t xml:space="preserve"> Poland, Stowarzyszeniu Rynków Finansowych ACI Polska,</w:t>
            </w:r>
            <w:r w:rsidR="00D258BE">
              <w:t xml:space="preserve"> </w:t>
            </w:r>
            <w:r w:rsidR="00D258BE" w:rsidRPr="00D258BE">
              <w:rPr>
                <w:rFonts w:ascii="Times New Roman" w:hAnsi="Times New Roman"/>
                <w:color w:val="000000"/>
                <w:spacing w:val="-2"/>
              </w:rPr>
              <w:t>Izbie Gospodarczej Alternatywnych Spółek Inwestycyjnych</w:t>
            </w:r>
            <w:r w:rsidRPr="00E67900">
              <w:rPr>
                <w:rFonts w:ascii="Times New Roman" w:hAnsi="Times New Roman"/>
                <w:color w:val="000000"/>
                <w:spacing w:val="-2"/>
              </w:rPr>
              <w:t xml:space="preserve"> Fundacji Polskiego Instytutu Dyrektorów, Fundacji Rozwoju Obrotu Bezgotówkowego, Polskiej Organizacji Niebankowych Instytucji Płatniczych</w:t>
            </w:r>
            <w:r w:rsidR="000C4469">
              <w:rPr>
                <w:rFonts w:ascii="Times New Roman" w:hAnsi="Times New Roman"/>
                <w:color w:val="000000"/>
                <w:spacing w:val="-2"/>
              </w:rPr>
              <w:t>, Urz</w:t>
            </w:r>
            <w:r w:rsidR="000E2586">
              <w:rPr>
                <w:rFonts w:ascii="Times New Roman" w:hAnsi="Times New Roman"/>
                <w:color w:val="000000"/>
                <w:spacing w:val="-2"/>
              </w:rPr>
              <w:t>ę</w:t>
            </w:r>
            <w:r w:rsidR="000C4469">
              <w:rPr>
                <w:rFonts w:ascii="Times New Roman" w:hAnsi="Times New Roman"/>
                <w:color w:val="000000"/>
                <w:spacing w:val="-2"/>
              </w:rPr>
              <w:t>dowi Komunikacji Elektronicznej,</w:t>
            </w:r>
            <w:r w:rsidR="00377119">
              <w:rPr>
                <w:rFonts w:ascii="Times New Roman" w:hAnsi="Times New Roman"/>
                <w:color w:val="000000"/>
                <w:spacing w:val="-2"/>
              </w:rPr>
              <w:t xml:space="preserve"> Związkowi Przedsiębiorstw Finansowych,</w:t>
            </w:r>
            <w:r w:rsidR="000C4469">
              <w:rPr>
                <w:rFonts w:ascii="Times New Roman" w:hAnsi="Times New Roman"/>
                <w:color w:val="000000"/>
                <w:spacing w:val="-2"/>
              </w:rPr>
              <w:t xml:space="preserve"> Związkowi Przedsiębiorców i Pracodawców, </w:t>
            </w:r>
            <w:r w:rsidR="00377119">
              <w:rPr>
                <w:rFonts w:ascii="Times New Roman" w:hAnsi="Times New Roman"/>
                <w:color w:val="000000"/>
                <w:spacing w:val="-2"/>
              </w:rPr>
              <w:t xml:space="preserve">Związkowi Pracodawców Business Center Club, Związkowi Rzemiosła Polskiego, Pracodawcom Rzeczypospolitej Polskiej, Federacji Przedsiębiorców Polskich, Konfederacji Lewiatan, </w:t>
            </w:r>
            <w:r w:rsidR="000C4469">
              <w:rPr>
                <w:rFonts w:ascii="Times New Roman" w:hAnsi="Times New Roman"/>
                <w:color w:val="000000"/>
                <w:spacing w:val="-2"/>
              </w:rPr>
              <w:t>Naukowej i Akademickiej Sieci Komputerowej</w:t>
            </w:r>
            <w:r w:rsidR="00377119">
              <w:rPr>
                <w:rFonts w:ascii="Times New Roman" w:hAnsi="Times New Roman"/>
                <w:color w:val="000000"/>
                <w:spacing w:val="-2"/>
              </w:rPr>
              <w:t xml:space="preserve">, </w:t>
            </w:r>
            <w:r w:rsidRPr="00E67900">
              <w:rPr>
                <w:rFonts w:ascii="Times New Roman" w:hAnsi="Times New Roman"/>
                <w:color w:val="000000"/>
                <w:spacing w:val="-2"/>
              </w:rPr>
              <w:t>Polskiej Izbie Informatyki i</w:t>
            </w:r>
            <w:r w:rsidR="00184E94">
              <w:rPr>
                <w:rFonts w:ascii="Times New Roman" w:hAnsi="Times New Roman"/>
                <w:color w:val="000000"/>
                <w:spacing w:val="-2"/>
              </w:rPr>
              <w:t> </w:t>
            </w:r>
            <w:r w:rsidRPr="00E67900">
              <w:rPr>
                <w:rFonts w:ascii="Times New Roman" w:hAnsi="Times New Roman"/>
                <w:color w:val="000000"/>
                <w:spacing w:val="-2"/>
              </w:rPr>
              <w:t>Telekomunikacji</w:t>
            </w:r>
            <w:r w:rsidR="00377119">
              <w:rPr>
                <w:rFonts w:ascii="Times New Roman" w:hAnsi="Times New Roman"/>
                <w:color w:val="000000"/>
                <w:spacing w:val="-2"/>
              </w:rPr>
              <w:t xml:space="preserve"> oraz</w:t>
            </w:r>
            <w:r w:rsidR="000E2586">
              <w:rPr>
                <w:rFonts w:ascii="Times New Roman" w:hAnsi="Times New Roman"/>
                <w:color w:val="000000"/>
                <w:spacing w:val="-2"/>
              </w:rPr>
              <w:t xml:space="preserve"> </w:t>
            </w:r>
            <w:r w:rsidR="000E2586" w:rsidRPr="000E2586">
              <w:rPr>
                <w:rFonts w:ascii="Times New Roman" w:hAnsi="Times New Roman"/>
                <w:color w:val="000000"/>
                <w:spacing w:val="-2"/>
              </w:rPr>
              <w:t>Naczelnej Rady Adwokackiej</w:t>
            </w:r>
            <w:r w:rsidRPr="00E67900">
              <w:rPr>
                <w:rFonts w:ascii="Times New Roman" w:hAnsi="Times New Roman"/>
                <w:color w:val="000000"/>
                <w:spacing w:val="-2"/>
              </w:rPr>
              <w:t>.</w:t>
            </w:r>
          </w:p>
          <w:p w14:paraId="7C0D5743" w14:textId="1B6A712A" w:rsidR="005114C0" w:rsidRPr="00B37C80" w:rsidRDefault="005114C0" w:rsidP="005114C0">
            <w:pPr>
              <w:spacing w:line="240" w:lineRule="auto"/>
              <w:jc w:val="both"/>
              <w:rPr>
                <w:rFonts w:ascii="Times New Roman" w:hAnsi="Times New Roman"/>
                <w:color w:val="000000"/>
                <w:spacing w:val="-2"/>
              </w:rPr>
            </w:pPr>
            <w:r>
              <w:rPr>
                <w:rFonts w:ascii="Times New Roman" w:hAnsi="Times New Roman"/>
                <w:color w:val="000000"/>
                <w:spacing w:val="-2"/>
              </w:rPr>
              <w:t>Przewiduje się 21</w:t>
            </w:r>
            <w:r w:rsidR="00400FA0">
              <w:rPr>
                <w:rFonts w:ascii="Times New Roman" w:hAnsi="Times New Roman"/>
                <w:color w:val="000000"/>
                <w:spacing w:val="-2"/>
              </w:rPr>
              <w:t>-</w:t>
            </w:r>
            <w:r>
              <w:rPr>
                <w:rFonts w:ascii="Times New Roman" w:hAnsi="Times New Roman"/>
                <w:color w:val="000000"/>
                <w:spacing w:val="-2"/>
              </w:rPr>
              <w:t>dniowy termin na zgłaszanie uwag.</w:t>
            </w:r>
          </w:p>
          <w:p w14:paraId="26D9B128" w14:textId="77777777" w:rsidR="005114C0" w:rsidRPr="00B37C80" w:rsidRDefault="005114C0" w:rsidP="005114C0">
            <w:pPr>
              <w:spacing w:line="240" w:lineRule="auto"/>
              <w:jc w:val="both"/>
              <w:rPr>
                <w:rFonts w:ascii="Times New Roman" w:hAnsi="Times New Roman"/>
                <w:color w:val="000000"/>
                <w:spacing w:val="-2"/>
              </w:rPr>
            </w:pPr>
          </w:p>
        </w:tc>
      </w:tr>
      <w:tr w:rsidR="005114C0" w:rsidRPr="008B4FE6" w14:paraId="73147286" w14:textId="77777777" w:rsidTr="00D5149F">
        <w:trPr>
          <w:gridAfter w:val="1"/>
          <w:wAfter w:w="7" w:type="dxa"/>
          <w:trHeight w:val="363"/>
        </w:trPr>
        <w:tc>
          <w:tcPr>
            <w:tcW w:w="10937" w:type="dxa"/>
            <w:gridSpan w:val="28"/>
            <w:shd w:val="clear" w:color="auto" w:fill="99CCFF"/>
            <w:vAlign w:val="center"/>
          </w:tcPr>
          <w:p w14:paraId="044C02CF" w14:textId="77777777" w:rsidR="005114C0" w:rsidRPr="008B4FE6" w:rsidRDefault="005114C0" w:rsidP="005114C0">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 xml:space="preserve"> Wpływ na sektor finansów publicznych</w:t>
            </w:r>
          </w:p>
        </w:tc>
      </w:tr>
      <w:tr w:rsidR="005114C0" w:rsidRPr="008B4FE6" w14:paraId="292900A6" w14:textId="77777777" w:rsidTr="00D5149F">
        <w:trPr>
          <w:gridAfter w:val="1"/>
          <w:wAfter w:w="7" w:type="dxa"/>
          <w:trHeight w:val="142"/>
        </w:trPr>
        <w:tc>
          <w:tcPr>
            <w:tcW w:w="3133" w:type="dxa"/>
            <w:gridSpan w:val="4"/>
            <w:vMerge w:val="restart"/>
            <w:shd w:val="clear" w:color="auto" w:fill="FFFFFF"/>
          </w:tcPr>
          <w:p w14:paraId="727A68C7" w14:textId="77777777" w:rsidR="005114C0" w:rsidRPr="00C53F26" w:rsidRDefault="005114C0" w:rsidP="005114C0">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Pr>
                <w:rFonts w:ascii="Times New Roman" w:hAnsi="Times New Roman"/>
                <w:color w:val="000000"/>
                <w:sz w:val="21"/>
                <w:szCs w:val="21"/>
              </w:rPr>
              <w:t>stałe</w:t>
            </w:r>
            <w:r w:rsidRPr="006F78C4">
              <w:rPr>
                <w:rFonts w:ascii="Times New Roman" w:hAnsi="Times New Roman"/>
                <w:color w:val="000000"/>
                <w:sz w:val="21"/>
                <w:szCs w:val="21"/>
              </w:rPr>
              <w:t xml:space="preserve"> z …… r.)</w:t>
            </w:r>
          </w:p>
        </w:tc>
        <w:tc>
          <w:tcPr>
            <w:tcW w:w="7804" w:type="dxa"/>
            <w:gridSpan w:val="24"/>
            <w:shd w:val="clear" w:color="auto" w:fill="FFFFFF"/>
          </w:tcPr>
          <w:p w14:paraId="5D127BEC" w14:textId="77777777" w:rsidR="005114C0" w:rsidRPr="00C53F26" w:rsidRDefault="005114C0" w:rsidP="005114C0">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5114C0" w:rsidRPr="008B4FE6" w14:paraId="411B2F46" w14:textId="77777777" w:rsidTr="00D5149F">
        <w:trPr>
          <w:trHeight w:val="142"/>
        </w:trPr>
        <w:tc>
          <w:tcPr>
            <w:tcW w:w="3133" w:type="dxa"/>
            <w:gridSpan w:val="4"/>
            <w:vMerge/>
            <w:shd w:val="clear" w:color="auto" w:fill="FFFFFF"/>
          </w:tcPr>
          <w:p w14:paraId="250ABA12" w14:textId="77777777" w:rsidR="005114C0" w:rsidRPr="00C53F26" w:rsidRDefault="005114C0" w:rsidP="005114C0">
            <w:pPr>
              <w:spacing w:before="40" w:after="40" w:line="240" w:lineRule="auto"/>
              <w:rPr>
                <w:rFonts w:ascii="Times New Roman" w:hAnsi="Times New Roman"/>
                <w:i/>
                <w:color w:val="000000"/>
                <w:sz w:val="21"/>
                <w:szCs w:val="21"/>
              </w:rPr>
            </w:pPr>
          </w:p>
        </w:tc>
        <w:tc>
          <w:tcPr>
            <w:tcW w:w="1149" w:type="dxa"/>
            <w:gridSpan w:val="3"/>
            <w:shd w:val="clear" w:color="auto" w:fill="FFFFFF"/>
          </w:tcPr>
          <w:p w14:paraId="27910F3F" w14:textId="77777777" w:rsidR="005114C0" w:rsidRPr="00C53F26" w:rsidRDefault="005114C0" w:rsidP="005114C0">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236" w:type="dxa"/>
            <w:shd w:val="clear" w:color="auto" w:fill="FFFFFF"/>
          </w:tcPr>
          <w:p w14:paraId="03029B0A" w14:textId="77777777" w:rsidR="005114C0" w:rsidRPr="00C53F26" w:rsidRDefault="005114C0" w:rsidP="005114C0">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0" w:type="dxa"/>
            <w:gridSpan w:val="2"/>
            <w:shd w:val="clear" w:color="auto" w:fill="FFFFFF"/>
          </w:tcPr>
          <w:p w14:paraId="1602761F" w14:textId="77777777" w:rsidR="005114C0" w:rsidRPr="00C53F26" w:rsidRDefault="005114C0" w:rsidP="005114C0">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9" w:type="dxa"/>
            <w:gridSpan w:val="2"/>
            <w:shd w:val="clear" w:color="auto" w:fill="FFFFFF"/>
          </w:tcPr>
          <w:p w14:paraId="777A5289" w14:textId="77777777" w:rsidR="005114C0" w:rsidRPr="00C53F26" w:rsidRDefault="005114C0" w:rsidP="005114C0">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70" w:type="dxa"/>
            <w:gridSpan w:val="2"/>
            <w:shd w:val="clear" w:color="auto" w:fill="FFFFFF"/>
          </w:tcPr>
          <w:p w14:paraId="2ABD495B" w14:textId="77777777" w:rsidR="005114C0" w:rsidRPr="00C53F26" w:rsidRDefault="005114C0" w:rsidP="005114C0">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70" w:type="dxa"/>
            <w:gridSpan w:val="3"/>
            <w:shd w:val="clear" w:color="auto" w:fill="FFFFFF"/>
          </w:tcPr>
          <w:p w14:paraId="3AB3FE01" w14:textId="77777777" w:rsidR="005114C0" w:rsidRPr="00C53F26" w:rsidRDefault="005114C0" w:rsidP="005114C0">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70" w:type="dxa"/>
            <w:gridSpan w:val="3"/>
            <w:shd w:val="clear" w:color="auto" w:fill="FFFFFF"/>
          </w:tcPr>
          <w:p w14:paraId="26242CF4" w14:textId="77777777" w:rsidR="005114C0" w:rsidRPr="00C53F26" w:rsidRDefault="005114C0" w:rsidP="005114C0">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69" w:type="dxa"/>
            <w:gridSpan w:val="2"/>
            <w:shd w:val="clear" w:color="auto" w:fill="FFFFFF"/>
          </w:tcPr>
          <w:p w14:paraId="54DD5625" w14:textId="77777777" w:rsidR="005114C0" w:rsidRPr="00C53F26" w:rsidRDefault="005114C0" w:rsidP="005114C0">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70" w:type="dxa"/>
            <w:shd w:val="clear" w:color="auto" w:fill="FFFFFF"/>
          </w:tcPr>
          <w:p w14:paraId="4A3EAA8C" w14:textId="77777777" w:rsidR="005114C0" w:rsidRPr="00C53F26" w:rsidRDefault="005114C0" w:rsidP="005114C0">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70" w:type="dxa"/>
            <w:gridSpan w:val="2"/>
            <w:shd w:val="clear" w:color="auto" w:fill="FFFFFF"/>
          </w:tcPr>
          <w:p w14:paraId="6121A648" w14:textId="77777777" w:rsidR="005114C0" w:rsidRPr="00C53F26" w:rsidRDefault="005114C0" w:rsidP="005114C0">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70" w:type="dxa"/>
            <w:gridSpan w:val="2"/>
            <w:shd w:val="clear" w:color="auto" w:fill="FFFFFF"/>
          </w:tcPr>
          <w:p w14:paraId="62F507CC" w14:textId="77777777" w:rsidR="005114C0" w:rsidRPr="00C53F26" w:rsidRDefault="005114C0" w:rsidP="005114C0">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298" w:type="dxa"/>
            <w:gridSpan w:val="2"/>
            <w:shd w:val="clear" w:color="auto" w:fill="FFFFFF"/>
          </w:tcPr>
          <w:p w14:paraId="6D390FAC" w14:textId="77777777" w:rsidR="005114C0" w:rsidRPr="00C53F26" w:rsidRDefault="005114C0" w:rsidP="005114C0">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Pr>
                <w:rFonts w:ascii="Times New Roman" w:hAnsi="Times New Roman"/>
                <w:i/>
                <w:color w:val="000000"/>
                <w:spacing w:val="-2"/>
                <w:sz w:val="21"/>
                <w:szCs w:val="21"/>
              </w:rPr>
              <w:t xml:space="preserve"> (0-10)</w:t>
            </w:r>
          </w:p>
        </w:tc>
      </w:tr>
      <w:tr w:rsidR="005114C0" w:rsidRPr="008B4FE6" w14:paraId="4EBB8B21" w14:textId="77777777" w:rsidTr="00D5149F">
        <w:trPr>
          <w:trHeight w:val="321"/>
        </w:trPr>
        <w:tc>
          <w:tcPr>
            <w:tcW w:w="3133" w:type="dxa"/>
            <w:gridSpan w:val="4"/>
            <w:shd w:val="clear" w:color="auto" w:fill="FFFFFF"/>
            <w:vAlign w:val="center"/>
          </w:tcPr>
          <w:p w14:paraId="4AF15896" w14:textId="77777777" w:rsidR="005114C0" w:rsidRPr="00C53F26" w:rsidRDefault="005114C0" w:rsidP="005114C0">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1149" w:type="dxa"/>
            <w:gridSpan w:val="3"/>
            <w:shd w:val="clear" w:color="auto" w:fill="FFFFFF"/>
          </w:tcPr>
          <w:p w14:paraId="27E04943" w14:textId="77777777" w:rsidR="005114C0" w:rsidRPr="00B37C80" w:rsidRDefault="005114C0" w:rsidP="005114C0">
            <w:pPr>
              <w:spacing w:line="240" w:lineRule="auto"/>
              <w:rPr>
                <w:rFonts w:ascii="Times New Roman" w:hAnsi="Times New Roman"/>
                <w:color w:val="000000"/>
                <w:sz w:val="21"/>
                <w:szCs w:val="21"/>
              </w:rPr>
            </w:pPr>
          </w:p>
        </w:tc>
        <w:tc>
          <w:tcPr>
            <w:tcW w:w="236" w:type="dxa"/>
            <w:shd w:val="clear" w:color="auto" w:fill="FFFFFF"/>
          </w:tcPr>
          <w:p w14:paraId="62674FDA"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306F4719" w14:textId="77777777" w:rsidR="005114C0" w:rsidRPr="00B37C80" w:rsidRDefault="005114C0" w:rsidP="005114C0">
            <w:pPr>
              <w:spacing w:line="240" w:lineRule="auto"/>
              <w:rPr>
                <w:rFonts w:ascii="Times New Roman" w:hAnsi="Times New Roman"/>
                <w:color w:val="000000"/>
                <w:sz w:val="21"/>
                <w:szCs w:val="21"/>
              </w:rPr>
            </w:pPr>
          </w:p>
        </w:tc>
        <w:tc>
          <w:tcPr>
            <w:tcW w:w="569" w:type="dxa"/>
            <w:gridSpan w:val="2"/>
            <w:shd w:val="clear" w:color="auto" w:fill="FFFFFF"/>
          </w:tcPr>
          <w:p w14:paraId="380748F3"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0A8654F8"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3"/>
            <w:shd w:val="clear" w:color="auto" w:fill="FFFFFF"/>
          </w:tcPr>
          <w:p w14:paraId="5E765488"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3"/>
            <w:shd w:val="clear" w:color="auto" w:fill="FFFFFF"/>
          </w:tcPr>
          <w:p w14:paraId="7C95C636" w14:textId="77777777" w:rsidR="005114C0" w:rsidRPr="00B37C80" w:rsidRDefault="005114C0" w:rsidP="005114C0">
            <w:pPr>
              <w:spacing w:line="240" w:lineRule="auto"/>
              <w:rPr>
                <w:rFonts w:ascii="Times New Roman" w:hAnsi="Times New Roman"/>
                <w:color w:val="000000"/>
                <w:sz w:val="21"/>
                <w:szCs w:val="21"/>
              </w:rPr>
            </w:pPr>
          </w:p>
        </w:tc>
        <w:tc>
          <w:tcPr>
            <w:tcW w:w="569" w:type="dxa"/>
            <w:gridSpan w:val="2"/>
            <w:shd w:val="clear" w:color="auto" w:fill="FFFFFF"/>
          </w:tcPr>
          <w:p w14:paraId="18E1F989" w14:textId="77777777" w:rsidR="005114C0" w:rsidRPr="00B37C80" w:rsidRDefault="005114C0" w:rsidP="005114C0">
            <w:pPr>
              <w:spacing w:line="240" w:lineRule="auto"/>
              <w:rPr>
                <w:rFonts w:ascii="Times New Roman" w:hAnsi="Times New Roman"/>
                <w:color w:val="000000"/>
                <w:sz w:val="21"/>
                <w:szCs w:val="21"/>
              </w:rPr>
            </w:pPr>
          </w:p>
        </w:tc>
        <w:tc>
          <w:tcPr>
            <w:tcW w:w="570" w:type="dxa"/>
            <w:shd w:val="clear" w:color="auto" w:fill="FFFFFF"/>
          </w:tcPr>
          <w:p w14:paraId="302EB03F"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0A2C3290"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5C9C7156" w14:textId="77777777" w:rsidR="005114C0" w:rsidRPr="00B37C80" w:rsidRDefault="005114C0" w:rsidP="005114C0">
            <w:pPr>
              <w:spacing w:line="240" w:lineRule="auto"/>
              <w:rPr>
                <w:rFonts w:ascii="Times New Roman" w:hAnsi="Times New Roman"/>
                <w:color w:val="000000"/>
                <w:sz w:val="21"/>
                <w:szCs w:val="21"/>
              </w:rPr>
            </w:pPr>
          </w:p>
        </w:tc>
        <w:tc>
          <w:tcPr>
            <w:tcW w:w="1298" w:type="dxa"/>
            <w:gridSpan w:val="2"/>
            <w:shd w:val="clear" w:color="auto" w:fill="FFFFFF"/>
          </w:tcPr>
          <w:p w14:paraId="78B4E4D4" w14:textId="77777777" w:rsidR="005114C0" w:rsidRPr="00B37C80" w:rsidRDefault="005114C0" w:rsidP="005114C0">
            <w:pPr>
              <w:spacing w:line="240" w:lineRule="auto"/>
              <w:rPr>
                <w:rFonts w:ascii="Times New Roman" w:hAnsi="Times New Roman"/>
                <w:color w:val="000000"/>
                <w:spacing w:val="-2"/>
                <w:sz w:val="21"/>
                <w:szCs w:val="21"/>
              </w:rPr>
            </w:pPr>
          </w:p>
        </w:tc>
      </w:tr>
      <w:tr w:rsidR="005114C0" w:rsidRPr="008B4FE6" w14:paraId="77CB84E7" w14:textId="77777777" w:rsidTr="00D5149F">
        <w:trPr>
          <w:trHeight w:val="321"/>
        </w:trPr>
        <w:tc>
          <w:tcPr>
            <w:tcW w:w="3133" w:type="dxa"/>
            <w:gridSpan w:val="4"/>
            <w:shd w:val="clear" w:color="auto" w:fill="FFFFFF"/>
            <w:vAlign w:val="center"/>
          </w:tcPr>
          <w:p w14:paraId="0BD56368" w14:textId="77777777" w:rsidR="005114C0" w:rsidRPr="00C53F26" w:rsidRDefault="005114C0" w:rsidP="005114C0">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1149" w:type="dxa"/>
            <w:gridSpan w:val="3"/>
            <w:shd w:val="clear" w:color="auto" w:fill="FFFFFF"/>
          </w:tcPr>
          <w:p w14:paraId="14534E46" w14:textId="77777777" w:rsidR="005114C0" w:rsidRPr="00B37C80" w:rsidRDefault="005114C0" w:rsidP="005114C0">
            <w:pPr>
              <w:spacing w:line="240" w:lineRule="auto"/>
              <w:rPr>
                <w:rFonts w:ascii="Times New Roman" w:hAnsi="Times New Roman"/>
                <w:color w:val="000000"/>
                <w:sz w:val="21"/>
                <w:szCs w:val="21"/>
              </w:rPr>
            </w:pPr>
          </w:p>
        </w:tc>
        <w:tc>
          <w:tcPr>
            <w:tcW w:w="236" w:type="dxa"/>
            <w:shd w:val="clear" w:color="auto" w:fill="FFFFFF"/>
          </w:tcPr>
          <w:p w14:paraId="5AEE7D77"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0A501440" w14:textId="77777777" w:rsidR="005114C0" w:rsidRPr="00B37C80" w:rsidRDefault="005114C0" w:rsidP="005114C0">
            <w:pPr>
              <w:spacing w:line="240" w:lineRule="auto"/>
              <w:rPr>
                <w:rFonts w:ascii="Times New Roman" w:hAnsi="Times New Roman"/>
                <w:color w:val="000000"/>
                <w:sz w:val="21"/>
                <w:szCs w:val="21"/>
              </w:rPr>
            </w:pPr>
          </w:p>
        </w:tc>
        <w:tc>
          <w:tcPr>
            <w:tcW w:w="569" w:type="dxa"/>
            <w:gridSpan w:val="2"/>
            <w:shd w:val="clear" w:color="auto" w:fill="FFFFFF"/>
          </w:tcPr>
          <w:p w14:paraId="3D25A2CF"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67E3A495"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3"/>
            <w:shd w:val="clear" w:color="auto" w:fill="FFFFFF"/>
          </w:tcPr>
          <w:p w14:paraId="232DC99D"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3"/>
            <w:shd w:val="clear" w:color="auto" w:fill="FFFFFF"/>
          </w:tcPr>
          <w:p w14:paraId="2E9C4B93" w14:textId="77777777" w:rsidR="005114C0" w:rsidRPr="00B37C80" w:rsidRDefault="005114C0" w:rsidP="005114C0">
            <w:pPr>
              <w:spacing w:line="240" w:lineRule="auto"/>
              <w:rPr>
                <w:rFonts w:ascii="Times New Roman" w:hAnsi="Times New Roman"/>
                <w:color w:val="000000"/>
                <w:sz w:val="21"/>
                <w:szCs w:val="21"/>
              </w:rPr>
            </w:pPr>
          </w:p>
        </w:tc>
        <w:tc>
          <w:tcPr>
            <w:tcW w:w="569" w:type="dxa"/>
            <w:gridSpan w:val="2"/>
            <w:shd w:val="clear" w:color="auto" w:fill="FFFFFF"/>
          </w:tcPr>
          <w:p w14:paraId="3D0C2171" w14:textId="77777777" w:rsidR="005114C0" w:rsidRPr="00B37C80" w:rsidRDefault="005114C0" w:rsidP="005114C0">
            <w:pPr>
              <w:spacing w:line="240" w:lineRule="auto"/>
              <w:rPr>
                <w:rFonts w:ascii="Times New Roman" w:hAnsi="Times New Roman"/>
                <w:color w:val="000000"/>
                <w:sz w:val="21"/>
                <w:szCs w:val="21"/>
              </w:rPr>
            </w:pPr>
          </w:p>
        </w:tc>
        <w:tc>
          <w:tcPr>
            <w:tcW w:w="570" w:type="dxa"/>
            <w:shd w:val="clear" w:color="auto" w:fill="FFFFFF"/>
          </w:tcPr>
          <w:p w14:paraId="156BBA21"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60D041CD"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3079500E" w14:textId="77777777" w:rsidR="005114C0" w:rsidRPr="00B37C80" w:rsidRDefault="005114C0" w:rsidP="005114C0">
            <w:pPr>
              <w:spacing w:line="240" w:lineRule="auto"/>
              <w:rPr>
                <w:rFonts w:ascii="Times New Roman" w:hAnsi="Times New Roman"/>
                <w:color w:val="000000"/>
                <w:sz w:val="21"/>
                <w:szCs w:val="21"/>
              </w:rPr>
            </w:pPr>
          </w:p>
        </w:tc>
        <w:tc>
          <w:tcPr>
            <w:tcW w:w="1298" w:type="dxa"/>
            <w:gridSpan w:val="2"/>
            <w:shd w:val="clear" w:color="auto" w:fill="FFFFFF"/>
          </w:tcPr>
          <w:p w14:paraId="39010938" w14:textId="77777777" w:rsidR="005114C0" w:rsidRPr="00B37C80" w:rsidRDefault="005114C0" w:rsidP="005114C0">
            <w:pPr>
              <w:spacing w:line="240" w:lineRule="auto"/>
              <w:rPr>
                <w:rFonts w:ascii="Times New Roman" w:hAnsi="Times New Roman"/>
                <w:color w:val="000000"/>
                <w:spacing w:val="-2"/>
                <w:sz w:val="21"/>
                <w:szCs w:val="21"/>
              </w:rPr>
            </w:pPr>
          </w:p>
        </w:tc>
      </w:tr>
      <w:tr w:rsidR="005114C0" w:rsidRPr="008B4FE6" w14:paraId="36FD3DF1" w14:textId="77777777" w:rsidTr="00D5149F">
        <w:trPr>
          <w:trHeight w:val="344"/>
        </w:trPr>
        <w:tc>
          <w:tcPr>
            <w:tcW w:w="3133" w:type="dxa"/>
            <w:gridSpan w:val="4"/>
            <w:shd w:val="clear" w:color="auto" w:fill="FFFFFF"/>
            <w:vAlign w:val="center"/>
          </w:tcPr>
          <w:p w14:paraId="55B690C5" w14:textId="77777777" w:rsidR="005114C0" w:rsidRPr="00C53F26" w:rsidRDefault="005114C0" w:rsidP="005114C0">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1149" w:type="dxa"/>
            <w:gridSpan w:val="3"/>
            <w:shd w:val="clear" w:color="auto" w:fill="FFFFFF"/>
          </w:tcPr>
          <w:p w14:paraId="57DCC356" w14:textId="77777777" w:rsidR="005114C0" w:rsidRPr="00B37C80" w:rsidRDefault="005114C0" w:rsidP="005114C0">
            <w:pPr>
              <w:spacing w:line="240" w:lineRule="auto"/>
              <w:rPr>
                <w:rFonts w:ascii="Times New Roman" w:hAnsi="Times New Roman"/>
                <w:color w:val="000000"/>
                <w:sz w:val="21"/>
                <w:szCs w:val="21"/>
              </w:rPr>
            </w:pPr>
          </w:p>
        </w:tc>
        <w:tc>
          <w:tcPr>
            <w:tcW w:w="236" w:type="dxa"/>
            <w:shd w:val="clear" w:color="auto" w:fill="FFFFFF"/>
          </w:tcPr>
          <w:p w14:paraId="4B3E980D"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3B5C1472" w14:textId="77777777" w:rsidR="005114C0" w:rsidRPr="00B37C80" w:rsidRDefault="005114C0" w:rsidP="005114C0">
            <w:pPr>
              <w:spacing w:line="240" w:lineRule="auto"/>
              <w:rPr>
                <w:rFonts w:ascii="Times New Roman" w:hAnsi="Times New Roman"/>
                <w:color w:val="000000"/>
                <w:sz w:val="21"/>
                <w:szCs w:val="21"/>
              </w:rPr>
            </w:pPr>
          </w:p>
        </w:tc>
        <w:tc>
          <w:tcPr>
            <w:tcW w:w="569" w:type="dxa"/>
            <w:gridSpan w:val="2"/>
            <w:shd w:val="clear" w:color="auto" w:fill="FFFFFF"/>
          </w:tcPr>
          <w:p w14:paraId="56893E91"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6A3222C1"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3"/>
            <w:shd w:val="clear" w:color="auto" w:fill="FFFFFF"/>
          </w:tcPr>
          <w:p w14:paraId="206C3D67"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3"/>
            <w:shd w:val="clear" w:color="auto" w:fill="FFFFFF"/>
          </w:tcPr>
          <w:p w14:paraId="737C527C" w14:textId="77777777" w:rsidR="005114C0" w:rsidRPr="00B37C80" w:rsidRDefault="005114C0" w:rsidP="005114C0">
            <w:pPr>
              <w:spacing w:line="240" w:lineRule="auto"/>
              <w:rPr>
                <w:rFonts w:ascii="Times New Roman" w:hAnsi="Times New Roman"/>
                <w:color w:val="000000"/>
                <w:sz w:val="21"/>
                <w:szCs w:val="21"/>
              </w:rPr>
            </w:pPr>
          </w:p>
        </w:tc>
        <w:tc>
          <w:tcPr>
            <w:tcW w:w="569" w:type="dxa"/>
            <w:gridSpan w:val="2"/>
            <w:shd w:val="clear" w:color="auto" w:fill="FFFFFF"/>
          </w:tcPr>
          <w:p w14:paraId="0375567D" w14:textId="77777777" w:rsidR="005114C0" w:rsidRPr="00B37C80" w:rsidRDefault="005114C0" w:rsidP="005114C0">
            <w:pPr>
              <w:spacing w:line="240" w:lineRule="auto"/>
              <w:rPr>
                <w:rFonts w:ascii="Times New Roman" w:hAnsi="Times New Roman"/>
                <w:color w:val="000000"/>
                <w:sz w:val="21"/>
                <w:szCs w:val="21"/>
              </w:rPr>
            </w:pPr>
          </w:p>
        </w:tc>
        <w:tc>
          <w:tcPr>
            <w:tcW w:w="570" w:type="dxa"/>
            <w:shd w:val="clear" w:color="auto" w:fill="FFFFFF"/>
          </w:tcPr>
          <w:p w14:paraId="47839B34"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1EE5F0A9"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764E43E8" w14:textId="77777777" w:rsidR="005114C0" w:rsidRPr="00B37C80" w:rsidRDefault="005114C0" w:rsidP="005114C0">
            <w:pPr>
              <w:spacing w:line="240" w:lineRule="auto"/>
              <w:rPr>
                <w:rFonts w:ascii="Times New Roman" w:hAnsi="Times New Roman"/>
                <w:color w:val="000000"/>
                <w:sz w:val="21"/>
                <w:szCs w:val="21"/>
              </w:rPr>
            </w:pPr>
          </w:p>
        </w:tc>
        <w:tc>
          <w:tcPr>
            <w:tcW w:w="1298" w:type="dxa"/>
            <w:gridSpan w:val="2"/>
            <w:shd w:val="clear" w:color="auto" w:fill="FFFFFF"/>
          </w:tcPr>
          <w:p w14:paraId="3390042F" w14:textId="77777777" w:rsidR="005114C0" w:rsidRPr="00B37C80" w:rsidRDefault="005114C0" w:rsidP="005114C0">
            <w:pPr>
              <w:spacing w:line="240" w:lineRule="auto"/>
              <w:rPr>
                <w:rFonts w:ascii="Times New Roman" w:hAnsi="Times New Roman"/>
                <w:color w:val="000000"/>
                <w:sz w:val="21"/>
                <w:szCs w:val="21"/>
              </w:rPr>
            </w:pPr>
          </w:p>
        </w:tc>
      </w:tr>
      <w:tr w:rsidR="005114C0" w:rsidRPr="008B4FE6" w14:paraId="42DEA926" w14:textId="77777777" w:rsidTr="00D5149F">
        <w:trPr>
          <w:trHeight w:val="344"/>
        </w:trPr>
        <w:tc>
          <w:tcPr>
            <w:tcW w:w="3133" w:type="dxa"/>
            <w:gridSpan w:val="4"/>
            <w:shd w:val="clear" w:color="auto" w:fill="FFFFFF"/>
            <w:vAlign w:val="center"/>
          </w:tcPr>
          <w:p w14:paraId="2C3E093D" w14:textId="77777777" w:rsidR="005114C0" w:rsidRPr="00C53F26" w:rsidRDefault="005114C0" w:rsidP="005114C0">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1149" w:type="dxa"/>
            <w:gridSpan w:val="3"/>
            <w:shd w:val="clear" w:color="auto" w:fill="FFFFFF"/>
          </w:tcPr>
          <w:p w14:paraId="62F535F6" w14:textId="77777777" w:rsidR="005114C0" w:rsidRPr="00B37C80" w:rsidRDefault="005114C0" w:rsidP="005114C0">
            <w:pPr>
              <w:spacing w:line="240" w:lineRule="auto"/>
              <w:rPr>
                <w:rFonts w:ascii="Times New Roman" w:hAnsi="Times New Roman"/>
                <w:color w:val="000000"/>
                <w:sz w:val="21"/>
                <w:szCs w:val="21"/>
              </w:rPr>
            </w:pPr>
          </w:p>
        </w:tc>
        <w:tc>
          <w:tcPr>
            <w:tcW w:w="236" w:type="dxa"/>
            <w:shd w:val="clear" w:color="auto" w:fill="FFFFFF"/>
          </w:tcPr>
          <w:p w14:paraId="7423FF2C"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24012EE7" w14:textId="77777777" w:rsidR="005114C0" w:rsidRPr="00B37C80" w:rsidRDefault="005114C0" w:rsidP="005114C0">
            <w:pPr>
              <w:spacing w:line="240" w:lineRule="auto"/>
              <w:rPr>
                <w:rFonts w:ascii="Times New Roman" w:hAnsi="Times New Roman"/>
                <w:color w:val="000000"/>
                <w:sz w:val="21"/>
                <w:szCs w:val="21"/>
              </w:rPr>
            </w:pPr>
          </w:p>
        </w:tc>
        <w:tc>
          <w:tcPr>
            <w:tcW w:w="569" w:type="dxa"/>
            <w:gridSpan w:val="2"/>
            <w:shd w:val="clear" w:color="auto" w:fill="FFFFFF"/>
          </w:tcPr>
          <w:p w14:paraId="5C710764"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77357F5C"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3"/>
            <w:shd w:val="clear" w:color="auto" w:fill="FFFFFF"/>
          </w:tcPr>
          <w:p w14:paraId="5A63EC2C"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3"/>
            <w:shd w:val="clear" w:color="auto" w:fill="FFFFFF"/>
          </w:tcPr>
          <w:p w14:paraId="466848A6" w14:textId="77777777" w:rsidR="005114C0" w:rsidRPr="00B37C80" w:rsidRDefault="005114C0" w:rsidP="005114C0">
            <w:pPr>
              <w:spacing w:line="240" w:lineRule="auto"/>
              <w:rPr>
                <w:rFonts w:ascii="Times New Roman" w:hAnsi="Times New Roman"/>
                <w:color w:val="000000"/>
                <w:sz w:val="21"/>
                <w:szCs w:val="21"/>
              </w:rPr>
            </w:pPr>
          </w:p>
        </w:tc>
        <w:tc>
          <w:tcPr>
            <w:tcW w:w="569" w:type="dxa"/>
            <w:gridSpan w:val="2"/>
            <w:shd w:val="clear" w:color="auto" w:fill="FFFFFF"/>
          </w:tcPr>
          <w:p w14:paraId="29B7DB07" w14:textId="77777777" w:rsidR="005114C0" w:rsidRPr="00B37C80" w:rsidRDefault="005114C0" w:rsidP="005114C0">
            <w:pPr>
              <w:spacing w:line="240" w:lineRule="auto"/>
              <w:rPr>
                <w:rFonts w:ascii="Times New Roman" w:hAnsi="Times New Roman"/>
                <w:color w:val="000000"/>
                <w:sz w:val="21"/>
                <w:szCs w:val="21"/>
              </w:rPr>
            </w:pPr>
          </w:p>
        </w:tc>
        <w:tc>
          <w:tcPr>
            <w:tcW w:w="570" w:type="dxa"/>
            <w:shd w:val="clear" w:color="auto" w:fill="FFFFFF"/>
          </w:tcPr>
          <w:p w14:paraId="0D5A6367"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5FA4214F"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369ECB10" w14:textId="77777777" w:rsidR="005114C0" w:rsidRPr="00B37C80" w:rsidRDefault="005114C0" w:rsidP="005114C0">
            <w:pPr>
              <w:spacing w:line="240" w:lineRule="auto"/>
              <w:rPr>
                <w:rFonts w:ascii="Times New Roman" w:hAnsi="Times New Roman"/>
                <w:color w:val="000000"/>
                <w:sz w:val="21"/>
                <w:szCs w:val="21"/>
              </w:rPr>
            </w:pPr>
          </w:p>
        </w:tc>
        <w:tc>
          <w:tcPr>
            <w:tcW w:w="1298" w:type="dxa"/>
            <w:gridSpan w:val="2"/>
            <w:shd w:val="clear" w:color="auto" w:fill="FFFFFF"/>
          </w:tcPr>
          <w:p w14:paraId="04E0E5DB" w14:textId="77777777" w:rsidR="005114C0" w:rsidRPr="00B37C80" w:rsidRDefault="005114C0" w:rsidP="005114C0">
            <w:pPr>
              <w:spacing w:line="240" w:lineRule="auto"/>
              <w:rPr>
                <w:rFonts w:ascii="Times New Roman" w:hAnsi="Times New Roman"/>
                <w:color w:val="000000"/>
                <w:sz w:val="21"/>
                <w:szCs w:val="21"/>
              </w:rPr>
            </w:pPr>
          </w:p>
        </w:tc>
      </w:tr>
      <w:tr w:rsidR="005114C0" w:rsidRPr="008B4FE6" w14:paraId="226A82B5" w14:textId="77777777" w:rsidTr="00D5149F">
        <w:trPr>
          <w:trHeight w:val="330"/>
        </w:trPr>
        <w:tc>
          <w:tcPr>
            <w:tcW w:w="3133" w:type="dxa"/>
            <w:gridSpan w:val="4"/>
            <w:shd w:val="clear" w:color="auto" w:fill="FFFFFF"/>
            <w:vAlign w:val="center"/>
          </w:tcPr>
          <w:p w14:paraId="730BDF2F" w14:textId="77777777" w:rsidR="005114C0" w:rsidRPr="00C53F26" w:rsidRDefault="005114C0" w:rsidP="005114C0">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1149" w:type="dxa"/>
            <w:gridSpan w:val="3"/>
            <w:shd w:val="clear" w:color="auto" w:fill="FFFFFF"/>
          </w:tcPr>
          <w:p w14:paraId="297DF9BF" w14:textId="77777777" w:rsidR="005114C0" w:rsidRPr="00B37C80" w:rsidRDefault="005114C0" w:rsidP="005114C0">
            <w:pPr>
              <w:spacing w:line="240" w:lineRule="auto"/>
              <w:rPr>
                <w:rFonts w:ascii="Times New Roman" w:hAnsi="Times New Roman"/>
                <w:color w:val="000000"/>
                <w:sz w:val="21"/>
                <w:szCs w:val="21"/>
              </w:rPr>
            </w:pPr>
          </w:p>
        </w:tc>
        <w:tc>
          <w:tcPr>
            <w:tcW w:w="236" w:type="dxa"/>
            <w:shd w:val="clear" w:color="auto" w:fill="FFFFFF"/>
          </w:tcPr>
          <w:p w14:paraId="60E2EEF9"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7CF6B772" w14:textId="77777777" w:rsidR="005114C0" w:rsidRPr="00B37C80" w:rsidRDefault="005114C0" w:rsidP="005114C0">
            <w:pPr>
              <w:spacing w:line="240" w:lineRule="auto"/>
              <w:rPr>
                <w:rFonts w:ascii="Times New Roman" w:hAnsi="Times New Roman"/>
                <w:color w:val="000000"/>
                <w:sz w:val="21"/>
                <w:szCs w:val="21"/>
              </w:rPr>
            </w:pPr>
          </w:p>
        </w:tc>
        <w:tc>
          <w:tcPr>
            <w:tcW w:w="569" w:type="dxa"/>
            <w:gridSpan w:val="2"/>
            <w:shd w:val="clear" w:color="auto" w:fill="FFFFFF"/>
          </w:tcPr>
          <w:p w14:paraId="1FE88D52"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378254D6"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3"/>
            <w:shd w:val="clear" w:color="auto" w:fill="FFFFFF"/>
          </w:tcPr>
          <w:p w14:paraId="1DFD6B9D"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3"/>
            <w:shd w:val="clear" w:color="auto" w:fill="FFFFFF"/>
          </w:tcPr>
          <w:p w14:paraId="1E161FA8" w14:textId="77777777" w:rsidR="005114C0" w:rsidRPr="00B37C80" w:rsidRDefault="005114C0" w:rsidP="005114C0">
            <w:pPr>
              <w:spacing w:line="240" w:lineRule="auto"/>
              <w:rPr>
                <w:rFonts w:ascii="Times New Roman" w:hAnsi="Times New Roman"/>
                <w:color w:val="000000"/>
                <w:sz w:val="21"/>
                <w:szCs w:val="21"/>
              </w:rPr>
            </w:pPr>
          </w:p>
        </w:tc>
        <w:tc>
          <w:tcPr>
            <w:tcW w:w="569" w:type="dxa"/>
            <w:gridSpan w:val="2"/>
            <w:shd w:val="clear" w:color="auto" w:fill="FFFFFF"/>
          </w:tcPr>
          <w:p w14:paraId="51C93DA8" w14:textId="77777777" w:rsidR="005114C0" w:rsidRPr="00B37C80" w:rsidRDefault="005114C0" w:rsidP="005114C0">
            <w:pPr>
              <w:spacing w:line="240" w:lineRule="auto"/>
              <w:rPr>
                <w:rFonts w:ascii="Times New Roman" w:hAnsi="Times New Roman"/>
                <w:color w:val="000000"/>
                <w:sz w:val="21"/>
                <w:szCs w:val="21"/>
              </w:rPr>
            </w:pPr>
          </w:p>
        </w:tc>
        <w:tc>
          <w:tcPr>
            <w:tcW w:w="570" w:type="dxa"/>
            <w:shd w:val="clear" w:color="auto" w:fill="FFFFFF"/>
          </w:tcPr>
          <w:p w14:paraId="304F36C4"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69F4C3C9"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6E07D3E7" w14:textId="77777777" w:rsidR="005114C0" w:rsidRPr="00B37C80" w:rsidRDefault="005114C0" w:rsidP="005114C0">
            <w:pPr>
              <w:spacing w:line="240" w:lineRule="auto"/>
              <w:rPr>
                <w:rFonts w:ascii="Times New Roman" w:hAnsi="Times New Roman"/>
                <w:color w:val="000000"/>
                <w:sz w:val="21"/>
                <w:szCs w:val="21"/>
              </w:rPr>
            </w:pPr>
          </w:p>
        </w:tc>
        <w:tc>
          <w:tcPr>
            <w:tcW w:w="1298" w:type="dxa"/>
            <w:gridSpan w:val="2"/>
            <w:shd w:val="clear" w:color="auto" w:fill="FFFFFF"/>
          </w:tcPr>
          <w:p w14:paraId="3D59359C" w14:textId="77777777" w:rsidR="005114C0" w:rsidRPr="00B37C80" w:rsidRDefault="005114C0" w:rsidP="005114C0">
            <w:pPr>
              <w:spacing w:line="240" w:lineRule="auto"/>
              <w:rPr>
                <w:rFonts w:ascii="Times New Roman" w:hAnsi="Times New Roman"/>
                <w:color w:val="000000"/>
                <w:sz w:val="21"/>
                <w:szCs w:val="21"/>
              </w:rPr>
            </w:pPr>
          </w:p>
        </w:tc>
      </w:tr>
      <w:tr w:rsidR="005114C0" w:rsidRPr="008B4FE6" w14:paraId="37C894F9" w14:textId="77777777" w:rsidTr="00D5149F">
        <w:trPr>
          <w:trHeight w:val="330"/>
        </w:trPr>
        <w:tc>
          <w:tcPr>
            <w:tcW w:w="3133" w:type="dxa"/>
            <w:gridSpan w:val="4"/>
            <w:shd w:val="clear" w:color="auto" w:fill="FFFFFF"/>
            <w:vAlign w:val="center"/>
          </w:tcPr>
          <w:p w14:paraId="6B2515D8" w14:textId="77777777" w:rsidR="005114C0" w:rsidRPr="00C53F26" w:rsidRDefault="005114C0" w:rsidP="005114C0">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1149" w:type="dxa"/>
            <w:gridSpan w:val="3"/>
            <w:shd w:val="clear" w:color="auto" w:fill="FFFFFF"/>
          </w:tcPr>
          <w:p w14:paraId="08C3F33D" w14:textId="77777777" w:rsidR="005114C0" w:rsidRPr="00B37C80" w:rsidRDefault="005114C0" w:rsidP="005114C0">
            <w:pPr>
              <w:spacing w:line="240" w:lineRule="auto"/>
              <w:rPr>
                <w:rFonts w:ascii="Times New Roman" w:hAnsi="Times New Roman"/>
                <w:color w:val="000000"/>
                <w:sz w:val="21"/>
                <w:szCs w:val="21"/>
              </w:rPr>
            </w:pPr>
          </w:p>
        </w:tc>
        <w:tc>
          <w:tcPr>
            <w:tcW w:w="236" w:type="dxa"/>
            <w:shd w:val="clear" w:color="auto" w:fill="FFFFFF"/>
          </w:tcPr>
          <w:p w14:paraId="605710B3"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07287CF2" w14:textId="77777777" w:rsidR="005114C0" w:rsidRPr="00B37C80" w:rsidRDefault="005114C0" w:rsidP="005114C0">
            <w:pPr>
              <w:spacing w:line="240" w:lineRule="auto"/>
              <w:rPr>
                <w:rFonts w:ascii="Times New Roman" w:hAnsi="Times New Roman"/>
                <w:color w:val="000000"/>
                <w:sz w:val="21"/>
                <w:szCs w:val="21"/>
              </w:rPr>
            </w:pPr>
          </w:p>
        </w:tc>
        <w:tc>
          <w:tcPr>
            <w:tcW w:w="569" w:type="dxa"/>
            <w:gridSpan w:val="2"/>
            <w:shd w:val="clear" w:color="auto" w:fill="FFFFFF"/>
          </w:tcPr>
          <w:p w14:paraId="374E0231"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46B6E712"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3"/>
            <w:shd w:val="clear" w:color="auto" w:fill="FFFFFF"/>
          </w:tcPr>
          <w:p w14:paraId="71CB6C23"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3"/>
            <w:shd w:val="clear" w:color="auto" w:fill="FFFFFF"/>
          </w:tcPr>
          <w:p w14:paraId="24006950" w14:textId="77777777" w:rsidR="005114C0" w:rsidRPr="00B37C80" w:rsidRDefault="005114C0" w:rsidP="005114C0">
            <w:pPr>
              <w:spacing w:line="240" w:lineRule="auto"/>
              <w:rPr>
                <w:rFonts w:ascii="Times New Roman" w:hAnsi="Times New Roman"/>
                <w:color w:val="000000"/>
                <w:sz w:val="21"/>
                <w:szCs w:val="21"/>
              </w:rPr>
            </w:pPr>
          </w:p>
        </w:tc>
        <w:tc>
          <w:tcPr>
            <w:tcW w:w="569" w:type="dxa"/>
            <w:gridSpan w:val="2"/>
            <w:shd w:val="clear" w:color="auto" w:fill="FFFFFF"/>
          </w:tcPr>
          <w:p w14:paraId="3ED4D96F" w14:textId="77777777" w:rsidR="005114C0" w:rsidRPr="00B37C80" w:rsidRDefault="005114C0" w:rsidP="005114C0">
            <w:pPr>
              <w:spacing w:line="240" w:lineRule="auto"/>
              <w:rPr>
                <w:rFonts w:ascii="Times New Roman" w:hAnsi="Times New Roman"/>
                <w:color w:val="000000"/>
                <w:sz w:val="21"/>
                <w:szCs w:val="21"/>
              </w:rPr>
            </w:pPr>
          </w:p>
        </w:tc>
        <w:tc>
          <w:tcPr>
            <w:tcW w:w="570" w:type="dxa"/>
            <w:shd w:val="clear" w:color="auto" w:fill="FFFFFF"/>
          </w:tcPr>
          <w:p w14:paraId="06A65A15"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36DA9A8A"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7B6781D6" w14:textId="77777777" w:rsidR="005114C0" w:rsidRPr="00B37C80" w:rsidRDefault="005114C0" w:rsidP="005114C0">
            <w:pPr>
              <w:spacing w:line="240" w:lineRule="auto"/>
              <w:rPr>
                <w:rFonts w:ascii="Times New Roman" w:hAnsi="Times New Roman"/>
                <w:color w:val="000000"/>
                <w:sz w:val="21"/>
                <w:szCs w:val="21"/>
              </w:rPr>
            </w:pPr>
          </w:p>
        </w:tc>
        <w:tc>
          <w:tcPr>
            <w:tcW w:w="1298" w:type="dxa"/>
            <w:gridSpan w:val="2"/>
            <w:shd w:val="clear" w:color="auto" w:fill="FFFFFF"/>
          </w:tcPr>
          <w:p w14:paraId="4CECE98D" w14:textId="77777777" w:rsidR="005114C0" w:rsidRPr="00B37C80" w:rsidRDefault="005114C0" w:rsidP="005114C0">
            <w:pPr>
              <w:spacing w:line="240" w:lineRule="auto"/>
              <w:rPr>
                <w:rFonts w:ascii="Times New Roman" w:hAnsi="Times New Roman"/>
                <w:color w:val="000000"/>
                <w:sz w:val="21"/>
                <w:szCs w:val="21"/>
              </w:rPr>
            </w:pPr>
          </w:p>
        </w:tc>
      </w:tr>
      <w:tr w:rsidR="005114C0" w:rsidRPr="008B4FE6" w14:paraId="45A25DA5" w14:textId="77777777" w:rsidTr="00D5149F">
        <w:trPr>
          <w:trHeight w:val="351"/>
        </w:trPr>
        <w:tc>
          <w:tcPr>
            <w:tcW w:w="3133" w:type="dxa"/>
            <w:gridSpan w:val="4"/>
            <w:shd w:val="clear" w:color="auto" w:fill="FFFFFF"/>
            <w:vAlign w:val="center"/>
          </w:tcPr>
          <w:p w14:paraId="2507EAA0" w14:textId="77777777" w:rsidR="005114C0" w:rsidRPr="00C53F26" w:rsidRDefault="005114C0" w:rsidP="005114C0">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1149" w:type="dxa"/>
            <w:gridSpan w:val="3"/>
            <w:shd w:val="clear" w:color="auto" w:fill="FFFFFF"/>
          </w:tcPr>
          <w:p w14:paraId="3BC0D19E" w14:textId="77777777" w:rsidR="005114C0" w:rsidRPr="00B37C80" w:rsidRDefault="005114C0" w:rsidP="005114C0">
            <w:pPr>
              <w:spacing w:line="240" w:lineRule="auto"/>
              <w:rPr>
                <w:rFonts w:ascii="Times New Roman" w:hAnsi="Times New Roman"/>
                <w:color w:val="000000"/>
                <w:sz w:val="21"/>
                <w:szCs w:val="21"/>
              </w:rPr>
            </w:pPr>
          </w:p>
        </w:tc>
        <w:tc>
          <w:tcPr>
            <w:tcW w:w="236" w:type="dxa"/>
            <w:shd w:val="clear" w:color="auto" w:fill="FFFFFF"/>
          </w:tcPr>
          <w:p w14:paraId="6F367DE7"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1888E927" w14:textId="77777777" w:rsidR="005114C0" w:rsidRPr="00B37C80" w:rsidRDefault="005114C0" w:rsidP="005114C0">
            <w:pPr>
              <w:spacing w:line="240" w:lineRule="auto"/>
              <w:rPr>
                <w:rFonts w:ascii="Times New Roman" w:hAnsi="Times New Roman"/>
                <w:color w:val="000000"/>
                <w:sz w:val="21"/>
                <w:szCs w:val="21"/>
              </w:rPr>
            </w:pPr>
          </w:p>
        </w:tc>
        <w:tc>
          <w:tcPr>
            <w:tcW w:w="569" w:type="dxa"/>
            <w:gridSpan w:val="2"/>
            <w:shd w:val="clear" w:color="auto" w:fill="FFFFFF"/>
          </w:tcPr>
          <w:p w14:paraId="576535BD"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60CB72D1"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3"/>
            <w:shd w:val="clear" w:color="auto" w:fill="FFFFFF"/>
          </w:tcPr>
          <w:p w14:paraId="7800AFFD"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3"/>
            <w:shd w:val="clear" w:color="auto" w:fill="FFFFFF"/>
          </w:tcPr>
          <w:p w14:paraId="4D6C649C" w14:textId="77777777" w:rsidR="005114C0" w:rsidRPr="00B37C80" w:rsidRDefault="005114C0" w:rsidP="005114C0">
            <w:pPr>
              <w:spacing w:line="240" w:lineRule="auto"/>
              <w:rPr>
                <w:rFonts w:ascii="Times New Roman" w:hAnsi="Times New Roman"/>
                <w:color w:val="000000"/>
                <w:sz w:val="21"/>
                <w:szCs w:val="21"/>
              </w:rPr>
            </w:pPr>
          </w:p>
        </w:tc>
        <w:tc>
          <w:tcPr>
            <w:tcW w:w="569" w:type="dxa"/>
            <w:gridSpan w:val="2"/>
            <w:shd w:val="clear" w:color="auto" w:fill="FFFFFF"/>
          </w:tcPr>
          <w:p w14:paraId="525C9D7F" w14:textId="77777777" w:rsidR="005114C0" w:rsidRPr="00B37C80" w:rsidRDefault="005114C0" w:rsidP="005114C0">
            <w:pPr>
              <w:spacing w:line="240" w:lineRule="auto"/>
              <w:rPr>
                <w:rFonts w:ascii="Times New Roman" w:hAnsi="Times New Roman"/>
                <w:color w:val="000000"/>
                <w:sz w:val="21"/>
                <w:szCs w:val="21"/>
              </w:rPr>
            </w:pPr>
          </w:p>
        </w:tc>
        <w:tc>
          <w:tcPr>
            <w:tcW w:w="570" w:type="dxa"/>
            <w:shd w:val="clear" w:color="auto" w:fill="FFFFFF"/>
          </w:tcPr>
          <w:p w14:paraId="4612EF65"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5F76E2DC"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6EEA04B6" w14:textId="77777777" w:rsidR="005114C0" w:rsidRPr="00B37C80" w:rsidRDefault="005114C0" w:rsidP="005114C0">
            <w:pPr>
              <w:spacing w:line="240" w:lineRule="auto"/>
              <w:rPr>
                <w:rFonts w:ascii="Times New Roman" w:hAnsi="Times New Roman"/>
                <w:color w:val="000000"/>
                <w:sz w:val="21"/>
                <w:szCs w:val="21"/>
              </w:rPr>
            </w:pPr>
          </w:p>
        </w:tc>
        <w:tc>
          <w:tcPr>
            <w:tcW w:w="1298" w:type="dxa"/>
            <w:gridSpan w:val="2"/>
            <w:shd w:val="clear" w:color="auto" w:fill="FFFFFF"/>
          </w:tcPr>
          <w:p w14:paraId="22C39E73" w14:textId="77777777" w:rsidR="005114C0" w:rsidRPr="00B37C80" w:rsidRDefault="005114C0" w:rsidP="005114C0">
            <w:pPr>
              <w:spacing w:line="240" w:lineRule="auto"/>
              <w:rPr>
                <w:rFonts w:ascii="Times New Roman" w:hAnsi="Times New Roman"/>
                <w:color w:val="000000"/>
                <w:sz w:val="21"/>
                <w:szCs w:val="21"/>
              </w:rPr>
            </w:pPr>
          </w:p>
        </w:tc>
      </w:tr>
      <w:tr w:rsidR="005114C0" w:rsidRPr="008B4FE6" w14:paraId="7957DE54" w14:textId="77777777" w:rsidTr="00D5149F">
        <w:trPr>
          <w:trHeight w:val="351"/>
        </w:trPr>
        <w:tc>
          <w:tcPr>
            <w:tcW w:w="3133" w:type="dxa"/>
            <w:gridSpan w:val="4"/>
            <w:shd w:val="clear" w:color="auto" w:fill="FFFFFF"/>
            <w:vAlign w:val="center"/>
          </w:tcPr>
          <w:p w14:paraId="00EF61CE" w14:textId="77777777" w:rsidR="005114C0" w:rsidRPr="00C53F26" w:rsidRDefault="005114C0" w:rsidP="005114C0">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1149" w:type="dxa"/>
            <w:gridSpan w:val="3"/>
            <w:shd w:val="clear" w:color="auto" w:fill="FFFFFF"/>
          </w:tcPr>
          <w:p w14:paraId="7A87CDA9" w14:textId="77777777" w:rsidR="005114C0" w:rsidRPr="00B37C80" w:rsidRDefault="005114C0" w:rsidP="005114C0">
            <w:pPr>
              <w:spacing w:line="240" w:lineRule="auto"/>
              <w:rPr>
                <w:rFonts w:ascii="Times New Roman" w:hAnsi="Times New Roman"/>
                <w:color w:val="000000"/>
                <w:sz w:val="21"/>
                <w:szCs w:val="21"/>
              </w:rPr>
            </w:pPr>
          </w:p>
        </w:tc>
        <w:tc>
          <w:tcPr>
            <w:tcW w:w="236" w:type="dxa"/>
            <w:shd w:val="clear" w:color="auto" w:fill="FFFFFF"/>
          </w:tcPr>
          <w:p w14:paraId="46E9C495"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112754A2" w14:textId="77777777" w:rsidR="005114C0" w:rsidRPr="00B37C80" w:rsidRDefault="005114C0" w:rsidP="005114C0">
            <w:pPr>
              <w:spacing w:line="240" w:lineRule="auto"/>
              <w:rPr>
                <w:rFonts w:ascii="Times New Roman" w:hAnsi="Times New Roman"/>
                <w:color w:val="000000"/>
                <w:sz w:val="21"/>
                <w:szCs w:val="21"/>
              </w:rPr>
            </w:pPr>
          </w:p>
        </w:tc>
        <w:tc>
          <w:tcPr>
            <w:tcW w:w="569" w:type="dxa"/>
            <w:gridSpan w:val="2"/>
            <w:shd w:val="clear" w:color="auto" w:fill="FFFFFF"/>
          </w:tcPr>
          <w:p w14:paraId="2CE68FC9"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2426F00E"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3"/>
            <w:shd w:val="clear" w:color="auto" w:fill="FFFFFF"/>
          </w:tcPr>
          <w:p w14:paraId="04D4215B"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3"/>
            <w:shd w:val="clear" w:color="auto" w:fill="FFFFFF"/>
          </w:tcPr>
          <w:p w14:paraId="5910527C" w14:textId="77777777" w:rsidR="005114C0" w:rsidRPr="00B37C80" w:rsidRDefault="005114C0" w:rsidP="005114C0">
            <w:pPr>
              <w:spacing w:line="240" w:lineRule="auto"/>
              <w:rPr>
                <w:rFonts w:ascii="Times New Roman" w:hAnsi="Times New Roman"/>
                <w:color w:val="000000"/>
                <w:sz w:val="21"/>
                <w:szCs w:val="21"/>
              </w:rPr>
            </w:pPr>
          </w:p>
        </w:tc>
        <w:tc>
          <w:tcPr>
            <w:tcW w:w="569" w:type="dxa"/>
            <w:gridSpan w:val="2"/>
            <w:shd w:val="clear" w:color="auto" w:fill="FFFFFF"/>
          </w:tcPr>
          <w:p w14:paraId="62394240" w14:textId="77777777" w:rsidR="005114C0" w:rsidRPr="00B37C80" w:rsidRDefault="005114C0" w:rsidP="005114C0">
            <w:pPr>
              <w:spacing w:line="240" w:lineRule="auto"/>
              <w:rPr>
                <w:rFonts w:ascii="Times New Roman" w:hAnsi="Times New Roman"/>
                <w:color w:val="000000"/>
                <w:sz w:val="21"/>
                <w:szCs w:val="21"/>
              </w:rPr>
            </w:pPr>
          </w:p>
        </w:tc>
        <w:tc>
          <w:tcPr>
            <w:tcW w:w="570" w:type="dxa"/>
            <w:shd w:val="clear" w:color="auto" w:fill="FFFFFF"/>
          </w:tcPr>
          <w:p w14:paraId="49AF7DF8"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6C80826F"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1918D962" w14:textId="77777777" w:rsidR="005114C0" w:rsidRPr="00B37C80" w:rsidRDefault="005114C0" w:rsidP="005114C0">
            <w:pPr>
              <w:spacing w:line="240" w:lineRule="auto"/>
              <w:rPr>
                <w:rFonts w:ascii="Times New Roman" w:hAnsi="Times New Roman"/>
                <w:color w:val="000000"/>
                <w:sz w:val="21"/>
                <w:szCs w:val="21"/>
              </w:rPr>
            </w:pPr>
          </w:p>
        </w:tc>
        <w:tc>
          <w:tcPr>
            <w:tcW w:w="1298" w:type="dxa"/>
            <w:gridSpan w:val="2"/>
            <w:shd w:val="clear" w:color="auto" w:fill="FFFFFF"/>
          </w:tcPr>
          <w:p w14:paraId="69583E38" w14:textId="77777777" w:rsidR="005114C0" w:rsidRPr="00B37C80" w:rsidRDefault="005114C0" w:rsidP="005114C0">
            <w:pPr>
              <w:spacing w:line="240" w:lineRule="auto"/>
              <w:rPr>
                <w:rFonts w:ascii="Times New Roman" w:hAnsi="Times New Roman"/>
                <w:color w:val="000000"/>
                <w:sz w:val="21"/>
                <w:szCs w:val="21"/>
              </w:rPr>
            </w:pPr>
          </w:p>
        </w:tc>
      </w:tr>
      <w:tr w:rsidR="005114C0" w:rsidRPr="008B4FE6" w14:paraId="1B94DA24" w14:textId="77777777" w:rsidTr="00D5149F">
        <w:trPr>
          <w:trHeight w:val="360"/>
        </w:trPr>
        <w:tc>
          <w:tcPr>
            <w:tcW w:w="3133" w:type="dxa"/>
            <w:gridSpan w:val="4"/>
            <w:shd w:val="clear" w:color="auto" w:fill="FFFFFF"/>
            <w:vAlign w:val="center"/>
          </w:tcPr>
          <w:p w14:paraId="3AF9439D" w14:textId="77777777" w:rsidR="005114C0" w:rsidRPr="00C53F26" w:rsidRDefault="005114C0" w:rsidP="005114C0">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1149" w:type="dxa"/>
            <w:gridSpan w:val="3"/>
            <w:shd w:val="clear" w:color="auto" w:fill="FFFFFF"/>
          </w:tcPr>
          <w:p w14:paraId="07A3A4B2" w14:textId="77777777" w:rsidR="005114C0" w:rsidRPr="00B37C80" w:rsidRDefault="005114C0" w:rsidP="005114C0">
            <w:pPr>
              <w:spacing w:line="240" w:lineRule="auto"/>
              <w:rPr>
                <w:rFonts w:ascii="Times New Roman" w:hAnsi="Times New Roman"/>
                <w:color w:val="000000"/>
                <w:sz w:val="21"/>
                <w:szCs w:val="21"/>
              </w:rPr>
            </w:pPr>
          </w:p>
        </w:tc>
        <w:tc>
          <w:tcPr>
            <w:tcW w:w="236" w:type="dxa"/>
            <w:shd w:val="clear" w:color="auto" w:fill="FFFFFF"/>
          </w:tcPr>
          <w:p w14:paraId="2BF1FF28"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7DD667BC" w14:textId="77777777" w:rsidR="005114C0" w:rsidRPr="00B37C80" w:rsidRDefault="005114C0" w:rsidP="005114C0">
            <w:pPr>
              <w:spacing w:line="240" w:lineRule="auto"/>
              <w:rPr>
                <w:rFonts w:ascii="Times New Roman" w:hAnsi="Times New Roman"/>
                <w:color w:val="000000"/>
                <w:sz w:val="21"/>
                <w:szCs w:val="21"/>
              </w:rPr>
            </w:pPr>
          </w:p>
        </w:tc>
        <w:tc>
          <w:tcPr>
            <w:tcW w:w="569" w:type="dxa"/>
            <w:gridSpan w:val="2"/>
            <w:shd w:val="clear" w:color="auto" w:fill="FFFFFF"/>
          </w:tcPr>
          <w:p w14:paraId="25569F12"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07212E1D"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3"/>
            <w:shd w:val="clear" w:color="auto" w:fill="FFFFFF"/>
          </w:tcPr>
          <w:p w14:paraId="1EF2C755"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3"/>
            <w:shd w:val="clear" w:color="auto" w:fill="FFFFFF"/>
          </w:tcPr>
          <w:p w14:paraId="62D5D594" w14:textId="77777777" w:rsidR="005114C0" w:rsidRPr="00B37C80" w:rsidRDefault="005114C0" w:rsidP="005114C0">
            <w:pPr>
              <w:spacing w:line="240" w:lineRule="auto"/>
              <w:rPr>
                <w:rFonts w:ascii="Times New Roman" w:hAnsi="Times New Roman"/>
                <w:color w:val="000000"/>
                <w:sz w:val="21"/>
                <w:szCs w:val="21"/>
              </w:rPr>
            </w:pPr>
          </w:p>
        </w:tc>
        <w:tc>
          <w:tcPr>
            <w:tcW w:w="569" w:type="dxa"/>
            <w:gridSpan w:val="2"/>
            <w:shd w:val="clear" w:color="auto" w:fill="FFFFFF"/>
          </w:tcPr>
          <w:p w14:paraId="406F7677" w14:textId="77777777" w:rsidR="005114C0" w:rsidRPr="00B37C80" w:rsidRDefault="005114C0" w:rsidP="005114C0">
            <w:pPr>
              <w:spacing w:line="240" w:lineRule="auto"/>
              <w:rPr>
                <w:rFonts w:ascii="Times New Roman" w:hAnsi="Times New Roman"/>
                <w:color w:val="000000"/>
                <w:sz w:val="21"/>
                <w:szCs w:val="21"/>
              </w:rPr>
            </w:pPr>
          </w:p>
        </w:tc>
        <w:tc>
          <w:tcPr>
            <w:tcW w:w="570" w:type="dxa"/>
            <w:shd w:val="clear" w:color="auto" w:fill="FFFFFF"/>
          </w:tcPr>
          <w:p w14:paraId="0F209C0F"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710FA358"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7FFA5423" w14:textId="77777777" w:rsidR="005114C0" w:rsidRPr="00B37C80" w:rsidRDefault="005114C0" w:rsidP="005114C0">
            <w:pPr>
              <w:spacing w:line="240" w:lineRule="auto"/>
              <w:rPr>
                <w:rFonts w:ascii="Times New Roman" w:hAnsi="Times New Roman"/>
                <w:color w:val="000000"/>
                <w:sz w:val="21"/>
                <w:szCs w:val="21"/>
              </w:rPr>
            </w:pPr>
          </w:p>
        </w:tc>
        <w:tc>
          <w:tcPr>
            <w:tcW w:w="1298" w:type="dxa"/>
            <w:gridSpan w:val="2"/>
            <w:shd w:val="clear" w:color="auto" w:fill="FFFFFF"/>
          </w:tcPr>
          <w:p w14:paraId="417AB595" w14:textId="77777777" w:rsidR="005114C0" w:rsidRPr="00B37C80" w:rsidRDefault="005114C0" w:rsidP="005114C0">
            <w:pPr>
              <w:spacing w:line="240" w:lineRule="auto"/>
              <w:rPr>
                <w:rFonts w:ascii="Times New Roman" w:hAnsi="Times New Roman"/>
                <w:color w:val="000000"/>
                <w:sz w:val="21"/>
                <w:szCs w:val="21"/>
              </w:rPr>
            </w:pPr>
          </w:p>
        </w:tc>
      </w:tr>
      <w:tr w:rsidR="005114C0" w:rsidRPr="008B4FE6" w14:paraId="1E62E5C5" w14:textId="77777777" w:rsidTr="00D5149F">
        <w:trPr>
          <w:trHeight w:val="360"/>
        </w:trPr>
        <w:tc>
          <w:tcPr>
            <w:tcW w:w="3133" w:type="dxa"/>
            <w:gridSpan w:val="4"/>
            <w:shd w:val="clear" w:color="auto" w:fill="FFFFFF"/>
            <w:vAlign w:val="center"/>
          </w:tcPr>
          <w:p w14:paraId="388155B8" w14:textId="77777777" w:rsidR="005114C0" w:rsidRPr="00C53F26" w:rsidRDefault="005114C0" w:rsidP="005114C0">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1149" w:type="dxa"/>
            <w:gridSpan w:val="3"/>
            <w:shd w:val="clear" w:color="auto" w:fill="FFFFFF"/>
          </w:tcPr>
          <w:p w14:paraId="54C247FD" w14:textId="77777777" w:rsidR="005114C0" w:rsidRPr="00B37C80" w:rsidRDefault="005114C0" w:rsidP="005114C0">
            <w:pPr>
              <w:spacing w:line="240" w:lineRule="auto"/>
              <w:rPr>
                <w:rFonts w:ascii="Times New Roman" w:hAnsi="Times New Roman"/>
                <w:color w:val="000000"/>
                <w:sz w:val="21"/>
                <w:szCs w:val="21"/>
              </w:rPr>
            </w:pPr>
          </w:p>
        </w:tc>
        <w:tc>
          <w:tcPr>
            <w:tcW w:w="236" w:type="dxa"/>
            <w:shd w:val="clear" w:color="auto" w:fill="FFFFFF"/>
          </w:tcPr>
          <w:p w14:paraId="3C508E13"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79674E95" w14:textId="77777777" w:rsidR="005114C0" w:rsidRPr="00B37C80" w:rsidRDefault="005114C0" w:rsidP="005114C0">
            <w:pPr>
              <w:spacing w:line="240" w:lineRule="auto"/>
              <w:rPr>
                <w:rFonts w:ascii="Times New Roman" w:hAnsi="Times New Roman"/>
                <w:color w:val="000000"/>
                <w:sz w:val="21"/>
                <w:szCs w:val="21"/>
              </w:rPr>
            </w:pPr>
          </w:p>
        </w:tc>
        <w:tc>
          <w:tcPr>
            <w:tcW w:w="569" w:type="dxa"/>
            <w:gridSpan w:val="2"/>
            <w:shd w:val="clear" w:color="auto" w:fill="FFFFFF"/>
          </w:tcPr>
          <w:p w14:paraId="0B3EA89D"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7DD73386"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3"/>
            <w:shd w:val="clear" w:color="auto" w:fill="FFFFFF"/>
          </w:tcPr>
          <w:p w14:paraId="43E08721"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3"/>
            <w:shd w:val="clear" w:color="auto" w:fill="FFFFFF"/>
          </w:tcPr>
          <w:p w14:paraId="17ACC2C0" w14:textId="77777777" w:rsidR="005114C0" w:rsidRPr="00B37C80" w:rsidRDefault="005114C0" w:rsidP="005114C0">
            <w:pPr>
              <w:spacing w:line="240" w:lineRule="auto"/>
              <w:rPr>
                <w:rFonts w:ascii="Times New Roman" w:hAnsi="Times New Roman"/>
                <w:color w:val="000000"/>
                <w:sz w:val="21"/>
                <w:szCs w:val="21"/>
              </w:rPr>
            </w:pPr>
          </w:p>
        </w:tc>
        <w:tc>
          <w:tcPr>
            <w:tcW w:w="569" w:type="dxa"/>
            <w:gridSpan w:val="2"/>
            <w:shd w:val="clear" w:color="auto" w:fill="FFFFFF"/>
          </w:tcPr>
          <w:p w14:paraId="59B7F758" w14:textId="77777777" w:rsidR="005114C0" w:rsidRPr="00B37C80" w:rsidRDefault="005114C0" w:rsidP="005114C0">
            <w:pPr>
              <w:spacing w:line="240" w:lineRule="auto"/>
              <w:rPr>
                <w:rFonts w:ascii="Times New Roman" w:hAnsi="Times New Roman"/>
                <w:color w:val="000000"/>
                <w:sz w:val="21"/>
                <w:szCs w:val="21"/>
              </w:rPr>
            </w:pPr>
          </w:p>
        </w:tc>
        <w:tc>
          <w:tcPr>
            <w:tcW w:w="570" w:type="dxa"/>
            <w:shd w:val="clear" w:color="auto" w:fill="FFFFFF"/>
          </w:tcPr>
          <w:p w14:paraId="0198E2A2"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613B1766"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32FD86E3" w14:textId="77777777" w:rsidR="005114C0" w:rsidRPr="00B37C80" w:rsidRDefault="005114C0" w:rsidP="005114C0">
            <w:pPr>
              <w:spacing w:line="240" w:lineRule="auto"/>
              <w:rPr>
                <w:rFonts w:ascii="Times New Roman" w:hAnsi="Times New Roman"/>
                <w:color w:val="000000"/>
                <w:sz w:val="21"/>
                <w:szCs w:val="21"/>
              </w:rPr>
            </w:pPr>
          </w:p>
        </w:tc>
        <w:tc>
          <w:tcPr>
            <w:tcW w:w="1298" w:type="dxa"/>
            <w:gridSpan w:val="2"/>
            <w:shd w:val="clear" w:color="auto" w:fill="FFFFFF"/>
          </w:tcPr>
          <w:p w14:paraId="432C87CF" w14:textId="77777777" w:rsidR="005114C0" w:rsidRPr="00B37C80" w:rsidRDefault="005114C0" w:rsidP="005114C0">
            <w:pPr>
              <w:spacing w:line="240" w:lineRule="auto"/>
              <w:rPr>
                <w:rFonts w:ascii="Times New Roman" w:hAnsi="Times New Roman"/>
                <w:color w:val="000000"/>
                <w:sz w:val="21"/>
                <w:szCs w:val="21"/>
              </w:rPr>
            </w:pPr>
          </w:p>
        </w:tc>
      </w:tr>
      <w:tr w:rsidR="005114C0" w:rsidRPr="008B4FE6" w14:paraId="099C89F7" w14:textId="77777777" w:rsidTr="00D5149F">
        <w:trPr>
          <w:trHeight w:val="357"/>
        </w:trPr>
        <w:tc>
          <w:tcPr>
            <w:tcW w:w="3133" w:type="dxa"/>
            <w:gridSpan w:val="4"/>
            <w:shd w:val="clear" w:color="auto" w:fill="FFFFFF"/>
            <w:vAlign w:val="center"/>
          </w:tcPr>
          <w:p w14:paraId="53157AAD" w14:textId="77777777" w:rsidR="005114C0" w:rsidRPr="00C53F26" w:rsidRDefault="005114C0" w:rsidP="005114C0">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1149" w:type="dxa"/>
            <w:gridSpan w:val="3"/>
            <w:shd w:val="clear" w:color="auto" w:fill="FFFFFF"/>
          </w:tcPr>
          <w:p w14:paraId="7A101CF4" w14:textId="77777777" w:rsidR="005114C0" w:rsidRPr="00B37C80" w:rsidRDefault="005114C0" w:rsidP="005114C0">
            <w:pPr>
              <w:spacing w:line="240" w:lineRule="auto"/>
              <w:rPr>
                <w:rFonts w:ascii="Times New Roman" w:hAnsi="Times New Roman"/>
                <w:color w:val="000000"/>
                <w:sz w:val="21"/>
                <w:szCs w:val="21"/>
              </w:rPr>
            </w:pPr>
          </w:p>
        </w:tc>
        <w:tc>
          <w:tcPr>
            <w:tcW w:w="236" w:type="dxa"/>
            <w:shd w:val="clear" w:color="auto" w:fill="FFFFFF"/>
          </w:tcPr>
          <w:p w14:paraId="5733C23D"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77AF72E7" w14:textId="77777777" w:rsidR="005114C0" w:rsidRPr="00B37C80" w:rsidRDefault="005114C0" w:rsidP="005114C0">
            <w:pPr>
              <w:spacing w:line="240" w:lineRule="auto"/>
              <w:rPr>
                <w:rFonts w:ascii="Times New Roman" w:hAnsi="Times New Roman"/>
                <w:color w:val="000000"/>
                <w:sz w:val="21"/>
                <w:szCs w:val="21"/>
              </w:rPr>
            </w:pPr>
          </w:p>
        </w:tc>
        <w:tc>
          <w:tcPr>
            <w:tcW w:w="569" w:type="dxa"/>
            <w:gridSpan w:val="2"/>
            <w:shd w:val="clear" w:color="auto" w:fill="FFFFFF"/>
          </w:tcPr>
          <w:p w14:paraId="20D7F278"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177DA476"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3"/>
            <w:shd w:val="clear" w:color="auto" w:fill="FFFFFF"/>
          </w:tcPr>
          <w:p w14:paraId="4A1B058E"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3"/>
            <w:shd w:val="clear" w:color="auto" w:fill="FFFFFF"/>
          </w:tcPr>
          <w:p w14:paraId="09B0E564" w14:textId="77777777" w:rsidR="005114C0" w:rsidRPr="00B37C80" w:rsidRDefault="005114C0" w:rsidP="005114C0">
            <w:pPr>
              <w:spacing w:line="240" w:lineRule="auto"/>
              <w:rPr>
                <w:rFonts w:ascii="Times New Roman" w:hAnsi="Times New Roman"/>
                <w:color w:val="000000"/>
                <w:sz w:val="21"/>
                <w:szCs w:val="21"/>
              </w:rPr>
            </w:pPr>
          </w:p>
        </w:tc>
        <w:tc>
          <w:tcPr>
            <w:tcW w:w="569" w:type="dxa"/>
            <w:gridSpan w:val="2"/>
            <w:shd w:val="clear" w:color="auto" w:fill="FFFFFF"/>
          </w:tcPr>
          <w:p w14:paraId="625CE7C5" w14:textId="77777777" w:rsidR="005114C0" w:rsidRPr="00B37C80" w:rsidRDefault="005114C0" w:rsidP="005114C0">
            <w:pPr>
              <w:spacing w:line="240" w:lineRule="auto"/>
              <w:rPr>
                <w:rFonts w:ascii="Times New Roman" w:hAnsi="Times New Roman"/>
                <w:color w:val="000000"/>
                <w:sz w:val="21"/>
                <w:szCs w:val="21"/>
              </w:rPr>
            </w:pPr>
          </w:p>
        </w:tc>
        <w:tc>
          <w:tcPr>
            <w:tcW w:w="570" w:type="dxa"/>
            <w:shd w:val="clear" w:color="auto" w:fill="FFFFFF"/>
          </w:tcPr>
          <w:p w14:paraId="2134647C"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71FF9C72"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7621B27A" w14:textId="77777777" w:rsidR="005114C0" w:rsidRPr="00B37C80" w:rsidRDefault="005114C0" w:rsidP="005114C0">
            <w:pPr>
              <w:spacing w:line="240" w:lineRule="auto"/>
              <w:rPr>
                <w:rFonts w:ascii="Times New Roman" w:hAnsi="Times New Roman"/>
                <w:color w:val="000000"/>
                <w:sz w:val="21"/>
                <w:szCs w:val="21"/>
              </w:rPr>
            </w:pPr>
          </w:p>
        </w:tc>
        <w:tc>
          <w:tcPr>
            <w:tcW w:w="1298" w:type="dxa"/>
            <w:gridSpan w:val="2"/>
            <w:shd w:val="clear" w:color="auto" w:fill="FFFFFF"/>
          </w:tcPr>
          <w:p w14:paraId="05C8F646" w14:textId="77777777" w:rsidR="005114C0" w:rsidRPr="00B37C80" w:rsidRDefault="005114C0" w:rsidP="005114C0">
            <w:pPr>
              <w:spacing w:line="240" w:lineRule="auto"/>
              <w:rPr>
                <w:rFonts w:ascii="Times New Roman" w:hAnsi="Times New Roman"/>
                <w:color w:val="000000"/>
                <w:sz w:val="21"/>
                <w:szCs w:val="21"/>
              </w:rPr>
            </w:pPr>
          </w:p>
        </w:tc>
      </w:tr>
      <w:tr w:rsidR="005114C0" w:rsidRPr="008B4FE6" w14:paraId="64B575F0" w14:textId="77777777" w:rsidTr="00D5149F">
        <w:trPr>
          <w:trHeight w:val="357"/>
        </w:trPr>
        <w:tc>
          <w:tcPr>
            <w:tcW w:w="3133" w:type="dxa"/>
            <w:gridSpan w:val="4"/>
            <w:shd w:val="clear" w:color="auto" w:fill="FFFFFF"/>
            <w:vAlign w:val="center"/>
          </w:tcPr>
          <w:p w14:paraId="5565747D" w14:textId="77777777" w:rsidR="005114C0" w:rsidRPr="00C53F26" w:rsidRDefault="005114C0" w:rsidP="005114C0">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1149" w:type="dxa"/>
            <w:gridSpan w:val="3"/>
            <w:shd w:val="clear" w:color="auto" w:fill="FFFFFF"/>
          </w:tcPr>
          <w:p w14:paraId="3032BC3F" w14:textId="77777777" w:rsidR="005114C0" w:rsidRPr="00B37C80" w:rsidRDefault="005114C0" w:rsidP="005114C0">
            <w:pPr>
              <w:spacing w:line="240" w:lineRule="auto"/>
              <w:rPr>
                <w:rFonts w:ascii="Times New Roman" w:hAnsi="Times New Roman"/>
                <w:color w:val="000000"/>
                <w:sz w:val="21"/>
                <w:szCs w:val="21"/>
              </w:rPr>
            </w:pPr>
          </w:p>
        </w:tc>
        <w:tc>
          <w:tcPr>
            <w:tcW w:w="236" w:type="dxa"/>
            <w:shd w:val="clear" w:color="auto" w:fill="FFFFFF"/>
          </w:tcPr>
          <w:p w14:paraId="256C98C0"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522CCBC0" w14:textId="77777777" w:rsidR="005114C0" w:rsidRPr="00B37C80" w:rsidRDefault="005114C0" w:rsidP="005114C0">
            <w:pPr>
              <w:spacing w:line="240" w:lineRule="auto"/>
              <w:rPr>
                <w:rFonts w:ascii="Times New Roman" w:hAnsi="Times New Roman"/>
                <w:color w:val="000000"/>
                <w:sz w:val="21"/>
                <w:szCs w:val="21"/>
              </w:rPr>
            </w:pPr>
          </w:p>
        </w:tc>
        <w:tc>
          <w:tcPr>
            <w:tcW w:w="569" w:type="dxa"/>
            <w:gridSpan w:val="2"/>
            <w:shd w:val="clear" w:color="auto" w:fill="FFFFFF"/>
          </w:tcPr>
          <w:p w14:paraId="1B9161F7"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3367F2B5"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3"/>
            <w:shd w:val="clear" w:color="auto" w:fill="FFFFFF"/>
          </w:tcPr>
          <w:p w14:paraId="35D6E983"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3"/>
            <w:shd w:val="clear" w:color="auto" w:fill="FFFFFF"/>
          </w:tcPr>
          <w:p w14:paraId="10C925AD" w14:textId="77777777" w:rsidR="005114C0" w:rsidRPr="00B37C80" w:rsidRDefault="005114C0" w:rsidP="005114C0">
            <w:pPr>
              <w:spacing w:line="240" w:lineRule="auto"/>
              <w:rPr>
                <w:rFonts w:ascii="Times New Roman" w:hAnsi="Times New Roman"/>
                <w:color w:val="000000"/>
                <w:sz w:val="21"/>
                <w:szCs w:val="21"/>
              </w:rPr>
            </w:pPr>
          </w:p>
        </w:tc>
        <w:tc>
          <w:tcPr>
            <w:tcW w:w="569" w:type="dxa"/>
            <w:gridSpan w:val="2"/>
            <w:shd w:val="clear" w:color="auto" w:fill="FFFFFF"/>
          </w:tcPr>
          <w:p w14:paraId="0FB72495" w14:textId="77777777" w:rsidR="005114C0" w:rsidRPr="00B37C80" w:rsidRDefault="005114C0" w:rsidP="005114C0">
            <w:pPr>
              <w:spacing w:line="240" w:lineRule="auto"/>
              <w:rPr>
                <w:rFonts w:ascii="Times New Roman" w:hAnsi="Times New Roman"/>
                <w:color w:val="000000"/>
                <w:sz w:val="21"/>
                <w:szCs w:val="21"/>
              </w:rPr>
            </w:pPr>
          </w:p>
        </w:tc>
        <w:tc>
          <w:tcPr>
            <w:tcW w:w="570" w:type="dxa"/>
            <w:shd w:val="clear" w:color="auto" w:fill="FFFFFF"/>
          </w:tcPr>
          <w:p w14:paraId="00032D97"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14F8BBF2" w14:textId="77777777" w:rsidR="005114C0" w:rsidRPr="00B37C80" w:rsidRDefault="005114C0" w:rsidP="005114C0">
            <w:pPr>
              <w:spacing w:line="240" w:lineRule="auto"/>
              <w:rPr>
                <w:rFonts w:ascii="Times New Roman" w:hAnsi="Times New Roman"/>
                <w:color w:val="000000"/>
                <w:sz w:val="21"/>
                <w:szCs w:val="21"/>
              </w:rPr>
            </w:pPr>
          </w:p>
        </w:tc>
        <w:tc>
          <w:tcPr>
            <w:tcW w:w="570" w:type="dxa"/>
            <w:gridSpan w:val="2"/>
            <w:shd w:val="clear" w:color="auto" w:fill="FFFFFF"/>
          </w:tcPr>
          <w:p w14:paraId="254EEE56" w14:textId="77777777" w:rsidR="005114C0" w:rsidRPr="00B37C80" w:rsidRDefault="005114C0" w:rsidP="005114C0">
            <w:pPr>
              <w:spacing w:line="240" w:lineRule="auto"/>
              <w:rPr>
                <w:rFonts w:ascii="Times New Roman" w:hAnsi="Times New Roman"/>
                <w:color w:val="000000"/>
                <w:sz w:val="21"/>
                <w:szCs w:val="21"/>
              </w:rPr>
            </w:pPr>
          </w:p>
        </w:tc>
        <w:tc>
          <w:tcPr>
            <w:tcW w:w="1298" w:type="dxa"/>
            <w:gridSpan w:val="2"/>
            <w:shd w:val="clear" w:color="auto" w:fill="FFFFFF"/>
          </w:tcPr>
          <w:p w14:paraId="601A1C1D" w14:textId="77777777" w:rsidR="005114C0" w:rsidRPr="00B37C80" w:rsidRDefault="005114C0" w:rsidP="005114C0">
            <w:pPr>
              <w:spacing w:line="240" w:lineRule="auto"/>
              <w:rPr>
                <w:rFonts w:ascii="Times New Roman" w:hAnsi="Times New Roman"/>
                <w:color w:val="000000"/>
                <w:sz w:val="21"/>
                <w:szCs w:val="21"/>
              </w:rPr>
            </w:pPr>
          </w:p>
        </w:tc>
      </w:tr>
      <w:tr w:rsidR="005114C0" w:rsidRPr="008B4FE6" w14:paraId="3E239A45" w14:textId="77777777" w:rsidTr="00D5149F">
        <w:trPr>
          <w:gridAfter w:val="1"/>
          <w:wAfter w:w="7" w:type="dxa"/>
          <w:trHeight w:val="348"/>
        </w:trPr>
        <w:tc>
          <w:tcPr>
            <w:tcW w:w="2243" w:type="dxa"/>
            <w:gridSpan w:val="2"/>
            <w:shd w:val="clear" w:color="auto" w:fill="FFFFFF"/>
            <w:vAlign w:val="center"/>
          </w:tcPr>
          <w:p w14:paraId="207A61D7" w14:textId="77777777" w:rsidR="005114C0" w:rsidRPr="00C53F26" w:rsidRDefault="005114C0" w:rsidP="005114C0">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694" w:type="dxa"/>
            <w:gridSpan w:val="26"/>
            <w:shd w:val="clear" w:color="auto" w:fill="FFFFFF"/>
            <w:vAlign w:val="center"/>
          </w:tcPr>
          <w:p w14:paraId="12082CEE" w14:textId="77777777" w:rsidR="005114C0" w:rsidRPr="00B37C80" w:rsidRDefault="005114C0" w:rsidP="005114C0">
            <w:pPr>
              <w:spacing w:line="240" w:lineRule="auto"/>
              <w:jc w:val="both"/>
              <w:rPr>
                <w:rFonts w:ascii="Times New Roman" w:hAnsi="Times New Roman"/>
                <w:color w:val="000000"/>
                <w:sz w:val="21"/>
                <w:szCs w:val="21"/>
              </w:rPr>
            </w:pPr>
          </w:p>
          <w:p w14:paraId="5EB0664C" w14:textId="77777777" w:rsidR="005114C0" w:rsidRPr="00B37C80" w:rsidRDefault="005114C0" w:rsidP="005114C0">
            <w:pPr>
              <w:spacing w:line="240" w:lineRule="auto"/>
              <w:jc w:val="both"/>
              <w:rPr>
                <w:rFonts w:ascii="Times New Roman" w:hAnsi="Times New Roman"/>
                <w:color w:val="000000"/>
                <w:sz w:val="21"/>
                <w:szCs w:val="21"/>
              </w:rPr>
            </w:pPr>
            <w:r w:rsidRPr="00F303C5">
              <w:rPr>
                <w:rFonts w:ascii="Times New Roman" w:hAnsi="Times New Roman"/>
                <w:color w:val="000000"/>
                <w:sz w:val="21"/>
                <w:szCs w:val="21"/>
              </w:rPr>
              <w:t>Wejście w życie ustawy nie będzie miało wpływu na sektor finansów publicznych, w tym na budżet państwa i budżety jednostek samorządu terytorialnego.</w:t>
            </w:r>
          </w:p>
          <w:p w14:paraId="30516886" w14:textId="77777777" w:rsidR="005114C0" w:rsidRPr="00B37C80" w:rsidRDefault="005114C0" w:rsidP="005114C0">
            <w:pPr>
              <w:spacing w:line="240" w:lineRule="auto"/>
              <w:jc w:val="both"/>
              <w:rPr>
                <w:rFonts w:ascii="Times New Roman" w:hAnsi="Times New Roman"/>
                <w:color w:val="000000"/>
                <w:sz w:val="21"/>
                <w:szCs w:val="21"/>
              </w:rPr>
            </w:pPr>
          </w:p>
        </w:tc>
      </w:tr>
      <w:tr w:rsidR="005114C0" w:rsidRPr="008B4FE6" w14:paraId="43B497C1" w14:textId="77777777" w:rsidTr="00D5149F">
        <w:trPr>
          <w:gridAfter w:val="1"/>
          <w:wAfter w:w="7" w:type="dxa"/>
          <w:trHeight w:val="1926"/>
        </w:trPr>
        <w:tc>
          <w:tcPr>
            <w:tcW w:w="2243" w:type="dxa"/>
            <w:gridSpan w:val="2"/>
            <w:shd w:val="clear" w:color="auto" w:fill="FFFFFF"/>
          </w:tcPr>
          <w:p w14:paraId="76E22EBE" w14:textId="77777777" w:rsidR="005114C0" w:rsidRPr="00C53F26" w:rsidRDefault="005114C0" w:rsidP="005114C0">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8694" w:type="dxa"/>
            <w:gridSpan w:val="26"/>
            <w:shd w:val="clear" w:color="auto" w:fill="FFFFFF"/>
          </w:tcPr>
          <w:p w14:paraId="5E281B85" w14:textId="2E0F6B9A" w:rsidR="005114C0" w:rsidRPr="00C53F26" w:rsidRDefault="005114C0" w:rsidP="005114C0">
            <w:pPr>
              <w:spacing w:line="240" w:lineRule="auto"/>
              <w:jc w:val="both"/>
              <w:rPr>
                <w:rFonts w:ascii="Times New Roman" w:hAnsi="Times New Roman"/>
                <w:color w:val="000000"/>
                <w:sz w:val="21"/>
                <w:szCs w:val="21"/>
              </w:rPr>
            </w:pPr>
            <w:r w:rsidRPr="00F303C5">
              <w:rPr>
                <w:rFonts w:ascii="Times New Roman" w:hAnsi="Times New Roman"/>
                <w:color w:val="000000"/>
                <w:sz w:val="21"/>
                <w:szCs w:val="21"/>
              </w:rPr>
              <w:t xml:space="preserve">Wpływ projektowanych zmian </w:t>
            </w:r>
            <w:r>
              <w:rPr>
                <w:rFonts w:ascii="Times New Roman" w:hAnsi="Times New Roman"/>
                <w:color w:val="000000"/>
                <w:sz w:val="21"/>
                <w:szCs w:val="21"/>
              </w:rPr>
              <w:t xml:space="preserve">będzie </w:t>
            </w:r>
            <w:r w:rsidRPr="00F303C5">
              <w:rPr>
                <w:rFonts w:ascii="Times New Roman" w:hAnsi="Times New Roman"/>
                <w:color w:val="000000"/>
                <w:sz w:val="21"/>
                <w:szCs w:val="21"/>
              </w:rPr>
              <w:t>wiąza</w:t>
            </w:r>
            <w:r>
              <w:rPr>
                <w:rFonts w:ascii="Times New Roman" w:hAnsi="Times New Roman"/>
                <w:color w:val="000000"/>
                <w:sz w:val="21"/>
                <w:szCs w:val="21"/>
              </w:rPr>
              <w:t>ł</w:t>
            </w:r>
            <w:r w:rsidRPr="00F303C5">
              <w:rPr>
                <w:rFonts w:ascii="Times New Roman" w:hAnsi="Times New Roman"/>
                <w:color w:val="000000"/>
                <w:sz w:val="21"/>
                <w:szCs w:val="21"/>
              </w:rPr>
              <w:t xml:space="preserve"> się ze wzrostem kosztów związanych ze sprawowanym przez KNF nadzorem.</w:t>
            </w:r>
            <w:r w:rsidR="009E1CE8">
              <w:rPr>
                <w:rFonts w:ascii="Times New Roman" w:hAnsi="Times New Roman"/>
                <w:color w:val="000000"/>
                <w:sz w:val="21"/>
                <w:szCs w:val="21"/>
              </w:rPr>
              <w:t xml:space="preserve"> N</w:t>
            </w:r>
            <w:r w:rsidRPr="00E66DA9">
              <w:rPr>
                <w:rFonts w:ascii="Times New Roman" w:hAnsi="Times New Roman"/>
                <w:color w:val="000000"/>
                <w:sz w:val="21"/>
                <w:szCs w:val="21"/>
              </w:rPr>
              <w:t xml:space="preserve">adzór nad emitentami </w:t>
            </w:r>
            <w:r w:rsidR="00730F92">
              <w:rPr>
                <w:rFonts w:ascii="Times New Roman" w:hAnsi="Times New Roman"/>
                <w:color w:val="000000"/>
                <w:sz w:val="21"/>
                <w:szCs w:val="21"/>
              </w:rPr>
              <w:t>tokenów powiązanych z aktywami lub tokenów będących e-pieniądzem</w:t>
            </w:r>
            <w:r w:rsidR="00730F92" w:rsidRPr="00E66DA9">
              <w:rPr>
                <w:rFonts w:ascii="Times New Roman" w:hAnsi="Times New Roman"/>
                <w:color w:val="000000"/>
                <w:sz w:val="21"/>
                <w:szCs w:val="21"/>
              </w:rPr>
              <w:t xml:space="preserve"> </w:t>
            </w:r>
            <w:r w:rsidRPr="00E66DA9">
              <w:rPr>
                <w:rFonts w:ascii="Times New Roman" w:hAnsi="Times New Roman"/>
                <w:color w:val="000000"/>
                <w:sz w:val="21"/>
                <w:szCs w:val="21"/>
              </w:rPr>
              <w:t>i dostawcami usług w zakresie kryptoaktywów podlegającymi nowym wymogom wiązałby z bieżącymi kosztami</w:t>
            </w:r>
            <w:r>
              <w:rPr>
                <w:rFonts w:ascii="Times New Roman" w:hAnsi="Times New Roman"/>
                <w:color w:val="000000"/>
                <w:sz w:val="21"/>
                <w:szCs w:val="21"/>
              </w:rPr>
              <w:t xml:space="preserve"> KNF</w:t>
            </w:r>
            <w:r w:rsidRPr="00E66DA9">
              <w:rPr>
                <w:rFonts w:ascii="Times New Roman" w:hAnsi="Times New Roman"/>
                <w:color w:val="000000"/>
                <w:sz w:val="21"/>
                <w:szCs w:val="21"/>
              </w:rPr>
              <w:t xml:space="preserve">, których wysokość </w:t>
            </w:r>
            <w:r>
              <w:rPr>
                <w:rFonts w:ascii="Times New Roman" w:hAnsi="Times New Roman"/>
                <w:color w:val="000000"/>
                <w:sz w:val="21"/>
                <w:szCs w:val="21"/>
              </w:rPr>
              <w:t xml:space="preserve">na tym etapie jest trudna do </w:t>
            </w:r>
            <w:r w:rsidRPr="00E66DA9">
              <w:rPr>
                <w:rFonts w:ascii="Times New Roman" w:hAnsi="Times New Roman"/>
                <w:color w:val="000000"/>
                <w:sz w:val="21"/>
                <w:szCs w:val="21"/>
              </w:rPr>
              <w:t>oszacowan</w:t>
            </w:r>
            <w:r>
              <w:rPr>
                <w:rFonts w:ascii="Times New Roman" w:hAnsi="Times New Roman"/>
                <w:color w:val="000000"/>
                <w:sz w:val="21"/>
                <w:szCs w:val="21"/>
              </w:rPr>
              <w:t>ia</w:t>
            </w:r>
            <w:r w:rsidRPr="00E66DA9">
              <w:rPr>
                <w:rFonts w:ascii="Times New Roman" w:hAnsi="Times New Roman"/>
                <w:color w:val="000000"/>
                <w:sz w:val="21"/>
                <w:szCs w:val="21"/>
              </w:rPr>
              <w:t>. Opłaty pobierane przez właściwe organy krajowe od podmiotów objętych nadzorem zrekompensują częściowo te koszty.</w:t>
            </w:r>
          </w:p>
        </w:tc>
      </w:tr>
      <w:tr w:rsidR="005114C0" w:rsidRPr="008B4FE6" w14:paraId="53431268" w14:textId="77777777" w:rsidTr="00D5149F">
        <w:trPr>
          <w:gridAfter w:val="1"/>
          <w:wAfter w:w="7" w:type="dxa"/>
          <w:trHeight w:val="345"/>
        </w:trPr>
        <w:tc>
          <w:tcPr>
            <w:tcW w:w="10937" w:type="dxa"/>
            <w:gridSpan w:val="28"/>
            <w:shd w:val="clear" w:color="auto" w:fill="99CCFF"/>
          </w:tcPr>
          <w:p w14:paraId="022EAA2C" w14:textId="77777777" w:rsidR="005114C0" w:rsidRPr="008B4FE6" w:rsidRDefault="005114C0" w:rsidP="005114C0">
            <w:pPr>
              <w:numPr>
                <w:ilvl w:val="0"/>
                <w:numId w:val="3"/>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 xml:space="preserve">orców oraz na rodzinę, obywateli i gospodarstwa domowe </w:t>
            </w:r>
          </w:p>
        </w:tc>
      </w:tr>
      <w:tr w:rsidR="005114C0" w:rsidRPr="008B4FE6" w14:paraId="7D9BA04E" w14:textId="77777777" w:rsidTr="00D5149F">
        <w:trPr>
          <w:gridAfter w:val="1"/>
          <w:wAfter w:w="7" w:type="dxa"/>
          <w:trHeight w:val="142"/>
        </w:trPr>
        <w:tc>
          <w:tcPr>
            <w:tcW w:w="10937" w:type="dxa"/>
            <w:gridSpan w:val="28"/>
            <w:shd w:val="clear" w:color="auto" w:fill="FFFFFF"/>
          </w:tcPr>
          <w:p w14:paraId="4F25F101" w14:textId="77777777" w:rsidR="005114C0" w:rsidRPr="00301959" w:rsidRDefault="005114C0" w:rsidP="005114C0">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5114C0" w:rsidRPr="008B4FE6" w14:paraId="645417B4" w14:textId="77777777" w:rsidTr="00D5149F">
        <w:trPr>
          <w:gridAfter w:val="1"/>
          <w:wAfter w:w="7" w:type="dxa"/>
          <w:trHeight w:val="142"/>
        </w:trPr>
        <w:tc>
          <w:tcPr>
            <w:tcW w:w="3889" w:type="dxa"/>
            <w:gridSpan w:val="6"/>
            <w:shd w:val="clear" w:color="auto" w:fill="FFFFFF"/>
          </w:tcPr>
          <w:p w14:paraId="5661D495" w14:textId="77777777" w:rsidR="005114C0" w:rsidRPr="00301959" w:rsidRDefault="005114C0" w:rsidP="005114C0">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937" w:type="dxa"/>
            <w:gridSpan w:val="3"/>
            <w:shd w:val="clear" w:color="auto" w:fill="FFFFFF"/>
          </w:tcPr>
          <w:p w14:paraId="022548E6" w14:textId="77777777" w:rsidR="005114C0" w:rsidRPr="00301959" w:rsidRDefault="005114C0" w:rsidP="005114C0">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38" w:type="dxa"/>
            <w:gridSpan w:val="4"/>
            <w:shd w:val="clear" w:color="auto" w:fill="FFFFFF"/>
          </w:tcPr>
          <w:p w14:paraId="6B6A6131" w14:textId="77777777" w:rsidR="005114C0" w:rsidRPr="00301959" w:rsidRDefault="005114C0" w:rsidP="005114C0">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3"/>
            <w:shd w:val="clear" w:color="auto" w:fill="FFFFFF"/>
          </w:tcPr>
          <w:p w14:paraId="6B1F7323" w14:textId="77777777" w:rsidR="005114C0" w:rsidRPr="00301959" w:rsidRDefault="005114C0" w:rsidP="005114C0">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5"/>
            <w:shd w:val="clear" w:color="auto" w:fill="FFFFFF"/>
          </w:tcPr>
          <w:p w14:paraId="3090EA7F" w14:textId="77777777" w:rsidR="005114C0" w:rsidRPr="00301959" w:rsidRDefault="005114C0" w:rsidP="005114C0">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3"/>
            <w:shd w:val="clear" w:color="auto" w:fill="FFFFFF"/>
          </w:tcPr>
          <w:p w14:paraId="4280C974" w14:textId="77777777" w:rsidR="005114C0" w:rsidRPr="00301959" w:rsidRDefault="005114C0" w:rsidP="005114C0">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2"/>
            <w:shd w:val="clear" w:color="auto" w:fill="FFFFFF"/>
          </w:tcPr>
          <w:p w14:paraId="61BD2D46" w14:textId="77777777" w:rsidR="005114C0" w:rsidRPr="00301959" w:rsidRDefault="005114C0" w:rsidP="005114C0">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422" w:type="dxa"/>
            <w:gridSpan w:val="2"/>
            <w:shd w:val="clear" w:color="auto" w:fill="FFFFFF"/>
          </w:tcPr>
          <w:p w14:paraId="317EB0DF" w14:textId="77777777" w:rsidR="005114C0" w:rsidRPr="001B3460" w:rsidRDefault="005114C0" w:rsidP="005114C0">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Pr="001B3460">
              <w:rPr>
                <w:rFonts w:ascii="Times New Roman" w:hAnsi="Times New Roman"/>
                <w:i/>
                <w:color w:val="000000"/>
                <w:spacing w:val="-2"/>
                <w:sz w:val="21"/>
                <w:szCs w:val="21"/>
              </w:rPr>
              <w:t>(0-10)</w:t>
            </w:r>
          </w:p>
        </w:tc>
      </w:tr>
      <w:tr w:rsidR="005114C0" w:rsidRPr="008B4FE6" w14:paraId="4387A9D1" w14:textId="77777777" w:rsidTr="00D5149F">
        <w:trPr>
          <w:gridAfter w:val="1"/>
          <w:wAfter w:w="7" w:type="dxa"/>
          <w:trHeight w:val="142"/>
        </w:trPr>
        <w:tc>
          <w:tcPr>
            <w:tcW w:w="1596" w:type="dxa"/>
            <w:vMerge w:val="restart"/>
            <w:shd w:val="clear" w:color="auto" w:fill="FFFFFF"/>
          </w:tcPr>
          <w:p w14:paraId="091E332E" w14:textId="77777777" w:rsidR="005114C0" w:rsidRDefault="005114C0" w:rsidP="005114C0">
            <w:pPr>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14:paraId="669E1691" w14:textId="77777777" w:rsidR="005114C0" w:rsidRDefault="005114C0" w:rsidP="005114C0">
            <w:pPr>
              <w:rPr>
                <w:rFonts w:ascii="Times New Roman" w:hAnsi="Times New Roman"/>
                <w:spacing w:val="-2"/>
                <w:sz w:val="21"/>
                <w:szCs w:val="21"/>
              </w:rPr>
            </w:pPr>
            <w:r>
              <w:rPr>
                <w:rFonts w:ascii="Times New Roman" w:hAnsi="Times New Roman"/>
                <w:spacing w:val="-2"/>
                <w:sz w:val="21"/>
                <w:szCs w:val="21"/>
              </w:rPr>
              <w:t xml:space="preserve">(w mln zł, </w:t>
            </w:r>
          </w:p>
          <w:p w14:paraId="59D4B4FB" w14:textId="77777777" w:rsidR="005114C0" w:rsidRPr="00301959" w:rsidRDefault="005114C0" w:rsidP="005114C0">
            <w:pPr>
              <w:spacing w:line="240" w:lineRule="auto"/>
              <w:rPr>
                <w:rFonts w:ascii="Times New Roman" w:hAnsi="Times New Roman"/>
                <w:color w:val="000000"/>
                <w:sz w:val="21"/>
                <w:szCs w:val="21"/>
              </w:rPr>
            </w:pPr>
            <w:r>
              <w:rPr>
                <w:rFonts w:ascii="Times New Roman" w:hAnsi="Times New Roman"/>
                <w:spacing w:val="-2"/>
                <w:sz w:val="21"/>
                <w:szCs w:val="21"/>
              </w:rPr>
              <w:t>ceny stałe z …… r.)</w:t>
            </w:r>
          </w:p>
        </w:tc>
        <w:tc>
          <w:tcPr>
            <w:tcW w:w="2293" w:type="dxa"/>
            <w:gridSpan w:val="5"/>
            <w:shd w:val="clear" w:color="auto" w:fill="FFFFFF"/>
          </w:tcPr>
          <w:p w14:paraId="502FE822" w14:textId="77777777" w:rsidR="005114C0" w:rsidRPr="00301959" w:rsidRDefault="005114C0" w:rsidP="005114C0">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937" w:type="dxa"/>
            <w:gridSpan w:val="3"/>
            <w:shd w:val="clear" w:color="auto" w:fill="FFFFFF"/>
          </w:tcPr>
          <w:p w14:paraId="58E95038" w14:textId="77777777" w:rsidR="005114C0" w:rsidRPr="00B37C80" w:rsidRDefault="005114C0" w:rsidP="005114C0">
            <w:pPr>
              <w:spacing w:line="240" w:lineRule="auto"/>
              <w:rPr>
                <w:rFonts w:ascii="Times New Roman" w:hAnsi="Times New Roman"/>
                <w:color w:val="000000"/>
                <w:sz w:val="21"/>
                <w:szCs w:val="21"/>
              </w:rPr>
            </w:pPr>
          </w:p>
        </w:tc>
        <w:tc>
          <w:tcPr>
            <w:tcW w:w="938" w:type="dxa"/>
            <w:gridSpan w:val="4"/>
            <w:shd w:val="clear" w:color="auto" w:fill="FFFFFF"/>
          </w:tcPr>
          <w:p w14:paraId="09B75574" w14:textId="77777777" w:rsidR="005114C0" w:rsidRPr="00B37C80" w:rsidRDefault="005114C0" w:rsidP="005114C0">
            <w:pPr>
              <w:spacing w:line="240" w:lineRule="auto"/>
              <w:rPr>
                <w:rFonts w:ascii="Times New Roman" w:hAnsi="Times New Roman"/>
                <w:color w:val="000000"/>
                <w:sz w:val="21"/>
                <w:szCs w:val="21"/>
              </w:rPr>
            </w:pPr>
          </w:p>
        </w:tc>
        <w:tc>
          <w:tcPr>
            <w:tcW w:w="938" w:type="dxa"/>
            <w:gridSpan w:val="3"/>
            <w:shd w:val="clear" w:color="auto" w:fill="FFFFFF"/>
          </w:tcPr>
          <w:p w14:paraId="59560633" w14:textId="77777777" w:rsidR="005114C0" w:rsidRPr="00B37C80" w:rsidRDefault="005114C0" w:rsidP="005114C0">
            <w:pPr>
              <w:spacing w:line="240" w:lineRule="auto"/>
              <w:rPr>
                <w:rFonts w:ascii="Times New Roman" w:hAnsi="Times New Roman"/>
                <w:color w:val="000000"/>
                <w:sz w:val="21"/>
                <w:szCs w:val="21"/>
              </w:rPr>
            </w:pPr>
          </w:p>
        </w:tc>
        <w:tc>
          <w:tcPr>
            <w:tcW w:w="937" w:type="dxa"/>
            <w:gridSpan w:val="5"/>
            <w:shd w:val="clear" w:color="auto" w:fill="FFFFFF"/>
          </w:tcPr>
          <w:p w14:paraId="5438C22B" w14:textId="77777777" w:rsidR="005114C0" w:rsidRPr="00B37C80" w:rsidRDefault="005114C0" w:rsidP="005114C0">
            <w:pPr>
              <w:spacing w:line="240" w:lineRule="auto"/>
              <w:rPr>
                <w:rFonts w:ascii="Times New Roman" w:hAnsi="Times New Roman"/>
                <w:color w:val="000000"/>
                <w:sz w:val="21"/>
                <w:szCs w:val="21"/>
              </w:rPr>
            </w:pPr>
          </w:p>
        </w:tc>
        <w:tc>
          <w:tcPr>
            <w:tcW w:w="938" w:type="dxa"/>
            <w:gridSpan w:val="3"/>
            <w:shd w:val="clear" w:color="auto" w:fill="FFFFFF"/>
          </w:tcPr>
          <w:p w14:paraId="207DDE30" w14:textId="77777777" w:rsidR="005114C0" w:rsidRPr="00B37C80" w:rsidRDefault="005114C0" w:rsidP="005114C0">
            <w:pPr>
              <w:spacing w:line="240" w:lineRule="auto"/>
              <w:rPr>
                <w:rFonts w:ascii="Times New Roman" w:hAnsi="Times New Roman"/>
                <w:color w:val="000000"/>
                <w:sz w:val="21"/>
                <w:szCs w:val="21"/>
              </w:rPr>
            </w:pPr>
          </w:p>
        </w:tc>
        <w:tc>
          <w:tcPr>
            <w:tcW w:w="938" w:type="dxa"/>
            <w:gridSpan w:val="2"/>
            <w:shd w:val="clear" w:color="auto" w:fill="FFFFFF"/>
          </w:tcPr>
          <w:p w14:paraId="17C1A6DD" w14:textId="77777777" w:rsidR="005114C0" w:rsidRPr="00B37C80" w:rsidRDefault="005114C0" w:rsidP="005114C0">
            <w:pPr>
              <w:spacing w:line="240" w:lineRule="auto"/>
              <w:rPr>
                <w:rFonts w:ascii="Times New Roman" w:hAnsi="Times New Roman"/>
                <w:color w:val="000000"/>
                <w:sz w:val="21"/>
                <w:szCs w:val="21"/>
              </w:rPr>
            </w:pPr>
          </w:p>
        </w:tc>
        <w:tc>
          <w:tcPr>
            <w:tcW w:w="1422" w:type="dxa"/>
            <w:gridSpan w:val="2"/>
            <w:shd w:val="clear" w:color="auto" w:fill="FFFFFF"/>
          </w:tcPr>
          <w:p w14:paraId="7B2B3470" w14:textId="77777777" w:rsidR="005114C0" w:rsidRPr="00B37C80" w:rsidRDefault="005114C0" w:rsidP="005114C0">
            <w:pPr>
              <w:spacing w:line="240" w:lineRule="auto"/>
              <w:rPr>
                <w:rFonts w:ascii="Times New Roman" w:hAnsi="Times New Roman"/>
                <w:color w:val="000000"/>
                <w:spacing w:val="-2"/>
                <w:sz w:val="21"/>
                <w:szCs w:val="21"/>
              </w:rPr>
            </w:pPr>
          </w:p>
        </w:tc>
      </w:tr>
      <w:tr w:rsidR="005114C0" w:rsidRPr="008B4FE6" w14:paraId="7C43F80C" w14:textId="77777777" w:rsidTr="00D5149F">
        <w:trPr>
          <w:gridAfter w:val="1"/>
          <w:wAfter w:w="7" w:type="dxa"/>
          <w:trHeight w:val="142"/>
        </w:trPr>
        <w:tc>
          <w:tcPr>
            <w:tcW w:w="1596" w:type="dxa"/>
            <w:vMerge/>
            <w:shd w:val="clear" w:color="auto" w:fill="FFFFFF"/>
          </w:tcPr>
          <w:p w14:paraId="468A9DF4" w14:textId="77777777" w:rsidR="005114C0" w:rsidRPr="00301959" w:rsidRDefault="005114C0" w:rsidP="005114C0">
            <w:pPr>
              <w:spacing w:line="240" w:lineRule="auto"/>
              <w:rPr>
                <w:rFonts w:ascii="Times New Roman" w:hAnsi="Times New Roman"/>
                <w:color w:val="000000"/>
                <w:sz w:val="21"/>
                <w:szCs w:val="21"/>
              </w:rPr>
            </w:pPr>
          </w:p>
        </w:tc>
        <w:tc>
          <w:tcPr>
            <w:tcW w:w="2293" w:type="dxa"/>
            <w:gridSpan w:val="5"/>
            <w:shd w:val="clear" w:color="auto" w:fill="FFFFFF"/>
          </w:tcPr>
          <w:p w14:paraId="4EDA6A1D" w14:textId="77777777" w:rsidR="005114C0" w:rsidRPr="00301959" w:rsidRDefault="005114C0" w:rsidP="005114C0">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937" w:type="dxa"/>
            <w:gridSpan w:val="3"/>
            <w:shd w:val="clear" w:color="auto" w:fill="FFFFFF"/>
          </w:tcPr>
          <w:p w14:paraId="2C25B786" w14:textId="77777777" w:rsidR="005114C0" w:rsidRPr="00B37C80" w:rsidRDefault="005114C0" w:rsidP="005114C0">
            <w:pPr>
              <w:spacing w:line="240" w:lineRule="auto"/>
              <w:rPr>
                <w:rFonts w:ascii="Times New Roman" w:hAnsi="Times New Roman"/>
                <w:color w:val="000000"/>
                <w:sz w:val="21"/>
                <w:szCs w:val="21"/>
              </w:rPr>
            </w:pPr>
          </w:p>
        </w:tc>
        <w:tc>
          <w:tcPr>
            <w:tcW w:w="938" w:type="dxa"/>
            <w:gridSpan w:val="4"/>
            <w:shd w:val="clear" w:color="auto" w:fill="FFFFFF"/>
          </w:tcPr>
          <w:p w14:paraId="3DFE531E" w14:textId="77777777" w:rsidR="005114C0" w:rsidRPr="00B37C80" w:rsidRDefault="005114C0" w:rsidP="005114C0">
            <w:pPr>
              <w:spacing w:line="240" w:lineRule="auto"/>
              <w:rPr>
                <w:rFonts w:ascii="Times New Roman" w:hAnsi="Times New Roman"/>
                <w:color w:val="000000"/>
                <w:sz w:val="21"/>
                <w:szCs w:val="21"/>
              </w:rPr>
            </w:pPr>
          </w:p>
        </w:tc>
        <w:tc>
          <w:tcPr>
            <w:tcW w:w="938" w:type="dxa"/>
            <w:gridSpan w:val="3"/>
            <w:shd w:val="clear" w:color="auto" w:fill="FFFFFF"/>
          </w:tcPr>
          <w:p w14:paraId="60C76BA8" w14:textId="77777777" w:rsidR="005114C0" w:rsidRPr="00B37C80" w:rsidRDefault="005114C0" w:rsidP="005114C0">
            <w:pPr>
              <w:spacing w:line="240" w:lineRule="auto"/>
              <w:rPr>
                <w:rFonts w:ascii="Times New Roman" w:hAnsi="Times New Roman"/>
                <w:color w:val="000000"/>
                <w:sz w:val="21"/>
                <w:szCs w:val="21"/>
              </w:rPr>
            </w:pPr>
          </w:p>
        </w:tc>
        <w:tc>
          <w:tcPr>
            <w:tcW w:w="937" w:type="dxa"/>
            <w:gridSpan w:val="5"/>
            <w:shd w:val="clear" w:color="auto" w:fill="FFFFFF"/>
          </w:tcPr>
          <w:p w14:paraId="5D79E9FD" w14:textId="77777777" w:rsidR="005114C0" w:rsidRPr="00B37C80" w:rsidRDefault="005114C0" w:rsidP="005114C0">
            <w:pPr>
              <w:spacing w:line="240" w:lineRule="auto"/>
              <w:rPr>
                <w:rFonts w:ascii="Times New Roman" w:hAnsi="Times New Roman"/>
                <w:color w:val="000000"/>
                <w:sz w:val="21"/>
                <w:szCs w:val="21"/>
              </w:rPr>
            </w:pPr>
          </w:p>
        </w:tc>
        <w:tc>
          <w:tcPr>
            <w:tcW w:w="938" w:type="dxa"/>
            <w:gridSpan w:val="3"/>
            <w:shd w:val="clear" w:color="auto" w:fill="FFFFFF"/>
          </w:tcPr>
          <w:p w14:paraId="29128693" w14:textId="77777777" w:rsidR="005114C0" w:rsidRPr="00B37C80" w:rsidRDefault="005114C0" w:rsidP="005114C0">
            <w:pPr>
              <w:spacing w:line="240" w:lineRule="auto"/>
              <w:rPr>
                <w:rFonts w:ascii="Times New Roman" w:hAnsi="Times New Roman"/>
                <w:color w:val="000000"/>
                <w:sz w:val="21"/>
                <w:szCs w:val="21"/>
              </w:rPr>
            </w:pPr>
          </w:p>
        </w:tc>
        <w:tc>
          <w:tcPr>
            <w:tcW w:w="938" w:type="dxa"/>
            <w:gridSpan w:val="2"/>
            <w:shd w:val="clear" w:color="auto" w:fill="FFFFFF"/>
          </w:tcPr>
          <w:p w14:paraId="46C16BF3" w14:textId="77777777" w:rsidR="005114C0" w:rsidRPr="00B37C80" w:rsidRDefault="005114C0" w:rsidP="005114C0">
            <w:pPr>
              <w:spacing w:line="240" w:lineRule="auto"/>
              <w:rPr>
                <w:rFonts w:ascii="Times New Roman" w:hAnsi="Times New Roman"/>
                <w:color w:val="000000"/>
                <w:sz w:val="21"/>
                <w:szCs w:val="21"/>
              </w:rPr>
            </w:pPr>
          </w:p>
        </w:tc>
        <w:tc>
          <w:tcPr>
            <w:tcW w:w="1422" w:type="dxa"/>
            <w:gridSpan w:val="2"/>
            <w:shd w:val="clear" w:color="auto" w:fill="FFFFFF"/>
          </w:tcPr>
          <w:p w14:paraId="05572C1D" w14:textId="77777777" w:rsidR="005114C0" w:rsidRPr="00B37C80" w:rsidRDefault="005114C0" w:rsidP="005114C0">
            <w:pPr>
              <w:spacing w:line="240" w:lineRule="auto"/>
              <w:rPr>
                <w:rFonts w:ascii="Times New Roman" w:hAnsi="Times New Roman"/>
                <w:color w:val="000000"/>
                <w:spacing w:val="-2"/>
                <w:sz w:val="21"/>
                <w:szCs w:val="21"/>
              </w:rPr>
            </w:pPr>
          </w:p>
        </w:tc>
      </w:tr>
      <w:tr w:rsidR="005114C0" w:rsidRPr="008B4FE6" w14:paraId="4991448E" w14:textId="77777777" w:rsidTr="00D5149F">
        <w:trPr>
          <w:gridAfter w:val="1"/>
          <w:wAfter w:w="7" w:type="dxa"/>
          <w:trHeight w:val="142"/>
        </w:trPr>
        <w:tc>
          <w:tcPr>
            <w:tcW w:w="1596" w:type="dxa"/>
            <w:vMerge/>
            <w:shd w:val="clear" w:color="auto" w:fill="FFFFFF"/>
          </w:tcPr>
          <w:p w14:paraId="568FE84F" w14:textId="77777777" w:rsidR="005114C0" w:rsidRPr="00301959" w:rsidRDefault="005114C0" w:rsidP="005114C0">
            <w:pPr>
              <w:spacing w:line="240" w:lineRule="auto"/>
              <w:rPr>
                <w:rFonts w:ascii="Times New Roman" w:hAnsi="Times New Roman"/>
                <w:color w:val="000000"/>
                <w:sz w:val="21"/>
                <w:szCs w:val="21"/>
              </w:rPr>
            </w:pPr>
          </w:p>
        </w:tc>
        <w:tc>
          <w:tcPr>
            <w:tcW w:w="2293" w:type="dxa"/>
            <w:gridSpan w:val="5"/>
            <w:shd w:val="clear" w:color="auto" w:fill="FFFFFF"/>
          </w:tcPr>
          <w:p w14:paraId="69CFF397" w14:textId="77777777" w:rsidR="005114C0" w:rsidRPr="00301959" w:rsidRDefault="005114C0" w:rsidP="005114C0">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937" w:type="dxa"/>
            <w:gridSpan w:val="3"/>
            <w:shd w:val="clear" w:color="auto" w:fill="FFFFFF"/>
          </w:tcPr>
          <w:p w14:paraId="69C0E057" w14:textId="77777777" w:rsidR="005114C0" w:rsidRPr="00B37C80" w:rsidRDefault="005114C0" w:rsidP="005114C0">
            <w:pPr>
              <w:spacing w:line="240" w:lineRule="auto"/>
              <w:rPr>
                <w:rFonts w:ascii="Times New Roman" w:hAnsi="Times New Roman"/>
                <w:color w:val="000000"/>
                <w:sz w:val="21"/>
                <w:szCs w:val="21"/>
              </w:rPr>
            </w:pPr>
          </w:p>
        </w:tc>
        <w:tc>
          <w:tcPr>
            <w:tcW w:w="938" w:type="dxa"/>
            <w:gridSpan w:val="4"/>
            <w:shd w:val="clear" w:color="auto" w:fill="FFFFFF"/>
          </w:tcPr>
          <w:p w14:paraId="276B4672" w14:textId="77777777" w:rsidR="005114C0" w:rsidRPr="00B37C80" w:rsidRDefault="005114C0" w:rsidP="005114C0">
            <w:pPr>
              <w:spacing w:line="240" w:lineRule="auto"/>
              <w:rPr>
                <w:rFonts w:ascii="Times New Roman" w:hAnsi="Times New Roman"/>
                <w:color w:val="000000"/>
                <w:sz w:val="21"/>
                <w:szCs w:val="21"/>
              </w:rPr>
            </w:pPr>
          </w:p>
        </w:tc>
        <w:tc>
          <w:tcPr>
            <w:tcW w:w="938" w:type="dxa"/>
            <w:gridSpan w:val="3"/>
            <w:shd w:val="clear" w:color="auto" w:fill="FFFFFF"/>
          </w:tcPr>
          <w:p w14:paraId="597A38E9" w14:textId="77777777" w:rsidR="005114C0" w:rsidRPr="00B37C80" w:rsidRDefault="005114C0" w:rsidP="005114C0">
            <w:pPr>
              <w:spacing w:line="240" w:lineRule="auto"/>
              <w:rPr>
                <w:rFonts w:ascii="Times New Roman" w:hAnsi="Times New Roman"/>
                <w:color w:val="000000"/>
                <w:sz w:val="21"/>
                <w:szCs w:val="21"/>
              </w:rPr>
            </w:pPr>
          </w:p>
        </w:tc>
        <w:tc>
          <w:tcPr>
            <w:tcW w:w="937" w:type="dxa"/>
            <w:gridSpan w:val="5"/>
            <w:shd w:val="clear" w:color="auto" w:fill="FFFFFF"/>
          </w:tcPr>
          <w:p w14:paraId="40E63702" w14:textId="77777777" w:rsidR="005114C0" w:rsidRPr="00B37C80" w:rsidRDefault="005114C0" w:rsidP="005114C0">
            <w:pPr>
              <w:spacing w:line="240" w:lineRule="auto"/>
              <w:rPr>
                <w:rFonts w:ascii="Times New Roman" w:hAnsi="Times New Roman"/>
                <w:color w:val="000000"/>
                <w:sz w:val="21"/>
                <w:szCs w:val="21"/>
              </w:rPr>
            </w:pPr>
          </w:p>
        </w:tc>
        <w:tc>
          <w:tcPr>
            <w:tcW w:w="938" w:type="dxa"/>
            <w:gridSpan w:val="3"/>
            <w:shd w:val="clear" w:color="auto" w:fill="FFFFFF"/>
          </w:tcPr>
          <w:p w14:paraId="5AD924F0" w14:textId="77777777" w:rsidR="005114C0" w:rsidRPr="00B37C80" w:rsidRDefault="005114C0" w:rsidP="005114C0">
            <w:pPr>
              <w:spacing w:line="240" w:lineRule="auto"/>
              <w:rPr>
                <w:rFonts w:ascii="Times New Roman" w:hAnsi="Times New Roman"/>
                <w:color w:val="000000"/>
                <w:sz w:val="21"/>
                <w:szCs w:val="21"/>
              </w:rPr>
            </w:pPr>
          </w:p>
        </w:tc>
        <w:tc>
          <w:tcPr>
            <w:tcW w:w="938" w:type="dxa"/>
            <w:gridSpan w:val="2"/>
            <w:shd w:val="clear" w:color="auto" w:fill="FFFFFF"/>
          </w:tcPr>
          <w:p w14:paraId="576AE387" w14:textId="77777777" w:rsidR="005114C0" w:rsidRPr="00B37C80" w:rsidRDefault="005114C0" w:rsidP="005114C0">
            <w:pPr>
              <w:spacing w:line="240" w:lineRule="auto"/>
              <w:rPr>
                <w:rFonts w:ascii="Times New Roman" w:hAnsi="Times New Roman"/>
                <w:color w:val="000000"/>
                <w:sz w:val="21"/>
                <w:szCs w:val="21"/>
              </w:rPr>
            </w:pPr>
          </w:p>
        </w:tc>
        <w:tc>
          <w:tcPr>
            <w:tcW w:w="1422" w:type="dxa"/>
            <w:gridSpan w:val="2"/>
            <w:shd w:val="clear" w:color="auto" w:fill="FFFFFF"/>
          </w:tcPr>
          <w:p w14:paraId="3AA791CD" w14:textId="77777777" w:rsidR="005114C0" w:rsidRPr="00B37C80" w:rsidRDefault="005114C0" w:rsidP="005114C0">
            <w:pPr>
              <w:spacing w:line="240" w:lineRule="auto"/>
              <w:rPr>
                <w:rFonts w:ascii="Times New Roman" w:hAnsi="Times New Roman"/>
                <w:color w:val="000000"/>
                <w:spacing w:val="-2"/>
                <w:sz w:val="21"/>
                <w:szCs w:val="21"/>
              </w:rPr>
            </w:pPr>
          </w:p>
        </w:tc>
      </w:tr>
      <w:tr w:rsidR="005114C0" w:rsidRPr="008B4FE6" w14:paraId="5C5DB754" w14:textId="77777777" w:rsidTr="00D5149F">
        <w:trPr>
          <w:gridAfter w:val="1"/>
          <w:wAfter w:w="7" w:type="dxa"/>
          <w:trHeight w:val="142"/>
        </w:trPr>
        <w:tc>
          <w:tcPr>
            <w:tcW w:w="1596" w:type="dxa"/>
            <w:vMerge/>
            <w:shd w:val="clear" w:color="auto" w:fill="FFFFFF"/>
          </w:tcPr>
          <w:p w14:paraId="64FFE8AE" w14:textId="77777777" w:rsidR="005114C0" w:rsidRPr="00301959" w:rsidRDefault="005114C0" w:rsidP="005114C0">
            <w:pPr>
              <w:spacing w:line="240" w:lineRule="auto"/>
              <w:rPr>
                <w:rFonts w:ascii="Times New Roman" w:hAnsi="Times New Roman"/>
                <w:color w:val="000000"/>
                <w:sz w:val="21"/>
                <w:szCs w:val="21"/>
              </w:rPr>
            </w:pPr>
          </w:p>
        </w:tc>
        <w:tc>
          <w:tcPr>
            <w:tcW w:w="2293" w:type="dxa"/>
            <w:gridSpan w:val="5"/>
            <w:shd w:val="clear" w:color="auto" w:fill="FFFFFF"/>
          </w:tcPr>
          <w:p w14:paraId="488E4708" w14:textId="77777777" w:rsidR="005114C0" w:rsidRPr="00301959" w:rsidRDefault="005114C0" w:rsidP="005114C0">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937" w:type="dxa"/>
            <w:gridSpan w:val="3"/>
            <w:shd w:val="clear" w:color="auto" w:fill="FFFFFF"/>
          </w:tcPr>
          <w:p w14:paraId="1547E65C" w14:textId="77777777" w:rsidR="005114C0" w:rsidRPr="00B37C80" w:rsidRDefault="005114C0" w:rsidP="005114C0">
            <w:pPr>
              <w:spacing w:line="240" w:lineRule="auto"/>
              <w:rPr>
                <w:rFonts w:ascii="Times New Roman" w:hAnsi="Times New Roman"/>
                <w:color w:val="000000"/>
                <w:sz w:val="21"/>
                <w:szCs w:val="21"/>
              </w:rPr>
            </w:pPr>
          </w:p>
        </w:tc>
        <w:tc>
          <w:tcPr>
            <w:tcW w:w="938" w:type="dxa"/>
            <w:gridSpan w:val="4"/>
            <w:shd w:val="clear" w:color="auto" w:fill="FFFFFF"/>
          </w:tcPr>
          <w:p w14:paraId="025D12D8" w14:textId="77777777" w:rsidR="005114C0" w:rsidRPr="00B37C80" w:rsidRDefault="005114C0" w:rsidP="005114C0">
            <w:pPr>
              <w:spacing w:line="240" w:lineRule="auto"/>
              <w:rPr>
                <w:rFonts w:ascii="Times New Roman" w:hAnsi="Times New Roman"/>
                <w:color w:val="000000"/>
                <w:sz w:val="21"/>
                <w:szCs w:val="21"/>
              </w:rPr>
            </w:pPr>
          </w:p>
        </w:tc>
        <w:tc>
          <w:tcPr>
            <w:tcW w:w="938" w:type="dxa"/>
            <w:gridSpan w:val="3"/>
            <w:shd w:val="clear" w:color="auto" w:fill="FFFFFF"/>
          </w:tcPr>
          <w:p w14:paraId="47A89D85" w14:textId="77777777" w:rsidR="005114C0" w:rsidRPr="00B37C80" w:rsidRDefault="005114C0" w:rsidP="005114C0">
            <w:pPr>
              <w:spacing w:line="240" w:lineRule="auto"/>
              <w:rPr>
                <w:rFonts w:ascii="Times New Roman" w:hAnsi="Times New Roman"/>
                <w:color w:val="000000"/>
                <w:sz w:val="21"/>
                <w:szCs w:val="21"/>
              </w:rPr>
            </w:pPr>
          </w:p>
        </w:tc>
        <w:tc>
          <w:tcPr>
            <w:tcW w:w="937" w:type="dxa"/>
            <w:gridSpan w:val="5"/>
            <w:shd w:val="clear" w:color="auto" w:fill="FFFFFF"/>
          </w:tcPr>
          <w:p w14:paraId="2AAFC1E0" w14:textId="77777777" w:rsidR="005114C0" w:rsidRPr="00B37C80" w:rsidRDefault="005114C0" w:rsidP="005114C0">
            <w:pPr>
              <w:spacing w:line="240" w:lineRule="auto"/>
              <w:rPr>
                <w:rFonts w:ascii="Times New Roman" w:hAnsi="Times New Roman"/>
                <w:color w:val="000000"/>
                <w:sz w:val="21"/>
                <w:szCs w:val="21"/>
              </w:rPr>
            </w:pPr>
          </w:p>
        </w:tc>
        <w:tc>
          <w:tcPr>
            <w:tcW w:w="938" w:type="dxa"/>
            <w:gridSpan w:val="3"/>
            <w:shd w:val="clear" w:color="auto" w:fill="FFFFFF"/>
          </w:tcPr>
          <w:p w14:paraId="33AD6E97" w14:textId="77777777" w:rsidR="005114C0" w:rsidRPr="00B37C80" w:rsidRDefault="005114C0" w:rsidP="005114C0">
            <w:pPr>
              <w:spacing w:line="240" w:lineRule="auto"/>
              <w:rPr>
                <w:rFonts w:ascii="Times New Roman" w:hAnsi="Times New Roman"/>
                <w:color w:val="000000"/>
                <w:sz w:val="21"/>
                <w:szCs w:val="21"/>
              </w:rPr>
            </w:pPr>
          </w:p>
        </w:tc>
        <w:tc>
          <w:tcPr>
            <w:tcW w:w="938" w:type="dxa"/>
            <w:gridSpan w:val="2"/>
            <w:shd w:val="clear" w:color="auto" w:fill="FFFFFF"/>
          </w:tcPr>
          <w:p w14:paraId="1F7863E2" w14:textId="77777777" w:rsidR="005114C0" w:rsidRPr="00B37C80" w:rsidRDefault="005114C0" w:rsidP="005114C0">
            <w:pPr>
              <w:spacing w:line="240" w:lineRule="auto"/>
              <w:rPr>
                <w:rFonts w:ascii="Times New Roman" w:hAnsi="Times New Roman"/>
                <w:color w:val="000000"/>
                <w:sz w:val="21"/>
                <w:szCs w:val="21"/>
              </w:rPr>
            </w:pPr>
          </w:p>
        </w:tc>
        <w:tc>
          <w:tcPr>
            <w:tcW w:w="1422" w:type="dxa"/>
            <w:gridSpan w:val="2"/>
            <w:shd w:val="clear" w:color="auto" w:fill="FFFFFF"/>
          </w:tcPr>
          <w:p w14:paraId="689CA473" w14:textId="77777777" w:rsidR="005114C0" w:rsidRPr="00B37C80" w:rsidRDefault="005114C0" w:rsidP="005114C0">
            <w:pPr>
              <w:spacing w:line="240" w:lineRule="auto"/>
              <w:rPr>
                <w:rFonts w:ascii="Times New Roman" w:hAnsi="Times New Roman"/>
                <w:color w:val="000000"/>
                <w:spacing w:val="-2"/>
                <w:sz w:val="21"/>
                <w:szCs w:val="21"/>
              </w:rPr>
            </w:pPr>
          </w:p>
        </w:tc>
      </w:tr>
      <w:tr w:rsidR="005114C0" w:rsidRPr="008B4FE6" w14:paraId="47C44F4A" w14:textId="77777777" w:rsidTr="00D5149F">
        <w:trPr>
          <w:gridAfter w:val="1"/>
          <w:wAfter w:w="7" w:type="dxa"/>
          <w:trHeight w:val="142"/>
        </w:trPr>
        <w:tc>
          <w:tcPr>
            <w:tcW w:w="1596" w:type="dxa"/>
            <w:vMerge w:val="restart"/>
            <w:shd w:val="clear" w:color="auto" w:fill="FFFFFF"/>
          </w:tcPr>
          <w:p w14:paraId="124EEC68" w14:textId="77777777" w:rsidR="005114C0" w:rsidRPr="00301959" w:rsidRDefault="005114C0" w:rsidP="005114C0">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niepieniężnym</w:t>
            </w:r>
          </w:p>
        </w:tc>
        <w:tc>
          <w:tcPr>
            <w:tcW w:w="2293" w:type="dxa"/>
            <w:gridSpan w:val="5"/>
            <w:shd w:val="clear" w:color="auto" w:fill="FFFFFF"/>
          </w:tcPr>
          <w:p w14:paraId="78D011EB" w14:textId="77777777" w:rsidR="005114C0" w:rsidRPr="00301959" w:rsidRDefault="005114C0" w:rsidP="005114C0">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7048" w:type="dxa"/>
            <w:gridSpan w:val="22"/>
            <w:shd w:val="clear" w:color="auto" w:fill="FFFFFF"/>
          </w:tcPr>
          <w:p w14:paraId="614C50CA" w14:textId="2748E01D" w:rsidR="005114C0" w:rsidRPr="00B37C80" w:rsidRDefault="00AE1506" w:rsidP="005114C0">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Nie przewiduje się wpływu na duże przedsiębiorstwa.</w:t>
            </w:r>
          </w:p>
        </w:tc>
      </w:tr>
      <w:tr w:rsidR="005114C0" w:rsidRPr="008B4FE6" w14:paraId="1706DD2A" w14:textId="77777777" w:rsidTr="00D5149F">
        <w:trPr>
          <w:gridAfter w:val="1"/>
          <w:wAfter w:w="7" w:type="dxa"/>
          <w:trHeight w:val="142"/>
        </w:trPr>
        <w:tc>
          <w:tcPr>
            <w:tcW w:w="1596" w:type="dxa"/>
            <w:vMerge/>
            <w:shd w:val="clear" w:color="auto" w:fill="FFFFFF"/>
          </w:tcPr>
          <w:p w14:paraId="5122B807" w14:textId="77777777" w:rsidR="005114C0" w:rsidRPr="00301959" w:rsidRDefault="005114C0" w:rsidP="005114C0">
            <w:pPr>
              <w:spacing w:line="240" w:lineRule="auto"/>
              <w:rPr>
                <w:rFonts w:ascii="Times New Roman" w:hAnsi="Times New Roman"/>
                <w:color w:val="000000"/>
                <w:sz w:val="21"/>
                <w:szCs w:val="21"/>
              </w:rPr>
            </w:pPr>
          </w:p>
        </w:tc>
        <w:tc>
          <w:tcPr>
            <w:tcW w:w="2293" w:type="dxa"/>
            <w:gridSpan w:val="5"/>
            <w:shd w:val="clear" w:color="auto" w:fill="FFFFFF"/>
          </w:tcPr>
          <w:p w14:paraId="3BFABED5" w14:textId="77777777" w:rsidR="005114C0" w:rsidRPr="00301959" w:rsidRDefault="005114C0" w:rsidP="005114C0">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7048" w:type="dxa"/>
            <w:gridSpan w:val="22"/>
            <w:shd w:val="clear" w:color="auto" w:fill="FFFFFF"/>
          </w:tcPr>
          <w:p w14:paraId="1D77C680" w14:textId="7657E53E" w:rsidR="005114C0" w:rsidRPr="00B37C80" w:rsidRDefault="005114C0" w:rsidP="00EF5735">
            <w:pPr>
              <w:spacing w:line="240" w:lineRule="auto"/>
              <w:jc w:val="both"/>
              <w:rPr>
                <w:rFonts w:ascii="Times New Roman" w:hAnsi="Times New Roman"/>
                <w:color w:val="000000"/>
                <w:spacing w:val="-2"/>
                <w:sz w:val="21"/>
                <w:szCs w:val="21"/>
              </w:rPr>
            </w:pPr>
            <w:r>
              <w:rPr>
                <w:rFonts w:ascii="Times New Roman" w:hAnsi="Times New Roman"/>
                <w:color w:val="000000"/>
                <w:spacing w:val="-2"/>
                <w:sz w:val="21"/>
                <w:szCs w:val="21"/>
              </w:rPr>
              <w:t xml:space="preserve">Przedmiotowa regulacja </w:t>
            </w:r>
            <w:r w:rsidRPr="00E66DA9">
              <w:rPr>
                <w:rFonts w:ascii="Times New Roman" w:hAnsi="Times New Roman"/>
                <w:color w:val="000000"/>
                <w:spacing w:val="-2"/>
                <w:sz w:val="21"/>
                <w:szCs w:val="21"/>
              </w:rPr>
              <w:t>przyczyni się do zwiększenia konkurencyjności</w:t>
            </w:r>
            <w:r>
              <w:rPr>
                <w:rFonts w:ascii="Times New Roman" w:hAnsi="Times New Roman"/>
                <w:color w:val="000000"/>
                <w:spacing w:val="-2"/>
                <w:sz w:val="21"/>
                <w:szCs w:val="21"/>
              </w:rPr>
              <w:t>,</w:t>
            </w:r>
            <w:r w:rsidRPr="00E66DA9">
              <w:rPr>
                <w:rFonts w:ascii="Times New Roman" w:hAnsi="Times New Roman"/>
                <w:color w:val="000000"/>
                <w:spacing w:val="-2"/>
                <w:sz w:val="21"/>
                <w:szCs w:val="21"/>
              </w:rPr>
              <w:t xml:space="preserve"> dzięki umożliwieniu nowym podmiotom wchodzącym na rynek budowy infrastruktury rynkowej opartej na DLT na potrzeby obrotu tokenami o cechach papierów wartościowych lub ich rozrachunku, która to infrastruktura w perspektywie średnio- i długoterminowej mogłaby stanowić konkurencję dla istniejącej infrastruktury. </w:t>
            </w:r>
          </w:p>
        </w:tc>
      </w:tr>
      <w:tr w:rsidR="005114C0" w:rsidRPr="008B4FE6" w14:paraId="2568A09E" w14:textId="77777777" w:rsidTr="00D5149F">
        <w:trPr>
          <w:gridAfter w:val="1"/>
          <w:wAfter w:w="7" w:type="dxa"/>
          <w:trHeight w:val="596"/>
        </w:trPr>
        <w:tc>
          <w:tcPr>
            <w:tcW w:w="1596" w:type="dxa"/>
            <w:vMerge/>
            <w:shd w:val="clear" w:color="auto" w:fill="FFFFFF"/>
          </w:tcPr>
          <w:p w14:paraId="7D5F64BA" w14:textId="77777777" w:rsidR="005114C0" w:rsidRPr="00301959" w:rsidRDefault="005114C0" w:rsidP="005114C0">
            <w:pPr>
              <w:spacing w:line="240" w:lineRule="auto"/>
              <w:rPr>
                <w:rFonts w:ascii="Times New Roman" w:hAnsi="Times New Roman"/>
                <w:color w:val="000000"/>
                <w:sz w:val="21"/>
                <w:szCs w:val="21"/>
              </w:rPr>
            </w:pPr>
          </w:p>
        </w:tc>
        <w:tc>
          <w:tcPr>
            <w:tcW w:w="2293" w:type="dxa"/>
            <w:gridSpan w:val="5"/>
            <w:shd w:val="clear" w:color="auto" w:fill="FFFFFF"/>
          </w:tcPr>
          <w:p w14:paraId="4FA836EB" w14:textId="77777777" w:rsidR="005114C0" w:rsidRPr="00301959" w:rsidRDefault="005114C0" w:rsidP="005114C0">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r w:rsidRPr="00301959">
              <w:rPr>
                <w:rFonts w:ascii="Times New Roman" w:hAnsi="Times New Roman"/>
                <w:color w:val="000000"/>
                <w:sz w:val="21"/>
                <w:szCs w:val="21"/>
              </w:rPr>
              <w:t xml:space="preserve"> </w:t>
            </w:r>
          </w:p>
        </w:tc>
        <w:tc>
          <w:tcPr>
            <w:tcW w:w="7048" w:type="dxa"/>
            <w:gridSpan w:val="22"/>
            <w:shd w:val="clear" w:color="auto" w:fill="FFFFFF"/>
          </w:tcPr>
          <w:p w14:paraId="034FBF40" w14:textId="45BA0FBC" w:rsidR="005114C0" w:rsidRPr="00B37C80" w:rsidRDefault="005114C0" w:rsidP="00EF5735">
            <w:pPr>
              <w:spacing w:line="240" w:lineRule="auto"/>
              <w:jc w:val="both"/>
              <w:rPr>
                <w:rFonts w:ascii="Times New Roman" w:hAnsi="Times New Roman"/>
                <w:color w:val="000000"/>
                <w:spacing w:val="-2"/>
                <w:sz w:val="21"/>
                <w:szCs w:val="21"/>
              </w:rPr>
            </w:pPr>
            <w:r w:rsidRPr="00F303C5">
              <w:rPr>
                <w:rFonts w:ascii="Times New Roman" w:hAnsi="Times New Roman"/>
                <w:color w:val="000000"/>
                <w:spacing w:val="-2"/>
                <w:sz w:val="21"/>
                <w:szCs w:val="21"/>
              </w:rPr>
              <w:t>Wejście w życie ustawy nie będzie miało wpływu na sytuację ekonomiczną i</w:t>
            </w:r>
            <w:r w:rsidR="00184E94">
              <w:rPr>
                <w:rFonts w:ascii="Times New Roman" w:hAnsi="Times New Roman"/>
                <w:color w:val="000000"/>
                <w:spacing w:val="-2"/>
                <w:sz w:val="21"/>
                <w:szCs w:val="21"/>
              </w:rPr>
              <w:t> </w:t>
            </w:r>
            <w:r w:rsidRPr="00F303C5">
              <w:rPr>
                <w:rFonts w:ascii="Times New Roman" w:hAnsi="Times New Roman"/>
                <w:color w:val="000000"/>
                <w:spacing w:val="-2"/>
                <w:sz w:val="21"/>
                <w:szCs w:val="21"/>
              </w:rPr>
              <w:t xml:space="preserve">społeczną rodziny, osób niepełnosprawnych oraz osób starszych. Niemniej pośrednio przyczyni się do ograniczenia strat ponoszonych na skutek inwestycji </w:t>
            </w:r>
            <w:r w:rsidR="00730F92">
              <w:rPr>
                <w:rFonts w:ascii="Times New Roman" w:hAnsi="Times New Roman"/>
                <w:color w:val="000000"/>
                <w:spacing w:val="-2"/>
                <w:sz w:val="21"/>
                <w:szCs w:val="21"/>
              </w:rPr>
              <w:t>na</w:t>
            </w:r>
            <w:r w:rsidR="00184E94">
              <w:rPr>
                <w:rFonts w:ascii="Times New Roman" w:hAnsi="Times New Roman"/>
                <w:color w:val="000000"/>
                <w:spacing w:val="-2"/>
                <w:sz w:val="21"/>
                <w:szCs w:val="21"/>
              </w:rPr>
              <w:t> </w:t>
            </w:r>
            <w:r>
              <w:rPr>
                <w:rFonts w:ascii="Times New Roman" w:hAnsi="Times New Roman"/>
                <w:color w:val="000000"/>
                <w:spacing w:val="-2"/>
                <w:sz w:val="21"/>
                <w:szCs w:val="21"/>
              </w:rPr>
              <w:t>nieuregulowan</w:t>
            </w:r>
            <w:r w:rsidR="00730F92">
              <w:rPr>
                <w:rFonts w:ascii="Times New Roman" w:hAnsi="Times New Roman"/>
                <w:color w:val="000000"/>
                <w:spacing w:val="-2"/>
                <w:sz w:val="21"/>
                <w:szCs w:val="21"/>
              </w:rPr>
              <w:t>ym</w:t>
            </w:r>
            <w:r>
              <w:rPr>
                <w:rFonts w:ascii="Times New Roman" w:hAnsi="Times New Roman"/>
                <w:color w:val="000000"/>
                <w:spacing w:val="-2"/>
                <w:sz w:val="21"/>
                <w:szCs w:val="21"/>
              </w:rPr>
              <w:t xml:space="preserve"> dotąd</w:t>
            </w:r>
            <w:r w:rsidR="00730F92">
              <w:rPr>
                <w:rFonts w:ascii="Times New Roman" w:hAnsi="Times New Roman"/>
                <w:color w:val="000000"/>
                <w:spacing w:val="-2"/>
                <w:sz w:val="21"/>
                <w:szCs w:val="21"/>
              </w:rPr>
              <w:t xml:space="preserve"> rynku </w:t>
            </w:r>
            <w:r>
              <w:rPr>
                <w:rFonts w:ascii="Times New Roman" w:hAnsi="Times New Roman"/>
                <w:color w:val="000000"/>
                <w:spacing w:val="-2"/>
                <w:sz w:val="21"/>
                <w:szCs w:val="21"/>
              </w:rPr>
              <w:t>kryptoaktyw</w:t>
            </w:r>
            <w:r w:rsidR="00730F92">
              <w:rPr>
                <w:rFonts w:ascii="Times New Roman" w:hAnsi="Times New Roman"/>
                <w:color w:val="000000"/>
                <w:spacing w:val="-2"/>
                <w:sz w:val="21"/>
                <w:szCs w:val="21"/>
              </w:rPr>
              <w:t>ów</w:t>
            </w:r>
            <w:r>
              <w:rPr>
                <w:rFonts w:ascii="Times New Roman" w:hAnsi="Times New Roman"/>
                <w:color w:val="000000"/>
                <w:spacing w:val="-2"/>
                <w:sz w:val="21"/>
                <w:szCs w:val="21"/>
              </w:rPr>
              <w:t>.</w:t>
            </w:r>
          </w:p>
        </w:tc>
      </w:tr>
      <w:tr w:rsidR="005114C0" w:rsidRPr="008B4FE6" w14:paraId="036DBC6A" w14:textId="77777777" w:rsidTr="00D5149F">
        <w:trPr>
          <w:gridAfter w:val="1"/>
          <w:wAfter w:w="7" w:type="dxa"/>
          <w:trHeight w:val="240"/>
        </w:trPr>
        <w:tc>
          <w:tcPr>
            <w:tcW w:w="1596" w:type="dxa"/>
            <w:vMerge/>
            <w:shd w:val="clear" w:color="auto" w:fill="FFFFFF"/>
          </w:tcPr>
          <w:p w14:paraId="39E680E1" w14:textId="77777777" w:rsidR="005114C0" w:rsidRPr="00301959" w:rsidRDefault="005114C0" w:rsidP="005114C0">
            <w:pPr>
              <w:spacing w:line="240" w:lineRule="auto"/>
              <w:rPr>
                <w:rFonts w:ascii="Times New Roman" w:hAnsi="Times New Roman"/>
                <w:color w:val="000000"/>
                <w:sz w:val="21"/>
                <w:szCs w:val="21"/>
              </w:rPr>
            </w:pPr>
          </w:p>
        </w:tc>
        <w:tc>
          <w:tcPr>
            <w:tcW w:w="2293" w:type="dxa"/>
            <w:gridSpan w:val="5"/>
            <w:shd w:val="clear" w:color="auto" w:fill="FFFFFF"/>
          </w:tcPr>
          <w:p w14:paraId="5AEAFA0C" w14:textId="77777777" w:rsidR="005114C0" w:rsidRPr="00301959" w:rsidRDefault="005114C0" w:rsidP="005114C0">
            <w:pPr>
              <w:tabs>
                <w:tab w:val="right" w:pos="1936"/>
              </w:tabs>
              <w:rPr>
                <w:rFonts w:ascii="Times New Roman" w:hAnsi="Times New Roman"/>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048" w:type="dxa"/>
            <w:gridSpan w:val="22"/>
            <w:shd w:val="clear" w:color="auto" w:fill="FFFFFF"/>
          </w:tcPr>
          <w:p w14:paraId="0387950D" w14:textId="77777777" w:rsidR="005114C0" w:rsidRPr="00B37C80" w:rsidRDefault="005114C0" w:rsidP="005114C0">
            <w:pPr>
              <w:tabs>
                <w:tab w:val="left" w:pos="3000"/>
              </w:tabs>
              <w:rPr>
                <w:rFonts w:ascii="Times New Roman" w:hAnsi="Times New Roman"/>
                <w:color w:val="000000"/>
                <w:spacing w:val="-2"/>
                <w:sz w:val="21"/>
                <w:szCs w:val="21"/>
              </w:rPr>
            </w:pPr>
          </w:p>
        </w:tc>
      </w:tr>
      <w:tr w:rsidR="005114C0" w:rsidRPr="008B4FE6" w14:paraId="25804F33" w14:textId="77777777" w:rsidTr="00D5149F">
        <w:trPr>
          <w:gridAfter w:val="1"/>
          <w:wAfter w:w="7" w:type="dxa"/>
          <w:trHeight w:val="142"/>
        </w:trPr>
        <w:tc>
          <w:tcPr>
            <w:tcW w:w="1596" w:type="dxa"/>
            <w:vMerge w:val="restart"/>
            <w:shd w:val="clear" w:color="auto" w:fill="FFFFFF"/>
          </w:tcPr>
          <w:p w14:paraId="23E1D3D3" w14:textId="77777777" w:rsidR="005114C0" w:rsidRPr="00301959" w:rsidRDefault="005114C0" w:rsidP="005114C0">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293" w:type="dxa"/>
            <w:gridSpan w:val="5"/>
            <w:shd w:val="clear" w:color="auto" w:fill="FFFFFF"/>
          </w:tcPr>
          <w:p w14:paraId="29880AAA" w14:textId="77777777" w:rsidR="005114C0" w:rsidRPr="00301959" w:rsidRDefault="005114C0" w:rsidP="005114C0">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048" w:type="dxa"/>
            <w:gridSpan w:val="22"/>
            <w:shd w:val="clear" w:color="auto" w:fill="FFFFFF"/>
          </w:tcPr>
          <w:p w14:paraId="630DDA65" w14:textId="77777777" w:rsidR="005114C0" w:rsidRPr="00B37C80" w:rsidRDefault="005114C0" w:rsidP="005114C0">
            <w:pPr>
              <w:spacing w:line="240" w:lineRule="auto"/>
              <w:rPr>
                <w:rFonts w:ascii="Times New Roman" w:hAnsi="Times New Roman"/>
                <w:color w:val="000000"/>
                <w:spacing w:val="-2"/>
                <w:sz w:val="21"/>
                <w:szCs w:val="21"/>
              </w:rPr>
            </w:pPr>
          </w:p>
        </w:tc>
      </w:tr>
      <w:tr w:rsidR="005114C0" w:rsidRPr="008B4FE6" w14:paraId="6FA1D09C" w14:textId="77777777" w:rsidTr="00D5149F">
        <w:trPr>
          <w:gridAfter w:val="1"/>
          <w:wAfter w:w="7" w:type="dxa"/>
          <w:trHeight w:val="142"/>
        </w:trPr>
        <w:tc>
          <w:tcPr>
            <w:tcW w:w="1596" w:type="dxa"/>
            <w:vMerge/>
            <w:shd w:val="clear" w:color="auto" w:fill="FFFFFF"/>
          </w:tcPr>
          <w:p w14:paraId="466B30B1" w14:textId="77777777" w:rsidR="005114C0" w:rsidRPr="00301959" w:rsidRDefault="005114C0" w:rsidP="005114C0">
            <w:pPr>
              <w:spacing w:line="240" w:lineRule="auto"/>
              <w:rPr>
                <w:rFonts w:ascii="Times New Roman" w:hAnsi="Times New Roman"/>
                <w:color w:val="000000"/>
                <w:sz w:val="21"/>
                <w:szCs w:val="21"/>
              </w:rPr>
            </w:pPr>
          </w:p>
        </w:tc>
        <w:tc>
          <w:tcPr>
            <w:tcW w:w="2293" w:type="dxa"/>
            <w:gridSpan w:val="5"/>
            <w:shd w:val="clear" w:color="auto" w:fill="FFFFFF"/>
          </w:tcPr>
          <w:p w14:paraId="1937D5FD" w14:textId="77777777" w:rsidR="005114C0" w:rsidRPr="00301959" w:rsidRDefault="005114C0" w:rsidP="005114C0">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048" w:type="dxa"/>
            <w:gridSpan w:val="22"/>
            <w:shd w:val="clear" w:color="auto" w:fill="FFFFFF"/>
          </w:tcPr>
          <w:p w14:paraId="0E18FCAA" w14:textId="77777777" w:rsidR="005114C0" w:rsidRPr="00B37C80" w:rsidRDefault="005114C0" w:rsidP="005114C0">
            <w:pPr>
              <w:spacing w:line="240" w:lineRule="auto"/>
              <w:rPr>
                <w:rFonts w:ascii="Times New Roman" w:hAnsi="Times New Roman"/>
                <w:color w:val="000000"/>
                <w:spacing w:val="-2"/>
                <w:sz w:val="21"/>
                <w:szCs w:val="21"/>
              </w:rPr>
            </w:pPr>
          </w:p>
        </w:tc>
      </w:tr>
      <w:tr w:rsidR="005114C0" w:rsidRPr="008B4FE6" w14:paraId="2AF6FB97" w14:textId="77777777" w:rsidTr="00D5149F">
        <w:trPr>
          <w:gridAfter w:val="1"/>
          <w:wAfter w:w="7" w:type="dxa"/>
          <w:trHeight w:val="1643"/>
        </w:trPr>
        <w:tc>
          <w:tcPr>
            <w:tcW w:w="2243" w:type="dxa"/>
            <w:gridSpan w:val="2"/>
            <w:shd w:val="clear" w:color="auto" w:fill="FFFFFF"/>
          </w:tcPr>
          <w:p w14:paraId="2DCCDC1F" w14:textId="77777777" w:rsidR="005114C0" w:rsidRPr="00301959" w:rsidRDefault="005114C0" w:rsidP="005114C0">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Dodatkowe informacje, w tym wskazanie źródeł danych i przyjętych do obliczeń założeń </w:t>
            </w:r>
          </w:p>
        </w:tc>
        <w:tc>
          <w:tcPr>
            <w:tcW w:w="8694" w:type="dxa"/>
            <w:gridSpan w:val="26"/>
            <w:shd w:val="clear" w:color="auto" w:fill="FFFFFF"/>
            <w:vAlign w:val="center"/>
          </w:tcPr>
          <w:p w14:paraId="5E8838C6" w14:textId="776E4AE7" w:rsidR="005114C0" w:rsidRPr="00301959" w:rsidRDefault="00F54A02" w:rsidP="005114C0">
            <w:pPr>
              <w:jc w:val="both"/>
              <w:rPr>
                <w:rFonts w:ascii="Times New Roman" w:hAnsi="Times New Roman"/>
                <w:color w:val="000000"/>
                <w:sz w:val="21"/>
                <w:szCs w:val="21"/>
              </w:rPr>
            </w:pPr>
            <w:r>
              <w:rPr>
                <w:rFonts w:ascii="Times New Roman" w:hAnsi="Times New Roman"/>
                <w:color w:val="000000"/>
                <w:sz w:val="21"/>
                <w:szCs w:val="21"/>
              </w:rPr>
              <w:t>Przewiduje się, że p</w:t>
            </w:r>
            <w:r w:rsidR="005114C0" w:rsidRPr="00ED1474">
              <w:rPr>
                <w:rFonts w:ascii="Times New Roman" w:hAnsi="Times New Roman"/>
                <w:color w:val="000000"/>
                <w:sz w:val="21"/>
                <w:szCs w:val="21"/>
              </w:rPr>
              <w:t>r</w:t>
            </w:r>
            <w:r w:rsidR="005114C0">
              <w:rPr>
                <w:rFonts w:ascii="Times New Roman" w:hAnsi="Times New Roman"/>
                <w:color w:val="000000"/>
                <w:sz w:val="21"/>
                <w:szCs w:val="21"/>
              </w:rPr>
              <w:t>ojektowane przepisy</w:t>
            </w:r>
            <w:r w:rsidR="005114C0" w:rsidRPr="00ED1474">
              <w:rPr>
                <w:rFonts w:ascii="Times New Roman" w:hAnsi="Times New Roman"/>
                <w:color w:val="000000"/>
                <w:sz w:val="21"/>
                <w:szCs w:val="21"/>
              </w:rPr>
              <w:t xml:space="preserve"> </w:t>
            </w:r>
            <w:r>
              <w:rPr>
                <w:rFonts w:ascii="Times New Roman" w:hAnsi="Times New Roman"/>
                <w:color w:val="000000"/>
                <w:sz w:val="21"/>
                <w:szCs w:val="21"/>
              </w:rPr>
              <w:t xml:space="preserve">wywrą </w:t>
            </w:r>
            <w:r w:rsidR="005114C0" w:rsidRPr="00ED1474">
              <w:rPr>
                <w:rFonts w:ascii="Times New Roman" w:hAnsi="Times New Roman"/>
                <w:color w:val="000000"/>
                <w:sz w:val="21"/>
                <w:szCs w:val="21"/>
              </w:rPr>
              <w:t xml:space="preserve">ogólny pozytywny wpływ na </w:t>
            </w:r>
            <w:r w:rsidR="00400FA0">
              <w:rPr>
                <w:rFonts w:ascii="Times New Roman" w:hAnsi="Times New Roman"/>
                <w:color w:val="000000"/>
                <w:sz w:val="21"/>
                <w:szCs w:val="21"/>
              </w:rPr>
              <w:t>sektor mikro-, małych i średnich przedsiębiorstw, zwany dalej „MŚP”</w:t>
            </w:r>
            <w:r w:rsidR="005114C0" w:rsidRPr="00ED1474">
              <w:rPr>
                <w:rFonts w:ascii="Times New Roman" w:hAnsi="Times New Roman"/>
                <w:color w:val="000000"/>
                <w:sz w:val="21"/>
                <w:szCs w:val="21"/>
              </w:rPr>
              <w:t xml:space="preserve">. Powinny doprowadzić do zwiększenia źródeł finansowania </w:t>
            </w:r>
            <w:proofErr w:type="spellStart"/>
            <w:r w:rsidR="005114C0" w:rsidRPr="00ED1474">
              <w:rPr>
                <w:rFonts w:ascii="Times New Roman" w:hAnsi="Times New Roman"/>
                <w:color w:val="000000"/>
                <w:sz w:val="21"/>
                <w:szCs w:val="21"/>
              </w:rPr>
              <w:t>pozabankowego</w:t>
            </w:r>
            <w:proofErr w:type="spellEnd"/>
            <w:r w:rsidR="005114C0" w:rsidRPr="00ED1474">
              <w:rPr>
                <w:rFonts w:ascii="Times New Roman" w:hAnsi="Times New Roman"/>
                <w:color w:val="000000"/>
                <w:sz w:val="21"/>
                <w:szCs w:val="21"/>
              </w:rPr>
              <w:t xml:space="preserve"> dla MŚP dzięki rozwojowi pierwszych ofert tokenów i ofert tokenów o cechach papierów wartościowych. Pierwsze oferty tokenów mogą oferować przedsiębiorstwom typu start-</w:t>
            </w:r>
            <w:proofErr w:type="spellStart"/>
            <w:r w:rsidR="005114C0" w:rsidRPr="00ED1474">
              <w:rPr>
                <w:rFonts w:ascii="Times New Roman" w:hAnsi="Times New Roman"/>
                <w:color w:val="000000"/>
                <w:sz w:val="21"/>
                <w:szCs w:val="21"/>
              </w:rPr>
              <w:t>up</w:t>
            </w:r>
            <w:proofErr w:type="spellEnd"/>
            <w:r w:rsidR="005114C0" w:rsidRPr="00ED1474">
              <w:rPr>
                <w:rFonts w:ascii="Times New Roman" w:hAnsi="Times New Roman"/>
                <w:color w:val="000000"/>
                <w:sz w:val="21"/>
                <w:szCs w:val="21"/>
              </w:rPr>
              <w:t xml:space="preserve"> możliwość pozyskania znacznych kwot finansowania na wczesnym etapie rozwoju przy potencjalnej oszczędności kosztów w porównaniu z tradycyjnymi pierwszymi ofertami publicznymi. Koszty pozyskania finansowania w drodze emisji kryptoaktywów w ramach tego systemu powinny być o 20–40 % niższe niż koszty pierwszych ofert publicznych podobnej wielkości</w:t>
            </w:r>
            <w:r w:rsidR="005114C0">
              <w:rPr>
                <w:rFonts w:ascii="Times New Roman" w:hAnsi="Times New Roman"/>
                <w:color w:val="000000"/>
                <w:sz w:val="21"/>
                <w:szCs w:val="21"/>
              </w:rPr>
              <w:t>.</w:t>
            </w:r>
          </w:p>
        </w:tc>
      </w:tr>
      <w:tr w:rsidR="005114C0" w:rsidRPr="008B4FE6" w14:paraId="13D6BE09" w14:textId="77777777" w:rsidTr="00D5149F">
        <w:trPr>
          <w:gridAfter w:val="1"/>
          <w:wAfter w:w="7" w:type="dxa"/>
          <w:trHeight w:val="342"/>
        </w:trPr>
        <w:tc>
          <w:tcPr>
            <w:tcW w:w="10937" w:type="dxa"/>
            <w:gridSpan w:val="28"/>
            <w:shd w:val="clear" w:color="auto" w:fill="99CCFF"/>
            <w:vAlign w:val="center"/>
          </w:tcPr>
          <w:p w14:paraId="601EACC4" w14:textId="77777777" w:rsidR="005114C0" w:rsidRPr="008B4FE6" w:rsidRDefault="005114C0" w:rsidP="005114C0">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5114C0" w:rsidRPr="008B4FE6" w14:paraId="68487463" w14:textId="77777777" w:rsidTr="00D5149F">
        <w:trPr>
          <w:gridAfter w:val="1"/>
          <w:wAfter w:w="7" w:type="dxa"/>
          <w:trHeight w:val="151"/>
        </w:trPr>
        <w:tc>
          <w:tcPr>
            <w:tcW w:w="10937" w:type="dxa"/>
            <w:gridSpan w:val="28"/>
            <w:shd w:val="clear" w:color="auto" w:fill="FFFFFF"/>
          </w:tcPr>
          <w:p w14:paraId="30452926" w14:textId="77777777" w:rsidR="005114C0" w:rsidRPr="008B4FE6" w:rsidRDefault="006850BB" w:rsidP="005114C0">
            <w:pPr>
              <w:spacing w:line="240" w:lineRule="auto"/>
              <w:rPr>
                <w:rFonts w:ascii="Times New Roman" w:hAnsi="Times New Roman"/>
                <w:color w:val="000000"/>
              </w:rPr>
            </w:pPr>
            <w:sdt>
              <w:sdtPr>
                <w:rPr>
                  <w:rFonts w:ascii="Times New Roman" w:hAnsi="Times New Roman"/>
                  <w:color w:val="000000"/>
                  <w:spacing w:val="-2"/>
                </w:rPr>
                <w:id w:val="1930998347"/>
                <w14:checkbox>
                  <w14:checked w14:val="0"/>
                  <w14:checkedState w14:val="2612" w14:font="MS Gothic"/>
                  <w14:uncheckedState w14:val="2610" w14:font="MS Gothic"/>
                </w14:checkbox>
              </w:sdtPr>
              <w:sdtEndPr/>
              <w:sdtContent>
                <w:r w:rsidR="005D705D">
                  <w:rPr>
                    <w:rFonts w:ascii="MS Gothic" w:eastAsia="MS Gothic" w:hAnsi="MS Gothic" w:hint="eastAsia"/>
                    <w:color w:val="000000"/>
                    <w:spacing w:val="-2"/>
                  </w:rPr>
                  <w:t>☐</w:t>
                </w:r>
              </w:sdtContent>
            </w:sdt>
            <w:r w:rsidR="005114C0">
              <w:rPr>
                <w:rFonts w:ascii="Times New Roman" w:hAnsi="Times New Roman"/>
                <w:color w:val="000000"/>
                <w:spacing w:val="-2"/>
              </w:rPr>
              <w:t xml:space="preserve"> </w:t>
            </w:r>
            <w:r w:rsidR="005114C0" w:rsidRPr="001A5FDA">
              <w:rPr>
                <w:rFonts w:ascii="Times New Roman" w:hAnsi="Times New Roman"/>
                <w:color w:val="000000"/>
                <w:spacing w:val="-2"/>
              </w:rPr>
              <w:t>nie dotyczy</w:t>
            </w:r>
          </w:p>
        </w:tc>
      </w:tr>
      <w:tr w:rsidR="005114C0" w:rsidRPr="008B4FE6" w14:paraId="344A3AD3" w14:textId="77777777" w:rsidTr="00D5149F">
        <w:trPr>
          <w:gridAfter w:val="1"/>
          <w:wAfter w:w="7" w:type="dxa"/>
          <w:trHeight w:val="946"/>
        </w:trPr>
        <w:tc>
          <w:tcPr>
            <w:tcW w:w="5111" w:type="dxa"/>
            <w:gridSpan w:val="11"/>
            <w:shd w:val="clear" w:color="auto" w:fill="FFFFFF"/>
          </w:tcPr>
          <w:p w14:paraId="3EA5F526" w14:textId="77777777" w:rsidR="005114C0" w:rsidRDefault="005114C0" w:rsidP="005114C0">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26" w:type="dxa"/>
            <w:gridSpan w:val="17"/>
            <w:shd w:val="clear" w:color="auto" w:fill="FFFFFF"/>
          </w:tcPr>
          <w:p w14:paraId="7FBA7DF4" w14:textId="77777777" w:rsidR="005114C0" w:rsidRDefault="006850BB" w:rsidP="005114C0">
            <w:pPr>
              <w:spacing w:line="240" w:lineRule="auto"/>
              <w:rPr>
                <w:rFonts w:ascii="Times New Roman" w:hAnsi="Times New Roman"/>
                <w:color w:val="000000"/>
              </w:rPr>
            </w:pPr>
            <w:sdt>
              <w:sdtPr>
                <w:rPr>
                  <w:rFonts w:ascii="Times New Roman" w:hAnsi="Times New Roman"/>
                  <w:color w:val="000000"/>
                </w:rPr>
                <w:id w:val="-501432790"/>
                <w14:checkbox>
                  <w14:checked w14:val="0"/>
                  <w14:checkedState w14:val="2612" w14:font="MS Gothic"/>
                  <w14:uncheckedState w14:val="2610" w14:font="MS Gothic"/>
                </w14:checkbox>
              </w:sdtPr>
              <w:sdtEndPr/>
              <w:sdtContent>
                <w:r w:rsidR="005114C0">
                  <w:rPr>
                    <w:rFonts w:ascii="MS Gothic" w:eastAsia="MS Gothic" w:hAnsi="MS Gothic" w:hint="eastAsia"/>
                    <w:color w:val="000000"/>
                  </w:rPr>
                  <w:t>☐</w:t>
                </w:r>
              </w:sdtContent>
            </w:sdt>
            <w:r w:rsidR="005114C0">
              <w:rPr>
                <w:rFonts w:ascii="Times New Roman" w:hAnsi="Times New Roman"/>
                <w:color w:val="000000"/>
              </w:rPr>
              <w:t xml:space="preserve"> tak</w:t>
            </w:r>
          </w:p>
          <w:p w14:paraId="307F00F6" w14:textId="77777777" w:rsidR="005114C0" w:rsidRDefault="006850BB" w:rsidP="005114C0">
            <w:pPr>
              <w:spacing w:line="240" w:lineRule="auto"/>
              <w:rPr>
                <w:rFonts w:ascii="Times New Roman" w:hAnsi="Times New Roman"/>
                <w:color w:val="000000"/>
              </w:rPr>
            </w:pPr>
            <w:sdt>
              <w:sdtPr>
                <w:rPr>
                  <w:rFonts w:ascii="Times New Roman" w:hAnsi="Times New Roman"/>
                  <w:color w:val="000000"/>
                </w:rPr>
                <w:id w:val="-1774005171"/>
                <w14:checkbox>
                  <w14:checked w14:val="0"/>
                  <w14:checkedState w14:val="2612" w14:font="MS Gothic"/>
                  <w14:uncheckedState w14:val="2610" w14:font="MS Gothic"/>
                </w14:checkbox>
              </w:sdtPr>
              <w:sdtEndPr/>
              <w:sdtContent>
                <w:r w:rsidR="005114C0">
                  <w:rPr>
                    <w:rFonts w:ascii="MS Gothic" w:eastAsia="MS Gothic" w:hAnsi="MS Gothic" w:hint="eastAsia"/>
                    <w:color w:val="000000"/>
                  </w:rPr>
                  <w:t>☐</w:t>
                </w:r>
              </w:sdtContent>
            </w:sdt>
            <w:r w:rsidR="005114C0">
              <w:rPr>
                <w:rFonts w:ascii="Times New Roman" w:hAnsi="Times New Roman"/>
                <w:color w:val="000000"/>
              </w:rPr>
              <w:t xml:space="preserve"> nie</w:t>
            </w:r>
          </w:p>
          <w:p w14:paraId="1354B902" w14:textId="77777777" w:rsidR="005114C0" w:rsidRDefault="006850BB" w:rsidP="005114C0">
            <w:pPr>
              <w:rPr>
                <w:rFonts w:ascii="Times New Roman" w:hAnsi="Times New Roman"/>
                <w:color w:val="000000"/>
              </w:rPr>
            </w:pPr>
            <w:sdt>
              <w:sdtPr>
                <w:rPr>
                  <w:rFonts w:ascii="Times New Roman" w:hAnsi="Times New Roman"/>
                  <w:color w:val="000000"/>
                </w:rPr>
                <w:id w:val="351533669"/>
                <w14:checkbox>
                  <w14:checked w14:val="1"/>
                  <w14:checkedState w14:val="2612" w14:font="MS Gothic"/>
                  <w14:uncheckedState w14:val="2610" w14:font="MS Gothic"/>
                </w14:checkbox>
              </w:sdtPr>
              <w:sdtEndPr/>
              <w:sdtContent>
                <w:r w:rsidR="005114C0">
                  <w:rPr>
                    <w:rFonts w:ascii="MS Gothic" w:eastAsia="MS Gothic" w:hAnsi="MS Gothic" w:hint="eastAsia"/>
                    <w:color w:val="000000"/>
                  </w:rPr>
                  <w:t>☒</w:t>
                </w:r>
              </w:sdtContent>
            </w:sdt>
            <w:r w:rsidR="005114C0">
              <w:rPr>
                <w:rFonts w:ascii="Times New Roman" w:hAnsi="Times New Roman"/>
                <w:color w:val="000000"/>
              </w:rPr>
              <w:t xml:space="preserve"> nie dotyczy</w:t>
            </w:r>
          </w:p>
        </w:tc>
      </w:tr>
      <w:tr w:rsidR="005114C0" w:rsidRPr="008B4FE6" w14:paraId="7E844C5D" w14:textId="77777777" w:rsidTr="00D5149F">
        <w:trPr>
          <w:gridAfter w:val="1"/>
          <w:wAfter w:w="7" w:type="dxa"/>
          <w:trHeight w:val="1245"/>
        </w:trPr>
        <w:tc>
          <w:tcPr>
            <w:tcW w:w="5111" w:type="dxa"/>
            <w:gridSpan w:val="11"/>
            <w:shd w:val="clear" w:color="auto" w:fill="FFFFFF"/>
          </w:tcPr>
          <w:p w14:paraId="1EBF73DE" w14:textId="77777777" w:rsidR="005114C0" w:rsidRPr="008B4FE6" w:rsidRDefault="006850BB" w:rsidP="005114C0">
            <w:pPr>
              <w:spacing w:line="240" w:lineRule="auto"/>
              <w:rPr>
                <w:rFonts w:ascii="Times New Roman" w:hAnsi="Times New Roman"/>
                <w:color w:val="000000"/>
                <w:spacing w:val="-2"/>
              </w:rPr>
            </w:pPr>
            <w:sdt>
              <w:sdtPr>
                <w:rPr>
                  <w:rFonts w:ascii="Times New Roman" w:hAnsi="Times New Roman"/>
                  <w:color w:val="000000"/>
                  <w:spacing w:val="-2"/>
                </w:rPr>
                <w:id w:val="-1646118103"/>
                <w14:checkbox>
                  <w14:checked w14:val="0"/>
                  <w14:checkedState w14:val="2612" w14:font="MS Gothic"/>
                  <w14:uncheckedState w14:val="2610" w14:font="MS Gothic"/>
                </w14:checkbox>
              </w:sdtPr>
              <w:sdtEndPr/>
              <w:sdtContent>
                <w:r w:rsidR="005114C0">
                  <w:rPr>
                    <w:rFonts w:ascii="MS Gothic" w:eastAsia="MS Gothic" w:hAnsi="MS Gothic" w:hint="eastAsia"/>
                    <w:color w:val="000000"/>
                    <w:spacing w:val="-2"/>
                  </w:rPr>
                  <w:t>☐</w:t>
                </w:r>
              </w:sdtContent>
            </w:sdt>
            <w:r w:rsidR="005114C0">
              <w:rPr>
                <w:rFonts w:ascii="Times New Roman" w:hAnsi="Times New Roman"/>
                <w:color w:val="000000"/>
                <w:spacing w:val="-2"/>
              </w:rPr>
              <w:t xml:space="preserve"> </w:t>
            </w:r>
            <w:r w:rsidR="005114C0" w:rsidRPr="008B4FE6">
              <w:rPr>
                <w:rFonts w:ascii="Times New Roman" w:hAnsi="Times New Roman"/>
                <w:color w:val="000000"/>
                <w:spacing w:val="-2"/>
              </w:rPr>
              <w:t>zmniejszenie liczby dokumentów</w:t>
            </w:r>
            <w:r w:rsidR="005114C0">
              <w:rPr>
                <w:rFonts w:ascii="Times New Roman" w:hAnsi="Times New Roman"/>
                <w:color w:val="000000"/>
                <w:spacing w:val="-2"/>
              </w:rPr>
              <w:t xml:space="preserve"> </w:t>
            </w:r>
          </w:p>
          <w:p w14:paraId="31CCBC81" w14:textId="77777777" w:rsidR="005114C0" w:rsidRPr="008B4FE6" w:rsidRDefault="006850BB" w:rsidP="005114C0">
            <w:pPr>
              <w:spacing w:line="240" w:lineRule="auto"/>
              <w:rPr>
                <w:rFonts w:ascii="Times New Roman" w:hAnsi="Times New Roman"/>
                <w:color w:val="000000"/>
                <w:spacing w:val="-2"/>
              </w:rPr>
            </w:pPr>
            <w:sdt>
              <w:sdtPr>
                <w:rPr>
                  <w:rFonts w:ascii="Times New Roman" w:hAnsi="Times New Roman"/>
                  <w:color w:val="000000"/>
                  <w:spacing w:val="-2"/>
                </w:rPr>
                <w:id w:val="1876505849"/>
                <w14:checkbox>
                  <w14:checked w14:val="0"/>
                  <w14:checkedState w14:val="2612" w14:font="MS Gothic"/>
                  <w14:uncheckedState w14:val="2610" w14:font="MS Gothic"/>
                </w14:checkbox>
              </w:sdtPr>
              <w:sdtEndPr/>
              <w:sdtContent>
                <w:r w:rsidR="005114C0">
                  <w:rPr>
                    <w:rFonts w:ascii="MS Gothic" w:eastAsia="MS Gothic" w:hAnsi="MS Gothic" w:hint="eastAsia"/>
                    <w:color w:val="000000"/>
                    <w:spacing w:val="-2"/>
                  </w:rPr>
                  <w:t>☐</w:t>
                </w:r>
              </w:sdtContent>
            </w:sdt>
            <w:r w:rsidR="005114C0">
              <w:rPr>
                <w:rFonts w:ascii="Times New Roman" w:hAnsi="Times New Roman"/>
                <w:color w:val="000000"/>
                <w:spacing w:val="-2"/>
              </w:rPr>
              <w:t xml:space="preserve"> </w:t>
            </w:r>
            <w:r w:rsidR="005114C0" w:rsidRPr="008B4FE6">
              <w:rPr>
                <w:rFonts w:ascii="Times New Roman" w:hAnsi="Times New Roman"/>
                <w:color w:val="000000"/>
                <w:spacing w:val="-2"/>
              </w:rPr>
              <w:t>zmniejszenie liczby procedur</w:t>
            </w:r>
          </w:p>
          <w:p w14:paraId="166864D3" w14:textId="77777777" w:rsidR="005114C0" w:rsidRDefault="006850BB" w:rsidP="005114C0">
            <w:pPr>
              <w:spacing w:line="240" w:lineRule="auto"/>
              <w:rPr>
                <w:rFonts w:ascii="Times New Roman" w:hAnsi="Times New Roman"/>
                <w:color w:val="000000"/>
                <w:spacing w:val="-2"/>
              </w:rPr>
            </w:pPr>
            <w:sdt>
              <w:sdtPr>
                <w:rPr>
                  <w:rFonts w:ascii="Times New Roman" w:hAnsi="Times New Roman"/>
                  <w:color w:val="000000"/>
                  <w:spacing w:val="-2"/>
                </w:rPr>
                <w:id w:val="-2082051990"/>
                <w14:checkbox>
                  <w14:checked w14:val="0"/>
                  <w14:checkedState w14:val="2612" w14:font="MS Gothic"/>
                  <w14:uncheckedState w14:val="2610" w14:font="MS Gothic"/>
                </w14:checkbox>
              </w:sdtPr>
              <w:sdtEndPr/>
              <w:sdtContent>
                <w:r w:rsidR="005114C0">
                  <w:rPr>
                    <w:rFonts w:ascii="MS Gothic" w:eastAsia="MS Gothic" w:hAnsi="MS Gothic" w:hint="eastAsia"/>
                    <w:color w:val="000000"/>
                    <w:spacing w:val="-2"/>
                  </w:rPr>
                  <w:t>☐</w:t>
                </w:r>
              </w:sdtContent>
            </w:sdt>
            <w:r w:rsidR="005114C0">
              <w:rPr>
                <w:rFonts w:ascii="Times New Roman" w:hAnsi="Times New Roman"/>
                <w:color w:val="000000"/>
                <w:spacing w:val="-2"/>
              </w:rPr>
              <w:t xml:space="preserve"> </w:t>
            </w:r>
            <w:r w:rsidR="005114C0" w:rsidRPr="008B4FE6">
              <w:rPr>
                <w:rFonts w:ascii="Times New Roman" w:hAnsi="Times New Roman"/>
                <w:color w:val="000000"/>
                <w:spacing w:val="-2"/>
              </w:rPr>
              <w:t>skrócenie czasu</w:t>
            </w:r>
            <w:r w:rsidR="005114C0">
              <w:rPr>
                <w:rFonts w:ascii="Times New Roman" w:hAnsi="Times New Roman"/>
                <w:color w:val="000000"/>
                <w:spacing w:val="-2"/>
              </w:rPr>
              <w:t xml:space="preserve"> na załatwienie sprawy</w:t>
            </w:r>
          </w:p>
          <w:p w14:paraId="3DF0C2D3" w14:textId="77777777" w:rsidR="005114C0" w:rsidRPr="008B4FE6" w:rsidRDefault="006850BB" w:rsidP="005114C0">
            <w:pPr>
              <w:rPr>
                <w:rFonts w:ascii="Times New Roman" w:hAnsi="Times New Roman"/>
                <w:b/>
                <w:color w:val="000000"/>
                <w:spacing w:val="-2"/>
              </w:rPr>
            </w:pPr>
            <w:sdt>
              <w:sdtPr>
                <w:rPr>
                  <w:rFonts w:ascii="Times New Roman" w:hAnsi="Times New Roman"/>
                  <w:color w:val="000000"/>
                  <w:spacing w:val="-2"/>
                </w:rPr>
                <w:id w:val="2112540246"/>
                <w14:checkbox>
                  <w14:checked w14:val="0"/>
                  <w14:checkedState w14:val="2612" w14:font="MS Gothic"/>
                  <w14:uncheckedState w14:val="2610" w14:font="MS Gothic"/>
                </w14:checkbox>
              </w:sdtPr>
              <w:sdtEndPr/>
              <w:sdtContent>
                <w:r w:rsidR="005114C0">
                  <w:rPr>
                    <w:rFonts w:ascii="MS Gothic" w:eastAsia="MS Gothic" w:hAnsi="MS Gothic" w:hint="eastAsia"/>
                    <w:color w:val="000000"/>
                    <w:spacing w:val="-2"/>
                  </w:rPr>
                  <w:t>☐</w:t>
                </w:r>
              </w:sdtContent>
            </w:sdt>
            <w:r w:rsidR="005114C0">
              <w:rPr>
                <w:rFonts w:ascii="Times New Roman" w:hAnsi="Times New Roman"/>
                <w:color w:val="000000"/>
                <w:spacing w:val="-2"/>
              </w:rPr>
              <w:t xml:space="preserve"> </w:t>
            </w:r>
            <w:r w:rsidR="005114C0" w:rsidRPr="008B4FE6">
              <w:rPr>
                <w:rFonts w:ascii="Times New Roman" w:hAnsi="Times New Roman"/>
                <w:color w:val="000000"/>
                <w:spacing w:val="-2"/>
              </w:rPr>
              <w:t>inne:</w:t>
            </w:r>
            <w:r w:rsidR="005114C0" w:rsidRPr="008B4FE6">
              <w:rPr>
                <w:rFonts w:ascii="Times New Roman" w:hAnsi="Times New Roman"/>
                <w:color w:val="000000"/>
              </w:rPr>
              <w:t xml:space="preserve"> </w:t>
            </w:r>
            <w:r w:rsidR="005114C0">
              <w:rPr>
                <w:rFonts w:ascii="Times New Roman" w:hAnsi="Times New Roman"/>
                <w:color w:val="000000"/>
              </w:rPr>
              <w:t>…</w:t>
            </w:r>
          </w:p>
        </w:tc>
        <w:tc>
          <w:tcPr>
            <w:tcW w:w="5826" w:type="dxa"/>
            <w:gridSpan w:val="17"/>
            <w:shd w:val="clear" w:color="auto" w:fill="FFFFFF"/>
          </w:tcPr>
          <w:p w14:paraId="586F0021" w14:textId="77777777" w:rsidR="005114C0" w:rsidRPr="008B4FE6" w:rsidRDefault="006850BB" w:rsidP="005114C0">
            <w:pPr>
              <w:spacing w:line="240" w:lineRule="auto"/>
              <w:rPr>
                <w:rFonts w:ascii="Times New Roman" w:hAnsi="Times New Roman"/>
                <w:color w:val="000000"/>
                <w:spacing w:val="-2"/>
              </w:rPr>
            </w:pPr>
            <w:sdt>
              <w:sdtPr>
                <w:rPr>
                  <w:rFonts w:ascii="Times New Roman" w:hAnsi="Times New Roman"/>
                  <w:color w:val="000000"/>
                  <w:spacing w:val="-2"/>
                </w:rPr>
                <w:id w:val="2104995084"/>
                <w14:checkbox>
                  <w14:checked w14:val="1"/>
                  <w14:checkedState w14:val="2612" w14:font="MS Gothic"/>
                  <w14:uncheckedState w14:val="2610" w14:font="MS Gothic"/>
                </w14:checkbox>
              </w:sdtPr>
              <w:sdtEndPr/>
              <w:sdtContent>
                <w:r w:rsidR="005D705D">
                  <w:rPr>
                    <w:rFonts w:ascii="MS Gothic" w:eastAsia="MS Gothic" w:hAnsi="MS Gothic" w:hint="eastAsia"/>
                    <w:color w:val="000000"/>
                    <w:spacing w:val="-2"/>
                  </w:rPr>
                  <w:t>☒</w:t>
                </w:r>
              </w:sdtContent>
            </w:sdt>
            <w:r w:rsidR="005114C0">
              <w:rPr>
                <w:rFonts w:ascii="Times New Roman" w:hAnsi="Times New Roman"/>
                <w:color w:val="000000"/>
                <w:spacing w:val="-2"/>
              </w:rPr>
              <w:t xml:space="preserve"> </w:t>
            </w:r>
            <w:r w:rsidR="005114C0" w:rsidRPr="008B4FE6">
              <w:rPr>
                <w:rFonts w:ascii="Times New Roman" w:hAnsi="Times New Roman"/>
                <w:color w:val="000000"/>
                <w:spacing w:val="-2"/>
              </w:rPr>
              <w:t>zwiększenie liczby dokumentów</w:t>
            </w:r>
          </w:p>
          <w:p w14:paraId="3564C5E9" w14:textId="77777777" w:rsidR="005114C0" w:rsidRPr="008B4FE6" w:rsidRDefault="006850BB" w:rsidP="005114C0">
            <w:pPr>
              <w:spacing w:line="240" w:lineRule="auto"/>
              <w:rPr>
                <w:rFonts w:ascii="Times New Roman" w:hAnsi="Times New Roman"/>
                <w:color w:val="000000"/>
                <w:spacing w:val="-2"/>
              </w:rPr>
            </w:pPr>
            <w:sdt>
              <w:sdtPr>
                <w:rPr>
                  <w:rFonts w:ascii="Times New Roman" w:hAnsi="Times New Roman"/>
                  <w:color w:val="000000"/>
                </w:rPr>
                <w:id w:val="762415844"/>
                <w14:checkbox>
                  <w14:checked w14:val="1"/>
                  <w14:checkedState w14:val="2612" w14:font="MS Gothic"/>
                  <w14:uncheckedState w14:val="2610" w14:font="MS Gothic"/>
                </w14:checkbox>
              </w:sdtPr>
              <w:sdtEndPr/>
              <w:sdtContent>
                <w:r w:rsidR="005D705D">
                  <w:rPr>
                    <w:rFonts w:ascii="MS Gothic" w:eastAsia="MS Gothic" w:hAnsi="MS Gothic" w:hint="eastAsia"/>
                    <w:color w:val="000000"/>
                  </w:rPr>
                  <w:t>☒</w:t>
                </w:r>
              </w:sdtContent>
            </w:sdt>
            <w:r w:rsidR="005114C0">
              <w:rPr>
                <w:rFonts w:ascii="Times New Roman" w:hAnsi="Times New Roman"/>
                <w:color w:val="000000"/>
              </w:rPr>
              <w:t xml:space="preserve"> </w:t>
            </w:r>
            <w:r w:rsidR="005114C0" w:rsidRPr="008B4FE6">
              <w:rPr>
                <w:rFonts w:ascii="Times New Roman" w:hAnsi="Times New Roman"/>
                <w:color w:val="000000"/>
                <w:spacing w:val="-2"/>
              </w:rPr>
              <w:t>zwiększenie liczby procedur</w:t>
            </w:r>
          </w:p>
          <w:p w14:paraId="76093FE7" w14:textId="77777777" w:rsidR="005114C0" w:rsidRPr="008B4FE6" w:rsidRDefault="006850BB" w:rsidP="005114C0">
            <w:pPr>
              <w:spacing w:line="240" w:lineRule="auto"/>
              <w:rPr>
                <w:rFonts w:ascii="Times New Roman" w:hAnsi="Times New Roman"/>
                <w:color w:val="000000"/>
                <w:spacing w:val="-2"/>
              </w:rPr>
            </w:pPr>
            <w:sdt>
              <w:sdtPr>
                <w:rPr>
                  <w:rFonts w:ascii="Times New Roman" w:hAnsi="Times New Roman"/>
                  <w:color w:val="000000"/>
                  <w:spacing w:val="-2"/>
                </w:rPr>
                <w:id w:val="-357036351"/>
                <w14:checkbox>
                  <w14:checked w14:val="0"/>
                  <w14:checkedState w14:val="2612" w14:font="MS Gothic"/>
                  <w14:uncheckedState w14:val="2610" w14:font="MS Gothic"/>
                </w14:checkbox>
              </w:sdtPr>
              <w:sdtEndPr/>
              <w:sdtContent>
                <w:r w:rsidR="005114C0">
                  <w:rPr>
                    <w:rFonts w:ascii="MS Gothic" w:eastAsia="MS Gothic" w:hAnsi="MS Gothic" w:hint="eastAsia"/>
                    <w:color w:val="000000"/>
                    <w:spacing w:val="-2"/>
                  </w:rPr>
                  <w:t>☐</w:t>
                </w:r>
              </w:sdtContent>
            </w:sdt>
            <w:r w:rsidR="005114C0">
              <w:rPr>
                <w:rFonts w:ascii="Times New Roman" w:hAnsi="Times New Roman"/>
                <w:color w:val="000000"/>
                <w:spacing w:val="-2"/>
              </w:rPr>
              <w:t xml:space="preserve"> </w:t>
            </w:r>
            <w:r w:rsidR="005114C0" w:rsidRPr="008B4FE6">
              <w:rPr>
                <w:rFonts w:ascii="Times New Roman" w:hAnsi="Times New Roman"/>
                <w:color w:val="000000"/>
                <w:spacing w:val="-2"/>
              </w:rPr>
              <w:t>wydłużenie czasu</w:t>
            </w:r>
            <w:r w:rsidR="005114C0">
              <w:rPr>
                <w:rFonts w:ascii="Times New Roman" w:hAnsi="Times New Roman"/>
                <w:color w:val="000000"/>
                <w:spacing w:val="-2"/>
              </w:rPr>
              <w:t xml:space="preserve"> na załatwienie sprawy</w:t>
            </w:r>
          </w:p>
          <w:p w14:paraId="5BE56CF7" w14:textId="77777777" w:rsidR="005114C0" w:rsidRPr="008B4FE6" w:rsidRDefault="006850BB" w:rsidP="005114C0">
            <w:pPr>
              <w:spacing w:line="240" w:lineRule="auto"/>
              <w:rPr>
                <w:rFonts w:ascii="Times New Roman" w:hAnsi="Times New Roman"/>
                <w:color w:val="000000"/>
              </w:rPr>
            </w:pPr>
            <w:sdt>
              <w:sdtPr>
                <w:rPr>
                  <w:rFonts w:ascii="Times New Roman" w:hAnsi="Times New Roman"/>
                  <w:color w:val="000000"/>
                  <w:spacing w:val="-2"/>
                </w:rPr>
                <w:id w:val="1149557140"/>
                <w14:checkbox>
                  <w14:checked w14:val="0"/>
                  <w14:checkedState w14:val="2612" w14:font="MS Gothic"/>
                  <w14:uncheckedState w14:val="2610" w14:font="MS Gothic"/>
                </w14:checkbox>
              </w:sdtPr>
              <w:sdtEndPr/>
              <w:sdtContent>
                <w:r w:rsidR="005114C0">
                  <w:rPr>
                    <w:rFonts w:ascii="MS Gothic" w:eastAsia="MS Gothic" w:hAnsi="MS Gothic" w:hint="eastAsia"/>
                    <w:color w:val="000000"/>
                    <w:spacing w:val="-2"/>
                  </w:rPr>
                  <w:t>☐</w:t>
                </w:r>
              </w:sdtContent>
            </w:sdt>
            <w:r w:rsidR="005114C0">
              <w:rPr>
                <w:rFonts w:ascii="Times New Roman" w:hAnsi="Times New Roman"/>
                <w:color w:val="000000"/>
                <w:spacing w:val="-2"/>
              </w:rPr>
              <w:t xml:space="preserve"> </w:t>
            </w:r>
            <w:r w:rsidR="005114C0" w:rsidRPr="008B4FE6">
              <w:rPr>
                <w:rFonts w:ascii="Times New Roman" w:hAnsi="Times New Roman"/>
                <w:color w:val="000000"/>
                <w:spacing w:val="-2"/>
              </w:rPr>
              <w:t>inne:</w:t>
            </w:r>
            <w:r w:rsidR="005114C0" w:rsidRPr="008B4FE6">
              <w:rPr>
                <w:rFonts w:ascii="Times New Roman" w:hAnsi="Times New Roman"/>
                <w:color w:val="000000"/>
              </w:rPr>
              <w:t xml:space="preserve"> </w:t>
            </w:r>
            <w:r w:rsidR="005114C0">
              <w:rPr>
                <w:rFonts w:ascii="Times New Roman" w:hAnsi="Times New Roman"/>
                <w:color w:val="000000"/>
              </w:rPr>
              <w:t>…</w:t>
            </w:r>
          </w:p>
          <w:p w14:paraId="0B9216E0" w14:textId="77777777" w:rsidR="005114C0" w:rsidRPr="008B4FE6" w:rsidRDefault="005114C0" w:rsidP="005114C0">
            <w:pPr>
              <w:spacing w:line="240" w:lineRule="auto"/>
              <w:rPr>
                <w:rFonts w:ascii="Times New Roman" w:hAnsi="Times New Roman"/>
                <w:color w:val="000000"/>
              </w:rPr>
            </w:pPr>
          </w:p>
        </w:tc>
      </w:tr>
      <w:tr w:rsidR="005114C0" w:rsidRPr="008B4FE6" w14:paraId="063CDA86" w14:textId="77777777" w:rsidTr="00D5149F">
        <w:trPr>
          <w:gridAfter w:val="1"/>
          <w:wAfter w:w="7" w:type="dxa"/>
          <w:trHeight w:val="870"/>
        </w:trPr>
        <w:tc>
          <w:tcPr>
            <w:tcW w:w="5111" w:type="dxa"/>
            <w:gridSpan w:val="11"/>
            <w:shd w:val="clear" w:color="auto" w:fill="FFFFFF"/>
          </w:tcPr>
          <w:p w14:paraId="34728672" w14:textId="77777777" w:rsidR="005114C0" w:rsidRPr="008B4FE6" w:rsidRDefault="005114C0" w:rsidP="005114C0">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26" w:type="dxa"/>
            <w:gridSpan w:val="17"/>
            <w:shd w:val="clear" w:color="auto" w:fill="FFFFFF"/>
          </w:tcPr>
          <w:p w14:paraId="289C843B" w14:textId="77777777" w:rsidR="005114C0" w:rsidRDefault="006850BB" w:rsidP="005114C0">
            <w:pPr>
              <w:spacing w:line="240" w:lineRule="auto"/>
              <w:rPr>
                <w:rFonts w:ascii="Times New Roman" w:hAnsi="Times New Roman"/>
                <w:color w:val="000000"/>
              </w:rPr>
            </w:pPr>
            <w:sdt>
              <w:sdtPr>
                <w:rPr>
                  <w:rFonts w:ascii="Times New Roman" w:hAnsi="Times New Roman"/>
                  <w:color w:val="000000"/>
                </w:rPr>
                <w:id w:val="297268939"/>
                <w14:checkbox>
                  <w14:checked w14:val="0"/>
                  <w14:checkedState w14:val="2612" w14:font="MS Gothic"/>
                  <w14:uncheckedState w14:val="2610" w14:font="MS Gothic"/>
                </w14:checkbox>
              </w:sdtPr>
              <w:sdtEndPr/>
              <w:sdtContent>
                <w:r w:rsidR="009E1CE8">
                  <w:rPr>
                    <w:rFonts w:ascii="MS Gothic" w:eastAsia="MS Gothic" w:hAnsi="MS Gothic" w:hint="eastAsia"/>
                    <w:color w:val="000000"/>
                  </w:rPr>
                  <w:t>☐</w:t>
                </w:r>
              </w:sdtContent>
            </w:sdt>
            <w:r w:rsidR="005114C0">
              <w:rPr>
                <w:rFonts w:ascii="Times New Roman" w:hAnsi="Times New Roman"/>
                <w:color w:val="000000"/>
              </w:rPr>
              <w:t xml:space="preserve"> tak</w:t>
            </w:r>
          </w:p>
          <w:p w14:paraId="1789837C" w14:textId="77777777" w:rsidR="005114C0" w:rsidRDefault="006850BB" w:rsidP="005114C0">
            <w:pPr>
              <w:spacing w:line="240" w:lineRule="auto"/>
              <w:rPr>
                <w:rFonts w:ascii="Times New Roman" w:hAnsi="Times New Roman"/>
                <w:color w:val="000000"/>
              </w:rPr>
            </w:pPr>
            <w:sdt>
              <w:sdtPr>
                <w:rPr>
                  <w:rFonts w:ascii="Times New Roman" w:hAnsi="Times New Roman"/>
                  <w:color w:val="000000"/>
                </w:rPr>
                <w:id w:val="-1887021666"/>
                <w14:checkbox>
                  <w14:checked w14:val="0"/>
                  <w14:checkedState w14:val="2612" w14:font="MS Gothic"/>
                  <w14:uncheckedState w14:val="2610" w14:font="MS Gothic"/>
                </w14:checkbox>
              </w:sdtPr>
              <w:sdtEndPr/>
              <w:sdtContent>
                <w:r w:rsidR="005114C0">
                  <w:rPr>
                    <w:rFonts w:ascii="MS Gothic" w:eastAsia="MS Gothic" w:hAnsi="MS Gothic" w:hint="eastAsia"/>
                    <w:color w:val="000000"/>
                  </w:rPr>
                  <w:t>☐</w:t>
                </w:r>
              </w:sdtContent>
            </w:sdt>
            <w:r w:rsidR="005114C0">
              <w:rPr>
                <w:rFonts w:ascii="Times New Roman" w:hAnsi="Times New Roman"/>
                <w:color w:val="000000"/>
              </w:rPr>
              <w:t xml:space="preserve"> nie</w:t>
            </w:r>
          </w:p>
          <w:p w14:paraId="1185DA6E" w14:textId="77777777" w:rsidR="005114C0" w:rsidRDefault="006850BB" w:rsidP="005114C0">
            <w:pPr>
              <w:spacing w:line="240" w:lineRule="auto"/>
              <w:rPr>
                <w:rFonts w:ascii="Times New Roman" w:hAnsi="Times New Roman"/>
                <w:color w:val="000000"/>
              </w:rPr>
            </w:pPr>
            <w:sdt>
              <w:sdtPr>
                <w:rPr>
                  <w:rFonts w:ascii="Times New Roman" w:hAnsi="Times New Roman"/>
                  <w:color w:val="000000"/>
                </w:rPr>
                <w:id w:val="1904862519"/>
                <w14:checkbox>
                  <w14:checked w14:val="1"/>
                  <w14:checkedState w14:val="2612" w14:font="MS Gothic"/>
                  <w14:uncheckedState w14:val="2610" w14:font="MS Gothic"/>
                </w14:checkbox>
              </w:sdtPr>
              <w:sdtEndPr/>
              <w:sdtContent>
                <w:r w:rsidR="005D705D">
                  <w:rPr>
                    <w:rFonts w:ascii="MS Gothic" w:eastAsia="MS Gothic" w:hAnsi="MS Gothic" w:hint="eastAsia"/>
                    <w:color w:val="000000"/>
                  </w:rPr>
                  <w:t>☒</w:t>
                </w:r>
              </w:sdtContent>
            </w:sdt>
            <w:r w:rsidR="005114C0">
              <w:rPr>
                <w:rFonts w:ascii="Times New Roman" w:hAnsi="Times New Roman"/>
                <w:color w:val="000000"/>
              </w:rPr>
              <w:t xml:space="preserve"> nie dotyczy</w:t>
            </w:r>
          </w:p>
          <w:p w14:paraId="57197225" w14:textId="77777777" w:rsidR="005114C0" w:rsidRPr="008B4FE6" w:rsidRDefault="005114C0" w:rsidP="005114C0">
            <w:pPr>
              <w:spacing w:line="240" w:lineRule="auto"/>
              <w:rPr>
                <w:rFonts w:ascii="Times New Roman" w:hAnsi="Times New Roman"/>
                <w:color w:val="000000"/>
              </w:rPr>
            </w:pPr>
          </w:p>
        </w:tc>
      </w:tr>
      <w:tr w:rsidR="005114C0" w:rsidRPr="008B4FE6" w14:paraId="4C958001" w14:textId="77777777" w:rsidTr="00D5149F">
        <w:trPr>
          <w:gridAfter w:val="1"/>
          <w:wAfter w:w="7" w:type="dxa"/>
          <w:trHeight w:val="630"/>
        </w:trPr>
        <w:tc>
          <w:tcPr>
            <w:tcW w:w="10937" w:type="dxa"/>
            <w:gridSpan w:val="28"/>
            <w:shd w:val="clear" w:color="auto" w:fill="FFFFFF"/>
          </w:tcPr>
          <w:p w14:paraId="6797FB6D" w14:textId="518CDBFE" w:rsidR="00D5149F" w:rsidRPr="008B4FE6" w:rsidRDefault="005114C0" w:rsidP="005114C0">
            <w:pPr>
              <w:spacing w:line="240" w:lineRule="auto"/>
              <w:jc w:val="both"/>
              <w:rPr>
                <w:rFonts w:ascii="Times New Roman" w:hAnsi="Times New Roman"/>
                <w:color w:val="000000"/>
              </w:rPr>
            </w:pPr>
            <w:r>
              <w:rPr>
                <w:rFonts w:ascii="Times New Roman" w:hAnsi="Times New Roman"/>
                <w:color w:val="000000"/>
              </w:rPr>
              <w:t>Komentarz</w:t>
            </w:r>
            <w:r w:rsidR="005D705D">
              <w:rPr>
                <w:rFonts w:ascii="Times New Roman" w:hAnsi="Times New Roman"/>
                <w:color w:val="000000"/>
              </w:rPr>
              <w:t>:</w:t>
            </w:r>
            <w:r w:rsidR="00730F92">
              <w:rPr>
                <w:rFonts w:ascii="Times New Roman" w:hAnsi="Times New Roman"/>
                <w:color w:val="000000"/>
              </w:rPr>
              <w:t xml:space="preserve"> </w:t>
            </w:r>
            <w:r w:rsidR="00D5149F">
              <w:rPr>
                <w:rFonts w:ascii="Times New Roman" w:hAnsi="Times New Roman"/>
                <w:color w:val="000000"/>
              </w:rPr>
              <w:t>E</w:t>
            </w:r>
            <w:r w:rsidR="00D5149F" w:rsidRPr="00D5149F">
              <w:rPr>
                <w:rFonts w:ascii="Times New Roman" w:hAnsi="Times New Roman"/>
                <w:color w:val="000000"/>
              </w:rPr>
              <w:t>miten</w:t>
            </w:r>
            <w:r w:rsidR="00D5149F">
              <w:rPr>
                <w:rFonts w:ascii="Times New Roman" w:hAnsi="Times New Roman"/>
                <w:color w:val="000000"/>
              </w:rPr>
              <w:t>ci</w:t>
            </w:r>
            <w:r w:rsidR="00D5149F" w:rsidRPr="00D5149F">
              <w:rPr>
                <w:rFonts w:ascii="Times New Roman" w:hAnsi="Times New Roman"/>
                <w:color w:val="000000"/>
              </w:rPr>
              <w:t xml:space="preserve"> tokenów powiązanych z aktywami, emiten</w:t>
            </w:r>
            <w:r w:rsidR="00D5149F">
              <w:rPr>
                <w:rFonts w:ascii="Times New Roman" w:hAnsi="Times New Roman"/>
                <w:color w:val="000000"/>
              </w:rPr>
              <w:t>ci</w:t>
            </w:r>
            <w:r w:rsidR="00D5149F" w:rsidRPr="00D5149F">
              <w:rPr>
                <w:rFonts w:ascii="Times New Roman" w:hAnsi="Times New Roman"/>
                <w:color w:val="000000"/>
              </w:rPr>
              <w:t xml:space="preserve"> tokenów będących e-pieniądzem oraz dostawc</w:t>
            </w:r>
            <w:r w:rsidR="00D5149F">
              <w:rPr>
                <w:rFonts w:ascii="Times New Roman" w:hAnsi="Times New Roman"/>
                <w:color w:val="000000"/>
              </w:rPr>
              <w:t>y</w:t>
            </w:r>
            <w:r w:rsidR="00D5149F" w:rsidRPr="00D5149F">
              <w:rPr>
                <w:rFonts w:ascii="Times New Roman" w:hAnsi="Times New Roman"/>
                <w:color w:val="000000"/>
              </w:rPr>
              <w:t xml:space="preserve"> usług w zakresie kryptoaktywów </w:t>
            </w:r>
            <w:r w:rsidR="00D5149F">
              <w:rPr>
                <w:rFonts w:ascii="Times New Roman" w:hAnsi="Times New Roman"/>
                <w:color w:val="000000"/>
              </w:rPr>
              <w:t>będą zobowiązani wypełniać o</w:t>
            </w:r>
            <w:r w:rsidR="00D5149F" w:rsidRPr="00D5149F">
              <w:rPr>
                <w:rFonts w:ascii="Times New Roman" w:hAnsi="Times New Roman"/>
                <w:color w:val="000000"/>
              </w:rPr>
              <w:t>bowiązki informacyjne</w:t>
            </w:r>
            <w:r w:rsidR="00D5149F">
              <w:rPr>
                <w:rFonts w:ascii="Times New Roman" w:hAnsi="Times New Roman"/>
                <w:color w:val="000000"/>
              </w:rPr>
              <w:t>, które</w:t>
            </w:r>
            <w:r w:rsidR="00D5149F" w:rsidRPr="00D5149F">
              <w:rPr>
                <w:rFonts w:ascii="Times New Roman" w:hAnsi="Times New Roman"/>
                <w:color w:val="000000"/>
              </w:rPr>
              <w:t xml:space="preserve"> wynikają bezpośrednio z</w:t>
            </w:r>
            <w:r w:rsidR="00D5149F">
              <w:rPr>
                <w:rFonts w:ascii="Times New Roman" w:hAnsi="Times New Roman"/>
                <w:color w:val="000000"/>
              </w:rPr>
              <w:t> </w:t>
            </w:r>
            <w:r w:rsidR="00D5149F" w:rsidRPr="00D5149F">
              <w:rPr>
                <w:rFonts w:ascii="Times New Roman" w:hAnsi="Times New Roman"/>
                <w:color w:val="000000"/>
              </w:rPr>
              <w:t>rozporządzenia 2023/1114.</w:t>
            </w:r>
            <w:r w:rsidR="00D5149F">
              <w:rPr>
                <w:rFonts w:ascii="Times New Roman" w:hAnsi="Times New Roman"/>
                <w:color w:val="000000"/>
              </w:rPr>
              <w:t xml:space="preserve"> Przepisy rozporządzenia </w:t>
            </w:r>
            <w:r w:rsidR="00D5149F" w:rsidRPr="00D5149F">
              <w:rPr>
                <w:rFonts w:ascii="Times New Roman" w:hAnsi="Times New Roman"/>
                <w:color w:val="000000"/>
              </w:rPr>
              <w:t>zobowiąz</w:t>
            </w:r>
            <w:r w:rsidR="00D5149F">
              <w:rPr>
                <w:rFonts w:ascii="Times New Roman" w:hAnsi="Times New Roman"/>
                <w:color w:val="000000"/>
              </w:rPr>
              <w:t>ują</w:t>
            </w:r>
            <w:r w:rsidR="00D5149F" w:rsidRPr="00D5149F">
              <w:rPr>
                <w:rFonts w:ascii="Times New Roman" w:hAnsi="Times New Roman"/>
                <w:color w:val="000000"/>
              </w:rPr>
              <w:t xml:space="preserve"> </w:t>
            </w:r>
            <w:r w:rsidR="00D5149F">
              <w:rPr>
                <w:rFonts w:ascii="Times New Roman" w:hAnsi="Times New Roman"/>
                <w:color w:val="000000"/>
              </w:rPr>
              <w:t xml:space="preserve">ww. </w:t>
            </w:r>
            <w:r w:rsidR="00D5149F" w:rsidRPr="00D5149F">
              <w:rPr>
                <w:rFonts w:ascii="Times New Roman" w:hAnsi="Times New Roman"/>
                <w:color w:val="000000"/>
              </w:rPr>
              <w:t>podmiot</w:t>
            </w:r>
            <w:r w:rsidR="00D5149F">
              <w:rPr>
                <w:rFonts w:ascii="Times New Roman" w:hAnsi="Times New Roman"/>
                <w:color w:val="000000"/>
              </w:rPr>
              <w:t>y</w:t>
            </w:r>
            <w:r w:rsidR="00D5149F" w:rsidRPr="00D5149F">
              <w:rPr>
                <w:rFonts w:ascii="Times New Roman" w:hAnsi="Times New Roman"/>
                <w:color w:val="000000"/>
              </w:rPr>
              <w:t xml:space="preserve"> do przedstawienia informacji i</w:t>
            </w:r>
            <w:r w:rsidR="00D5149F">
              <w:rPr>
                <w:rFonts w:ascii="Times New Roman" w:hAnsi="Times New Roman"/>
                <w:color w:val="000000"/>
              </w:rPr>
              <w:t> </w:t>
            </w:r>
            <w:r w:rsidR="00D5149F" w:rsidRPr="00D5149F">
              <w:rPr>
                <w:rFonts w:ascii="Times New Roman" w:hAnsi="Times New Roman"/>
                <w:color w:val="000000"/>
              </w:rPr>
              <w:t xml:space="preserve">dokumentów, które zdaniem właściwego organu </w:t>
            </w:r>
            <w:r w:rsidR="00D5149F">
              <w:rPr>
                <w:rFonts w:ascii="Times New Roman" w:hAnsi="Times New Roman"/>
                <w:color w:val="000000"/>
              </w:rPr>
              <w:t xml:space="preserve">nadzoru (KNF) </w:t>
            </w:r>
            <w:r w:rsidR="00D5149F" w:rsidRPr="00D5149F">
              <w:rPr>
                <w:rFonts w:ascii="Times New Roman" w:hAnsi="Times New Roman"/>
                <w:color w:val="000000"/>
              </w:rPr>
              <w:t>mogą być istotne dla wykonywania spoczywających na nim obowiązków</w:t>
            </w:r>
            <w:r w:rsidR="00D5149F">
              <w:rPr>
                <w:rFonts w:ascii="Times New Roman" w:hAnsi="Times New Roman"/>
                <w:color w:val="000000"/>
              </w:rPr>
              <w:t xml:space="preserve"> (m</w:t>
            </w:r>
            <w:r w:rsidR="00173CB6">
              <w:rPr>
                <w:rFonts w:ascii="Times New Roman" w:hAnsi="Times New Roman"/>
                <w:color w:val="000000"/>
              </w:rPr>
              <w:t>.</w:t>
            </w:r>
            <w:r w:rsidR="00D5149F">
              <w:rPr>
                <w:rFonts w:ascii="Times New Roman" w:hAnsi="Times New Roman"/>
                <w:color w:val="000000"/>
              </w:rPr>
              <w:t xml:space="preserve">in. </w:t>
            </w:r>
            <w:r w:rsidR="00D5149F" w:rsidRPr="00D5149F">
              <w:rPr>
                <w:rFonts w:ascii="Times New Roman" w:hAnsi="Times New Roman"/>
                <w:color w:val="000000"/>
              </w:rPr>
              <w:t>wszelkich informacji dotyczących ich sytuacji finansowej oraz zdarzeń, które mogą mieć wpływ na działalność związaną z emisją tokenów powiązanych z aktywami i emisją tokenów będących e-pieniądzem</w:t>
            </w:r>
            <w:r w:rsidR="00D5149F">
              <w:rPr>
                <w:rFonts w:ascii="Times New Roman" w:hAnsi="Times New Roman"/>
                <w:color w:val="000000"/>
              </w:rPr>
              <w:t>).</w:t>
            </w:r>
          </w:p>
        </w:tc>
      </w:tr>
      <w:tr w:rsidR="005114C0" w:rsidRPr="008B4FE6" w14:paraId="5E9DB1D4" w14:textId="77777777" w:rsidTr="00D5149F">
        <w:trPr>
          <w:gridAfter w:val="1"/>
          <w:wAfter w:w="7" w:type="dxa"/>
          <w:trHeight w:val="142"/>
        </w:trPr>
        <w:tc>
          <w:tcPr>
            <w:tcW w:w="10937" w:type="dxa"/>
            <w:gridSpan w:val="28"/>
            <w:shd w:val="clear" w:color="auto" w:fill="99CCFF"/>
          </w:tcPr>
          <w:p w14:paraId="1E5C866C" w14:textId="77777777" w:rsidR="005114C0" w:rsidRPr="008B4FE6" w:rsidRDefault="005114C0" w:rsidP="005114C0">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5114C0" w:rsidRPr="008B4FE6" w14:paraId="37A48661" w14:textId="77777777" w:rsidTr="00D5149F">
        <w:trPr>
          <w:gridAfter w:val="1"/>
          <w:wAfter w:w="7" w:type="dxa"/>
          <w:trHeight w:val="142"/>
        </w:trPr>
        <w:tc>
          <w:tcPr>
            <w:tcW w:w="10937" w:type="dxa"/>
            <w:gridSpan w:val="28"/>
            <w:shd w:val="clear" w:color="auto" w:fill="auto"/>
          </w:tcPr>
          <w:p w14:paraId="62BBEEA0" w14:textId="77777777" w:rsidR="005114C0" w:rsidRPr="008B4FE6" w:rsidRDefault="005114C0" w:rsidP="005114C0">
            <w:pPr>
              <w:spacing w:line="240" w:lineRule="auto"/>
              <w:jc w:val="both"/>
              <w:rPr>
                <w:rFonts w:ascii="Times New Roman" w:hAnsi="Times New Roman"/>
                <w:color w:val="000000"/>
              </w:rPr>
            </w:pPr>
          </w:p>
          <w:p w14:paraId="5EBE5D72" w14:textId="77777777" w:rsidR="005114C0" w:rsidRPr="008B4FE6" w:rsidRDefault="005114C0" w:rsidP="005114C0">
            <w:pPr>
              <w:spacing w:line="240" w:lineRule="auto"/>
              <w:jc w:val="both"/>
              <w:rPr>
                <w:rFonts w:ascii="Times New Roman" w:hAnsi="Times New Roman"/>
                <w:color w:val="000000"/>
              </w:rPr>
            </w:pPr>
            <w:r w:rsidRPr="00F303C5">
              <w:rPr>
                <w:rFonts w:ascii="Times New Roman" w:hAnsi="Times New Roman"/>
                <w:color w:val="000000"/>
              </w:rPr>
              <w:t>Wejście w życie ustawy nie wpłynie na rynek pracy.</w:t>
            </w:r>
          </w:p>
          <w:p w14:paraId="4813B8C7" w14:textId="77777777" w:rsidR="005114C0" w:rsidRPr="008B4FE6" w:rsidRDefault="005114C0" w:rsidP="005114C0">
            <w:pPr>
              <w:spacing w:line="240" w:lineRule="auto"/>
              <w:jc w:val="both"/>
              <w:rPr>
                <w:rFonts w:ascii="Times New Roman" w:hAnsi="Times New Roman"/>
                <w:color w:val="000000"/>
              </w:rPr>
            </w:pPr>
          </w:p>
        </w:tc>
      </w:tr>
      <w:tr w:rsidR="005114C0" w:rsidRPr="008B4FE6" w14:paraId="272BCE4A" w14:textId="77777777" w:rsidTr="00D5149F">
        <w:trPr>
          <w:gridAfter w:val="1"/>
          <w:wAfter w:w="7" w:type="dxa"/>
          <w:trHeight w:val="142"/>
        </w:trPr>
        <w:tc>
          <w:tcPr>
            <w:tcW w:w="10937" w:type="dxa"/>
            <w:gridSpan w:val="28"/>
            <w:shd w:val="clear" w:color="auto" w:fill="99CCFF"/>
          </w:tcPr>
          <w:p w14:paraId="3DC41A25" w14:textId="77777777" w:rsidR="005114C0" w:rsidRPr="008B4FE6" w:rsidRDefault="005114C0" w:rsidP="005114C0">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5114C0" w:rsidRPr="008B4FE6" w14:paraId="1BF807DE" w14:textId="77777777" w:rsidTr="00D5149F">
        <w:trPr>
          <w:gridAfter w:val="1"/>
          <w:wAfter w:w="7" w:type="dxa"/>
          <w:trHeight w:val="1031"/>
        </w:trPr>
        <w:tc>
          <w:tcPr>
            <w:tcW w:w="3547" w:type="dxa"/>
            <w:gridSpan w:val="5"/>
            <w:shd w:val="clear" w:color="auto" w:fill="FFFFFF"/>
          </w:tcPr>
          <w:p w14:paraId="5695C659" w14:textId="77777777" w:rsidR="005114C0" w:rsidRPr="008B4FE6" w:rsidRDefault="005114C0" w:rsidP="005114C0">
            <w:pPr>
              <w:spacing w:line="240" w:lineRule="auto"/>
              <w:rPr>
                <w:rFonts w:ascii="Times New Roman" w:hAnsi="Times New Roman"/>
                <w:color w:val="000000"/>
              </w:rPr>
            </w:pPr>
          </w:p>
          <w:p w14:paraId="4AE71986" w14:textId="77777777" w:rsidR="005114C0" w:rsidRPr="008B4FE6" w:rsidRDefault="006850BB" w:rsidP="005114C0">
            <w:pPr>
              <w:spacing w:line="240" w:lineRule="auto"/>
              <w:rPr>
                <w:rFonts w:ascii="Times New Roman" w:hAnsi="Times New Roman"/>
                <w:color w:val="000000"/>
                <w:spacing w:val="-2"/>
              </w:rPr>
            </w:pPr>
            <w:sdt>
              <w:sdtPr>
                <w:rPr>
                  <w:rFonts w:ascii="Times New Roman" w:hAnsi="Times New Roman"/>
                  <w:color w:val="000000"/>
                </w:rPr>
                <w:id w:val="365952688"/>
                <w14:checkbox>
                  <w14:checked w14:val="0"/>
                  <w14:checkedState w14:val="2612" w14:font="MS Gothic"/>
                  <w14:uncheckedState w14:val="2610" w14:font="MS Gothic"/>
                </w14:checkbox>
              </w:sdtPr>
              <w:sdtEndPr/>
              <w:sdtContent>
                <w:r w:rsidR="005114C0">
                  <w:rPr>
                    <w:rFonts w:ascii="MS Gothic" w:eastAsia="MS Gothic" w:hAnsi="MS Gothic" w:hint="eastAsia"/>
                    <w:color w:val="000000"/>
                  </w:rPr>
                  <w:t>☐</w:t>
                </w:r>
              </w:sdtContent>
            </w:sdt>
            <w:r w:rsidR="005114C0">
              <w:rPr>
                <w:rFonts w:ascii="Times New Roman" w:hAnsi="Times New Roman"/>
                <w:color w:val="000000"/>
              </w:rPr>
              <w:t xml:space="preserve"> </w:t>
            </w:r>
            <w:r w:rsidR="005114C0" w:rsidRPr="008B4FE6">
              <w:rPr>
                <w:rFonts w:ascii="Times New Roman" w:hAnsi="Times New Roman"/>
                <w:color w:val="000000"/>
                <w:spacing w:val="-2"/>
              </w:rPr>
              <w:t>środowisko naturalne</w:t>
            </w:r>
          </w:p>
          <w:p w14:paraId="1ECB17AD" w14:textId="77777777" w:rsidR="005114C0" w:rsidRDefault="006850BB" w:rsidP="005114C0">
            <w:pPr>
              <w:spacing w:line="240" w:lineRule="auto"/>
              <w:rPr>
                <w:rFonts w:ascii="Times New Roman" w:hAnsi="Times New Roman"/>
                <w:color w:val="000000"/>
              </w:rPr>
            </w:pPr>
            <w:sdt>
              <w:sdtPr>
                <w:rPr>
                  <w:rFonts w:ascii="Times New Roman" w:hAnsi="Times New Roman"/>
                  <w:color w:val="000000"/>
                </w:rPr>
                <w:id w:val="-1888785328"/>
                <w14:checkbox>
                  <w14:checked w14:val="0"/>
                  <w14:checkedState w14:val="2612" w14:font="MS Gothic"/>
                  <w14:uncheckedState w14:val="2610" w14:font="MS Gothic"/>
                </w14:checkbox>
              </w:sdtPr>
              <w:sdtEndPr/>
              <w:sdtContent>
                <w:r w:rsidR="005114C0">
                  <w:rPr>
                    <w:rFonts w:ascii="MS Gothic" w:eastAsia="MS Gothic" w:hAnsi="MS Gothic" w:hint="eastAsia"/>
                    <w:color w:val="000000"/>
                  </w:rPr>
                  <w:t>☐</w:t>
                </w:r>
              </w:sdtContent>
            </w:sdt>
            <w:r w:rsidR="005114C0">
              <w:rPr>
                <w:rFonts w:ascii="Times New Roman" w:hAnsi="Times New Roman"/>
                <w:color w:val="000000"/>
              </w:rPr>
              <w:t xml:space="preserve"> </w:t>
            </w:r>
            <w:r w:rsidR="005114C0" w:rsidRPr="008B4FE6">
              <w:rPr>
                <w:rFonts w:ascii="Times New Roman" w:hAnsi="Times New Roman"/>
                <w:color w:val="000000"/>
              </w:rPr>
              <w:t>sytuacja i rozwój regionalny</w:t>
            </w:r>
          </w:p>
          <w:p w14:paraId="70581432" w14:textId="5B7EDCFA" w:rsidR="005114C0" w:rsidRPr="008B4FE6" w:rsidRDefault="006850BB" w:rsidP="005114C0">
            <w:pPr>
              <w:spacing w:line="240" w:lineRule="auto"/>
              <w:rPr>
                <w:rFonts w:ascii="Times New Roman" w:hAnsi="Times New Roman"/>
                <w:color w:val="000000"/>
                <w:spacing w:val="-2"/>
              </w:rPr>
            </w:pPr>
            <w:sdt>
              <w:sdtPr>
                <w:rPr>
                  <w:rFonts w:ascii="Times New Roman" w:hAnsi="Times New Roman"/>
                  <w:color w:val="000000"/>
                  <w:spacing w:val="-2"/>
                </w:rPr>
                <w:id w:val="1681157842"/>
                <w14:checkbox>
                  <w14:checked w14:val="0"/>
                  <w14:checkedState w14:val="2612" w14:font="MS Gothic"/>
                  <w14:uncheckedState w14:val="2610" w14:font="MS Gothic"/>
                </w14:checkbox>
              </w:sdtPr>
              <w:sdtEndPr/>
              <w:sdtContent>
                <w:r w:rsidR="00EF5735">
                  <w:rPr>
                    <w:rFonts w:ascii="MS Gothic" w:eastAsia="MS Gothic" w:hAnsi="MS Gothic" w:hint="eastAsia"/>
                    <w:color w:val="000000"/>
                    <w:spacing w:val="-2"/>
                  </w:rPr>
                  <w:t>☐</w:t>
                </w:r>
              </w:sdtContent>
            </w:sdt>
            <w:r w:rsidR="00EF5735">
              <w:rPr>
                <w:rFonts w:ascii="Times New Roman" w:hAnsi="Times New Roman"/>
                <w:color w:val="000000"/>
                <w:spacing w:val="-2"/>
              </w:rPr>
              <w:t xml:space="preserve"> </w:t>
            </w:r>
            <w:r w:rsidR="00F54A02" w:rsidRPr="00D93C2B">
              <w:rPr>
                <w:rFonts w:ascii="Times New Roman" w:hAnsi="Times New Roman"/>
                <w:spacing w:val="-2"/>
              </w:rPr>
              <w:t>sądy powszechne, administracyjne lub wojskowe</w:t>
            </w:r>
          </w:p>
        </w:tc>
        <w:tc>
          <w:tcPr>
            <w:tcW w:w="3687" w:type="dxa"/>
            <w:gridSpan w:val="14"/>
            <w:shd w:val="clear" w:color="auto" w:fill="FFFFFF"/>
          </w:tcPr>
          <w:p w14:paraId="7E0BC5E2" w14:textId="77777777" w:rsidR="005114C0" w:rsidRPr="008B4FE6" w:rsidRDefault="005114C0" w:rsidP="005114C0">
            <w:pPr>
              <w:spacing w:line="240" w:lineRule="auto"/>
              <w:rPr>
                <w:rFonts w:ascii="Times New Roman" w:hAnsi="Times New Roman"/>
                <w:color w:val="000000"/>
              </w:rPr>
            </w:pPr>
          </w:p>
          <w:p w14:paraId="24B37BE5" w14:textId="77777777" w:rsidR="005114C0" w:rsidRPr="008B4FE6" w:rsidRDefault="006850BB" w:rsidP="005114C0">
            <w:pPr>
              <w:spacing w:line="240" w:lineRule="auto"/>
              <w:rPr>
                <w:rFonts w:ascii="Times New Roman" w:hAnsi="Times New Roman"/>
                <w:color w:val="000000"/>
                <w:spacing w:val="-2"/>
              </w:rPr>
            </w:pPr>
            <w:sdt>
              <w:sdtPr>
                <w:rPr>
                  <w:rFonts w:ascii="Times New Roman" w:hAnsi="Times New Roman"/>
                  <w:color w:val="000000"/>
                  <w:spacing w:val="-2"/>
                </w:rPr>
                <w:id w:val="-1170861332"/>
                <w14:checkbox>
                  <w14:checked w14:val="0"/>
                  <w14:checkedState w14:val="2612" w14:font="MS Gothic"/>
                  <w14:uncheckedState w14:val="2610" w14:font="MS Gothic"/>
                </w14:checkbox>
              </w:sdtPr>
              <w:sdtEndPr/>
              <w:sdtContent>
                <w:r w:rsidR="005114C0">
                  <w:rPr>
                    <w:rFonts w:ascii="MS Gothic" w:eastAsia="MS Gothic" w:hAnsi="MS Gothic" w:hint="eastAsia"/>
                    <w:color w:val="000000"/>
                    <w:spacing w:val="-2"/>
                  </w:rPr>
                  <w:t>☐</w:t>
                </w:r>
              </w:sdtContent>
            </w:sdt>
            <w:r w:rsidR="005114C0">
              <w:rPr>
                <w:rFonts w:ascii="Times New Roman" w:hAnsi="Times New Roman"/>
                <w:color w:val="000000"/>
                <w:spacing w:val="-2"/>
              </w:rPr>
              <w:t xml:space="preserve"> </w:t>
            </w:r>
            <w:r w:rsidR="005114C0" w:rsidRPr="008B4FE6">
              <w:rPr>
                <w:rFonts w:ascii="Times New Roman" w:hAnsi="Times New Roman"/>
                <w:color w:val="000000"/>
                <w:spacing w:val="-2"/>
              </w:rPr>
              <w:t>demografia</w:t>
            </w:r>
          </w:p>
          <w:p w14:paraId="23982CB2" w14:textId="77777777" w:rsidR="005114C0" w:rsidRDefault="006850BB" w:rsidP="005114C0">
            <w:pPr>
              <w:spacing w:line="240" w:lineRule="auto"/>
              <w:rPr>
                <w:rFonts w:ascii="Times New Roman" w:hAnsi="Times New Roman"/>
                <w:color w:val="000000"/>
              </w:rPr>
            </w:pPr>
            <w:sdt>
              <w:sdtPr>
                <w:rPr>
                  <w:rFonts w:ascii="Times New Roman" w:hAnsi="Times New Roman"/>
                  <w:color w:val="000000"/>
                </w:rPr>
                <w:id w:val="1090503991"/>
                <w14:checkbox>
                  <w14:checked w14:val="0"/>
                  <w14:checkedState w14:val="2612" w14:font="MS Gothic"/>
                  <w14:uncheckedState w14:val="2610" w14:font="MS Gothic"/>
                </w14:checkbox>
              </w:sdtPr>
              <w:sdtEndPr/>
              <w:sdtContent>
                <w:r w:rsidR="005114C0">
                  <w:rPr>
                    <w:rFonts w:ascii="MS Gothic" w:eastAsia="MS Gothic" w:hAnsi="MS Gothic" w:hint="eastAsia"/>
                    <w:color w:val="000000"/>
                  </w:rPr>
                  <w:t>☐</w:t>
                </w:r>
              </w:sdtContent>
            </w:sdt>
            <w:r w:rsidR="005114C0">
              <w:rPr>
                <w:rFonts w:ascii="Times New Roman" w:hAnsi="Times New Roman"/>
                <w:color w:val="000000"/>
              </w:rPr>
              <w:t xml:space="preserve"> mienie państwowe</w:t>
            </w:r>
          </w:p>
          <w:p w14:paraId="14A4BF5C" w14:textId="11111AEB" w:rsidR="00F54A02" w:rsidRPr="008B4FE6" w:rsidRDefault="006850BB" w:rsidP="005114C0">
            <w:pPr>
              <w:spacing w:line="240" w:lineRule="auto"/>
              <w:rPr>
                <w:rFonts w:ascii="Times New Roman" w:hAnsi="Times New Roman"/>
                <w:color w:val="000000"/>
              </w:rPr>
            </w:pPr>
            <w:sdt>
              <w:sdtPr>
                <w:rPr>
                  <w:rFonts w:ascii="Times New Roman" w:hAnsi="Times New Roman"/>
                  <w:color w:val="000000"/>
                  <w:spacing w:val="-2"/>
                </w:rPr>
                <w:id w:val="-1190145953"/>
                <w14:checkbox>
                  <w14:checked w14:val="0"/>
                  <w14:checkedState w14:val="2612" w14:font="MS Gothic"/>
                  <w14:uncheckedState w14:val="2610" w14:font="MS Gothic"/>
                </w14:checkbox>
              </w:sdtPr>
              <w:sdtEndPr/>
              <w:sdtContent>
                <w:r w:rsidR="00EF5735">
                  <w:rPr>
                    <w:rFonts w:ascii="MS Gothic" w:eastAsia="MS Gothic" w:hAnsi="MS Gothic" w:hint="eastAsia"/>
                    <w:color w:val="000000"/>
                    <w:spacing w:val="-2"/>
                  </w:rPr>
                  <w:t>☐</w:t>
                </w:r>
              </w:sdtContent>
            </w:sdt>
            <w:r w:rsidR="00EF5735">
              <w:rPr>
                <w:rFonts w:ascii="Times New Roman" w:hAnsi="Times New Roman"/>
                <w:color w:val="000000"/>
                <w:spacing w:val="-2"/>
              </w:rPr>
              <w:t xml:space="preserve"> </w:t>
            </w:r>
            <w:r w:rsidR="00F54A02" w:rsidRPr="008B4FE6">
              <w:rPr>
                <w:rFonts w:ascii="Times New Roman" w:hAnsi="Times New Roman"/>
                <w:color w:val="000000"/>
                <w:spacing w:val="-2"/>
              </w:rPr>
              <w:t xml:space="preserve">inne: </w:t>
            </w:r>
            <w:r w:rsidR="00F54A02"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F54A02" w:rsidRPr="008B4FE6">
              <w:rPr>
                <w:rFonts w:ascii="Times New Roman" w:hAnsi="Times New Roman"/>
                <w:color w:val="000000"/>
              </w:rPr>
              <w:instrText xml:space="preserve"> FORMTEXT </w:instrText>
            </w:r>
            <w:r w:rsidR="00F54A02" w:rsidRPr="008B4FE6">
              <w:rPr>
                <w:rFonts w:ascii="Times New Roman" w:hAnsi="Times New Roman"/>
                <w:color w:val="000000"/>
              </w:rPr>
            </w:r>
            <w:r w:rsidR="00F54A02" w:rsidRPr="008B4FE6">
              <w:rPr>
                <w:rFonts w:ascii="Times New Roman" w:hAnsi="Times New Roman"/>
                <w:color w:val="000000"/>
              </w:rPr>
              <w:fldChar w:fldCharType="separate"/>
            </w:r>
            <w:r w:rsidR="00F54A02" w:rsidRPr="008B4FE6">
              <w:rPr>
                <w:rFonts w:ascii="Times New Roman"/>
                <w:noProof/>
                <w:color w:val="000000"/>
              </w:rPr>
              <w:t> </w:t>
            </w:r>
            <w:r w:rsidR="00F54A02" w:rsidRPr="008B4FE6">
              <w:rPr>
                <w:rFonts w:ascii="Times New Roman"/>
                <w:noProof/>
                <w:color w:val="000000"/>
              </w:rPr>
              <w:t> </w:t>
            </w:r>
            <w:r w:rsidR="00F54A02" w:rsidRPr="008B4FE6">
              <w:rPr>
                <w:rFonts w:ascii="Times New Roman"/>
                <w:noProof/>
                <w:color w:val="000000"/>
              </w:rPr>
              <w:t> </w:t>
            </w:r>
            <w:r w:rsidR="00F54A02" w:rsidRPr="008B4FE6">
              <w:rPr>
                <w:rFonts w:ascii="Times New Roman"/>
                <w:noProof/>
                <w:color w:val="000000"/>
              </w:rPr>
              <w:t> </w:t>
            </w:r>
            <w:r w:rsidR="00F54A02" w:rsidRPr="008B4FE6">
              <w:rPr>
                <w:rFonts w:ascii="Times New Roman"/>
                <w:noProof/>
                <w:color w:val="000000"/>
              </w:rPr>
              <w:t> </w:t>
            </w:r>
            <w:r w:rsidR="00F54A02" w:rsidRPr="008B4FE6">
              <w:rPr>
                <w:rFonts w:ascii="Times New Roman" w:hAnsi="Times New Roman"/>
                <w:color w:val="000000"/>
              </w:rPr>
              <w:fldChar w:fldCharType="end"/>
            </w:r>
          </w:p>
        </w:tc>
        <w:tc>
          <w:tcPr>
            <w:tcW w:w="3703" w:type="dxa"/>
            <w:gridSpan w:val="9"/>
            <w:shd w:val="clear" w:color="auto" w:fill="FFFFFF"/>
          </w:tcPr>
          <w:p w14:paraId="0F4DE49F" w14:textId="77777777" w:rsidR="005114C0" w:rsidRPr="008B4FE6" w:rsidRDefault="005114C0" w:rsidP="005114C0">
            <w:pPr>
              <w:spacing w:line="240" w:lineRule="auto"/>
              <w:rPr>
                <w:rFonts w:ascii="Times New Roman" w:hAnsi="Times New Roman"/>
                <w:color w:val="000000"/>
              </w:rPr>
            </w:pPr>
          </w:p>
          <w:p w14:paraId="3A486414" w14:textId="77777777" w:rsidR="005114C0" w:rsidRDefault="006850BB" w:rsidP="005114C0">
            <w:pPr>
              <w:spacing w:line="240" w:lineRule="auto"/>
              <w:rPr>
                <w:rFonts w:ascii="Times New Roman" w:hAnsi="Times New Roman"/>
                <w:color w:val="000000"/>
                <w:spacing w:val="-2"/>
              </w:rPr>
            </w:pPr>
            <w:sdt>
              <w:sdtPr>
                <w:rPr>
                  <w:rFonts w:ascii="Times New Roman" w:hAnsi="Times New Roman"/>
                  <w:color w:val="000000"/>
                  <w:spacing w:val="-2"/>
                </w:rPr>
                <w:id w:val="1485042436"/>
                <w14:checkbox>
                  <w14:checked w14:val="0"/>
                  <w14:checkedState w14:val="2612" w14:font="MS Gothic"/>
                  <w14:uncheckedState w14:val="2610" w14:font="MS Gothic"/>
                </w14:checkbox>
              </w:sdtPr>
              <w:sdtEndPr/>
              <w:sdtContent>
                <w:r w:rsidR="005114C0">
                  <w:rPr>
                    <w:rFonts w:ascii="MS Gothic" w:eastAsia="MS Gothic" w:hAnsi="MS Gothic" w:hint="eastAsia"/>
                    <w:color w:val="000000"/>
                    <w:spacing w:val="-2"/>
                  </w:rPr>
                  <w:t>☐</w:t>
                </w:r>
              </w:sdtContent>
            </w:sdt>
            <w:r w:rsidR="005114C0">
              <w:rPr>
                <w:rFonts w:ascii="Times New Roman" w:hAnsi="Times New Roman"/>
                <w:color w:val="000000"/>
                <w:spacing w:val="-2"/>
              </w:rPr>
              <w:t xml:space="preserve"> </w:t>
            </w:r>
            <w:r w:rsidR="005114C0" w:rsidRPr="008B4FE6">
              <w:rPr>
                <w:rFonts w:ascii="Times New Roman" w:hAnsi="Times New Roman"/>
                <w:color w:val="000000"/>
                <w:spacing w:val="-2"/>
              </w:rPr>
              <w:t>informatyzacja</w:t>
            </w:r>
          </w:p>
          <w:p w14:paraId="06343593" w14:textId="77777777" w:rsidR="005114C0" w:rsidRPr="008B4FE6" w:rsidRDefault="006850BB" w:rsidP="005114C0">
            <w:pPr>
              <w:spacing w:line="240" w:lineRule="auto"/>
              <w:rPr>
                <w:rFonts w:ascii="Times New Roman" w:hAnsi="Times New Roman"/>
                <w:color w:val="000000"/>
              </w:rPr>
            </w:pPr>
            <w:sdt>
              <w:sdtPr>
                <w:rPr>
                  <w:rFonts w:ascii="Times New Roman" w:hAnsi="Times New Roman"/>
                  <w:color w:val="000000"/>
                  <w:spacing w:val="-2"/>
                </w:rPr>
                <w:id w:val="-170105530"/>
                <w14:checkbox>
                  <w14:checked w14:val="0"/>
                  <w14:checkedState w14:val="2612" w14:font="MS Gothic"/>
                  <w14:uncheckedState w14:val="2610" w14:font="MS Gothic"/>
                </w14:checkbox>
              </w:sdtPr>
              <w:sdtEndPr/>
              <w:sdtContent>
                <w:r w:rsidR="005114C0">
                  <w:rPr>
                    <w:rFonts w:ascii="MS Gothic" w:eastAsia="MS Gothic" w:hAnsi="MS Gothic" w:hint="eastAsia"/>
                    <w:color w:val="000000"/>
                    <w:spacing w:val="-2"/>
                  </w:rPr>
                  <w:t>☐</w:t>
                </w:r>
              </w:sdtContent>
            </w:sdt>
            <w:r w:rsidR="005114C0">
              <w:rPr>
                <w:rFonts w:ascii="Times New Roman" w:hAnsi="Times New Roman"/>
                <w:color w:val="000000"/>
                <w:spacing w:val="-2"/>
              </w:rPr>
              <w:t xml:space="preserve"> zdrowie</w:t>
            </w:r>
          </w:p>
        </w:tc>
      </w:tr>
      <w:tr w:rsidR="005114C0" w:rsidRPr="008B4FE6" w14:paraId="788E89EE" w14:textId="77777777" w:rsidTr="00D5149F">
        <w:trPr>
          <w:gridAfter w:val="1"/>
          <w:wAfter w:w="7" w:type="dxa"/>
          <w:trHeight w:val="712"/>
        </w:trPr>
        <w:tc>
          <w:tcPr>
            <w:tcW w:w="2243" w:type="dxa"/>
            <w:gridSpan w:val="2"/>
            <w:shd w:val="clear" w:color="auto" w:fill="FFFFFF"/>
            <w:vAlign w:val="center"/>
          </w:tcPr>
          <w:p w14:paraId="1552A3B9" w14:textId="77777777" w:rsidR="005114C0" w:rsidRPr="008B4FE6" w:rsidRDefault="005114C0" w:rsidP="005114C0">
            <w:pPr>
              <w:spacing w:line="240" w:lineRule="auto"/>
              <w:rPr>
                <w:rFonts w:ascii="Times New Roman" w:hAnsi="Times New Roman"/>
                <w:color w:val="000000"/>
              </w:rPr>
            </w:pPr>
            <w:r w:rsidRPr="008B4FE6">
              <w:rPr>
                <w:rFonts w:ascii="Times New Roman" w:hAnsi="Times New Roman"/>
                <w:color w:val="000000"/>
              </w:rPr>
              <w:lastRenderedPageBreak/>
              <w:t>Omówienie wpływu</w:t>
            </w:r>
          </w:p>
        </w:tc>
        <w:tc>
          <w:tcPr>
            <w:tcW w:w="8694" w:type="dxa"/>
            <w:gridSpan w:val="26"/>
            <w:shd w:val="clear" w:color="auto" w:fill="FFFFFF"/>
            <w:vAlign w:val="center"/>
          </w:tcPr>
          <w:p w14:paraId="1E5F9C0B" w14:textId="77777777" w:rsidR="005114C0" w:rsidRPr="008B4FE6" w:rsidRDefault="005114C0" w:rsidP="005114C0">
            <w:pPr>
              <w:spacing w:line="240" w:lineRule="auto"/>
              <w:jc w:val="both"/>
              <w:rPr>
                <w:rFonts w:ascii="Times New Roman" w:hAnsi="Times New Roman"/>
                <w:color w:val="000000"/>
                <w:spacing w:val="-2"/>
              </w:rPr>
            </w:pPr>
          </w:p>
          <w:p w14:paraId="54F20F70" w14:textId="77777777" w:rsidR="005114C0" w:rsidRPr="008B4FE6" w:rsidRDefault="005114C0" w:rsidP="005114C0">
            <w:pPr>
              <w:spacing w:line="240" w:lineRule="auto"/>
              <w:jc w:val="both"/>
              <w:rPr>
                <w:rFonts w:ascii="Times New Roman" w:hAnsi="Times New Roman"/>
                <w:color w:val="000000"/>
                <w:spacing w:val="-2"/>
              </w:rPr>
            </w:pPr>
            <w:r w:rsidRPr="00691C6F">
              <w:rPr>
                <w:rFonts w:ascii="Times New Roman" w:hAnsi="Times New Roman"/>
                <w:color w:val="000000"/>
                <w:spacing w:val="-2"/>
              </w:rPr>
              <w:t>Wejście w życie ustawy nie będzie miało wpływu na pozostałe obszary, o których mowa w pkt 10.</w:t>
            </w:r>
          </w:p>
          <w:p w14:paraId="6547136D" w14:textId="77777777" w:rsidR="005114C0" w:rsidRPr="008B4FE6" w:rsidRDefault="005114C0" w:rsidP="005114C0">
            <w:pPr>
              <w:spacing w:line="240" w:lineRule="auto"/>
              <w:jc w:val="both"/>
              <w:rPr>
                <w:rFonts w:ascii="Times New Roman" w:hAnsi="Times New Roman"/>
                <w:color w:val="000000"/>
                <w:spacing w:val="-2"/>
              </w:rPr>
            </w:pPr>
          </w:p>
          <w:p w14:paraId="72C13155" w14:textId="77777777" w:rsidR="005114C0" w:rsidRPr="008B4FE6" w:rsidRDefault="005114C0" w:rsidP="005114C0">
            <w:pPr>
              <w:spacing w:line="240" w:lineRule="auto"/>
              <w:jc w:val="both"/>
              <w:rPr>
                <w:rFonts w:ascii="Times New Roman" w:hAnsi="Times New Roman"/>
                <w:color w:val="000000"/>
                <w:spacing w:val="-2"/>
              </w:rPr>
            </w:pPr>
          </w:p>
        </w:tc>
      </w:tr>
      <w:tr w:rsidR="005114C0" w:rsidRPr="008B4FE6" w14:paraId="4BD18487" w14:textId="77777777" w:rsidTr="00D5149F">
        <w:trPr>
          <w:gridAfter w:val="1"/>
          <w:wAfter w:w="7" w:type="dxa"/>
          <w:trHeight w:val="142"/>
        </w:trPr>
        <w:tc>
          <w:tcPr>
            <w:tcW w:w="10937" w:type="dxa"/>
            <w:gridSpan w:val="28"/>
            <w:shd w:val="clear" w:color="auto" w:fill="99CCFF"/>
          </w:tcPr>
          <w:p w14:paraId="0F4E59A3" w14:textId="77777777" w:rsidR="005114C0" w:rsidRPr="00627221" w:rsidRDefault="005114C0" w:rsidP="005114C0">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5114C0" w:rsidRPr="008B4FE6" w14:paraId="13B62E44" w14:textId="77777777" w:rsidTr="00D5149F">
        <w:trPr>
          <w:gridAfter w:val="1"/>
          <w:wAfter w:w="7" w:type="dxa"/>
          <w:trHeight w:val="142"/>
        </w:trPr>
        <w:tc>
          <w:tcPr>
            <w:tcW w:w="10937" w:type="dxa"/>
            <w:gridSpan w:val="28"/>
            <w:shd w:val="clear" w:color="auto" w:fill="FFFFFF"/>
          </w:tcPr>
          <w:p w14:paraId="3FD5FF5E" w14:textId="77777777" w:rsidR="005114C0" w:rsidRPr="00B37C80" w:rsidRDefault="005114C0" w:rsidP="005114C0">
            <w:pPr>
              <w:spacing w:line="240" w:lineRule="auto"/>
              <w:jc w:val="both"/>
              <w:rPr>
                <w:rFonts w:ascii="Times New Roman" w:hAnsi="Times New Roman"/>
                <w:spacing w:val="-2"/>
              </w:rPr>
            </w:pPr>
          </w:p>
          <w:p w14:paraId="0FB28833" w14:textId="7BAFAE1B" w:rsidR="005114C0" w:rsidRPr="00B37C80" w:rsidRDefault="005114C0" w:rsidP="005114C0">
            <w:pPr>
              <w:spacing w:line="240" w:lineRule="auto"/>
              <w:jc w:val="both"/>
              <w:rPr>
                <w:rFonts w:ascii="Times New Roman" w:hAnsi="Times New Roman"/>
                <w:spacing w:val="-2"/>
              </w:rPr>
            </w:pPr>
            <w:r w:rsidRPr="00691C6F">
              <w:rPr>
                <w:rFonts w:ascii="Times New Roman" w:hAnsi="Times New Roman"/>
                <w:spacing w:val="-2"/>
              </w:rPr>
              <w:t>Planowane wykonanie przepisów ustawy nastąpi wraz z jej wejściem w życie</w:t>
            </w:r>
            <w:r w:rsidR="00E36A2B">
              <w:rPr>
                <w:rFonts w:ascii="Times New Roman" w:hAnsi="Times New Roman"/>
                <w:spacing w:val="-2"/>
              </w:rPr>
              <w:t>.</w:t>
            </w:r>
            <w:r w:rsidR="00730F92">
              <w:rPr>
                <w:rFonts w:ascii="Times New Roman" w:hAnsi="Times New Roman"/>
                <w:spacing w:val="-2"/>
              </w:rPr>
              <w:t xml:space="preserve"> </w:t>
            </w:r>
          </w:p>
          <w:p w14:paraId="4F1FD834" w14:textId="77777777" w:rsidR="005114C0" w:rsidRPr="00B37C80" w:rsidRDefault="005114C0" w:rsidP="005114C0">
            <w:pPr>
              <w:spacing w:line="240" w:lineRule="auto"/>
              <w:jc w:val="both"/>
              <w:rPr>
                <w:rFonts w:ascii="Times New Roman" w:hAnsi="Times New Roman"/>
                <w:spacing w:val="-2"/>
              </w:rPr>
            </w:pPr>
          </w:p>
        </w:tc>
      </w:tr>
      <w:tr w:rsidR="005114C0" w:rsidRPr="008B4FE6" w14:paraId="25E8F51D" w14:textId="77777777" w:rsidTr="00D5149F">
        <w:trPr>
          <w:gridAfter w:val="1"/>
          <w:wAfter w:w="7" w:type="dxa"/>
          <w:trHeight w:val="142"/>
        </w:trPr>
        <w:tc>
          <w:tcPr>
            <w:tcW w:w="10937" w:type="dxa"/>
            <w:gridSpan w:val="28"/>
            <w:shd w:val="clear" w:color="auto" w:fill="99CCFF"/>
          </w:tcPr>
          <w:p w14:paraId="4F19A558" w14:textId="77777777" w:rsidR="005114C0" w:rsidRPr="008B4FE6" w:rsidRDefault="005114C0" w:rsidP="005114C0">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5114C0" w:rsidRPr="008B4FE6" w14:paraId="02154A86" w14:textId="77777777" w:rsidTr="00D5149F">
        <w:trPr>
          <w:gridAfter w:val="1"/>
          <w:wAfter w:w="7" w:type="dxa"/>
          <w:trHeight w:val="142"/>
        </w:trPr>
        <w:tc>
          <w:tcPr>
            <w:tcW w:w="10937" w:type="dxa"/>
            <w:gridSpan w:val="28"/>
            <w:shd w:val="clear" w:color="auto" w:fill="FFFFFF"/>
          </w:tcPr>
          <w:p w14:paraId="751032B2" w14:textId="77777777" w:rsidR="005114C0" w:rsidRDefault="005114C0" w:rsidP="005114C0">
            <w:pPr>
              <w:spacing w:line="240" w:lineRule="auto"/>
              <w:jc w:val="both"/>
              <w:rPr>
                <w:rFonts w:ascii="Times New Roman" w:hAnsi="Times New Roman"/>
                <w:color w:val="000000"/>
                <w:spacing w:val="-2"/>
              </w:rPr>
            </w:pPr>
          </w:p>
          <w:p w14:paraId="0975DCB7" w14:textId="77777777" w:rsidR="005114C0" w:rsidRDefault="005114C0" w:rsidP="005114C0">
            <w:pPr>
              <w:spacing w:line="240" w:lineRule="auto"/>
              <w:jc w:val="both"/>
              <w:rPr>
                <w:rFonts w:ascii="Times New Roman" w:hAnsi="Times New Roman"/>
                <w:color w:val="000000"/>
                <w:spacing w:val="-2"/>
              </w:rPr>
            </w:pPr>
            <w:r w:rsidRPr="002E440E">
              <w:rPr>
                <w:rFonts w:ascii="Times New Roman" w:hAnsi="Times New Roman"/>
                <w:color w:val="000000"/>
                <w:spacing w:val="-2"/>
              </w:rPr>
              <w:t>Ewaluacja efektów projektu będzie dokonywana w toku bieżących czynności wykonywanych przez Urząd Komisji Nadzoru Finansowego.</w:t>
            </w:r>
          </w:p>
          <w:p w14:paraId="09A10A50" w14:textId="77777777" w:rsidR="005114C0" w:rsidRPr="00B37C80" w:rsidRDefault="005114C0" w:rsidP="005114C0">
            <w:pPr>
              <w:spacing w:line="240" w:lineRule="auto"/>
              <w:jc w:val="both"/>
              <w:rPr>
                <w:rFonts w:ascii="Times New Roman" w:hAnsi="Times New Roman"/>
                <w:color w:val="000000"/>
                <w:spacing w:val="-2"/>
              </w:rPr>
            </w:pPr>
          </w:p>
        </w:tc>
      </w:tr>
      <w:tr w:rsidR="005114C0" w:rsidRPr="008B4FE6" w14:paraId="6609FAED" w14:textId="77777777" w:rsidTr="00D5149F">
        <w:trPr>
          <w:gridAfter w:val="1"/>
          <w:wAfter w:w="7" w:type="dxa"/>
          <w:trHeight w:val="142"/>
        </w:trPr>
        <w:tc>
          <w:tcPr>
            <w:tcW w:w="10937" w:type="dxa"/>
            <w:gridSpan w:val="28"/>
            <w:shd w:val="clear" w:color="auto" w:fill="99CCFF"/>
          </w:tcPr>
          <w:p w14:paraId="05D8B7A5" w14:textId="77777777" w:rsidR="005114C0" w:rsidRPr="008B4FE6" w:rsidRDefault="005114C0" w:rsidP="005114C0">
            <w:pPr>
              <w:numPr>
                <w:ilvl w:val="0"/>
                <w:numId w:val="3"/>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r w:rsidR="005114C0" w:rsidRPr="008B4FE6" w14:paraId="056BDB06" w14:textId="77777777" w:rsidTr="00D5149F">
        <w:trPr>
          <w:gridAfter w:val="1"/>
          <w:wAfter w:w="7" w:type="dxa"/>
          <w:trHeight w:val="142"/>
        </w:trPr>
        <w:tc>
          <w:tcPr>
            <w:tcW w:w="10937" w:type="dxa"/>
            <w:gridSpan w:val="28"/>
            <w:shd w:val="clear" w:color="auto" w:fill="FFFFFF"/>
          </w:tcPr>
          <w:p w14:paraId="27EC3998" w14:textId="77777777" w:rsidR="005114C0" w:rsidRPr="00B37C80" w:rsidRDefault="005114C0" w:rsidP="005114C0">
            <w:pPr>
              <w:spacing w:line="240" w:lineRule="auto"/>
              <w:jc w:val="both"/>
              <w:rPr>
                <w:rFonts w:ascii="Times New Roman" w:hAnsi="Times New Roman"/>
                <w:i/>
                <w:color w:val="000000"/>
                <w:spacing w:val="-2"/>
                <w:sz w:val="18"/>
                <w:szCs w:val="18"/>
              </w:rPr>
            </w:pPr>
          </w:p>
          <w:p w14:paraId="2C6A4F2A" w14:textId="77777777" w:rsidR="005114C0" w:rsidRPr="00B37C80" w:rsidRDefault="005114C0" w:rsidP="005114C0">
            <w:pPr>
              <w:spacing w:line="240" w:lineRule="auto"/>
              <w:jc w:val="both"/>
              <w:rPr>
                <w:rFonts w:ascii="Times New Roman" w:hAnsi="Times New Roman"/>
                <w:color w:val="000000"/>
                <w:spacing w:val="-2"/>
              </w:rPr>
            </w:pPr>
            <w:r>
              <w:rPr>
                <w:rFonts w:ascii="Times New Roman" w:hAnsi="Times New Roman"/>
                <w:color w:val="000000"/>
                <w:spacing w:val="-2"/>
              </w:rPr>
              <w:t>Brak.</w:t>
            </w:r>
          </w:p>
        </w:tc>
      </w:tr>
    </w:tbl>
    <w:p w14:paraId="15BE23B7" w14:textId="77777777" w:rsidR="006176ED" w:rsidRPr="00522D94" w:rsidRDefault="006176ED" w:rsidP="00846B5A">
      <w:pPr>
        <w:pStyle w:val="Nagwek1"/>
        <w:rPr>
          <w:rFonts w:ascii="Times New Roman" w:hAnsi="Times New Roman"/>
          <w:sz w:val="20"/>
          <w:szCs w:val="20"/>
        </w:rPr>
      </w:pPr>
    </w:p>
    <w:sectPr w:rsidR="006176ED" w:rsidRPr="00522D94"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F4E85" w14:textId="77777777" w:rsidR="00543013" w:rsidRDefault="00543013" w:rsidP="00044739">
      <w:pPr>
        <w:spacing w:line="240" w:lineRule="auto"/>
      </w:pPr>
      <w:r>
        <w:separator/>
      </w:r>
    </w:p>
  </w:endnote>
  <w:endnote w:type="continuationSeparator" w:id="0">
    <w:p w14:paraId="6A2BDB9E" w14:textId="77777777" w:rsidR="00543013" w:rsidRDefault="00543013"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76A7C" w14:textId="77777777" w:rsidR="00543013" w:rsidRDefault="00543013" w:rsidP="00044739">
      <w:pPr>
        <w:spacing w:line="240" w:lineRule="auto"/>
      </w:pPr>
      <w:r>
        <w:separator/>
      </w:r>
    </w:p>
  </w:footnote>
  <w:footnote w:type="continuationSeparator" w:id="0">
    <w:p w14:paraId="7521AADD" w14:textId="77777777" w:rsidR="00543013" w:rsidRDefault="00543013" w:rsidP="000447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3" w15:restartNumberingAfterBreak="0">
    <w:nsid w:val="1A35266F"/>
    <w:multiLevelType w:val="hybridMultilevel"/>
    <w:tmpl w:val="658E5074"/>
    <w:lvl w:ilvl="0" w:tplc="F42848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8"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1"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4"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B0E69B8"/>
    <w:multiLevelType w:val="hybridMultilevel"/>
    <w:tmpl w:val="FE4E934C"/>
    <w:lvl w:ilvl="0" w:tplc="F42848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00146E2"/>
    <w:multiLevelType w:val="hybridMultilevel"/>
    <w:tmpl w:val="EFFE8886"/>
    <w:lvl w:ilvl="0" w:tplc="79DA2E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0"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2" w15:restartNumberingAfterBreak="0">
    <w:nsid w:val="643F0135"/>
    <w:multiLevelType w:val="hybridMultilevel"/>
    <w:tmpl w:val="EBA00BBC"/>
    <w:lvl w:ilvl="0" w:tplc="F42848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BDD5333"/>
    <w:multiLevelType w:val="hybridMultilevel"/>
    <w:tmpl w:val="D59C45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9DF2A0C"/>
    <w:multiLevelType w:val="hybridMultilevel"/>
    <w:tmpl w:val="7514E226"/>
    <w:lvl w:ilvl="0" w:tplc="F42848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0"/>
  </w:num>
  <w:num w:numId="3">
    <w:abstractNumId w:val="9"/>
  </w:num>
  <w:num w:numId="4">
    <w:abstractNumId w:val="20"/>
  </w:num>
  <w:num w:numId="5">
    <w:abstractNumId w:val="1"/>
  </w:num>
  <w:num w:numId="6">
    <w:abstractNumId w:val="8"/>
  </w:num>
  <w:num w:numId="7">
    <w:abstractNumId w:val="12"/>
  </w:num>
  <w:num w:numId="8">
    <w:abstractNumId w:val="5"/>
  </w:num>
  <w:num w:numId="9">
    <w:abstractNumId w:val="14"/>
  </w:num>
  <w:num w:numId="10">
    <w:abstractNumId w:val="11"/>
  </w:num>
  <w:num w:numId="11">
    <w:abstractNumId w:val="13"/>
  </w:num>
  <w:num w:numId="12">
    <w:abstractNumId w:val="2"/>
  </w:num>
  <w:num w:numId="13">
    <w:abstractNumId w:val="10"/>
  </w:num>
  <w:num w:numId="14">
    <w:abstractNumId w:val="21"/>
  </w:num>
  <w:num w:numId="15">
    <w:abstractNumId w:val="15"/>
  </w:num>
  <w:num w:numId="16">
    <w:abstractNumId w:val="19"/>
  </w:num>
  <w:num w:numId="17">
    <w:abstractNumId w:val="6"/>
  </w:num>
  <w:num w:numId="18">
    <w:abstractNumId w:val="24"/>
  </w:num>
  <w:num w:numId="19">
    <w:abstractNumId w:val="26"/>
  </w:num>
  <w:num w:numId="20">
    <w:abstractNumId w:val="17"/>
  </w:num>
  <w:num w:numId="21">
    <w:abstractNumId w:val="7"/>
  </w:num>
  <w:num w:numId="22">
    <w:abstractNumId w:val="23"/>
  </w:num>
  <w:num w:numId="23">
    <w:abstractNumId w:val="18"/>
  </w:num>
  <w:num w:numId="24">
    <w:abstractNumId w:val="3"/>
  </w:num>
  <w:num w:numId="25">
    <w:abstractNumId w:val="16"/>
  </w:num>
  <w:num w:numId="26">
    <w:abstractNumId w:val="2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CB"/>
    <w:rsid w:val="000008E5"/>
    <w:rsid w:val="000015EE"/>
    <w:rsid w:val="000022D5"/>
    <w:rsid w:val="00004C6A"/>
    <w:rsid w:val="00012D11"/>
    <w:rsid w:val="00013EB5"/>
    <w:rsid w:val="000164FB"/>
    <w:rsid w:val="00021933"/>
    <w:rsid w:val="000223F2"/>
    <w:rsid w:val="00023836"/>
    <w:rsid w:val="000356A9"/>
    <w:rsid w:val="00044138"/>
    <w:rsid w:val="00044739"/>
    <w:rsid w:val="00051637"/>
    <w:rsid w:val="00056681"/>
    <w:rsid w:val="00060D52"/>
    <w:rsid w:val="000648A7"/>
    <w:rsid w:val="0006618B"/>
    <w:rsid w:val="000670C0"/>
    <w:rsid w:val="00071B99"/>
    <w:rsid w:val="000756E5"/>
    <w:rsid w:val="0007704E"/>
    <w:rsid w:val="00080EC8"/>
    <w:rsid w:val="00087F0D"/>
    <w:rsid w:val="000944AC"/>
    <w:rsid w:val="00094CB9"/>
    <w:rsid w:val="000956B2"/>
    <w:rsid w:val="000969E7"/>
    <w:rsid w:val="000A23DE"/>
    <w:rsid w:val="000A4020"/>
    <w:rsid w:val="000B54FB"/>
    <w:rsid w:val="000C29B0"/>
    <w:rsid w:val="000C4469"/>
    <w:rsid w:val="000C76FC"/>
    <w:rsid w:val="000D38FC"/>
    <w:rsid w:val="000D4D90"/>
    <w:rsid w:val="000D5B1B"/>
    <w:rsid w:val="000E2586"/>
    <w:rsid w:val="000E2D10"/>
    <w:rsid w:val="000F3204"/>
    <w:rsid w:val="0010548B"/>
    <w:rsid w:val="001072D1"/>
    <w:rsid w:val="00117017"/>
    <w:rsid w:val="00121D31"/>
    <w:rsid w:val="00130E8E"/>
    <w:rsid w:val="0013216E"/>
    <w:rsid w:val="001401B5"/>
    <w:rsid w:val="001422B9"/>
    <w:rsid w:val="0014665F"/>
    <w:rsid w:val="001518CF"/>
    <w:rsid w:val="00153464"/>
    <w:rsid w:val="001541B3"/>
    <w:rsid w:val="00155B15"/>
    <w:rsid w:val="001625BE"/>
    <w:rsid w:val="001643A4"/>
    <w:rsid w:val="001727BB"/>
    <w:rsid w:val="00173CB6"/>
    <w:rsid w:val="00180D25"/>
    <w:rsid w:val="0018318D"/>
    <w:rsid w:val="00184E94"/>
    <w:rsid w:val="0018572C"/>
    <w:rsid w:val="00187E79"/>
    <w:rsid w:val="00187F0D"/>
    <w:rsid w:val="00192CC5"/>
    <w:rsid w:val="001956A7"/>
    <w:rsid w:val="001A118A"/>
    <w:rsid w:val="001A27F4"/>
    <w:rsid w:val="001A2D95"/>
    <w:rsid w:val="001A6EA1"/>
    <w:rsid w:val="001B1979"/>
    <w:rsid w:val="001B3460"/>
    <w:rsid w:val="001B4CA1"/>
    <w:rsid w:val="001B75D8"/>
    <w:rsid w:val="001C1060"/>
    <w:rsid w:val="001C3C63"/>
    <w:rsid w:val="001D20CD"/>
    <w:rsid w:val="001D4732"/>
    <w:rsid w:val="001D6A3C"/>
    <w:rsid w:val="001D6D51"/>
    <w:rsid w:val="001F653A"/>
    <w:rsid w:val="001F6979"/>
    <w:rsid w:val="00202BC6"/>
    <w:rsid w:val="00205141"/>
    <w:rsid w:val="0020516B"/>
    <w:rsid w:val="00210541"/>
    <w:rsid w:val="00213559"/>
    <w:rsid w:val="00213EFD"/>
    <w:rsid w:val="002172F1"/>
    <w:rsid w:val="00223C7B"/>
    <w:rsid w:val="00224AB1"/>
    <w:rsid w:val="0022687A"/>
    <w:rsid w:val="00230728"/>
    <w:rsid w:val="0023389C"/>
    <w:rsid w:val="00234040"/>
    <w:rsid w:val="00235CD2"/>
    <w:rsid w:val="00254DED"/>
    <w:rsid w:val="00255619"/>
    <w:rsid w:val="00255DAD"/>
    <w:rsid w:val="00256108"/>
    <w:rsid w:val="00260F33"/>
    <w:rsid w:val="002613BD"/>
    <w:rsid w:val="002624F1"/>
    <w:rsid w:val="00270C81"/>
    <w:rsid w:val="00271558"/>
    <w:rsid w:val="00274862"/>
    <w:rsid w:val="00282D72"/>
    <w:rsid w:val="00283402"/>
    <w:rsid w:val="00290FD6"/>
    <w:rsid w:val="00294259"/>
    <w:rsid w:val="00297A2C"/>
    <w:rsid w:val="002A2C81"/>
    <w:rsid w:val="002A7C5E"/>
    <w:rsid w:val="002B3D1A"/>
    <w:rsid w:val="002C27D0"/>
    <w:rsid w:val="002C2C9B"/>
    <w:rsid w:val="002D17D6"/>
    <w:rsid w:val="002D18D7"/>
    <w:rsid w:val="002D21CE"/>
    <w:rsid w:val="002E3DA3"/>
    <w:rsid w:val="002E440E"/>
    <w:rsid w:val="002E450F"/>
    <w:rsid w:val="002E6B38"/>
    <w:rsid w:val="002E6D63"/>
    <w:rsid w:val="002E6E2B"/>
    <w:rsid w:val="002F500B"/>
    <w:rsid w:val="00300991"/>
    <w:rsid w:val="00301959"/>
    <w:rsid w:val="00305B8A"/>
    <w:rsid w:val="00310B93"/>
    <w:rsid w:val="003168C0"/>
    <w:rsid w:val="0031772B"/>
    <w:rsid w:val="00331BF9"/>
    <w:rsid w:val="0033495E"/>
    <w:rsid w:val="00334A79"/>
    <w:rsid w:val="00334D8D"/>
    <w:rsid w:val="00337345"/>
    <w:rsid w:val="00337DD2"/>
    <w:rsid w:val="003404D1"/>
    <w:rsid w:val="003443FF"/>
    <w:rsid w:val="00355073"/>
    <w:rsid w:val="00355808"/>
    <w:rsid w:val="00362C7E"/>
    <w:rsid w:val="00363309"/>
    <w:rsid w:val="00363601"/>
    <w:rsid w:val="00371857"/>
    <w:rsid w:val="00376AC9"/>
    <w:rsid w:val="00377119"/>
    <w:rsid w:val="00390F4E"/>
    <w:rsid w:val="00393032"/>
    <w:rsid w:val="00394B69"/>
    <w:rsid w:val="00397078"/>
    <w:rsid w:val="003A1F36"/>
    <w:rsid w:val="003A6953"/>
    <w:rsid w:val="003B6083"/>
    <w:rsid w:val="003C3838"/>
    <w:rsid w:val="003C5847"/>
    <w:rsid w:val="003D0681"/>
    <w:rsid w:val="003D12F6"/>
    <w:rsid w:val="003D1426"/>
    <w:rsid w:val="003E2F4E"/>
    <w:rsid w:val="003E720A"/>
    <w:rsid w:val="00400FA0"/>
    <w:rsid w:val="004038C1"/>
    <w:rsid w:val="00403E6E"/>
    <w:rsid w:val="0041254A"/>
    <w:rsid w:val="00412712"/>
    <w:rsid w:val="004129B4"/>
    <w:rsid w:val="00417EF0"/>
    <w:rsid w:val="00422181"/>
    <w:rsid w:val="004244A8"/>
    <w:rsid w:val="00425F72"/>
    <w:rsid w:val="00426EB3"/>
    <w:rsid w:val="00427736"/>
    <w:rsid w:val="00434879"/>
    <w:rsid w:val="00435E2F"/>
    <w:rsid w:val="004373C3"/>
    <w:rsid w:val="00441787"/>
    <w:rsid w:val="00444F2D"/>
    <w:rsid w:val="00452034"/>
    <w:rsid w:val="00455FA6"/>
    <w:rsid w:val="00456201"/>
    <w:rsid w:val="00466C70"/>
    <w:rsid w:val="004702C9"/>
    <w:rsid w:val="00472E45"/>
    <w:rsid w:val="00473FEA"/>
    <w:rsid w:val="0047579D"/>
    <w:rsid w:val="00483262"/>
    <w:rsid w:val="00483D8B"/>
    <w:rsid w:val="00484107"/>
    <w:rsid w:val="00485CC5"/>
    <w:rsid w:val="0049343F"/>
    <w:rsid w:val="004964FC"/>
    <w:rsid w:val="004A145E"/>
    <w:rsid w:val="004A1F15"/>
    <w:rsid w:val="004A2A81"/>
    <w:rsid w:val="004A7BD7"/>
    <w:rsid w:val="004C15C2"/>
    <w:rsid w:val="004C36D8"/>
    <w:rsid w:val="004C3E38"/>
    <w:rsid w:val="004D1248"/>
    <w:rsid w:val="004D1E3C"/>
    <w:rsid w:val="004D4169"/>
    <w:rsid w:val="004D6E14"/>
    <w:rsid w:val="004F0575"/>
    <w:rsid w:val="004F2F07"/>
    <w:rsid w:val="004F4E17"/>
    <w:rsid w:val="0050082F"/>
    <w:rsid w:val="00500C56"/>
    <w:rsid w:val="005015C9"/>
    <w:rsid w:val="00501713"/>
    <w:rsid w:val="00506568"/>
    <w:rsid w:val="005114C0"/>
    <w:rsid w:val="005135BF"/>
    <w:rsid w:val="0051551B"/>
    <w:rsid w:val="005161B1"/>
    <w:rsid w:val="00520C57"/>
    <w:rsid w:val="00522675"/>
    <w:rsid w:val="00522D94"/>
    <w:rsid w:val="00533D89"/>
    <w:rsid w:val="00536564"/>
    <w:rsid w:val="00543013"/>
    <w:rsid w:val="00544597"/>
    <w:rsid w:val="00544FFE"/>
    <w:rsid w:val="005473F5"/>
    <w:rsid w:val="005477E7"/>
    <w:rsid w:val="00552794"/>
    <w:rsid w:val="005610FC"/>
    <w:rsid w:val="00563199"/>
    <w:rsid w:val="00564874"/>
    <w:rsid w:val="00565B84"/>
    <w:rsid w:val="00567963"/>
    <w:rsid w:val="0057009A"/>
    <w:rsid w:val="00571260"/>
    <w:rsid w:val="0057189C"/>
    <w:rsid w:val="00573FC1"/>
    <w:rsid w:val="005741EE"/>
    <w:rsid w:val="0057668E"/>
    <w:rsid w:val="005858AD"/>
    <w:rsid w:val="00595E83"/>
    <w:rsid w:val="00596530"/>
    <w:rsid w:val="005967F3"/>
    <w:rsid w:val="005A06DF"/>
    <w:rsid w:val="005A5527"/>
    <w:rsid w:val="005A5AE6"/>
    <w:rsid w:val="005B1206"/>
    <w:rsid w:val="005B347A"/>
    <w:rsid w:val="005B37E8"/>
    <w:rsid w:val="005B6808"/>
    <w:rsid w:val="005C0056"/>
    <w:rsid w:val="005D61D6"/>
    <w:rsid w:val="005D705D"/>
    <w:rsid w:val="005E0D13"/>
    <w:rsid w:val="005E5047"/>
    <w:rsid w:val="005E7205"/>
    <w:rsid w:val="005E7371"/>
    <w:rsid w:val="005F116C"/>
    <w:rsid w:val="005F2131"/>
    <w:rsid w:val="00605EF6"/>
    <w:rsid w:val="00606455"/>
    <w:rsid w:val="00614929"/>
    <w:rsid w:val="00616511"/>
    <w:rsid w:val="006176ED"/>
    <w:rsid w:val="006202F3"/>
    <w:rsid w:val="0062097A"/>
    <w:rsid w:val="00621DA6"/>
    <w:rsid w:val="00623CFE"/>
    <w:rsid w:val="00625178"/>
    <w:rsid w:val="00627221"/>
    <w:rsid w:val="00627EE8"/>
    <w:rsid w:val="006316FA"/>
    <w:rsid w:val="0063275A"/>
    <w:rsid w:val="006370D2"/>
    <w:rsid w:val="0064074F"/>
    <w:rsid w:val="00641F55"/>
    <w:rsid w:val="00645777"/>
    <w:rsid w:val="00645E4A"/>
    <w:rsid w:val="00653688"/>
    <w:rsid w:val="0066091B"/>
    <w:rsid w:val="006660E9"/>
    <w:rsid w:val="00667249"/>
    <w:rsid w:val="00667558"/>
    <w:rsid w:val="00671523"/>
    <w:rsid w:val="006754EF"/>
    <w:rsid w:val="00676C8D"/>
    <w:rsid w:val="00676F1F"/>
    <w:rsid w:val="00677381"/>
    <w:rsid w:val="00677414"/>
    <w:rsid w:val="006832CF"/>
    <w:rsid w:val="006850BB"/>
    <w:rsid w:val="0068601E"/>
    <w:rsid w:val="00691C6F"/>
    <w:rsid w:val="0069486B"/>
    <w:rsid w:val="006961F6"/>
    <w:rsid w:val="006A4904"/>
    <w:rsid w:val="006A548F"/>
    <w:rsid w:val="006A701A"/>
    <w:rsid w:val="006B034D"/>
    <w:rsid w:val="006B64DC"/>
    <w:rsid w:val="006B7A91"/>
    <w:rsid w:val="006C60F6"/>
    <w:rsid w:val="006D4704"/>
    <w:rsid w:val="006D6A2D"/>
    <w:rsid w:val="006E1E18"/>
    <w:rsid w:val="006E31CE"/>
    <w:rsid w:val="006E34D3"/>
    <w:rsid w:val="006F1435"/>
    <w:rsid w:val="006F78C4"/>
    <w:rsid w:val="007031A0"/>
    <w:rsid w:val="00705A29"/>
    <w:rsid w:val="00707498"/>
    <w:rsid w:val="00711A65"/>
    <w:rsid w:val="00714133"/>
    <w:rsid w:val="00714DA4"/>
    <w:rsid w:val="007158B2"/>
    <w:rsid w:val="00716081"/>
    <w:rsid w:val="00722B48"/>
    <w:rsid w:val="00724164"/>
    <w:rsid w:val="00725DE7"/>
    <w:rsid w:val="0072636A"/>
    <w:rsid w:val="00726B44"/>
    <w:rsid w:val="00730F92"/>
    <w:rsid w:val="007318DD"/>
    <w:rsid w:val="00733167"/>
    <w:rsid w:val="00740D2C"/>
    <w:rsid w:val="007415D0"/>
    <w:rsid w:val="00744BF9"/>
    <w:rsid w:val="00746ABF"/>
    <w:rsid w:val="00752623"/>
    <w:rsid w:val="007601D7"/>
    <w:rsid w:val="00760F1F"/>
    <w:rsid w:val="0076423E"/>
    <w:rsid w:val="007646CB"/>
    <w:rsid w:val="0076658F"/>
    <w:rsid w:val="0077040A"/>
    <w:rsid w:val="00771614"/>
    <w:rsid w:val="00772D64"/>
    <w:rsid w:val="00785784"/>
    <w:rsid w:val="00792609"/>
    <w:rsid w:val="00792887"/>
    <w:rsid w:val="007943E2"/>
    <w:rsid w:val="00794F2C"/>
    <w:rsid w:val="007A3BC7"/>
    <w:rsid w:val="007A5AC4"/>
    <w:rsid w:val="007A7564"/>
    <w:rsid w:val="007B0FDD"/>
    <w:rsid w:val="007B232F"/>
    <w:rsid w:val="007B4802"/>
    <w:rsid w:val="007B6668"/>
    <w:rsid w:val="007B6B33"/>
    <w:rsid w:val="007C2701"/>
    <w:rsid w:val="007D2192"/>
    <w:rsid w:val="007D2405"/>
    <w:rsid w:val="007F0021"/>
    <w:rsid w:val="007F2F52"/>
    <w:rsid w:val="00801F71"/>
    <w:rsid w:val="00805F28"/>
    <w:rsid w:val="0080749F"/>
    <w:rsid w:val="00811D46"/>
    <w:rsid w:val="008125B0"/>
    <w:rsid w:val="008144CB"/>
    <w:rsid w:val="00821717"/>
    <w:rsid w:val="00824210"/>
    <w:rsid w:val="008263C0"/>
    <w:rsid w:val="0083567A"/>
    <w:rsid w:val="00841422"/>
    <w:rsid w:val="00841D3B"/>
    <w:rsid w:val="0084314C"/>
    <w:rsid w:val="00843171"/>
    <w:rsid w:val="00846B5A"/>
    <w:rsid w:val="0085524C"/>
    <w:rsid w:val="00856799"/>
    <w:rsid w:val="008575C3"/>
    <w:rsid w:val="00863D28"/>
    <w:rsid w:val="008648C3"/>
    <w:rsid w:val="008667ED"/>
    <w:rsid w:val="00866BF3"/>
    <w:rsid w:val="008718FF"/>
    <w:rsid w:val="00876D4F"/>
    <w:rsid w:val="00880F26"/>
    <w:rsid w:val="0088177A"/>
    <w:rsid w:val="00892EF7"/>
    <w:rsid w:val="00896C2E"/>
    <w:rsid w:val="008A5095"/>
    <w:rsid w:val="008A608F"/>
    <w:rsid w:val="008B1A9A"/>
    <w:rsid w:val="008B4C26"/>
    <w:rsid w:val="008B4FE6"/>
    <w:rsid w:val="008B6C37"/>
    <w:rsid w:val="008E18F7"/>
    <w:rsid w:val="008E1E10"/>
    <w:rsid w:val="008E291B"/>
    <w:rsid w:val="008E4F2F"/>
    <w:rsid w:val="008E74B0"/>
    <w:rsid w:val="009008A8"/>
    <w:rsid w:val="009063B0"/>
    <w:rsid w:val="00907106"/>
    <w:rsid w:val="009107FD"/>
    <w:rsid w:val="0091137C"/>
    <w:rsid w:val="00911567"/>
    <w:rsid w:val="00917AAE"/>
    <w:rsid w:val="009251A9"/>
    <w:rsid w:val="0092643B"/>
    <w:rsid w:val="00930699"/>
    <w:rsid w:val="00931F69"/>
    <w:rsid w:val="00934123"/>
    <w:rsid w:val="00936A8D"/>
    <w:rsid w:val="00955774"/>
    <w:rsid w:val="009560B5"/>
    <w:rsid w:val="0095762E"/>
    <w:rsid w:val="009703D6"/>
    <w:rsid w:val="0097181B"/>
    <w:rsid w:val="00976DC5"/>
    <w:rsid w:val="009818C7"/>
    <w:rsid w:val="00981DFA"/>
    <w:rsid w:val="00982DD4"/>
    <w:rsid w:val="009841E5"/>
    <w:rsid w:val="0098479F"/>
    <w:rsid w:val="00984A8A"/>
    <w:rsid w:val="009857B6"/>
    <w:rsid w:val="00985A8D"/>
    <w:rsid w:val="00986610"/>
    <w:rsid w:val="009877DC"/>
    <w:rsid w:val="00991F96"/>
    <w:rsid w:val="00996F0A"/>
    <w:rsid w:val="009A0658"/>
    <w:rsid w:val="009A06CA"/>
    <w:rsid w:val="009A1D86"/>
    <w:rsid w:val="009B049C"/>
    <w:rsid w:val="009B11C8"/>
    <w:rsid w:val="009B2BCF"/>
    <w:rsid w:val="009B2FF8"/>
    <w:rsid w:val="009B37B9"/>
    <w:rsid w:val="009B4F66"/>
    <w:rsid w:val="009B5BA3"/>
    <w:rsid w:val="009B764C"/>
    <w:rsid w:val="009D0027"/>
    <w:rsid w:val="009D0655"/>
    <w:rsid w:val="009D2A6C"/>
    <w:rsid w:val="009E1CE8"/>
    <w:rsid w:val="009E1E98"/>
    <w:rsid w:val="009E3ABE"/>
    <w:rsid w:val="009E3C4B"/>
    <w:rsid w:val="009F0637"/>
    <w:rsid w:val="009F62A6"/>
    <w:rsid w:val="009F674F"/>
    <w:rsid w:val="009F799E"/>
    <w:rsid w:val="00A02020"/>
    <w:rsid w:val="00A056CB"/>
    <w:rsid w:val="00A07A29"/>
    <w:rsid w:val="00A10FF1"/>
    <w:rsid w:val="00A1506B"/>
    <w:rsid w:val="00A17CB2"/>
    <w:rsid w:val="00A23191"/>
    <w:rsid w:val="00A319C0"/>
    <w:rsid w:val="00A328C5"/>
    <w:rsid w:val="00A33560"/>
    <w:rsid w:val="00A356E2"/>
    <w:rsid w:val="00A364E4"/>
    <w:rsid w:val="00A371A5"/>
    <w:rsid w:val="00A45CA1"/>
    <w:rsid w:val="00A47BDF"/>
    <w:rsid w:val="00A51CD7"/>
    <w:rsid w:val="00A52ADB"/>
    <w:rsid w:val="00A533E8"/>
    <w:rsid w:val="00A542D9"/>
    <w:rsid w:val="00A56E64"/>
    <w:rsid w:val="00A624C3"/>
    <w:rsid w:val="00A6610C"/>
    <w:rsid w:val="00A6641C"/>
    <w:rsid w:val="00A71141"/>
    <w:rsid w:val="00A7139D"/>
    <w:rsid w:val="00A767D2"/>
    <w:rsid w:val="00A77616"/>
    <w:rsid w:val="00A805DA"/>
    <w:rsid w:val="00A811B4"/>
    <w:rsid w:val="00A85A0E"/>
    <w:rsid w:val="00A86FEB"/>
    <w:rsid w:val="00A87CDE"/>
    <w:rsid w:val="00A92BAF"/>
    <w:rsid w:val="00A94737"/>
    <w:rsid w:val="00A94BA3"/>
    <w:rsid w:val="00A96CBA"/>
    <w:rsid w:val="00AB1ACD"/>
    <w:rsid w:val="00AB277F"/>
    <w:rsid w:val="00AB4099"/>
    <w:rsid w:val="00AB449A"/>
    <w:rsid w:val="00AD14F9"/>
    <w:rsid w:val="00AD35D6"/>
    <w:rsid w:val="00AD58C5"/>
    <w:rsid w:val="00AE1506"/>
    <w:rsid w:val="00AE36C4"/>
    <w:rsid w:val="00AE472C"/>
    <w:rsid w:val="00AE5375"/>
    <w:rsid w:val="00AE6CF8"/>
    <w:rsid w:val="00AF4CAC"/>
    <w:rsid w:val="00B03E0D"/>
    <w:rsid w:val="00B045A5"/>
    <w:rsid w:val="00B054F8"/>
    <w:rsid w:val="00B2219A"/>
    <w:rsid w:val="00B24FBB"/>
    <w:rsid w:val="00B3581B"/>
    <w:rsid w:val="00B36B81"/>
    <w:rsid w:val="00B36FEE"/>
    <w:rsid w:val="00B37C80"/>
    <w:rsid w:val="00B40948"/>
    <w:rsid w:val="00B5092B"/>
    <w:rsid w:val="00B50B9E"/>
    <w:rsid w:val="00B5194E"/>
    <w:rsid w:val="00B51AF5"/>
    <w:rsid w:val="00B531FC"/>
    <w:rsid w:val="00B55347"/>
    <w:rsid w:val="00B57E5E"/>
    <w:rsid w:val="00B61F37"/>
    <w:rsid w:val="00B7770F"/>
    <w:rsid w:val="00B77A89"/>
    <w:rsid w:val="00B77B27"/>
    <w:rsid w:val="00B8134E"/>
    <w:rsid w:val="00B81B55"/>
    <w:rsid w:val="00B84613"/>
    <w:rsid w:val="00B8469B"/>
    <w:rsid w:val="00B87AF0"/>
    <w:rsid w:val="00B9037B"/>
    <w:rsid w:val="00B910BD"/>
    <w:rsid w:val="00B91463"/>
    <w:rsid w:val="00B9189C"/>
    <w:rsid w:val="00B918A4"/>
    <w:rsid w:val="00B93834"/>
    <w:rsid w:val="00B96469"/>
    <w:rsid w:val="00BA0DA2"/>
    <w:rsid w:val="00BA2981"/>
    <w:rsid w:val="00BA2BB7"/>
    <w:rsid w:val="00BA42EE"/>
    <w:rsid w:val="00BA48F9"/>
    <w:rsid w:val="00BB0DCA"/>
    <w:rsid w:val="00BB2666"/>
    <w:rsid w:val="00BB6B80"/>
    <w:rsid w:val="00BC3773"/>
    <w:rsid w:val="00BC381A"/>
    <w:rsid w:val="00BC4FBD"/>
    <w:rsid w:val="00BD0962"/>
    <w:rsid w:val="00BD1EED"/>
    <w:rsid w:val="00BF0DA2"/>
    <w:rsid w:val="00BF109C"/>
    <w:rsid w:val="00BF34FA"/>
    <w:rsid w:val="00BF5F8D"/>
    <w:rsid w:val="00C004B6"/>
    <w:rsid w:val="00C047A7"/>
    <w:rsid w:val="00C05DE5"/>
    <w:rsid w:val="00C12C37"/>
    <w:rsid w:val="00C155EC"/>
    <w:rsid w:val="00C32C69"/>
    <w:rsid w:val="00C33027"/>
    <w:rsid w:val="00C37667"/>
    <w:rsid w:val="00C40B52"/>
    <w:rsid w:val="00C435DB"/>
    <w:rsid w:val="00C44D73"/>
    <w:rsid w:val="00C504F4"/>
    <w:rsid w:val="00C50B42"/>
    <w:rsid w:val="00C516FF"/>
    <w:rsid w:val="00C52460"/>
    <w:rsid w:val="00C52BFA"/>
    <w:rsid w:val="00C53D1D"/>
    <w:rsid w:val="00C53F26"/>
    <w:rsid w:val="00C540BC"/>
    <w:rsid w:val="00C5499D"/>
    <w:rsid w:val="00C6003C"/>
    <w:rsid w:val="00C63E45"/>
    <w:rsid w:val="00C64F7D"/>
    <w:rsid w:val="00C67309"/>
    <w:rsid w:val="00C72D41"/>
    <w:rsid w:val="00C7614E"/>
    <w:rsid w:val="00C77BF1"/>
    <w:rsid w:val="00C80D60"/>
    <w:rsid w:val="00C82FBD"/>
    <w:rsid w:val="00C85267"/>
    <w:rsid w:val="00C8721B"/>
    <w:rsid w:val="00C918AB"/>
    <w:rsid w:val="00C9372C"/>
    <w:rsid w:val="00C9470E"/>
    <w:rsid w:val="00C95CEB"/>
    <w:rsid w:val="00C975CD"/>
    <w:rsid w:val="00CA1054"/>
    <w:rsid w:val="00CA63EB"/>
    <w:rsid w:val="00CA69F1"/>
    <w:rsid w:val="00CB4D0E"/>
    <w:rsid w:val="00CB57DD"/>
    <w:rsid w:val="00CB6991"/>
    <w:rsid w:val="00CC6194"/>
    <w:rsid w:val="00CC6305"/>
    <w:rsid w:val="00CC78A5"/>
    <w:rsid w:val="00CD0516"/>
    <w:rsid w:val="00CD756B"/>
    <w:rsid w:val="00CE2B8C"/>
    <w:rsid w:val="00CE734F"/>
    <w:rsid w:val="00CF112E"/>
    <w:rsid w:val="00CF5F4F"/>
    <w:rsid w:val="00D16ED9"/>
    <w:rsid w:val="00D218DC"/>
    <w:rsid w:val="00D21CF6"/>
    <w:rsid w:val="00D24E56"/>
    <w:rsid w:val="00D258BE"/>
    <w:rsid w:val="00D31643"/>
    <w:rsid w:val="00D31AEB"/>
    <w:rsid w:val="00D32ECD"/>
    <w:rsid w:val="00D361E4"/>
    <w:rsid w:val="00D42A8F"/>
    <w:rsid w:val="00D439F6"/>
    <w:rsid w:val="00D459C6"/>
    <w:rsid w:val="00D50729"/>
    <w:rsid w:val="00D50C19"/>
    <w:rsid w:val="00D5149F"/>
    <w:rsid w:val="00D5379E"/>
    <w:rsid w:val="00D56E1F"/>
    <w:rsid w:val="00D62643"/>
    <w:rsid w:val="00D64C0F"/>
    <w:rsid w:val="00D6563B"/>
    <w:rsid w:val="00D70BCA"/>
    <w:rsid w:val="00D720BF"/>
    <w:rsid w:val="00D72EFE"/>
    <w:rsid w:val="00D76227"/>
    <w:rsid w:val="00D77DF1"/>
    <w:rsid w:val="00D86AFF"/>
    <w:rsid w:val="00D95A44"/>
    <w:rsid w:val="00D95D16"/>
    <w:rsid w:val="00D97C76"/>
    <w:rsid w:val="00DB02B4"/>
    <w:rsid w:val="00DB538D"/>
    <w:rsid w:val="00DB6519"/>
    <w:rsid w:val="00DC275C"/>
    <w:rsid w:val="00DC4B0D"/>
    <w:rsid w:val="00DC521B"/>
    <w:rsid w:val="00DC7FE1"/>
    <w:rsid w:val="00DD21F2"/>
    <w:rsid w:val="00DD3F3F"/>
    <w:rsid w:val="00DD5572"/>
    <w:rsid w:val="00DE5D80"/>
    <w:rsid w:val="00DE7915"/>
    <w:rsid w:val="00DF58CD"/>
    <w:rsid w:val="00DF65DE"/>
    <w:rsid w:val="00E019A5"/>
    <w:rsid w:val="00E02EC8"/>
    <w:rsid w:val="00E037F5"/>
    <w:rsid w:val="00E04ECB"/>
    <w:rsid w:val="00E05A09"/>
    <w:rsid w:val="00E06CA1"/>
    <w:rsid w:val="00E15262"/>
    <w:rsid w:val="00E172B8"/>
    <w:rsid w:val="00E17FB4"/>
    <w:rsid w:val="00E20B75"/>
    <w:rsid w:val="00E214F2"/>
    <w:rsid w:val="00E2371E"/>
    <w:rsid w:val="00E24BD7"/>
    <w:rsid w:val="00E26523"/>
    <w:rsid w:val="00E26809"/>
    <w:rsid w:val="00E3412D"/>
    <w:rsid w:val="00E36A2B"/>
    <w:rsid w:val="00E57322"/>
    <w:rsid w:val="00E628CB"/>
    <w:rsid w:val="00E62AD9"/>
    <w:rsid w:val="00E638C8"/>
    <w:rsid w:val="00E66DA9"/>
    <w:rsid w:val="00E67900"/>
    <w:rsid w:val="00E67BE2"/>
    <w:rsid w:val="00E7509B"/>
    <w:rsid w:val="00E81BBC"/>
    <w:rsid w:val="00E8622D"/>
    <w:rsid w:val="00E86590"/>
    <w:rsid w:val="00E907FF"/>
    <w:rsid w:val="00E91BE9"/>
    <w:rsid w:val="00EA1D42"/>
    <w:rsid w:val="00EA42D1"/>
    <w:rsid w:val="00EA42EF"/>
    <w:rsid w:val="00EB2DD1"/>
    <w:rsid w:val="00EB6B37"/>
    <w:rsid w:val="00EC29FE"/>
    <w:rsid w:val="00EC3C70"/>
    <w:rsid w:val="00ED1474"/>
    <w:rsid w:val="00ED3A3D"/>
    <w:rsid w:val="00ED538A"/>
    <w:rsid w:val="00ED6FBC"/>
    <w:rsid w:val="00EE2F16"/>
    <w:rsid w:val="00EE3861"/>
    <w:rsid w:val="00EF290C"/>
    <w:rsid w:val="00EF2E73"/>
    <w:rsid w:val="00EF5735"/>
    <w:rsid w:val="00EF7683"/>
    <w:rsid w:val="00EF7A2D"/>
    <w:rsid w:val="00F04F8D"/>
    <w:rsid w:val="00F10AD0"/>
    <w:rsid w:val="00F116CC"/>
    <w:rsid w:val="00F12BD1"/>
    <w:rsid w:val="00F15327"/>
    <w:rsid w:val="00F168CF"/>
    <w:rsid w:val="00F2555C"/>
    <w:rsid w:val="00F303C5"/>
    <w:rsid w:val="00F31DF3"/>
    <w:rsid w:val="00F32BD8"/>
    <w:rsid w:val="00F33AE5"/>
    <w:rsid w:val="00F3597D"/>
    <w:rsid w:val="00F4376D"/>
    <w:rsid w:val="00F45399"/>
    <w:rsid w:val="00F465EA"/>
    <w:rsid w:val="00F54A02"/>
    <w:rsid w:val="00F54E7B"/>
    <w:rsid w:val="00F55A88"/>
    <w:rsid w:val="00F74005"/>
    <w:rsid w:val="00F76884"/>
    <w:rsid w:val="00F83D24"/>
    <w:rsid w:val="00F83DD9"/>
    <w:rsid w:val="00F83F40"/>
    <w:rsid w:val="00FA117A"/>
    <w:rsid w:val="00FA38BF"/>
    <w:rsid w:val="00FB386A"/>
    <w:rsid w:val="00FB43E5"/>
    <w:rsid w:val="00FC0786"/>
    <w:rsid w:val="00FC302B"/>
    <w:rsid w:val="00FC377F"/>
    <w:rsid w:val="00FC49EF"/>
    <w:rsid w:val="00FE36E2"/>
    <w:rsid w:val="00FF11AD"/>
    <w:rsid w:val="00FF2971"/>
    <w:rsid w:val="00FF34D4"/>
    <w:rsid w:val="00FF6A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3F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styleId="Tekstzastpczy">
    <w:name w:val="Placeholder Text"/>
    <w:basedOn w:val="Domylnaczcionkaakapitu"/>
    <w:uiPriority w:val="99"/>
    <w:semiHidden/>
    <w:rsid w:val="00EF290C"/>
    <w:rPr>
      <w:color w:val="808080"/>
    </w:rPr>
  </w:style>
  <w:style w:type="character" w:customStyle="1" w:styleId="Nierozpoznanawzmianka1">
    <w:name w:val="Nierozpoznana wzmianka1"/>
    <w:basedOn w:val="Domylnaczcionkaakapitu"/>
    <w:uiPriority w:val="99"/>
    <w:semiHidden/>
    <w:unhideWhenUsed/>
    <w:rsid w:val="00021933"/>
    <w:rPr>
      <w:color w:val="605E5C"/>
      <w:shd w:val="clear" w:color="auto" w:fill="E1DFDD"/>
    </w:rPr>
  </w:style>
  <w:style w:type="paragraph" w:styleId="Poprawka">
    <w:name w:val="Revision"/>
    <w:hidden/>
    <w:uiPriority w:val="99"/>
    <w:semiHidden/>
    <w:rsid w:val="00C52460"/>
    <w:rPr>
      <w:sz w:val="22"/>
      <w:szCs w:val="22"/>
      <w:lang w:eastAsia="en-US"/>
    </w:rPr>
  </w:style>
  <w:style w:type="character" w:customStyle="1" w:styleId="Nierozpoznanawzmianka2">
    <w:name w:val="Nierozpoznana wzmianka2"/>
    <w:basedOn w:val="Domylnaczcionkaakapitu"/>
    <w:uiPriority w:val="99"/>
    <w:semiHidden/>
    <w:unhideWhenUsed/>
    <w:rsid w:val="00E91BE9"/>
    <w:rPr>
      <w:color w:val="605E5C"/>
      <w:shd w:val="clear" w:color="auto" w:fill="E1DFDD"/>
    </w:rPr>
  </w:style>
  <w:style w:type="character" w:styleId="Nierozpoznanawzmianka">
    <w:name w:val="Unresolved Mention"/>
    <w:basedOn w:val="Domylnaczcionkaakapitu"/>
    <w:uiPriority w:val="99"/>
    <w:semiHidden/>
    <w:unhideWhenUsed/>
    <w:rsid w:val="00173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up.knf.gov.pl/?type=PSD_P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gdalena.tomczyk@mf.gov.p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knf.gov.pl/podmioty/Podmioty_rynku_kapitalowego/Firmy_inwestycyjne_i_Agenci_firm_inwestycyjnych/domy_maklerskie" TargetMode="External"/><Relationship Id="rId4" Type="http://schemas.openxmlformats.org/officeDocument/2006/relationships/webSettings" Target="webSettings.xml"/><Relationship Id="rId9" Type="http://schemas.openxmlformats.org/officeDocument/2006/relationships/hyperlink" Target="https://e-rup.knf.gov.pl/?type=PSD_EPI@MI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Ogólne"/>
          <w:gallery w:val="placeholder"/>
        </w:category>
        <w:types>
          <w:type w:val="bbPlcHdr"/>
        </w:types>
        <w:behaviors>
          <w:behavior w:val="content"/>
        </w:behaviors>
        <w:guid w:val="{79ADC878-6BF1-4BEF-BF44-5BC76C6CD293}"/>
      </w:docPartPr>
      <w:docPartBody>
        <w:p w:rsidR="00F523DD" w:rsidRDefault="00AD66A9">
          <w:r w:rsidRPr="008D2484">
            <w:rPr>
              <w:rStyle w:val="Tekstzastpczy"/>
            </w:rPr>
            <w:t>Kliknij tutaj, aby wprowadzić datę.</w:t>
          </w:r>
        </w:p>
      </w:docPartBody>
    </w:docPart>
    <w:docPart>
      <w:docPartPr>
        <w:name w:val="DefaultPlaceholder_1082065159"/>
        <w:category>
          <w:name w:val="Ogólne"/>
          <w:gallery w:val="placeholder"/>
        </w:category>
        <w:types>
          <w:type w:val="bbPlcHdr"/>
        </w:types>
        <w:behaviors>
          <w:behavior w:val="content"/>
        </w:behaviors>
        <w:guid w:val="{8E1BFA08-CA9F-4AF9-91D6-5D6458516FEB}"/>
      </w:docPartPr>
      <w:docPartBody>
        <w:p w:rsidR="00F523DD" w:rsidRDefault="00AD66A9">
          <w:r w:rsidRPr="008D24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6A9"/>
    <w:rsid w:val="00092E79"/>
    <w:rsid w:val="00131E3A"/>
    <w:rsid w:val="001705B3"/>
    <w:rsid w:val="001A35A7"/>
    <w:rsid w:val="001D0AF1"/>
    <w:rsid w:val="001E7254"/>
    <w:rsid w:val="001F4443"/>
    <w:rsid w:val="002953CA"/>
    <w:rsid w:val="002C61CB"/>
    <w:rsid w:val="003320C4"/>
    <w:rsid w:val="0067391D"/>
    <w:rsid w:val="00692FC1"/>
    <w:rsid w:val="00777FCB"/>
    <w:rsid w:val="008618C2"/>
    <w:rsid w:val="008B50B3"/>
    <w:rsid w:val="008C7981"/>
    <w:rsid w:val="008C7CA2"/>
    <w:rsid w:val="00940765"/>
    <w:rsid w:val="00973228"/>
    <w:rsid w:val="009D4F9C"/>
    <w:rsid w:val="00A64288"/>
    <w:rsid w:val="00AD66A9"/>
    <w:rsid w:val="00C30665"/>
    <w:rsid w:val="00C915FE"/>
    <w:rsid w:val="00D627EC"/>
    <w:rsid w:val="00EA59BF"/>
    <w:rsid w:val="00F523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D66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2942</Words>
  <Characters>20564</Characters>
  <Application>Microsoft Office Word</Application>
  <DocSecurity>4</DocSecurity>
  <Lines>171</Lines>
  <Paragraphs>46</Paragraphs>
  <ScaleCrop>false</ScaleCrop>
  <HeadingPairs>
    <vt:vector size="2" baseType="variant">
      <vt:variant>
        <vt:lpstr>Tytuł</vt:lpstr>
      </vt:variant>
      <vt:variant>
        <vt:i4>1</vt:i4>
      </vt:variant>
    </vt:vector>
  </HeadingPairs>
  <TitlesOfParts>
    <vt:vector size="1" baseType="lpstr">
      <vt:lpstr>Formularz OSR</vt:lpstr>
    </vt:vector>
  </TitlesOfParts>
  <LinksUpToDate>false</LinksUpToDate>
  <CharactersWithSpaces>23460</CharactersWithSpaces>
  <SharedDoc>false</SharedDoc>
  <HLinks>
    <vt:vector size="12" baseType="variant">
      <vt:variant>
        <vt:i4>1638433</vt:i4>
      </vt:variant>
      <vt:variant>
        <vt:i4>103</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100</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OSR</dc:title>
  <dc:creator/>
  <cp:keywords>ocena skutków regulacji</cp:keywords>
  <cp:lastModifiedBy/>
  <cp:revision>1</cp:revision>
  <dcterms:created xsi:type="dcterms:W3CDTF">2024-02-23T13:20:00Z</dcterms:created>
  <dcterms:modified xsi:type="dcterms:W3CDTF">2024-02-23T13:20:00Z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UxC4dwLulzfINJ8nQH+xvX5LNGipWa4BRSZhPgxsCvnbMeSw4nT1picJCTO7o/Kp7sENx1R9vBnazfp1MmHANg==</vt:lpwstr>
  </property>
  <property fmtid="{D5CDD505-2E9C-101B-9397-08002B2CF9AE}" pid="4" name="MFClassificationDate">
    <vt:lpwstr>2023-10-20T09:45:15.8080236+02:00</vt:lpwstr>
  </property>
  <property fmtid="{D5CDD505-2E9C-101B-9397-08002B2CF9AE}" pid="5" name="MFClassifiedBySID">
    <vt:lpwstr>UxC4dwLulzfINJ8nQH+xvX5LNGipWa4BRSZhPgxsCvm42mrIC/DSDv0ggS+FjUN/2v1BBotkLlY5aAiEhoi6uRweO63KbQlxVEx4gix67LGc4gedtZdK7Hz509wWu4qD</vt:lpwstr>
  </property>
  <property fmtid="{D5CDD505-2E9C-101B-9397-08002B2CF9AE}" pid="6" name="MFGRNItemId">
    <vt:lpwstr>GRN-badcce7f-3624-4212-bc4c-9a3c7eaf5f31</vt:lpwstr>
  </property>
  <property fmtid="{D5CDD505-2E9C-101B-9397-08002B2CF9AE}" pid="7" name="MFHash">
    <vt:lpwstr>7Vky9C8Wmjxw3vhaLgyGO1Ax9V2ylpO2FemyRgw/PDE=</vt:lpwstr>
  </property>
  <property fmtid="{D5CDD505-2E9C-101B-9397-08002B2CF9AE}" pid="8" name="DLPManualFileClassification">
    <vt:lpwstr>{5fdfc941-3fcf-4a5b-87be-4848800d39d0}</vt:lpwstr>
  </property>
  <property fmtid="{D5CDD505-2E9C-101B-9397-08002B2CF9AE}" pid="9" name="MFRefresh">
    <vt:lpwstr>False</vt:lpwstr>
  </property>
</Properties>
</file>