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845"/>
        <w:gridCol w:w="691"/>
        <w:gridCol w:w="414"/>
        <w:gridCol w:w="155"/>
        <w:gridCol w:w="187"/>
        <w:gridCol w:w="383"/>
        <w:gridCol w:w="554"/>
        <w:gridCol w:w="16"/>
        <w:gridCol w:w="10"/>
        <w:gridCol w:w="259"/>
        <w:gridCol w:w="300"/>
        <w:gridCol w:w="353"/>
        <w:gridCol w:w="217"/>
        <w:gridCol w:w="570"/>
        <w:gridCol w:w="80"/>
        <w:gridCol w:w="71"/>
        <w:gridCol w:w="135"/>
        <w:gridCol w:w="397"/>
        <w:gridCol w:w="405"/>
        <w:gridCol w:w="51"/>
        <w:gridCol w:w="570"/>
        <w:gridCol w:w="317"/>
        <w:gridCol w:w="253"/>
        <w:gridCol w:w="570"/>
        <w:gridCol w:w="115"/>
        <w:gridCol w:w="1425"/>
        <w:gridCol w:w="10"/>
      </w:tblGrid>
      <w:tr w:rsidR="0052566B" w:rsidRPr="0052566B" w14:paraId="56938702" w14:textId="77777777" w:rsidTr="00785E6F">
        <w:trPr>
          <w:gridAfter w:val="1"/>
          <w:wAfter w:w="10" w:type="dxa"/>
          <w:trHeight w:val="1611"/>
        </w:trPr>
        <w:tc>
          <w:tcPr>
            <w:tcW w:w="6628" w:type="dxa"/>
            <w:gridSpan w:val="16"/>
          </w:tcPr>
          <w:p w14:paraId="3AF86EF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bookmarkStart w:id="1" w:name="_Hlk118107562"/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67C5F3A3" w14:textId="793BE530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Rozporządzenie Ministra Klimatu i Środowiska w sprawie wzoru sprawozdania </w:t>
            </w:r>
            <w:r w:rsidR="005C3081" w:rsidRPr="005C308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energii w małej instalacji</w:t>
            </w:r>
            <w:r w:rsidR="00FA258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oraz sprawozdania</w:t>
            </w:r>
            <w:r w:rsidR="005C3081" w:rsidRPr="005C308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wytwórcy biogazu </w:t>
            </w:r>
            <w:r w:rsidR="0065366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lub</w:t>
            </w:r>
            <w:r w:rsidR="005C3081" w:rsidRPr="005C308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biometanu </w:t>
            </w:r>
          </w:p>
          <w:p w14:paraId="3020A25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6F017DB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after="240"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Klimatu i Środowiska</w:t>
            </w:r>
          </w:p>
          <w:p w14:paraId="2740843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2294DA87" w14:textId="77777777" w:rsidR="00A271DF" w:rsidRPr="002A195A" w:rsidRDefault="00A271DF" w:rsidP="00A271DF">
            <w:pPr>
              <w:widowControl/>
              <w:autoSpaceDE/>
              <w:autoSpaceDN/>
              <w:adjustRightInd/>
              <w:spacing w:after="240"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38253B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Ireneusz Zyska</w:t>
            </w:r>
            <w:r w:rsidRPr="002A195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,</w:t>
            </w:r>
            <w:r w:rsidRPr="0038253B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Sekretarz Stanu</w:t>
            </w:r>
          </w:p>
          <w:p w14:paraId="2113E72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3438DB12" w14:textId="77777777" w:rsidR="00312EED" w:rsidRDefault="00A271DF" w:rsidP="00312EED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Elżbieta Czerwiakowska-Bojko, Radca</w:t>
            </w:r>
          </w:p>
          <w:p w14:paraId="23B35CA9" w14:textId="2EECBA5B" w:rsidR="0085601F" w:rsidRDefault="00312EED" w:rsidP="0085601F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A195A">
              <w:rPr>
                <w:rFonts w:eastAsia="Calibri" w:cs="Times New Roman"/>
                <w:sz w:val="22"/>
                <w:szCs w:val="22"/>
                <w:lang w:eastAsia="en-US"/>
              </w:rPr>
              <w:t>Departament Odnawialnych Źródeł Energ</w:t>
            </w:r>
            <w:r w:rsidR="0085601F">
              <w:rPr>
                <w:rFonts w:eastAsia="Calibri" w:cs="Times New Roman"/>
                <w:sz w:val="22"/>
                <w:szCs w:val="22"/>
                <w:lang w:eastAsia="en-US"/>
              </w:rPr>
              <w:t>ii</w:t>
            </w:r>
          </w:p>
          <w:p w14:paraId="139693C4" w14:textId="581E288D" w:rsidR="0085601F" w:rsidRPr="00B437F1" w:rsidRDefault="00000000" w:rsidP="0085601F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sz w:val="22"/>
                <w:szCs w:val="22"/>
                <w:lang w:eastAsia="en-US"/>
              </w:rPr>
            </w:pPr>
            <w:hyperlink r:id="rId9" w:history="1">
              <w:r w:rsidR="0085601F" w:rsidRPr="0085601F">
                <w:rPr>
                  <w:rStyle w:val="Hipercze"/>
                  <w:rFonts w:eastAsia="Calibri" w:cs="Times New Roman"/>
                  <w:sz w:val="22"/>
                  <w:szCs w:val="22"/>
                  <w:lang w:eastAsia="en-US"/>
                </w:rPr>
                <w:t>elzbieta.czerwiakowska-bojko@klimat.gov.pl</w:t>
              </w:r>
            </w:hyperlink>
          </w:p>
        </w:tc>
        <w:tc>
          <w:tcPr>
            <w:tcW w:w="4309" w:type="dxa"/>
            <w:gridSpan w:val="11"/>
            <w:shd w:val="clear" w:color="auto" w:fill="FFFFFF"/>
          </w:tcPr>
          <w:p w14:paraId="12AF7137" w14:textId="2A7C40E6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sz w:val="22"/>
                <w:szCs w:val="22"/>
                <w:lang w:eastAsia="en-US"/>
              </w:rPr>
              <w:t>Data sporządzenia</w:t>
            </w:r>
            <w:r w:rsidRPr="0052566B">
              <w:rPr>
                <w:rFonts w:eastAsia="Calibri" w:cs="Times New Roman"/>
                <w:b/>
                <w:sz w:val="22"/>
                <w:szCs w:val="22"/>
                <w:lang w:eastAsia="en-US"/>
              </w:rPr>
              <w:br/>
            </w:r>
            <w:sdt>
              <w:sdtPr>
                <w:rPr>
                  <w:rFonts w:eastAsia="Calibri" w:cs="Times New Roman"/>
                  <w:bCs/>
                  <w:sz w:val="22"/>
                  <w:szCs w:val="22"/>
                  <w:lang w:eastAsia="en-US"/>
                </w:rPr>
                <w:id w:val="-345788683"/>
                <w:placeholder>
                  <w:docPart w:val="4F7590F97A1E4C20A088CC0F6F6FE005"/>
                </w:placeholder>
                <w:date w:fullDate="2023-09-1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3C55B0">
                  <w:rPr>
                    <w:rFonts w:eastAsia="Calibri" w:cs="Times New Roman"/>
                    <w:bCs/>
                    <w:sz w:val="22"/>
                    <w:szCs w:val="22"/>
                    <w:lang w:eastAsia="en-US"/>
                  </w:rPr>
                  <w:t>19.09.2023</w:t>
                </w:r>
              </w:sdtContent>
            </w:sdt>
          </w:p>
          <w:p w14:paraId="6F97087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102DCED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eastAsia="Calibri" w:cs="Times New Roman"/>
                <w:sz w:val="22"/>
                <w:szCs w:val="22"/>
                <w:lang w:eastAsia="en-US"/>
              </w:rPr>
              <w:id w:val="-1451614635"/>
              <w:placeholder>
                <w:docPart w:val="DD135F4D494046938C7279F95C97D3E2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Content>
              <w:p w14:paraId="48652516" w14:textId="77777777" w:rsidR="0052566B" w:rsidRPr="0052566B" w:rsidRDefault="009648CC" w:rsidP="0052566B">
                <w:pPr>
                  <w:widowControl/>
                  <w:autoSpaceDE/>
                  <w:autoSpaceDN/>
                  <w:adjustRightInd/>
                  <w:spacing w:line="240" w:lineRule="auto"/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Upoważnienie ustawowe</w:t>
                </w:r>
              </w:p>
            </w:sdtContent>
          </w:sdt>
          <w:p w14:paraId="0CF49637" w14:textId="06DE6F01" w:rsidR="00312EED" w:rsidRPr="00312EED" w:rsidRDefault="00312EED" w:rsidP="00312EE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12EED">
              <w:rPr>
                <w:rFonts w:eastAsia="Calibri" w:cs="Times New Roman"/>
                <w:sz w:val="22"/>
                <w:szCs w:val="22"/>
                <w:lang w:eastAsia="en-US"/>
              </w:rPr>
              <w:t>Art. 9 ust. 2 ustawy z dnia 20 lutego 2015 r. o odnawialnych źródłach energii (</w:t>
            </w:r>
            <w:r w:rsidR="00651B75" w:rsidRPr="00651B7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Dz. U. z 2023 r. poz. 1436, 1597</w:t>
            </w:r>
            <w:r w:rsidR="00FB594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651B75" w:rsidRPr="00651B7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1681</w:t>
            </w:r>
            <w:r w:rsidR="00FB594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i 1762</w:t>
            </w:r>
            <w:r w:rsidR="00C034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).</w:t>
            </w:r>
          </w:p>
          <w:p w14:paraId="744BDAA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D1078D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</w:t>
            </w:r>
          </w:p>
          <w:p w14:paraId="1BF96651" w14:textId="5F78997B" w:rsidR="0052566B" w:rsidRPr="006470A8" w:rsidRDefault="006470A8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6470A8">
              <w:rPr>
                <w:rFonts w:eastAsia="Calibri" w:cs="Times New Roman"/>
                <w:bCs/>
                <w:color w:val="000000"/>
                <w:sz w:val="22"/>
                <w:szCs w:val="22"/>
                <w:lang w:eastAsia="en-US"/>
              </w:rPr>
              <w:t>1113</w:t>
            </w:r>
          </w:p>
          <w:p w14:paraId="49D6F57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2566B" w:rsidRPr="0052566B" w14:paraId="017A68ED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4AF3B1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  <w:t>OCENA SKUTKÓW REGULACJI</w:t>
            </w:r>
          </w:p>
        </w:tc>
      </w:tr>
      <w:tr w:rsidR="0052566B" w:rsidRPr="0052566B" w14:paraId="45B4250E" w14:textId="77777777" w:rsidTr="00674960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0180CE9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52566B" w:rsidRPr="0052566B" w14:paraId="7BE3F89C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672EC82E" w14:textId="46E7CBC8" w:rsidR="00C05F2E" w:rsidRPr="0085601F" w:rsidRDefault="00312EED" w:rsidP="00312EE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77164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 rozporządzenia Ministra Klimatu i Środowiska w sprawie wzoru sprawozdania wytwórcy energii w małej instalacji oraz sprawozdania wytwórcy biogazu lub biometanu został przygotowany w celu wykonania upoważnienia ustawowego z art. 9 ust. 2 ustawy z dnia 20 lutego 2015 r. o odnawialnych źródłach energii</w:t>
            </w:r>
            <w:r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B159E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</w:t>
            </w:r>
            <w:r w:rsidR="00651B75" w:rsidRPr="00651B7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Dz. U. z 2023 r. poz. 1436, 1597</w:t>
            </w:r>
            <w:r w:rsidR="00813B6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651B75" w:rsidRPr="00651B7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1681</w:t>
            </w:r>
            <w:r w:rsidR="00813B6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i 1762</w:t>
            </w:r>
            <w:r w:rsidR="00AB159E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)</w:t>
            </w:r>
            <w:r w:rsidR="00E40B4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77164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dalej: ustawa.</w:t>
            </w:r>
          </w:p>
          <w:p w14:paraId="000299C1" w14:textId="18FF0C8F" w:rsidR="00384F30" w:rsidRDefault="00C06AF0" w:rsidP="00D5558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Ustawa </w:t>
            </w:r>
            <w:r w:rsidR="0014457F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określa zasady i warunki wykonywania działalności gospodarczej w zakresie wytwarzania energii elektrycznej z odnawialnych źródeł energii w małej instalacji</w:t>
            </w:r>
            <w:r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a także </w:t>
            </w:r>
            <w:r w:rsidR="0014457F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działalnoś</w:t>
            </w:r>
            <w:r w:rsid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ci</w:t>
            </w:r>
            <w:r w:rsidR="0014457F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gospodarcz</w:t>
            </w:r>
            <w:r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</w:t>
            </w:r>
            <w:r w:rsid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</w:t>
            </w:r>
            <w:r w:rsidR="0014457F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 zakresie wytwarzania biogazu wytworzonego na potrzeby wytwarzania biometanu </w:t>
            </w:r>
            <w:r w:rsidR="00E2069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</w:t>
            </w:r>
            <w:r w:rsidR="00E20690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4457F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działalnoś</w:t>
            </w:r>
            <w:r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ci</w:t>
            </w:r>
            <w:r w:rsidR="0014457F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gospodarcz</w:t>
            </w:r>
            <w:r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ej</w:t>
            </w:r>
            <w:r w:rsidR="0014457F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 zakresie wytwarzania biometanu z biogazu. </w:t>
            </w:r>
          </w:p>
          <w:p w14:paraId="6D924C17" w14:textId="57959185" w:rsidR="00312EED" w:rsidRDefault="000A3E0B" w:rsidP="00D5558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y</w:t>
            </w:r>
            <w:r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06AF0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prowadzący </w:t>
            </w:r>
            <w:r w:rsidR="00D55585" w:rsidRPr="0085601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działalność gospodarczą w zakresie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wytwarzania</w:t>
            </w:r>
            <w:r w:rsidR="00417D2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energii elektrycznej z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odnawialnych źródeł energii </w:t>
            </w:r>
            <w:r w:rsidR="00417D2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 małej instalacji oraz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biogazu na potrzeby wytwarzania biometanu 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lub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wytwarzani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biometanu z biogazu, </w:t>
            </w:r>
            <w:r w:rsidR="00C06AF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ma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ją</w:t>
            </w:r>
            <w:r w:rsidR="00C06AF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obowiązek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sprawozdawania Prezesowi U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rzędu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egulacji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nergetyki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(dalej</w:t>
            </w:r>
            <w:r w:rsidR="00C06AF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:</w:t>
            </w:r>
            <w:r w:rsid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Prezes URE)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szczegółowych informacji dotyczących</w:t>
            </w:r>
            <w:r w:rsidR="00417D2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odpowiednio </w:t>
            </w:r>
            <w:r w:rsidR="00417D2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ilości wytworzonej energii elektrycznej z małej instalacji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17D2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 sposobach jej wykorzystania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lub</w:t>
            </w:r>
            <w:r w:rsidR="00417D2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ilości i </w:t>
            </w:r>
            <w:r w:rsidR="00C06AF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sposobów </w:t>
            </w:r>
            <w:r w:rsidR="00D55585" w:rsidRPr="00D555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wykorzystania wytworzonego biogazu na potrzeby wytwarzania biometanu lub wytwarzania biometanu</w:t>
            </w:r>
            <w:r w:rsidR="00E2069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9648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 tego powodu u</w:t>
            </w:r>
            <w:r w:rsidR="00C06AF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stawa zawiera delegację </w:t>
            </w:r>
            <w:r w:rsidR="00312EED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dla ministra właściwego do spraw klimatu do wydania rozporządzenia w zakresie określenia wzoru sprawozdania składanego </w:t>
            </w:r>
            <w:r w:rsidR="00C06AF0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Prezesowi </w:t>
            </w:r>
            <w:r w:rsidR="00C06AF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URE </w:t>
            </w:r>
            <w:r w:rsidR="00312EED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przez wytwórcę</w:t>
            </w:r>
            <w:r w:rsidR="00312EE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4" w:name="_Hlk141694487"/>
            <w:r w:rsidR="00312EE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wykonującego działalność gospodarczą w zakresie </w:t>
            </w:r>
            <w:bookmarkEnd w:id="4"/>
            <w:r w:rsidR="00E2069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wytwarzania energii w małej </w:t>
            </w:r>
            <w:r w:rsidR="00312EE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instalacji</w:t>
            </w:r>
            <w:r w:rsidR="00E2069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oraz </w:t>
            </w:r>
            <w:r w:rsidR="00E76E6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wzoru </w:t>
            </w:r>
            <w:r w:rsidR="007C0E5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sprawozdania </w:t>
            </w:r>
            <w:r w:rsidR="00312EE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biogazu i biometanu</w:t>
            </w:r>
            <w:r w:rsidR="00312EED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.</w:t>
            </w:r>
            <w:r w:rsidR="009648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Wzór ten pozwoli na ujednolicenie składanych przez wytwórców sprawozdań, przyspieszy proces wypełniania obowiązku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sprawozdawczego </w:t>
            </w:r>
            <w:r w:rsidR="009648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 pozwoli URE na szybkie i skoordynowane zarządzanie zebranymi informacjami.</w:t>
            </w:r>
          </w:p>
          <w:p w14:paraId="2C6ACB63" w14:textId="7A4E316F" w:rsidR="007C0E59" w:rsidRDefault="00511884" w:rsidP="00D5558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5" w:name="_Hlk141694297"/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Zgodnie z </w:t>
            </w:r>
            <w:r w:rsidR="00E2069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art. </w:t>
            </w:r>
            <w:r w:rsidR="00B23C4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18</w:t>
            </w:r>
            <w:r w:rsidR="00417D2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23C4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ust. 2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ustawy z dnia </w:t>
            </w:r>
            <w:r w:rsidR="00E76E6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7 </w:t>
            </w:r>
            <w:r w:rsidR="00E76E6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sierpnia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2023 r. o zmianie ustawy o odnawialnych źródłach energii oraz niektórych innych ustaw</w:t>
            </w:r>
            <w:r w:rsidR="00E2069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(Dz. U. poz. </w:t>
            </w:r>
            <w:r w:rsidR="00813B6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1762</w:t>
            </w:r>
            <w:r w:rsidR="00E2069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)</w:t>
            </w:r>
            <w:r w:rsidR="000A3E0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</w:t>
            </w:r>
            <w:r w:rsidR="00813B6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</w:t>
            </w:r>
            <w:r w:rsidRPr="0051188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ytwórcy wykonujący działalność gospodarczą w zakresie wytwarzania biogazu lub biometanu,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po raz pierwszy złożą sprawozdania z wykorzystaniem wzorów określonych w projektowanym rozporządzeniu za 1 półrocze 2024 r.</w:t>
            </w:r>
            <w:r w:rsidR="00732FC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38B23AA" w14:textId="0D2964EC" w:rsidR="0052566B" w:rsidRPr="0052566B" w:rsidRDefault="00511884" w:rsidP="00E02B3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 związku z tym, </w:t>
            </w:r>
            <w:r w:rsidR="005346C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że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upoważnienie z art. 9 ust. 2 ustawy ma charakter obligatoryjny</w:t>
            </w:r>
            <w:bookmarkEnd w:id="5"/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nie ma możliwości rozwiązania ww. problemu w sposób inny niż poprzez podjęcie działań legislacyjnych.</w:t>
            </w:r>
            <w:r w:rsidR="009376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566B" w:rsidRPr="0052566B" w14:paraId="7AD78E64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3C5804A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52566B" w:rsidRPr="0052566B" w14:paraId="1691A4F4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5EE7288B" w14:textId="284C2DE5" w:rsidR="004A432B" w:rsidRPr="0052566B" w:rsidRDefault="004A432B" w:rsidP="004A432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Przepisy ustawy nakładają na</w:t>
            </w:r>
            <w:r w:rsidRPr="0052566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ministra właściwego do spraw klimatu</w:t>
            </w:r>
            <w:r w:rsidR="00E7651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i jest to rekomendowane rozwiązanie,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obowiązek określenia, w drodze rozporządzenia, wzoru sprawozda</w:t>
            </w:r>
            <w:r w:rsidR="002D7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nia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o którym mowa w art. 9 ust. 1 pkt 7 oraz wzoru sprawozd</w:t>
            </w:r>
            <w:r w:rsidR="002D7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ania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o który</w:t>
            </w:r>
            <w:r w:rsidR="0014457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mowa w art. 9 ust. 1a pkt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1354D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354D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tej </w:t>
            </w:r>
            <w:r w:rsidR="001354D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ustawy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E4032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Narzędziem interwencji jest określenie wzoru sprawozdania wytwórcy.</w:t>
            </w:r>
          </w:p>
          <w:p w14:paraId="29435146" w14:textId="1FFC78FB" w:rsidR="0052566B" w:rsidRPr="0052566B" w:rsidRDefault="004A432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Efektem rekomendowanego rozwiązania jest kontynuacja wypełnienia obowiązków sprawozdawczych przez wytwórców energii w małej instalacji</w:t>
            </w:r>
            <w:r w:rsidR="000A3E0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 ujednolicony sposób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oraz </w:t>
            </w:r>
            <w:r w:rsidR="00417D2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wprowadzenie </w:t>
            </w:r>
            <w:r w:rsidR="000A3E0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analogicznego, ujednoliconego sposobu realizacji </w:t>
            </w:r>
            <w:r w:rsidR="00417D2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nowego</w:t>
            </w:r>
            <w:r w:rsidR="00907D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obowiązku</w:t>
            </w:r>
            <w:r w:rsidR="00417D2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sprawozdawczości dla 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wytwórców biogazu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lub 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biometanu. Ponadto, sprawna realizacja ww. obowiązków</w:t>
            </w:r>
            <w:r w:rsidR="000A3E0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przez wytwórców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umożliwi Prezesowi URE wykonanie spoczywających na nim </w:t>
            </w:r>
            <w:r w:rsidR="0051188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obowiązków</w:t>
            </w:r>
            <w:r w:rsidR="00511884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wynikających z art. 17 ust. 1 i ust. 3 ustawy – sporządzenie zbiorczego raportu rocznego, przekazanie go ministrowi właściwemu do spraw gospodarki oraz udostępnienie przedmiotowego raportu w Biuletynie Informacji Publicznej U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RE</w:t>
            </w:r>
            <w:r w:rsidR="0014457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52566B" w:rsidRPr="0052566B" w14:paraId="65B0B1C0" w14:textId="77777777" w:rsidTr="00674960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C71D2CB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52566B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566B" w:rsidRPr="0052566B" w14:paraId="71A47FE1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3D085AA" w14:textId="41F1F73D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Nie dotyczy.</w:t>
            </w:r>
            <w:r w:rsidR="00907D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23197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Nie zidentyfikowano podobnych problemów w innych krajach. Z posiadanych informacji wynika, </w:t>
            </w:r>
            <w:r w:rsidR="00907D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że nie obowiązuj</w:t>
            </w:r>
            <w:r w:rsidR="00813B6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</w:t>
            </w:r>
            <w:r w:rsidR="00907D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23197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nich </w:t>
            </w:r>
            <w:r w:rsidR="00907D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podobn</w:t>
            </w:r>
            <w:r w:rsidR="0023197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 sprawozdawczość</w:t>
            </w:r>
            <w:r w:rsidR="00907D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a obowiązek sprawozdawczy jest rozwiązaniem </w:t>
            </w:r>
            <w:r w:rsidR="0023197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unikalnym.</w:t>
            </w:r>
          </w:p>
        </w:tc>
      </w:tr>
      <w:tr w:rsidR="0052566B" w:rsidRPr="0052566B" w14:paraId="55FF0F94" w14:textId="77777777" w:rsidTr="00674960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ECAD29F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52566B" w:rsidRPr="0052566B" w14:paraId="1CBBE8A3" w14:textId="77777777" w:rsidTr="00785E6F">
        <w:trPr>
          <w:gridAfter w:val="1"/>
          <w:wAfter w:w="10" w:type="dxa"/>
          <w:trHeight w:val="142"/>
        </w:trPr>
        <w:tc>
          <w:tcPr>
            <w:tcW w:w="2439" w:type="dxa"/>
            <w:gridSpan w:val="2"/>
            <w:shd w:val="clear" w:color="auto" w:fill="auto"/>
          </w:tcPr>
          <w:p w14:paraId="3505773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2DBC03C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1985" w:type="dxa"/>
            <w:gridSpan w:val="8"/>
            <w:shd w:val="clear" w:color="auto" w:fill="auto"/>
          </w:tcPr>
          <w:p w14:paraId="20EAA27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52566B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64689F8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52566B" w:rsidRPr="0052566B" w14:paraId="40DD48F7" w14:textId="77777777" w:rsidTr="00785E6F">
        <w:trPr>
          <w:gridAfter w:val="1"/>
          <w:wAfter w:w="10" w:type="dxa"/>
          <w:trHeight w:val="142"/>
        </w:trPr>
        <w:tc>
          <w:tcPr>
            <w:tcW w:w="2439" w:type="dxa"/>
            <w:gridSpan w:val="2"/>
            <w:shd w:val="clear" w:color="auto" w:fill="auto"/>
          </w:tcPr>
          <w:p w14:paraId="6FD887B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energii elektrycznej z odnawialnych źródeł energii w małej instalacji</w:t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60DB2A6E" w14:textId="7AA6B506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Od </w:t>
            </w:r>
            <w:r w:rsidR="00813B6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2884</w:t>
            </w:r>
            <w:r w:rsidR="00813B66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do kilkudziesięciu tysięcy </w:t>
            </w:r>
            <w:r w:rsidR="00E76E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(dane 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2023 r.</w:t>
            </w:r>
            <w:r w:rsidR="00E76E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985" w:type="dxa"/>
            <w:gridSpan w:val="8"/>
            <w:shd w:val="clear" w:color="auto" w:fill="auto"/>
          </w:tcPr>
          <w:p w14:paraId="52F7AB95" w14:textId="581B91AE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Szacunki własne</w:t>
            </w:r>
            <w:r w:rsidR="00E76511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na podstawie danych Prezesa URE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027E4302" w14:textId="1A527F55" w:rsidR="0052566B" w:rsidRPr="0052566B" w:rsidRDefault="005C3081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Nieznaczne, </w:t>
            </w:r>
            <w:r w:rsidR="0078074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zmniejszające obciążenie wytwórców poprzez określenie zunifikowanego wzoru sprawozdania okresowego.</w:t>
            </w:r>
          </w:p>
        </w:tc>
      </w:tr>
      <w:tr w:rsidR="0052566B" w:rsidRPr="0052566B" w14:paraId="2FCA7543" w14:textId="77777777" w:rsidTr="00785E6F">
        <w:trPr>
          <w:gridAfter w:val="1"/>
          <w:wAfter w:w="10" w:type="dxa"/>
          <w:trHeight w:val="142"/>
        </w:trPr>
        <w:tc>
          <w:tcPr>
            <w:tcW w:w="2439" w:type="dxa"/>
            <w:gridSpan w:val="2"/>
            <w:shd w:val="clear" w:color="auto" w:fill="auto"/>
          </w:tcPr>
          <w:p w14:paraId="04451024" w14:textId="62449C33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Wytwórcy biogazu </w:t>
            </w:r>
            <w:r w:rsidR="0065366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lub </w:t>
            </w: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biometanu </w:t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6888E87A" w14:textId="42A3B7D6" w:rsidR="0052566B" w:rsidRPr="0052566B" w:rsidRDefault="00E76E6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 kolejnych latach p</w:t>
            </w:r>
            <w:r w:rsidR="0052566B" w:rsidRPr="0052566B">
              <w:rPr>
                <w:rFonts w:eastAsia="Times New Roman" w:cs="Times New Roman"/>
                <w:sz w:val="22"/>
                <w:szCs w:val="22"/>
              </w:rPr>
              <w:t>otencjalnie kilkaset jednostek wytwórczych</w:t>
            </w:r>
            <w:r w:rsidR="00E052CF">
              <w:rPr>
                <w:rFonts w:eastAsia="Times New Roman" w:cs="Times New Roman"/>
                <w:sz w:val="22"/>
                <w:szCs w:val="22"/>
              </w:rPr>
              <w:t xml:space="preserve"> – zależnie od dynamiki rozwoju rynku biogazu i biometanu. </w:t>
            </w:r>
          </w:p>
          <w:p w14:paraId="674B816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8"/>
            <w:shd w:val="clear" w:color="auto" w:fill="auto"/>
          </w:tcPr>
          <w:p w14:paraId="56AF9079" w14:textId="68968012" w:rsidR="0052566B" w:rsidRPr="0052566B" w:rsidRDefault="0052566B" w:rsidP="0052566B">
            <w:pPr>
              <w:widowControl/>
              <w:tabs>
                <w:tab w:val="left" w:pos="175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Szacunki własne</w:t>
            </w:r>
            <w:r w:rsidR="00E76511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, na podstawie danych DG KOWR i PURE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2846662C" w14:textId="05685EC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Nieznaczne</w:t>
            </w:r>
            <w:r w:rsidR="005C308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związane z pojawieniem się nowego rodzaju działalności regulowanej</w:t>
            </w:r>
            <w:r w:rsidR="00E02B3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5C308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 ramach której konieczne jest sprawozdawanie wytwórcy co pół roku.</w:t>
            </w:r>
            <w:r w:rsidR="0078074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Zmniejszenie obciążeń wytwórców poprzez określenie zunifikowanego wzoru sprawozdania okresowego.</w:t>
            </w:r>
          </w:p>
        </w:tc>
      </w:tr>
      <w:tr w:rsidR="0052566B" w:rsidRPr="0052566B" w14:paraId="20A61E13" w14:textId="77777777" w:rsidTr="00785E6F">
        <w:trPr>
          <w:gridAfter w:val="1"/>
          <w:wAfter w:w="10" w:type="dxa"/>
          <w:trHeight w:val="142"/>
        </w:trPr>
        <w:tc>
          <w:tcPr>
            <w:tcW w:w="2439" w:type="dxa"/>
            <w:gridSpan w:val="2"/>
            <w:shd w:val="clear" w:color="auto" w:fill="auto"/>
          </w:tcPr>
          <w:p w14:paraId="05014590" w14:textId="33B9EA9C" w:rsidR="0052566B" w:rsidRPr="0052566B" w:rsidRDefault="00126C8F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Prezes </w:t>
            </w:r>
            <w:r w:rsidRPr="0052566B">
              <w:rPr>
                <w:rFonts w:eastAsia="Calibri" w:cs="Times New Roman"/>
                <w:sz w:val="22"/>
                <w:szCs w:val="22"/>
                <w:lang w:eastAsia="en-US"/>
              </w:rPr>
              <w:t>Urz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ędu</w:t>
            </w:r>
            <w:r w:rsidRPr="0052566B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52566B" w:rsidRPr="0052566B">
              <w:rPr>
                <w:rFonts w:eastAsia="Calibri" w:cs="Times New Roman"/>
                <w:sz w:val="22"/>
                <w:szCs w:val="22"/>
                <w:lang w:eastAsia="en-US"/>
              </w:rPr>
              <w:t>Regulacji Energetyki</w:t>
            </w:r>
          </w:p>
          <w:p w14:paraId="1CD65DF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66DF662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2566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8"/>
            <w:shd w:val="clear" w:color="auto" w:fill="auto"/>
          </w:tcPr>
          <w:p w14:paraId="235DEFEF" w14:textId="35A52ABF" w:rsidR="0052566B" w:rsidRPr="0052566B" w:rsidRDefault="00E052CF" w:rsidP="0052566B">
            <w:pPr>
              <w:widowControl/>
              <w:tabs>
                <w:tab w:val="left" w:pos="175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65CA6589" w14:textId="2C4470E2" w:rsidR="0052566B" w:rsidRPr="0052566B" w:rsidRDefault="005C3081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U</w:t>
            </w:r>
            <w:r w:rsidRPr="00785E6F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możliwienie Prezesowi URE sprawnego wykonania zobowiązań wynikających z art. 17 ust. 1 i ust. 3 ustawy – sporządzenie zbiorczego raportu rocznego, przekazanie go ministrowi właściwemu do spraw gospodarki oraz udostępnienie przedmiotowego raportu w Biuletynie Informacji Publicznej Urzędu Regulacji Energetyki.</w:t>
            </w:r>
          </w:p>
        </w:tc>
      </w:tr>
      <w:tr w:rsidR="0052566B" w:rsidRPr="0052566B" w14:paraId="6A6F9EA1" w14:textId="77777777" w:rsidTr="00674960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FDC888F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52566B" w:rsidRPr="0052566B" w14:paraId="13EBBC1D" w14:textId="77777777" w:rsidTr="00396059">
        <w:trPr>
          <w:gridAfter w:val="1"/>
          <w:wAfter w:w="10" w:type="dxa"/>
          <w:trHeight w:val="510"/>
        </w:trPr>
        <w:tc>
          <w:tcPr>
            <w:tcW w:w="10937" w:type="dxa"/>
            <w:gridSpan w:val="27"/>
            <w:shd w:val="clear" w:color="auto" w:fill="FFFFFF"/>
          </w:tcPr>
          <w:p w14:paraId="54D15401" w14:textId="38406247" w:rsidR="00396059" w:rsidRPr="00396059" w:rsidRDefault="00396059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Projekt, zgodnie z art. 5 ustawy z dnia 7 lipca 2005 r. o działalności lobbingowej w procesie stanowienia prawa i § 52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uchwały nr 190 Rady Ministrów z dnia 29 października 2013 r. – Regulamin pracy Rady Ministrów, zostanie udostępniony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Biuletynie Informacji Publicznej, na stronie podmiotowej Rządowego Centrum Legislacji, w serwisie Rządowy Proces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Legislacyjny.</w:t>
            </w:r>
          </w:p>
          <w:p w14:paraId="4B7A01EA" w14:textId="29D0ED82" w:rsidR="00CF3A21" w:rsidRDefault="00396059" w:rsidP="00CF3A2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zostanie przekazany do konsultacji (14 dni) do następujących podmiotów:</w:t>
            </w:r>
          </w:p>
          <w:p w14:paraId="22A85868" w14:textId="18CBBF5F" w:rsidR="00CF3A21" w:rsidRP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PKP Energetyka Kolejowa S.A.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F5464ED" w14:textId="510F5D62" w:rsidR="00CF3A21" w:rsidRP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Forum Rozwoju Energetyki Odnawialnej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DF37CA1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Fundacja na Rzecz Energetyki Zrównoważonej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5FF41C3" w14:textId="77777777" w:rsidR="00D35B12" w:rsidRDefault="00D35B12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</w:t>
            </w:r>
            <w:r w:rsidR="00CF3A21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nstytut Energetyki Odnawialnej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9F07E56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Instytut na Rzecz Ekorozwoju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CED8F81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Izba Gospodarcza Energetyki i Ochrony Środowiska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9C15490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Izba Gospodarcza Gazownictwa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F031A7F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Kancelaria Prawna Tarka </w:t>
            </w:r>
            <w:proofErr w:type="spellStart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Trupkiewicz</w:t>
            </w:r>
            <w:proofErr w:type="spellEnd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 Wspólnicy Sp. z o.o.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C16C9AE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Krajowa Izba Gospodarcza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09FA34B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Operator Gazociągów Przesyłowych GAZ-SYSTEM S.A.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7D6A38D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Orlen Południe S.A.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39239B3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Polenergia</w:t>
            </w:r>
            <w:proofErr w:type="spellEnd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Dystrybucja Sp. z o.o.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64B9AA0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Izba Gospodarcza Ekorozwój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DF0E4CB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Izba Gospodarcza Energii Odnawialnej i Rozproszonej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F8D1845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Platforma LNG i BIOLNG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C4F0DC4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Spółka Gazownictwa Sp. z o.o.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632C742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 Koncern Naftowy ORLEN S.A.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753017B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Centrum Akredytacji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247131C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Górnictwo Naftowe i Gazownictwo S.A.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8236238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Stowarzyszenie Biogazu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9DE39F6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Stowarzyszenie Biometanu</w:t>
            </w:r>
            <w:r w:rsid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760EE3E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Stowarzyszenie Energetyki Słonecznej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99213EA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Stowarzyszenie Energetyki Wiatrowej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E3E030C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Polskie Stowarzyszenie </w:t>
            </w:r>
            <w:proofErr w:type="spellStart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Fotowoltaiki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  <w:proofErr w:type="spellEnd"/>
          </w:p>
          <w:p w14:paraId="5E64ABDC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Polskie Stowarzyszenie Geotermiczne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15EADF1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Stowarzyszenie Producentów Biogazu Rolniczego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E51DB90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Towarzystwo Elektrociepłowni Zawodowych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FE769E8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Polskie Towarzystwo </w:t>
            </w:r>
            <w:proofErr w:type="spellStart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Fotowoltaiki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  <w:proofErr w:type="spellEnd"/>
          </w:p>
          <w:p w14:paraId="457AB85D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Towarzystwo Gospodarcze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3F11EF5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Towarzystwo Morskiej Energetyki Wiatrowej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7C2E093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Towarzystwo Przesyłu i Rozdziału Energii Elektrycznej (</w:t>
            </w:r>
            <w:proofErr w:type="spellStart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PTPiREE</w:t>
            </w:r>
            <w:proofErr w:type="spellEnd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8CDABA2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Branży Fotowoltaicznej – Polska PV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3FC5E54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Energii Odnawialnej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C977BA2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Forum Rozwoju Efektywnej Energii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D5ACA85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Inicjatywa dla Środowiska, Energii i Elektromobilności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3ADAD67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Małej Energetyki Wiatrowej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6806C38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Polska Izba Urbanistów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B57EC01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Producentów Energii z Odpadów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DCD4E36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Zielony Gaz Dla Klimatu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5FADCBA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Tauron Dystrybucja S.A.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BD18B0A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Towarowa Giełda Energii S.A.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D032ECA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Towarzystwo Elektrowni Wodnych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59E8954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Towarzystwo Gospodarcze Polskie Elektrownie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B18CD93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Towarzystwo Obrotu Energią (TOE)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E913BF4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Towarzystwo Rozwoju Małych Elektrowni Wodnych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D1299A9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Unia Producentów i Pracodawców Przemysłu Biogazowego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51BFC17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Uniwersytet Przyrodniczy w Lublinie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9EF6F63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Uniwersytet Przyrodniczy w Poznaniu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5B8DB90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Uniwersytet Przyrodniczy we Wrocławiu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F28EA0C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Uniwersytet Rolniczy w Krakowie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863056A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Uniwersytet Techniczno-Przyrodniczy w Bydgoszczy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16C66E7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Uniwersytet Warmiński-Mazurski w Olsztynie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B20DCA2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Veolia</w:t>
            </w:r>
            <w:proofErr w:type="spellEnd"/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Energia Polska S.A.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4B10B15" w14:textId="77777777" w:rsid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Zielony Gaz Dla Klimatu</w:t>
            </w:r>
            <w:r w:rsidR="00126C8F"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62D124A3" w14:textId="25714000" w:rsidR="00541F05" w:rsidRPr="00D35B12" w:rsidRDefault="00CF3A21" w:rsidP="00D35B1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="349" w:hanging="349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Banków Polskich.</w:t>
            </w:r>
          </w:p>
          <w:p w14:paraId="059657E7" w14:textId="77777777" w:rsidR="00396059" w:rsidRDefault="00396059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zostanie przekazany do zaopiniowania (14 dni) następującym podmiotom:</w:t>
            </w:r>
          </w:p>
          <w:p w14:paraId="4A0D9DBA" w14:textId="198F6157" w:rsidR="00110AB2" w:rsidRPr="00A62299" w:rsidRDefault="00110AB2" w:rsidP="00110AB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Generalny Dyrektor Ochrony Środowiska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C40D744" w14:textId="77777777" w:rsidR="00D35B12" w:rsidRDefault="00F26918" w:rsidP="00D35B1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Prezes </w:t>
            </w:r>
            <w:r w:rsidR="00110AB2"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Główn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ego</w:t>
            </w:r>
            <w:r w:rsidR="00110AB2"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Urz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ędu</w:t>
            </w:r>
            <w:r w:rsidR="00110AB2"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Miar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0A0C394" w14:textId="6913EB90" w:rsidR="00D35B12" w:rsidRPr="00D35B12" w:rsidRDefault="00D35B12" w:rsidP="00D35B1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Urząd Dozoru Technicznego;</w:t>
            </w:r>
          </w:p>
          <w:p w14:paraId="5B3EEAAB" w14:textId="77777777" w:rsidR="00D35B12" w:rsidRDefault="00F26918" w:rsidP="00D35B1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Dyrektor Generalny </w:t>
            </w:r>
            <w:r w:rsidR="00110AB2"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Krajow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ego</w:t>
            </w:r>
            <w:r w:rsidR="00110AB2"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Ośrod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ka</w:t>
            </w: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10AB2"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Wsparcia Rolnictwa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07DD0CF" w14:textId="77777777" w:rsidR="00D35B12" w:rsidRDefault="00D35B12" w:rsidP="00D35B1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Instytut Nafty i Gazu - Państwowy Instytut Badawczy;</w:t>
            </w:r>
          </w:p>
          <w:p w14:paraId="37AA13C0" w14:textId="079D8180" w:rsidR="00D35B12" w:rsidRPr="00D35B12" w:rsidRDefault="00D35B12" w:rsidP="00D35B1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35B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Instytut Ochrony Środowiska - Państwowy Instytut Badawczy;</w:t>
            </w:r>
          </w:p>
          <w:p w14:paraId="5C76B642" w14:textId="4E2C25A8" w:rsidR="00110AB2" w:rsidRPr="00A62299" w:rsidRDefault="00110AB2" w:rsidP="00110AB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Młodzieżowa Rada Klimatyczna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13AFC42" w14:textId="132DA90C" w:rsidR="00110AB2" w:rsidRPr="00A62299" w:rsidRDefault="00110AB2" w:rsidP="00110AB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Prezes Prokuratorii Generalnej Rzeczypospolitej Polskiej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EEC5A99" w14:textId="377B9159" w:rsidR="00110AB2" w:rsidRPr="00A62299" w:rsidRDefault="00110AB2" w:rsidP="00110AB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Prezes Urzędu Ochrony Konkurencji i Konsumentów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C5C8BA1" w14:textId="18DC4FA1" w:rsidR="00110AB2" w:rsidRPr="00A62299" w:rsidRDefault="00110AB2" w:rsidP="00110AB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Prezes Urzędu Regulacji Energetyki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565767A" w14:textId="2ECE4E94" w:rsidR="00110AB2" w:rsidRPr="00A62299" w:rsidRDefault="00110AB2" w:rsidP="00110AB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Rzecznik Małych i Średnich Przedsiębiorców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4583F040" w14:textId="3DC10EF1" w:rsidR="00396059" w:rsidRDefault="00396059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 uwagi na zakres projektu, który nie dotyczy zadań związków zawodowych, projekt nie podlega opiniowaniu przez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reprezentatywne związki zawodowe.</w:t>
            </w:r>
          </w:p>
          <w:p w14:paraId="00AB01C9" w14:textId="7BB465D0" w:rsidR="00396059" w:rsidRDefault="00396059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 uwagi na zakres projektu, który dotyczy praw i interesów związków pracodawców, projekt podlega opiniowaniu przez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reprezentatywne organizacje pracodawców. Projekt zostanie przekazany (30 dni) do następujących reprezentatywnych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organizacji pracodawców:</w:t>
            </w:r>
          </w:p>
          <w:p w14:paraId="21EA954F" w14:textId="12F26A1E" w:rsidR="00110AB2" w:rsidRPr="00A62299" w:rsidRDefault="00110AB2" w:rsidP="00110AB2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Federacja Przedsiębiorców Polskich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F6EB883" w14:textId="37E77EC8" w:rsidR="00110AB2" w:rsidRPr="00A62299" w:rsidRDefault="00110AB2" w:rsidP="00110AB2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Konfederacja Lewiatan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5A95801" w14:textId="3E0C2863" w:rsidR="00110AB2" w:rsidRPr="00A62299" w:rsidRDefault="00110AB2" w:rsidP="00110AB2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Pracodawcy RP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CA1CCBF" w14:textId="627B50E7" w:rsidR="00110AB2" w:rsidRPr="00A62299" w:rsidRDefault="00110AB2" w:rsidP="00110AB2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Pracodawców Business Centre Club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6387F93" w14:textId="3960FF33" w:rsidR="00110AB2" w:rsidRPr="00A62299" w:rsidRDefault="00110AB2" w:rsidP="00110AB2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Przedsiębiorców i Pracodawców</w:t>
            </w:r>
            <w:r w:rsidR="00126C8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082E91E" w14:textId="2ECDEA63" w:rsidR="00110AB2" w:rsidRPr="00A62299" w:rsidRDefault="00110AB2" w:rsidP="00110AB2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622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Rzemiosła Polskiego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16A818A3" w14:textId="77777777" w:rsidR="00840587" w:rsidRPr="00396059" w:rsidRDefault="00840587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62B04683" w14:textId="4C90A3DF" w:rsidR="00396059" w:rsidRPr="00396059" w:rsidRDefault="00396059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Projekt nie podlega opiniowaniu przez Komisję Wspólną Rządu i Samorządu Terytorialnego, gdyż nie dotyczy spraw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związanych z samorządem terytorialnym, o których mowa w ustawie z dnia 6 maja 2005 r. o Komisji Wspólnej Rządu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 Samorządu Terytorialnego oraz o przedstawicielach Rzeczypospolitej Polskiej w Komitecie Regionów Unii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Europejskiej.</w:t>
            </w:r>
          </w:p>
          <w:p w14:paraId="2388A3E4" w14:textId="5E8D6E40" w:rsidR="00396059" w:rsidRPr="00396059" w:rsidRDefault="00396059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nie dotyczy spraw, o których mowa w art. 1 ustawy z dnia 24 lipca 2015 r. o Radzie Dialogu Społecznego i innych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instytucji dialogu społecznego, wobec czego nie wymaga zaopiniowania przez Radę Dialogu Społecznego.</w:t>
            </w:r>
          </w:p>
          <w:p w14:paraId="4BBBC598" w14:textId="3A3E142E" w:rsidR="00396059" w:rsidRPr="00396059" w:rsidRDefault="00396059" w:rsidP="0039605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nie wymaga przedstawienia właściwym instytucjom i organom Unii Europejskiej, w tym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Europejskiemu Bankowi Centralnemu, celem uzyskania opinii, dokonania powiadomienia, konsultacji albo uzgodnienia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605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projektu.</w:t>
            </w:r>
          </w:p>
          <w:p w14:paraId="5106FB83" w14:textId="17F4E4AD" w:rsidR="006B220A" w:rsidRPr="0052566B" w:rsidRDefault="006B220A" w:rsidP="00D35B1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B22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Wyniki opiniowania i konsultacji publicznych zostaną omówione w raporcie z konsultacji, zawierającym zestawienie przedstawionych stanowisk lub opinii i odniesienie się do nich przez organ wnioskujący, udostępnionym na stronie Rządowego Centrum Legislacji, w zakładce Rządowy Proces Legislacyjny, najpóźniej z dniem przekazania projektu na kolejny etap prac legislacyjnych. </w:t>
            </w:r>
          </w:p>
        </w:tc>
      </w:tr>
      <w:tr w:rsidR="0052566B" w:rsidRPr="0052566B" w14:paraId="6DAC316F" w14:textId="77777777" w:rsidTr="00674960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59C711C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52566B" w:rsidRPr="0052566B" w14:paraId="62BB32C3" w14:textId="77777777" w:rsidTr="00785E6F">
        <w:trPr>
          <w:gridAfter w:val="1"/>
          <w:wAfter w:w="10" w:type="dxa"/>
          <w:trHeight w:val="142"/>
        </w:trPr>
        <w:tc>
          <w:tcPr>
            <w:tcW w:w="3130" w:type="dxa"/>
            <w:gridSpan w:val="3"/>
            <w:vMerge w:val="restart"/>
            <w:shd w:val="clear" w:color="auto" w:fill="FFFFFF"/>
          </w:tcPr>
          <w:p w14:paraId="01F16F9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(ceny stałe z …… r.)</w:t>
            </w:r>
          </w:p>
        </w:tc>
        <w:tc>
          <w:tcPr>
            <w:tcW w:w="7807" w:type="dxa"/>
            <w:gridSpan w:val="24"/>
            <w:shd w:val="clear" w:color="auto" w:fill="FFFFFF"/>
          </w:tcPr>
          <w:p w14:paraId="26533F9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Skutki w okresie 10 lat od wejścia w życie zmian [mln zł]</w:t>
            </w:r>
          </w:p>
        </w:tc>
      </w:tr>
      <w:tr w:rsidR="00785E6F" w:rsidRPr="0052566B" w14:paraId="2C77BCBE" w14:textId="77777777" w:rsidTr="00785E6F">
        <w:trPr>
          <w:gridAfter w:val="1"/>
          <w:wAfter w:w="10" w:type="dxa"/>
          <w:trHeight w:val="142"/>
        </w:trPr>
        <w:tc>
          <w:tcPr>
            <w:tcW w:w="3130" w:type="dxa"/>
            <w:gridSpan w:val="3"/>
            <w:vMerge/>
            <w:shd w:val="clear" w:color="auto" w:fill="FFFFFF"/>
          </w:tcPr>
          <w:p w14:paraId="4297487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0C2FC9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60985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C08AD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9AEFB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E9F26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8052D7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39AEE69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05D1AC1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7C4AC4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1EE2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DEAC14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0" w:type="dxa"/>
            <w:gridSpan w:val="2"/>
            <w:shd w:val="clear" w:color="auto" w:fill="FFFFFF"/>
          </w:tcPr>
          <w:p w14:paraId="1206DDC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 (0-10)</w:t>
            </w:r>
          </w:p>
        </w:tc>
      </w:tr>
      <w:tr w:rsidR="00785E6F" w:rsidRPr="0052566B" w14:paraId="2B2B7756" w14:textId="77777777" w:rsidTr="00785E6F">
        <w:trPr>
          <w:trHeight w:val="32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0890928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510B4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2B317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144C7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C61C3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36340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77425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2138F43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20FE08C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CA3542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DFDC7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719B6F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508C231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4758BC0E" w14:textId="77777777" w:rsidTr="00785E6F">
        <w:trPr>
          <w:trHeight w:val="32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3D8DDE6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991BA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C6F5D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D3067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ABBB4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3C678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E5CDD5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0BA3518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137A9CF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1E4F7D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05B95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EA4398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D4125E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7D259604" w14:textId="77777777" w:rsidTr="00785E6F">
        <w:trPr>
          <w:trHeight w:val="344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32333F8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18DAB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C3D1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101FE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A5A40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91C38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F080EE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1330987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4A562AA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6AF3A8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665D6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1965D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5665096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61870FC5" w14:textId="77777777" w:rsidTr="00785E6F">
        <w:trPr>
          <w:trHeight w:val="344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25F9181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1E990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E082F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0E3CF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46934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8CA45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9899B7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4F1EC3E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6A4D74C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86525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12594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EF6F78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3835CA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3AF350B1" w14:textId="77777777" w:rsidTr="00785E6F">
        <w:trPr>
          <w:trHeight w:val="33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1574D7E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8A880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90BA8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51766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39578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E0337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822DFA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6CEBD75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2EB05F2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3F001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F3FAB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0E59EA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2403A59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20642381" w14:textId="77777777" w:rsidTr="00785E6F">
        <w:trPr>
          <w:trHeight w:val="33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236B65C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2D389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E1183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6B505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F53F2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85253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5F2A67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48E844F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11AACAF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0393CA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D87AC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EA1EC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2DAB518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40704703" w14:textId="77777777" w:rsidTr="00785E6F">
        <w:trPr>
          <w:trHeight w:val="35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3CB2D5D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C1977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DD1A6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49ED2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1AE86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53647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D42961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0E845D7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0702CD7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19208C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67A85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5B2CB1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1726A40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1DC10BBD" w14:textId="77777777" w:rsidTr="00785E6F">
        <w:trPr>
          <w:trHeight w:val="35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2E61121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FFA13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D8C94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AE336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F7FB3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6D81B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16125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42C94FD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4007ED1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B1EDE2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3E29E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DD98C2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1DE2B83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7B2410FE" w14:textId="77777777" w:rsidTr="00785E6F">
        <w:trPr>
          <w:trHeight w:val="36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11EC26A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92C79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FF517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E5B7E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CDA33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FB3D9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8767DB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64C156E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682FC71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BF4A74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C208F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5DDB73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25CB165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56F37115" w14:textId="77777777" w:rsidTr="00785E6F">
        <w:trPr>
          <w:trHeight w:val="36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31ACCBD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15FD8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AD1EB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80C63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414DD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537EA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C2FA9B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6B8D7B8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2DCA06C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A71B98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E68E3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2E998B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695413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50B7AD68" w14:textId="77777777" w:rsidTr="00785E6F">
        <w:trPr>
          <w:trHeight w:val="357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544622F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B7827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15064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9F36C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05275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C4081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777CE4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3A3029F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64C5E15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662717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A7B82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25156F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5580FEB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089CBC30" w14:textId="77777777" w:rsidTr="00785E6F">
        <w:trPr>
          <w:trHeight w:val="357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3184583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38B28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25FDF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8D08E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9A8E4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5050B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C36700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6" w:type="dxa"/>
            <w:gridSpan w:val="3"/>
            <w:shd w:val="clear" w:color="auto" w:fill="FFFFFF"/>
          </w:tcPr>
          <w:p w14:paraId="7F75733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57D1224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D1DB56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C5B4B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6B2D17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151959F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2566B" w:rsidRPr="0052566B" w14:paraId="4A94FAC0" w14:textId="77777777" w:rsidTr="003C55B0">
        <w:trPr>
          <w:gridAfter w:val="1"/>
          <w:wAfter w:w="10" w:type="dxa"/>
          <w:trHeight w:val="348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7FEC290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Źródła finansowania</w:t>
            </w:r>
          </w:p>
        </w:tc>
        <w:tc>
          <w:tcPr>
            <w:tcW w:w="8498" w:type="dxa"/>
            <w:gridSpan w:val="25"/>
            <w:shd w:val="clear" w:color="auto" w:fill="FFFFFF"/>
            <w:vAlign w:val="center"/>
          </w:tcPr>
          <w:p w14:paraId="7C184827" w14:textId="6D9F5FB6" w:rsidR="0052566B" w:rsidRPr="0052566B" w:rsidRDefault="00DF58C0" w:rsidP="00DF58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DF58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 rozporządzenia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</w:tc>
      </w:tr>
      <w:tr w:rsidR="0052566B" w:rsidRPr="0052566B" w14:paraId="7E51F63F" w14:textId="77777777" w:rsidTr="003C55B0">
        <w:trPr>
          <w:gridAfter w:val="1"/>
          <w:wAfter w:w="10" w:type="dxa"/>
          <w:trHeight w:val="955"/>
        </w:trPr>
        <w:tc>
          <w:tcPr>
            <w:tcW w:w="2439" w:type="dxa"/>
            <w:gridSpan w:val="2"/>
            <w:shd w:val="clear" w:color="auto" w:fill="FFFFFF"/>
          </w:tcPr>
          <w:p w14:paraId="506477E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498" w:type="dxa"/>
            <w:gridSpan w:val="25"/>
            <w:shd w:val="clear" w:color="auto" w:fill="FFFFFF"/>
          </w:tcPr>
          <w:p w14:paraId="3957F4A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2566B" w:rsidRPr="0052566B" w14:paraId="7F2F76F8" w14:textId="77777777" w:rsidTr="00674960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2960BC95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2566B" w:rsidRPr="0052566B" w14:paraId="5C2EDD1D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5AF3F5F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Skutki</w:t>
            </w:r>
          </w:p>
        </w:tc>
      </w:tr>
      <w:tr w:rsidR="0052566B" w:rsidRPr="0052566B" w14:paraId="482D4AC0" w14:textId="77777777" w:rsidTr="00785E6F">
        <w:trPr>
          <w:gridAfter w:val="1"/>
          <w:wAfter w:w="10" w:type="dxa"/>
          <w:trHeight w:val="142"/>
        </w:trPr>
        <w:tc>
          <w:tcPr>
            <w:tcW w:w="3886" w:type="dxa"/>
            <w:gridSpan w:val="6"/>
            <w:shd w:val="clear" w:color="auto" w:fill="FFFFFF"/>
          </w:tcPr>
          <w:p w14:paraId="0CE5951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94D73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F102BC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6B1A0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9D237A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0AD51F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2D496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14:paraId="3866508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</w:t>
            </w:r>
            <w:r w:rsidRPr="0052566B" w:rsidDel="0073273A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2566B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(0-10)</w:t>
            </w:r>
          </w:p>
        </w:tc>
      </w:tr>
      <w:tr w:rsidR="00785E6F" w:rsidRPr="0052566B" w14:paraId="5064E947" w14:textId="77777777" w:rsidTr="00785E6F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0C99889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pieniężnym</w:t>
            </w:r>
          </w:p>
          <w:p w14:paraId="7918A37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(w mln zł, </w:t>
            </w:r>
          </w:p>
          <w:p w14:paraId="41453F4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ceny stałe z …… r.)</w:t>
            </w:r>
          </w:p>
        </w:tc>
        <w:tc>
          <w:tcPr>
            <w:tcW w:w="2292" w:type="dxa"/>
            <w:gridSpan w:val="5"/>
            <w:shd w:val="clear" w:color="auto" w:fill="FFFFFF"/>
          </w:tcPr>
          <w:p w14:paraId="1898DE8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B9ED90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7F8F3E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B0CEC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DF8E862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F7AD6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C40BE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14:paraId="740A762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44EA26DE" w14:textId="77777777" w:rsidTr="00785E6F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4A561A8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6445007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630ABE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43EA2D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1FAE71C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180C317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3C8F96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14260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14:paraId="4002C27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6C931E0E" w14:textId="77777777" w:rsidTr="00785E6F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65E1E6D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2662B2C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717E38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40402D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ED931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D3016B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8E564D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35B7D6E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14:paraId="57E7A433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</w:t>
            </w:r>
          </w:p>
        </w:tc>
      </w:tr>
      <w:tr w:rsidR="00785E6F" w:rsidRPr="0052566B" w14:paraId="2D3915F2" w14:textId="77777777" w:rsidTr="00724149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62F4DDA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5"/>
            <w:shd w:val="clear" w:color="auto" w:fill="auto"/>
          </w:tcPr>
          <w:p w14:paraId="66E7E5C5" w14:textId="347D37B6" w:rsidR="0052566B" w:rsidRPr="0052566B" w:rsidRDefault="003C55B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osoby starsze i niepełnosprawne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66A6CF" w14:textId="42CF0E4B" w:rsidR="0052566B" w:rsidRPr="0052566B" w:rsidRDefault="003C55B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21A30C9" w14:textId="1C643089" w:rsidR="0052566B" w:rsidRPr="0052566B" w:rsidRDefault="003C55B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CE63D6" w14:textId="4AA6B0B7" w:rsidR="0052566B" w:rsidRPr="0052566B" w:rsidRDefault="003C55B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5D8FA42" w14:textId="77D6381D" w:rsidR="0052566B" w:rsidRPr="0052566B" w:rsidRDefault="003C55B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0596EF" w14:textId="7033B65B" w:rsidR="0052566B" w:rsidRPr="0052566B" w:rsidRDefault="003C55B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17C2A4F" w14:textId="0AE7AAC9" w:rsidR="0052566B" w:rsidRPr="0052566B" w:rsidRDefault="003C55B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14:paraId="73701095" w14:textId="748F9FE2" w:rsidR="0052566B" w:rsidRPr="0052566B" w:rsidRDefault="003C55B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</w:t>
            </w:r>
          </w:p>
        </w:tc>
      </w:tr>
      <w:tr w:rsidR="0052566B" w:rsidRPr="0052566B" w14:paraId="41640B73" w14:textId="77777777" w:rsidTr="00785E6F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020BBB76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niepieniężnym</w:t>
            </w:r>
          </w:p>
        </w:tc>
        <w:tc>
          <w:tcPr>
            <w:tcW w:w="2292" w:type="dxa"/>
            <w:gridSpan w:val="5"/>
            <w:shd w:val="clear" w:color="auto" w:fill="FFFFFF"/>
          </w:tcPr>
          <w:p w14:paraId="1723497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3FC69C3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2566B" w:rsidRPr="0052566B" w14:paraId="7A74EFE6" w14:textId="77777777" w:rsidTr="00785E6F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36182554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575CC63B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1D2DA08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2566B" w:rsidRPr="0052566B" w14:paraId="147DF5E0" w14:textId="77777777" w:rsidTr="00785E6F">
        <w:trPr>
          <w:gridAfter w:val="1"/>
          <w:wAfter w:w="10" w:type="dxa"/>
          <w:trHeight w:val="596"/>
        </w:trPr>
        <w:tc>
          <w:tcPr>
            <w:tcW w:w="1594" w:type="dxa"/>
            <w:vMerge/>
            <w:shd w:val="clear" w:color="auto" w:fill="FFFFFF"/>
          </w:tcPr>
          <w:p w14:paraId="732450F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53435B90" w14:textId="77777777" w:rsidR="0052566B" w:rsidRPr="0052566B" w:rsidRDefault="0052566B" w:rsidP="0052566B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sz w:val="22"/>
                <w:szCs w:val="22"/>
                <w:lang w:eastAsia="en-US"/>
              </w:rPr>
              <w:t>rodzina, obywatele oraz gospodarstwa domowe</w:t>
            </w: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5A1C8DEF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2566B" w:rsidRPr="0052566B" w14:paraId="06A10128" w14:textId="77777777" w:rsidTr="00785E6F">
        <w:trPr>
          <w:gridAfter w:val="1"/>
          <w:wAfter w:w="10" w:type="dxa"/>
          <w:trHeight w:val="240"/>
        </w:trPr>
        <w:tc>
          <w:tcPr>
            <w:tcW w:w="1594" w:type="dxa"/>
            <w:vMerge/>
            <w:shd w:val="clear" w:color="auto" w:fill="FFFFFF"/>
          </w:tcPr>
          <w:p w14:paraId="3F4E4301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386D52C8" w14:textId="167735C4" w:rsidR="0052566B" w:rsidRPr="0052566B" w:rsidRDefault="00780740" w:rsidP="0065366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osoby starsze i </w:t>
            </w:r>
            <w:r w:rsidR="005446D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niepełnosprawne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550D9F31" w14:textId="25BE3127" w:rsidR="0052566B" w:rsidRPr="0052566B" w:rsidRDefault="00780740" w:rsidP="0052566B">
            <w:pPr>
              <w:widowControl/>
              <w:tabs>
                <w:tab w:val="left" w:pos="3000"/>
              </w:tabs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2566B" w:rsidRPr="0052566B" w14:paraId="22053663" w14:textId="77777777" w:rsidTr="003C55B0">
        <w:trPr>
          <w:gridAfter w:val="1"/>
          <w:wAfter w:w="10" w:type="dxa"/>
          <w:trHeight w:val="1070"/>
        </w:trPr>
        <w:tc>
          <w:tcPr>
            <w:tcW w:w="2439" w:type="dxa"/>
            <w:gridSpan w:val="2"/>
            <w:shd w:val="clear" w:color="auto" w:fill="FFFFFF"/>
          </w:tcPr>
          <w:p w14:paraId="62658C25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498" w:type="dxa"/>
            <w:gridSpan w:val="25"/>
            <w:shd w:val="clear" w:color="auto" w:fill="FFFFFF"/>
            <w:vAlign w:val="center"/>
          </w:tcPr>
          <w:p w14:paraId="6CBE5E2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Wejście w życie rozporządzenia nie spowoduje skutków w ujęciu pieniężnym i niepieniężnym.</w:t>
            </w:r>
          </w:p>
          <w:p w14:paraId="5E2DE709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2566B" w:rsidRPr="0052566B" w14:paraId="6715E16E" w14:textId="77777777" w:rsidTr="00674960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D043FF1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52566B" w:rsidRPr="0052566B" w14:paraId="4AAFBB1D" w14:textId="77777777" w:rsidTr="00674960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4D7633D8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52566B" w:rsidRPr="0052566B" w14:paraId="52E17261" w14:textId="77777777" w:rsidTr="003C55B0">
        <w:trPr>
          <w:gridAfter w:val="1"/>
          <w:wAfter w:w="10" w:type="dxa"/>
          <w:trHeight w:val="759"/>
        </w:trPr>
        <w:tc>
          <w:tcPr>
            <w:tcW w:w="5108" w:type="dxa"/>
            <w:gridSpan w:val="11"/>
            <w:shd w:val="clear" w:color="auto" w:fill="FFFFFF"/>
          </w:tcPr>
          <w:p w14:paraId="52AA129D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6198EB06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27D24CA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5F92A87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52566B" w:rsidRPr="0052566B" w14:paraId="2EC269F8" w14:textId="77777777" w:rsidTr="003C55B0">
        <w:trPr>
          <w:gridAfter w:val="1"/>
          <w:wAfter w:w="10" w:type="dxa"/>
          <w:trHeight w:val="1227"/>
        </w:trPr>
        <w:tc>
          <w:tcPr>
            <w:tcW w:w="5108" w:type="dxa"/>
            <w:gridSpan w:val="11"/>
            <w:shd w:val="clear" w:color="auto" w:fill="FFFFFF"/>
          </w:tcPr>
          <w:p w14:paraId="2DEDDE50" w14:textId="5D52C6F1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-1646118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76E60">
                  <w:rPr>
                    <w:rFonts w:ascii="MS Gothic" w:eastAsia="MS Gothic" w:hAnsi="MS Gothic" w:cs="Times New Roman" w:hint="eastAsia"/>
                    <w:color w:val="000000"/>
                    <w:spacing w:val="-2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zmniejszenie liczby dokumentów </w:t>
            </w:r>
          </w:p>
          <w:p w14:paraId="19766C32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zmniejszenie liczby procedur</w:t>
            </w:r>
          </w:p>
          <w:p w14:paraId="6F21786D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skrócenie czasu na załatwienie sprawy</w:t>
            </w:r>
          </w:p>
          <w:p w14:paraId="7215EBA0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inne:</w:t>
            </w:r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…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4DFD470B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zwiększenie liczby dokumentów</w:t>
            </w:r>
          </w:p>
          <w:p w14:paraId="089B5CD2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4B44A660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wydłużenie czasu na załatwienie sprawy</w:t>
            </w:r>
          </w:p>
          <w:p w14:paraId="219A1272" w14:textId="67F80CC3" w:rsidR="0052566B" w:rsidRPr="0052566B" w:rsidRDefault="00000000" w:rsidP="003C55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inne:</w:t>
            </w:r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…</w:t>
            </w:r>
          </w:p>
        </w:tc>
      </w:tr>
      <w:tr w:rsidR="0052566B" w:rsidRPr="0052566B" w14:paraId="67244A2D" w14:textId="77777777" w:rsidTr="00785E6F">
        <w:trPr>
          <w:gridAfter w:val="1"/>
          <w:wAfter w:w="10" w:type="dxa"/>
          <w:trHeight w:val="869"/>
        </w:trPr>
        <w:tc>
          <w:tcPr>
            <w:tcW w:w="5108" w:type="dxa"/>
            <w:gridSpan w:val="11"/>
            <w:shd w:val="clear" w:color="auto" w:fill="FFFFFF"/>
          </w:tcPr>
          <w:p w14:paraId="73681EA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7C6D5C36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0A777895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206BEB08" w14:textId="11C5DAB4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52566B" w:rsidRPr="0052566B" w14:paraId="2323C8E8" w14:textId="77777777" w:rsidTr="00A24E43">
        <w:trPr>
          <w:gridAfter w:val="1"/>
          <w:wAfter w:w="10" w:type="dxa"/>
          <w:trHeight w:val="304"/>
        </w:trPr>
        <w:tc>
          <w:tcPr>
            <w:tcW w:w="10937" w:type="dxa"/>
            <w:gridSpan w:val="27"/>
            <w:shd w:val="clear" w:color="auto" w:fill="FFFFFF"/>
          </w:tcPr>
          <w:p w14:paraId="0F574CA3" w14:textId="4D241791" w:rsidR="0052566B" w:rsidRPr="0052566B" w:rsidRDefault="0052566B" w:rsidP="0052566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</w:tc>
      </w:tr>
      <w:tr w:rsidR="0052566B" w:rsidRPr="0052566B" w14:paraId="4316CD06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EDF2EE5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52566B" w:rsidRPr="0052566B" w14:paraId="6E6E3A9E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7075B358" w14:textId="7CA8E612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Projektowana regulacja nie będzie mała wpływu na rynek pracy.</w:t>
            </w:r>
          </w:p>
        </w:tc>
      </w:tr>
      <w:tr w:rsidR="0052566B" w:rsidRPr="0052566B" w14:paraId="3F974156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5CB9EC9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52566B" w:rsidRPr="0052566B" w14:paraId="14B4E00A" w14:textId="77777777" w:rsidTr="00785E6F">
        <w:trPr>
          <w:gridAfter w:val="1"/>
          <w:wAfter w:w="10" w:type="dxa"/>
          <w:trHeight w:val="1031"/>
        </w:trPr>
        <w:tc>
          <w:tcPr>
            <w:tcW w:w="3544" w:type="dxa"/>
            <w:gridSpan w:val="4"/>
            <w:shd w:val="clear" w:color="auto" w:fill="FFFFFF"/>
          </w:tcPr>
          <w:p w14:paraId="5E7B7AAF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421E8602" w14:textId="50529819" w:rsid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DA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sytuacja i rozwój regionalny</w:t>
            </w:r>
          </w:p>
          <w:p w14:paraId="2807CCED" w14:textId="75AC0F39" w:rsidR="0052566B" w:rsidRPr="005446DA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6859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DA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446DA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55655" w:rsidRPr="00955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sądy powszechne, administracyjne lub wojskowe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90A4EE1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demografia</w:t>
            </w:r>
          </w:p>
          <w:p w14:paraId="6946D2ED" w14:textId="77777777" w:rsid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mienie państwowe</w:t>
            </w:r>
          </w:p>
          <w:p w14:paraId="6B80B5BF" w14:textId="224E6FF9" w:rsidR="00955655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szCs w:val="22"/>
                  <w:lang w:eastAsia="en-US"/>
                </w:rPr>
                <w:id w:val="12920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655" w:rsidRPr="00955655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55655" w:rsidRPr="00955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inne: …</w:t>
            </w:r>
          </w:p>
        </w:tc>
        <w:tc>
          <w:tcPr>
            <w:tcW w:w="3706" w:type="dxa"/>
            <w:gridSpan w:val="8"/>
            <w:shd w:val="clear" w:color="auto" w:fill="FFFFFF"/>
          </w:tcPr>
          <w:p w14:paraId="1F8592DD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informatyzacja</w:t>
            </w:r>
          </w:p>
          <w:p w14:paraId="625FEA85" w14:textId="77777777" w:rsidR="0052566B" w:rsidRPr="0052566B" w:rsidRDefault="00000000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color w:val="000000"/>
                  <w:spacing w:val="-2"/>
                  <w:sz w:val="22"/>
                  <w:szCs w:val="22"/>
                  <w:lang w:eastAsia="en-US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6B" w:rsidRPr="0052566B">
                  <w:rPr>
                    <w:rFonts w:ascii="Segoe UI Symbol" w:eastAsia="Calibri" w:hAnsi="Segoe UI Symbol" w:cs="Segoe UI Symbol"/>
                    <w:color w:val="000000"/>
                    <w:spacing w:val="-2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2566B"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zdrowie</w:t>
            </w:r>
          </w:p>
        </w:tc>
      </w:tr>
      <w:tr w:rsidR="0052566B" w:rsidRPr="0052566B" w14:paraId="3DA7E9AA" w14:textId="77777777" w:rsidTr="003C55B0">
        <w:trPr>
          <w:gridAfter w:val="1"/>
          <w:wAfter w:w="10" w:type="dxa"/>
          <w:trHeight w:val="31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7A038C70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498" w:type="dxa"/>
            <w:gridSpan w:val="25"/>
            <w:shd w:val="clear" w:color="auto" w:fill="FFFFFF"/>
            <w:vAlign w:val="center"/>
          </w:tcPr>
          <w:p w14:paraId="752F965A" w14:textId="77777777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Projektowana regulacja nie będzie mała wpływu na pozostałe obszary.</w:t>
            </w:r>
          </w:p>
        </w:tc>
      </w:tr>
      <w:tr w:rsidR="0052566B" w:rsidRPr="0052566B" w14:paraId="5F4E167A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DBBF90B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Planowane wykonanie przepisów aktu prawnego</w:t>
            </w:r>
          </w:p>
        </w:tc>
      </w:tr>
      <w:tr w:rsidR="0052566B" w:rsidRPr="0052566B" w14:paraId="3734DED3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AF57FCD" w14:textId="68EE3C9A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</w:t>
            </w:r>
            <w:r w:rsidR="00231979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II</w:t>
            </w:r>
            <w:r w:rsidRPr="0052566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kwartał 202</w:t>
            </w:r>
            <w:r w:rsidR="0057028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4</w:t>
            </w:r>
            <w:r w:rsidRPr="0052566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52566B" w:rsidRPr="0052566B" w14:paraId="1326FFFD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255082B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2566B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52566B" w:rsidRPr="0052566B" w14:paraId="720EA9E6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4ADFEA5" w14:textId="415CC108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Regulacja ma charakter określenia wzoru sprawozdania</w:t>
            </w:r>
            <w:r w:rsidR="00495D7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którego ewaluacje w sposób bieżący będzie wykonywał organ prowadzący rejestry</w:t>
            </w:r>
            <w:r w:rsidR="0007032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oraz organ wydający rozporządzenie</w:t>
            </w: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95D7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Mierni</w:t>
            </w:r>
            <w:r w:rsidR="007222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kiem</w:t>
            </w:r>
            <w:r w:rsidR="00495D7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222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będzie</w:t>
            </w:r>
            <w:r w:rsidR="00495D7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222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procent</w:t>
            </w:r>
            <w:r w:rsidR="00495D7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wniosków zwrócon</w:t>
            </w:r>
            <w:r w:rsidR="007222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ych</w:t>
            </w:r>
            <w:r w:rsidR="00495D7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do uzupełnienia/poprawy.</w:t>
            </w:r>
            <w:r w:rsidR="007222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Ewaluacja zostanie dokonana na koniec 2025 r.</w:t>
            </w:r>
          </w:p>
        </w:tc>
      </w:tr>
      <w:tr w:rsidR="0052566B" w:rsidRPr="0052566B" w14:paraId="7CBBE2D8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798D1F8" w14:textId="77777777" w:rsidR="0052566B" w:rsidRPr="0052566B" w:rsidRDefault="005256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52566B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(istotne dokumenty źródłowe, badania, analizy itp.</w:t>
            </w:r>
            <w:r w:rsidRPr="0052566B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2566B" w:rsidRPr="0052566B" w14:paraId="770B81E3" w14:textId="77777777" w:rsidTr="00674960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7E0683A" w14:textId="3AD58FB5" w:rsidR="0052566B" w:rsidRPr="0052566B" w:rsidRDefault="0052566B" w:rsidP="0052566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56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Brak załączników. </w:t>
            </w:r>
          </w:p>
        </w:tc>
      </w:tr>
      <w:bookmarkEnd w:id="1"/>
    </w:tbl>
    <w:p w14:paraId="687972EE" w14:textId="1BFDA501" w:rsidR="00261A16" w:rsidRPr="00737F6A" w:rsidRDefault="00261A16" w:rsidP="00A24E43">
      <w:pPr>
        <w:widowControl/>
        <w:autoSpaceDE/>
        <w:autoSpaceDN/>
        <w:adjustRightInd/>
        <w:spacing w:after="160" w:line="276" w:lineRule="auto"/>
        <w:jc w:val="both"/>
      </w:pPr>
    </w:p>
    <w:sectPr w:rsidR="00261A16" w:rsidRPr="00737F6A" w:rsidSect="00785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F3F2" w14:textId="77777777" w:rsidR="00017D80" w:rsidRDefault="00017D80">
      <w:r>
        <w:separator/>
      </w:r>
    </w:p>
  </w:endnote>
  <w:endnote w:type="continuationSeparator" w:id="0">
    <w:p w14:paraId="0EB2F2D3" w14:textId="77777777" w:rsidR="00017D80" w:rsidRDefault="00017D80">
      <w:r>
        <w:continuationSeparator/>
      </w:r>
    </w:p>
  </w:endnote>
  <w:endnote w:type="continuationNotice" w:id="1">
    <w:p w14:paraId="45BD95ED" w14:textId="77777777" w:rsidR="00017D80" w:rsidRDefault="00017D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C578" w14:textId="77777777" w:rsidR="00B01135" w:rsidRDefault="00B011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09C1" w14:textId="77777777" w:rsidR="00B01135" w:rsidRDefault="00B011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9F62" w14:textId="77777777" w:rsidR="00B01135" w:rsidRDefault="00B01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36CD" w14:textId="77777777" w:rsidR="00017D80" w:rsidRDefault="00017D80">
      <w:r>
        <w:separator/>
      </w:r>
    </w:p>
  </w:footnote>
  <w:footnote w:type="continuationSeparator" w:id="0">
    <w:p w14:paraId="4AD4D0F4" w14:textId="77777777" w:rsidR="00017D80" w:rsidRDefault="00017D80">
      <w:r>
        <w:continuationSeparator/>
      </w:r>
    </w:p>
  </w:footnote>
  <w:footnote w:type="continuationNotice" w:id="1">
    <w:p w14:paraId="603C94F1" w14:textId="77777777" w:rsidR="00017D80" w:rsidRDefault="00017D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5EB9" w14:textId="77777777" w:rsidR="00B01135" w:rsidRDefault="00B011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F6B4" w14:textId="12129106" w:rsidR="00CC3E3D" w:rsidRPr="00B371CC" w:rsidRDefault="00B01135" w:rsidP="00B01135">
    <w:pPr>
      <w:pStyle w:val="Nagwek"/>
      <w:tabs>
        <w:tab w:val="center" w:pos="5103"/>
        <w:tab w:val="right" w:pos="10206"/>
      </w:tabs>
    </w:pPr>
    <w:r>
      <w:tab/>
    </w:r>
    <w:r>
      <w:tab/>
    </w:r>
    <w:r w:rsidR="00CC3E3D">
      <w:t xml:space="preserve">– </w:t>
    </w:r>
    <w:r w:rsidR="00CC3E3D">
      <w:fldChar w:fldCharType="begin"/>
    </w:r>
    <w:r w:rsidR="00CC3E3D">
      <w:instrText xml:space="preserve"> PAGE  \* MERGEFORMAT </w:instrText>
    </w:r>
    <w:r w:rsidR="00CC3E3D">
      <w:fldChar w:fldCharType="separate"/>
    </w:r>
    <w:r w:rsidR="00CC3E3D">
      <w:rPr>
        <w:noProof/>
      </w:rPr>
      <w:t>3</w:t>
    </w:r>
    <w:r w:rsidR="00CC3E3D">
      <w:rPr>
        <w:noProof/>
      </w:rPr>
      <w:fldChar w:fldCharType="end"/>
    </w:r>
    <w:r w:rsidR="00CC3E3D">
      <w:t xml:space="preserve"> –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279A" w14:textId="77777777" w:rsidR="00B01135" w:rsidRDefault="00B01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2CF6"/>
    <w:multiLevelType w:val="hybridMultilevel"/>
    <w:tmpl w:val="92CE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6ED4"/>
    <w:multiLevelType w:val="hybridMultilevel"/>
    <w:tmpl w:val="EF92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52BD2"/>
    <w:multiLevelType w:val="hybridMultilevel"/>
    <w:tmpl w:val="9E3866AA"/>
    <w:lvl w:ilvl="0" w:tplc="727CA1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7ED1"/>
    <w:multiLevelType w:val="hybridMultilevel"/>
    <w:tmpl w:val="2DFE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4D23"/>
    <w:multiLevelType w:val="hybridMultilevel"/>
    <w:tmpl w:val="6CD6B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E2494"/>
    <w:multiLevelType w:val="hybridMultilevel"/>
    <w:tmpl w:val="D1648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5994"/>
    <w:multiLevelType w:val="hybridMultilevel"/>
    <w:tmpl w:val="6CD6B9D0"/>
    <w:lvl w:ilvl="0" w:tplc="78E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57013">
    <w:abstractNumId w:val="7"/>
  </w:num>
  <w:num w:numId="2" w16cid:durableId="2055810574">
    <w:abstractNumId w:val="5"/>
  </w:num>
  <w:num w:numId="3" w16cid:durableId="1382705811">
    <w:abstractNumId w:val="3"/>
  </w:num>
  <w:num w:numId="4" w16cid:durableId="1530488219">
    <w:abstractNumId w:val="2"/>
  </w:num>
  <w:num w:numId="5" w16cid:durableId="1963539889">
    <w:abstractNumId w:val="4"/>
  </w:num>
  <w:num w:numId="6" w16cid:durableId="1938978357">
    <w:abstractNumId w:val="1"/>
  </w:num>
  <w:num w:numId="7" w16cid:durableId="1306622288">
    <w:abstractNumId w:val="6"/>
  </w:num>
  <w:num w:numId="8" w16cid:durableId="59494048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B0"/>
    <w:rsid w:val="000012DA"/>
    <w:rsid w:val="0000246E"/>
    <w:rsid w:val="00003862"/>
    <w:rsid w:val="00012A35"/>
    <w:rsid w:val="00016099"/>
    <w:rsid w:val="00017D80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3CD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321"/>
    <w:rsid w:val="00071BEE"/>
    <w:rsid w:val="000736CD"/>
    <w:rsid w:val="0007533B"/>
    <w:rsid w:val="000753C4"/>
    <w:rsid w:val="0007545D"/>
    <w:rsid w:val="0007609C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E0B"/>
    <w:rsid w:val="000A5EE2"/>
    <w:rsid w:val="000B2160"/>
    <w:rsid w:val="000B298D"/>
    <w:rsid w:val="000B4AD6"/>
    <w:rsid w:val="000B5B2D"/>
    <w:rsid w:val="000B5DCE"/>
    <w:rsid w:val="000C05BA"/>
    <w:rsid w:val="000C0E8F"/>
    <w:rsid w:val="000C4BC4"/>
    <w:rsid w:val="000C5DCE"/>
    <w:rsid w:val="000D0110"/>
    <w:rsid w:val="000D2468"/>
    <w:rsid w:val="000D318A"/>
    <w:rsid w:val="000D3F05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0AB2"/>
    <w:rsid w:val="0011245A"/>
    <w:rsid w:val="0011493E"/>
    <w:rsid w:val="00115B72"/>
    <w:rsid w:val="001209EC"/>
    <w:rsid w:val="00120A9E"/>
    <w:rsid w:val="00125A9C"/>
    <w:rsid w:val="00126C8F"/>
    <w:rsid w:val="001270A2"/>
    <w:rsid w:val="00131237"/>
    <w:rsid w:val="001314AB"/>
    <w:rsid w:val="00131541"/>
    <w:rsid w:val="00132176"/>
    <w:rsid w:val="001329AC"/>
    <w:rsid w:val="00134CA0"/>
    <w:rsid w:val="001354DB"/>
    <w:rsid w:val="0014026F"/>
    <w:rsid w:val="0014457F"/>
    <w:rsid w:val="00147A47"/>
    <w:rsid w:val="00147AA1"/>
    <w:rsid w:val="001520CF"/>
    <w:rsid w:val="00152EBE"/>
    <w:rsid w:val="00154C80"/>
    <w:rsid w:val="0015667C"/>
    <w:rsid w:val="00157110"/>
    <w:rsid w:val="0015742A"/>
    <w:rsid w:val="00157DA1"/>
    <w:rsid w:val="00163147"/>
    <w:rsid w:val="0016491A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8AB"/>
    <w:rsid w:val="00184B91"/>
    <w:rsid w:val="00184D4A"/>
    <w:rsid w:val="00186EC1"/>
    <w:rsid w:val="00187AD7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27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2CE"/>
    <w:rsid w:val="001E79DC"/>
    <w:rsid w:val="001E7D94"/>
    <w:rsid w:val="001F1832"/>
    <w:rsid w:val="001F220F"/>
    <w:rsid w:val="001F25B3"/>
    <w:rsid w:val="001F6616"/>
    <w:rsid w:val="00201F28"/>
    <w:rsid w:val="00202BD4"/>
    <w:rsid w:val="002033C2"/>
    <w:rsid w:val="00204A97"/>
    <w:rsid w:val="00207244"/>
    <w:rsid w:val="002114EF"/>
    <w:rsid w:val="00214223"/>
    <w:rsid w:val="002166AD"/>
    <w:rsid w:val="00217871"/>
    <w:rsid w:val="00221ED8"/>
    <w:rsid w:val="002231EA"/>
    <w:rsid w:val="00223B03"/>
    <w:rsid w:val="00223FDF"/>
    <w:rsid w:val="002279C0"/>
    <w:rsid w:val="00231979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46A"/>
    <w:rsid w:val="0029405D"/>
    <w:rsid w:val="00294D0C"/>
    <w:rsid w:val="00294FA6"/>
    <w:rsid w:val="00295A6F"/>
    <w:rsid w:val="002A20C4"/>
    <w:rsid w:val="002A570F"/>
    <w:rsid w:val="002A6327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3B3"/>
    <w:rsid w:val="002E1DE3"/>
    <w:rsid w:val="002E2AB6"/>
    <w:rsid w:val="002E3F34"/>
    <w:rsid w:val="002E5F79"/>
    <w:rsid w:val="002E64FA"/>
    <w:rsid w:val="002F0A00"/>
    <w:rsid w:val="002F0CFA"/>
    <w:rsid w:val="002F2BE3"/>
    <w:rsid w:val="002F669F"/>
    <w:rsid w:val="00301C97"/>
    <w:rsid w:val="00305586"/>
    <w:rsid w:val="0031004C"/>
    <w:rsid w:val="003105F6"/>
    <w:rsid w:val="00311297"/>
    <w:rsid w:val="003113BE"/>
    <w:rsid w:val="003122CA"/>
    <w:rsid w:val="00312EED"/>
    <w:rsid w:val="003148FD"/>
    <w:rsid w:val="00321080"/>
    <w:rsid w:val="00322D45"/>
    <w:rsid w:val="003234C6"/>
    <w:rsid w:val="0032569A"/>
    <w:rsid w:val="00325A1F"/>
    <w:rsid w:val="003268F9"/>
    <w:rsid w:val="00330BAF"/>
    <w:rsid w:val="00334E3A"/>
    <w:rsid w:val="003361DD"/>
    <w:rsid w:val="00337D3E"/>
    <w:rsid w:val="00341407"/>
    <w:rsid w:val="00341A6A"/>
    <w:rsid w:val="00345B4F"/>
    <w:rsid w:val="00345B9C"/>
    <w:rsid w:val="00352DAE"/>
    <w:rsid w:val="00354EB9"/>
    <w:rsid w:val="003602AE"/>
    <w:rsid w:val="00360929"/>
    <w:rsid w:val="003640F7"/>
    <w:rsid w:val="003647D5"/>
    <w:rsid w:val="003674B0"/>
    <w:rsid w:val="00370D00"/>
    <w:rsid w:val="0037727C"/>
    <w:rsid w:val="00377E70"/>
    <w:rsid w:val="00380904"/>
    <w:rsid w:val="003823EE"/>
    <w:rsid w:val="00382960"/>
    <w:rsid w:val="00383717"/>
    <w:rsid w:val="003846F7"/>
    <w:rsid w:val="00384F30"/>
    <w:rsid w:val="003851ED"/>
    <w:rsid w:val="00385B39"/>
    <w:rsid w:val="00386785"/>
    <w:rsid w:val="00387470"/>
    <w:rsid w:val="00390E89"/>
    <w:rsid w:val="00391B1A"/>
    <w:rsid w:val="00394423"/>
    <w:rsid w:val="00395EF7"/>
    <w:rsid w:val="00396059"/>
    <w:rsid w:val="00396942"/>
    <w:rsid w:val="00396B49"/>
    <w:rsid w:val="00396E3E"/>
    <w:rsid w:val="00397851"/>
    <w:rsid w:val="003A1EB0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67E"/>
    <w:rsid w:val="003C55B0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D26"/>
    <w:rsid w:val="00421085"/>
    <w:rsid w:val="0042120D"/>
    <w:rsid w:val="00423E18"/>
    <w:rsid w:val="0042465E"/>
    <w:rsid w:val="00424DF7"/>
    <w:rsid w:val="00426143"/>
    <w:rsid w:val="00432B76"/>
    <w:rsid w:val="00434D01"/>
    <w:rsid w:val="00435D26"/>
    <w:rsid w:val="00440C99"/>
    <w:rsid w:val="0044175C"/>
    <w:rsid w:val="00445F4D"/>
    <w:rsid w:val="004504C0"/>
    <w:rsid w:val="004550FB"/>
    <w:rsid w:val="00455FFD"/>
    <w:rsid w:val="0046111A"/>
    <w:rsid w:val="0046171F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D71"/>
    <w:rsid w:val="004A2001"/>
    <w:rsid w:val="004A3590"/>
    <w:rsid w:val="004A432B"/>
    <w:rsid w:val="004A7142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27E"/>
    <w:rsid w:val="004D7FD9"/>
    <w:rsid w:val="004E1324"/>
    <w:rsid w:val="004E19A5"/>
    <w:rsid w:val="004E37E5"/>
    <w:rsid w:val="004E3FDB"/>
    <w:rsid w:val="004E6A3A"/>
    <w:rsid w:val="004F1A8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884"/>
    <w:rsid w:val="00511D99"/>
    <w:rsid w:val="005128D3"/>
    <w:rsid w:val="005147E8"/>
    <w:rsid w:val="005158F2"/>
    <w:rsid w:val="00523BE7"/>
    <w:rsid w:val="0052566B"/>
    <w:rsid w:val="00526DFC"/>
    <w:rsid w:val="00526F43"/>
    <w:rsid w:val="00527651"/>
    <w:rsid w:val="005346C7"/>
    <w:rsid w:val="005363AB"/>
    <w:rsid w:val="00541F05"/>
    <w:rsid w:val="005446DA"/>
    <w:rsid w:val="00544EF4"/>
    <w:rsid w:val="00545E53"/>
    <w:rsid w:val="005479D9"/>
    <w:rsid w:val="00556146"/>
    <w:rsid w:val="005572BD"/>
    <w:rsid w:val="00557A12"/>
    <w:rsid w:val="00557DE8"/>
    <w:rsid w:val="00560AC7"/>
    <w:rsid w:val="00561AFB"/>
    <w:rsid w:val="00561FA8"/>
    <w:rsid w:val="005635ED"/>
    <w:rsid w:val="00565253"/>
    <w:rsid w:val="00570191"/>
    <w:rsid w:val="00570285"/>
    <w:rsid w:val="00570570"/>
    <w:rsid w:val="005715F2"/>
    <w:rsid w:val="00572512"/>
    <w:rsid w:val="00573EE6"/>
    <w:rsid w:val="0057455C"/>
    <w:rsid w:val="0057547F"/>
    <w:rsid w:val="005754EE"/>
    <w:rsid w:val="0057617E"/>
    <w:rsid w:val="00576497"/>
    <w:rsid w:val="005835E7"/>
    <w:rsid w:val="0058397F"/>
    <w:rsid w:val="00583BF8"/>
    <w:rsid w:val="00585F33"/>
    <w:rsid w:val="00586B1D"/>
    <w:rsid w:val="00591124"/>
    <w:rsid w:val="00597024"/>
    <w:rsid w:val="005A0274"/>
    <w:rsid w:val="005A095C"/>
    <w:rsid w:val="005A669D"/>
    <w:rsid w:val="005A75D8"/>
    <w:rsid w:val="005B1823"/>
    <w:rsid w:val="005B3959"/>
    <w:rsid w:val="005B713E"/>
    <w:rsid w:val="005C03B6"/>
    <w:rsid w:val="005C3081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167"/>
    <w:rsid w:val="00603A1A"/>
    <w:rsid w:val="006046D5"/>
    <w:rsid w:val="00607A93"/>
    <w:rsid w:val="00610C08"/>
    <w:rsid w:val="00611F74"/>
    <w:rsid w:val="00615772"/>
    <w:rsid w:val="00617DF6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0A8"/>
    <w:rsid w:val="00651B75"/>
    <w:rsid w:val="0065366C"/>
    <w:rsid w:val="00653B22"/>
    <w:rsid w:val="00655BD4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EDC"/>
    <w:rsid w:val="006840EA"/>
    <w:rsid w:val="006844E2"/>
    <w:rsid w:val="00685267"/>
    <w:rsid w:val="006872AE"/>
    <w:rsid w:val="00690082"/>
    <w:rsid w:val="00690252"/>
    <w:rsid w:val="006946BB"/>
    <w:rsid w:val="006954C2"/>
    <w:rsid w:val="006969FA"/>
    <w:rsid w:val="006A35D5"/>
    <w:rsid w:val="006A4E77"/>
    <w:rsid w:val="006A5DAD"/>
    <w:rsid w:val="006A748A"/>
    <w:rsid w:val="006B220A"/>
    <w:rsid w:val="006B265A"/>
    <w:rsid w:val="006B679D"/>
    <w:rsid w:val="006C0752"/>
    <w:rsid w:val="006C0ECF"/>
    <w:rsid w:val="006C419E"/>
    <w:rsid w:val="006C4A31"/>
    <w:rsid w:val="006C5AC2"/>
    <w:rsid w:val="006C5ADC"/>
    <w:rsid w:val="006C6AFB"/>
    <w:rsid w:val="006D2735"/>
    <w:rsid w:val="006D45B2"/>
    <w:rsid w:val="006E0FCC"/>
    <w:rsid w:val="006E1E96"/>
    <w:rsid w:val="006E5E21"/>
    <w:rsid w:val="006F0502"/>
    <w:rsid w:val="006F2648"/>
    <w:rsid w:val="006F2F10"/>
    <w:rsid w:val="006F482B"/>
    <w:rsid w:val="006F6311"/>
    <w:rsid w:val="00701952"/>
    <w:rsid w:val="00702556"/>
    <w:rsid w:val="0070277E"/>
    <w:rsid w:val="00703E1F"/>
    <w:rsid w:val="00703E77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294"/>
    <w:rsid w:val="00723629"/>
    <w:rsid w:val="00724149"/>
    <w:rsid w:val="0072457F"/>
    <w:rsid w:val="00725406"/>
    <w:rsid w:val="0072621B"/>
    <w:rsid w:val="0073004E"/>
    <w:rsid w:val="00730555"/>
    <w:rsid w:val="007308BA"/>
    <w:rsid w:val="007312CC"/>
    <w:rsid w:val="00732FC9"/>
    <w:rsid w:val="00736A64"/>
    <w:rsid w:val="00737F6A"/>
    <w:rsid w:val="007410B6"/>
    <w:rsid w:val="00742126"/>
    <w:rsid w:val="00744C6F"/>
    <w:rsid w:val="007457F6"/>
    <w:rsid w:val="00745ABB"/>
    <w:rsid w:val="00746E38"/>
    <w:rsid w:val="00747CD5"/>
    <w:rsid w:val="00753B05"/>
    <w:rsid w:val="00753B51"/>
    <w:rsid w:val="00756629"/>
    <w:rsid w:val="007575D2"/>
    <w:rsid w:val="00757B4F"/>
    <w:rsid w:val="00757B6A"/>
    <w:rsid w:val="007602D1"/>
    <w:rsid w:val="007610E0"/>
    <w:rsid w:val="007621AA"/>
    <w:rsid w:val="0076260A"/>
    <w:rsid w:val="00764A67"/>
    <w:rsid w:val="007653EE"/>
    <w:rsid w:val="0076729F"/>
    <w:rsid w:val="00770F6B"/>
    <w:rsid w:val="00771646"/>
    <w:rsid w:val="00771883"/>
    <w:rsid w:val="00776DC2"/>
    <w:rsid w:val="00780122"/>
    <w:rsid w:val="00780740"/>
    <w:rsid w:val="0078214B"/>
    <w:rsid w:val="0078498A"/>
    <w:rsid w:val="00785E6F"/>
    <w:rsid w:val="00785F14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0E59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8FC"/>
    <w:rsid w:val="007F2EB6"/>
    <w:rsid w:val="007F54C3"/>
    <w:rsid w:val="00802949"/>
    <w:rsid w:val="0080301E"/>
    <w:rsid w:val="0080365F"/>
    <w:rsid w:val="00812BE5"/>
    <w:rsid w:val="00813B66"/>
    <w:rsid w:val="00817429"/>
    <w:rsid w:val="00821514"/>
    <w:rsid w:val="00821E35"/>
    <w:rsid w:val="00822F5D"/>
    <w:rsid w:val="00824591"/>
    <w:rsid w:val="00824AED"/>
    <w:rsid w:val="00827820"/>
    <w:rsid w:val="00831B8B"/>
    <w:rsid w:val="0083405D"/>
    <w:rsid w:val="008352D4"/>
    <w:rsid w:val="00836DB9"/>
    <w:rsid w:val="00837C67"/>
    <w:rsid w:val="00840587"/>
    <w:rsid w:val="008415B0"/>
    <w:rsid w:val="00842028"/>
    <w:rsid w:val="008436B8"/>
    <w:rsid w:val="00844CBA"/>
    <w:rsid w:val="008460B6"/>
    <w:rsid w:val="00850C9D"/>
    <w:rsid w:val="00852B59"/>
    <w:rsid w:val="0085601F"/>
    <w:rsid w:val="00856272"/>
    <w:rsid w:val="008563FF"/>
    <w:rsid w:val="0086018B"/>
    <w:rsid w:val="008611DD"/>
    <w:rsid w:val="008620DE"/>
    <w:rsid w:val="00866867"/>
    <w:rsid w:val="00866AC5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A00"/>
    <w:rsid w:val="008C7233"/>
    <w:rsid w:val="008D2434"/>
    <w:rsid w:val="008E171D"/>
    <w:rsid w:val="008E2016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D4A"/>
    <w:rsid w:val="009100FB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097"/>
    <w:rsid w:val="00930D30"/>
    <w:rsid w:val="00932950"/>
    <w:rsid w:val="009332A2"/>
    <w:rsid w:val="00937598"/>
    <w:rsid w:val="00937697"/>
    <w:rsid w:val="0093790B"/>
    <w:rsid w:val="00943751"/>
    <w:rsid w:val="0094675B"/>
    <w:rsid w:val="00946DD0"/>
    <w:rsid w:val="009509E6"/>
    <w:rsid w:val="00952018"/>
    <w:rsid w:val="00952800"/>
    <w:rsid w:val="0095300D"/>
    <w:rsid w:val="00955655"/>
    <w:rsid w:val="00956812"/>
    <w:rsid w:val="0095719A"/>
    <w:rsid w:val="00957BB7"/>
    <w:rsid w:val="009623E9"/>
    <w:rsid w:val="00963EEB"/>
    <w:rsid w:val="009648BC"/>
    <w:rsid w:val="009648CC"/>
    <w:rsid w:val="00964C2F"/>
    <w:rsid w:val="00965F88"/>
    <w:rsid w:val="0097764E"/>
    <w:rsid w:val="00984E03"/>
    <w:rsid w:val="00987E85"/>
    <w:rsid w:val="009950B7"/>
    <w:rsid w:val="009A0D12"/>
    <w:rsid w:val="009A1987"/>
    <w:rsid w:val="009A2BEE"/>
    <w:rsid w:val="009A5289"/>
    <w:rsid w:val="009A7A53"/>
    <w:rsid w:val="009B0402"/>
    <w:rsid w:val="009B0870"/>
    <w:rsid w:val="009B0B75"/>
    <w:rsid w:val="009B16DF"/>
    <w:rsid w:val="009B4CB2"/>
    <w:rsid w:val="009B5D02"/>
    <w:rsid w:val="009B6701"/>
    <w:rsid w:val="009B6EF7"/>
    <w:rsid w:val="009B7000"/>
    <w:rsid w:val="009B739C"/>
    <w:rsid w:val="009C04EC"/>
    <w:rsid w:val="009C0A2C"/>
    <w:rsid w:val="009C328C"/>
    <w:rsid w:val="009C4444"/>
    <w:rsid w:val="009C5423"/>
    <w:rsid w:val="009C79AD"/>
    <w:rsid w:val="009C7CA6"/>
    <w:rsid w:val="009D0A8E"/>
    <w:rsid w:val="009D293E"/>
    <w:rsid w:val="009D3316"/>
    <w:rsid w:val="009D55AA"/>
    <w:rsid w:val="009E3E77"/>
    <w:rsid w:val="009E3FAB"/>
    <w:rsid w:val="009E5B3F"/>
    <w:rsid w:val="009E7D90"/>
    <w:rsid w:val="009F1AB0"/>
    <w:rsid w:val="009F501D"/>
    <w:rsid w:val="009F7081"/>
    <w:rsid w:val="00A0220C"/>
    <w:rsid w:val="00A039D5"/>
    <w:rsid w:val="00A04692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E43"/>
    <w:rsid w:val="00A24FCC"/>
    <w:rsid w:val="00A26A90"/>
    <w:rsid w:val="00A26B27"/>
    <w:rsid w:val="00A271DF"/>
    <w:rsid w:val="00A27F88"/>
    <w:rsid w:val="00A30E4F"/>
    <w:rsid w:val="00A32253"/>
    <w:rsid w:val="00A3310E"/>
    <w:rsid w:val="00A333A0"/>
    <w:rsid w:val="00A37E70"/>
    <w:rsid w:val="00A437E1"/>
    <w:rsid w:val="00A4685E"/>
    <w:rsid w:val="00A47BAE"/>
    <w:rsid w:val="00A50CD4"/>
    <w:rsid w:val="00A51191"/>
    <w:rsid w:val="00A56D62"/>
    <w:rsid w:val="00A56F07"/>
    <w:rsid w:val="00A5762C"/>
    <w:rsid w:val="00A600FC"/>
    <w:rsid w:val="00A60BCA"/>
    <w:rsid w:val="00A62689"/>
    <w:rsid w:val="00A638DA"/>
    <w:rsid w:val="00A65B41"/>
    <w:rsid w:val="00A65E00"/>
    <w:rsid w:val="00A66A78"/>
    <w:rsid w:val="00A7084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59E"/>
    <w:rsid w:val="00AB22C6"/>
    <w:rsid w:val="00AB2AD0"/>
    <w:rsid w:val="00AB3978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E5F"/>
    <w:rsid w:val="00AE4179"/>
    <w:rsid w:val="00AE4425"/>
    <w:rsid w:val="00AE4FBE"/>
    <w:rsid w:val="00AE650F"/>
    <w:rsid w:val="00AE6555"/>
    <w:rsid w:val="00AE7D16"/>
    <w:rsid w:val="00AF46FC"/>
    <w:rsid w:val="00AF4CAA"/>
    <w:rsid w:val="00AF571A"/>
    <w:rsid w:val="00AF60A0"/>
    <w:rsid w:val="00AF67FC"/>
    <w:rsid w:val="00AF7DF5"/>
    <w:rsid w:val="00B006E5"/>
    <w:rsid w:val="00B01135"/>
    <w:rsid w:val="00B024C2"/>
    <w:rsid w:val="00B07700"/>
    <w:rsid w:val="00B13921"/>
    <w:rsid w:val="00B1528C"/>
    <w:rsid w:val="00B16ACD"/>
    <w:rsid w:val="00B21487"/>
    <w:rsid w:val="00B232D1"/>
    <w:rsid w:val="00B23C42"/>
    <w:rsid w:val="00B24DB5"/>
    <w:rsid w:val="00B31F9E"/>
    <w:rsid w:val="00B3268F"/>
    <w:rsid w:val="00B32C2C"/>
    <w:rsid w:val="00B33A1A"/>
    <w:rsid w:val="00B33E6C"/>
    <w:rsid w:val="00B348B2"/>
    <w:rsid w:val="00B356B7"/>
    <w:rsid w:val="00B371CC"/>
    <w:rsid w:val="00B41CD9"/>
    <w:rsid w:val="00B427E6"/>
    <w:rsid w:val="00B428A6"/>
    <w:rsid w:val="00B42E23"/>
    <w:rsid w:val="00B437F1"/>
    <w:rsid w:val="00B43BB8"/>
    <w:rsid w:val="00B43E1F"/>
    <w:rsid w:val="00B45FBC"/>
    <w:rsid w:val="00B474DB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1C36"/>
    <w:rsid w:val="00B935A4"/>
    <w:rsid w:val="00B9706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684"/>
    <w:rsid w:val="00BD0648"/>
    <w:rsid w:val="00BD1040"/>
    <w:rsid w:val="00BD34AA"/>
    <w:rsid w:val="00BD71A3"/>
    <w:rsid w:val="00BE0C44"/>
    <w:rsid w:val="00BE1B8B"/>
    <w:rsid w:val="00BE2A18"/>
    <w:rsid w:val="00BE2C01"/>
    <w:rsid w:val="00BE3862"/>
    <w:rsid w:val="00BE41EC"/>
    <w:rsid w:val="00BE56FB"/>
    <w:rsid w:val="00BF3DDE"/>
    <w:rsid w:val="00BF6589"/>
    <w:rsid w:val="00BF6F7F"/>
    <w:rsid w:val="00C00647"/>
    <w:rsid w:val="00C02764"/>
    <w:rsid w:val="00C0344E"/>
    <w:rsid w:val="00C04CEF"/>
    <w:rsid w:val="00C05F2E"/>
    <w:rsid w:val="00C0662F"/>
    <w:rsid w:val="00C06AF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3E1"/>
    <w:rsid w:val="00C37194"/>
    <w:rsid w:val="00C40637"/>
    <w:rsid w:val="00C40F6C"/>
    <w:rsid w:val="00C44426"/>
    <w:rsid w:val="00C445F3"/>
    <w:rsid w:val="00C451F4"/>
    <w:rsid w:val="00C45EB1"/>
    <w:rsid w:val="00C4631F"/>
    <w:rsid w:val="00C51872"/>
    <w:rsid w:val="00C54A3A"/>
    <w:rsid w:val="00C55566"/>
    <w:rsid w:val="00C56448"/>
    <w:rsid w:val="00C667BE"/>
    <w:rsid w:val="00C6766B"/>
    <w:rsid w:val="00C71316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C0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012"/>
    <w:rsid w:val="00CD12C1"/>
    <w:rsid w:val="00CD214E"/>
    <w:rsid w:val="00CD46FA"/>
    <w:rsid w:val="00CD573C"/>
    <w:rsid w:val="00CD5973"/>
    <w:rsid w:val="00CD6F70"/>
    <w:rsid w:val="00CE31A6"/>
    <w:rsid w:val="00CF09AA"/>
    <w:rsid w:val="00CF3A21"/>
    <w:rsid w:val="00CF4813"/>
    <w:rsid w:val="00CF5233"/>
    <w:rsid w:val="00D029B8"/>
    <w:rsid w:val="00D02F60"/>
    <w:rsid w:val="00D03FFC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73C3"/>
    <w:rsid w:val="00D32721"/>
    <w:rsid w:val="00D328DC"/>
    <w:rsid w:val="00D33387"/>
    <w:rsid w:val="00D35B12"/>
    <w:rsid w:val="00D402FB"/>
    <w:rsid w:val="00D46D42"/>
    <w:rsid w:val="00D47D7A"/>
    <w:rsid w:val="00D50ABD"/>
    <w:rsid w:val="00D55290"/>
    <w:rsid w:val="00D55585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EFC"/>
    <w:rsid w:val="00D76EC9"/>
    <w:rsid w:val="00D801A9"/>
    <w:rsid w:val="00D80E7D"/>
    <w:rsid w:val="00D81397"/>
    <w:rsid w:val="00D848B9"/>
    <w:rsid w:val="00D90E69"/>
    <w:rsid w:val="00D91368"/>
    <w:rsid w:val="00D93106"/>
    <w:rsid w:val="00D933E9"/>
    <w:rsid w:val="00D94E26"/>
    <w:rsid w:val="00D9505D"/>
    <w:rsid w:val="00D953D0"/>
    <w:rsid w:val="00D959F5"/>
    <w:rsid w:val="00D96884"/>
    <w:rsid w:val="00DA3FDD"/>
    <w:rsid w:val="00DA7017"/>
    <w:rsid w:val="00DA7028"/>
    <w:rsid w:val="00DB0A5E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8C0"/>
    <w:rsid w:val="00DF7648"/>
    <w:rsid w:val="00DF7C54"/>
    <w:rsid w:val="00E00E29"/>
    <w:rsid w:val="00E02B3B"/>
    <w:rsid w:val="00E02BAB"/>
    <w:rsid w:val="00E04CEB"/>
    <w:rsid w:val="00E052CF"/>
    <w:rsid w:val="00E060BC"/>
    <w:rsid w:val="00E11420"/>
    <w:rsid w:val="00E132FB"/>
    <w:rsid w:val="00E15567"/>
    <w:rsid w:val="00E170B7"/>
    <w:rsid w:val="00E177DD"/>
    <w:rsid w:val="00E20690"/>
    <w:rsid w:val="00E20900"/>
    <w:rsid w:val="00E20C7F"/>
    <w:rsid w:val="00E2396E"/>
    <w:rsid w:val="00E24728"/>
    <w:rsid w:val="00E276AC"/>
    <w:rsid w:val="00E31E8C"/>
    <w:rsid w:val="00E32189"/>
    <w:rsid w:val="00E34A35"/>
    <w:rsid w:val="00E37C2F"/>
    <w:rsid w:val="00E40329"/>
    <w:rsid w:val="00E40B4F"/>
    <w:rsid w:val="00E41C28"/>
    <w:rsid w:val="00E44D1B"/>
    <w:rsid w:val="00E46308"/>
    <w:rsid w:val="00E51E17"/>
    <w:rsid w:val="00E52DAB"/>
    <w:rsid w:val="00E539B0"/>
    <w:rsid w:val="00E5573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511"/>
    <w:rsid w:val="00E76E60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B37"/>
    <w:rsid w:val="00EB06D9"/>
    <w:rsid w:val="00EB192B"/>
    <w:rsid w:val="00EB19ED"/>
    <w:rsid w:val="00EB1CAB"/>
    <w:rsid w:val="00EC0F5A"/>
    <w:rsid w:val="00EC4265"/>
    <w:rsid w:val="00EC4CEB"/>
    <w:rsid w:val="00EC659E"/>
    <w:rsid w:val="00ED0D79"/>
    <w:rsid w:val="00ED2072"/>
    <w:rsid w:val="00ED2AE0"/>
    <w:rsid w:val="00ED5553"/>
    <w:rsid w:val="00ED5E36"/>
    <w:rsid w:val="00ED66FE"/>
    <w:rsid w:val="00ED6961"/>
    <w:rsid w:val="00ED7904"/>
    <w:rsid w:val="00EF0B96"/>
    <w:rsid w:val="00EF3486"/>
    <w:rsid w:val="00EF47AF"/>
    <w:rsid w:val="00EF53B6"/>
    <w:rsid w:val="00EF78AF"/>
    <w:rsid w:val="00F00B73"/>
    <w:rsid w:val="00F11187"/>
    <w:rsid w:val="00F115CA"/>
    <w:rsid w:val="00F14817"/>
    <w:rsid w:val="00F14EBA"/>
    <w:rsid w:val="00F1510F"/>
    <w:rsid w:val="00F1533A"/>
    <w:rsid w:val="00F15E5A"/>
    <w:rsid w:val="00F17F0A"/>
    <w:rsid w:val="00F2668F"/>
    <w:rsid w:val="00F26918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02FF"/>
    <w:rsid w:val="00F711C9"/>
    <w:rsid w:val="00F74C59"/>
    <w:rsid w:val="00F75C3A"/>
    <w:rsid w:val="00F80F96"/>
    <w:rsid w:val="00F82E30"/>
    <w:rsid w:val="00F831CB"/>
    <w:rsid w:val="00F848A3"/>
    <w:rsid w:val="00F84ACF"/>
    <w:rsid w:val="00F85112"/>
    <w:rsid w:val="00F85742"/>
    <w:rsid w:val="00F85BF8"/>
    <w:rsid w:val="00F871CE"/>
    <w:rsid w:val="00F875DC"/>
    <w:rsid w:val="00F87802"/>
    <w:rsid w:val="00F91225"/>
    <w:rsid w:val="00F92C0A"/>
    <w:rsid w:val="00F9415B"/>
    <w:rsid w:val="00F95CD5"/>
    <w:rsid w:val="00FA13C2"/>
    <w:rsid w:val="00FA2589"/>
    <w:rsid w:val="00FA7F91"/>
    <w:rsid w:val="00FB121C"/>
    <w:rsid w:val="00FB1CDD"/>
    <w:rsid w:val="00FB1FBF"/>
    <w:rsid w:val="00FB2C2F"/>
    <w:rsid w:val="00FB305C"/>
    <w:rsid w:val="00FB5946"/>
    <w:rsid w:val="00FC2E3D"/>
    <w:rsid w:val="00FC3BDE"/>
    <w:rsid w:val="00FD1DBE"/>
    <w:rsid w:val="00FD25A7"/>
    <w:rsid w:val="00FD27B6"/>
    <w:rsid w:val="00FD3689"/>
    <w:rsid w:val="00FD42A3"/>
    <w:rsid w:val="00FD5BC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BF7E5"/>
  <w15:docId w15:val="{086A064B-3B54-46DA-99A4-5DFAC4D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B0A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D293E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1C0272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2566B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DB0A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F7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EE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EED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E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lzbieta.czerwiakowska-bojko@klimat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zerwia\Download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590F97A1E4C20A088CC0F6F6FE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27CC6-CB4F-48B3-B7B7-C8BC192F586E}"/>
      </w:docPartPr>
      <w:docPartBody>
        <w:p w:rsidR="005C5E46" w:rsidRDefault="00E45C13" w:rsidP="00E45C13">
          <w:pPr>
            <w:pStyle w:val="4F7590F97A1E4C20A088CC0F6F6FE005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D135F4D494046938C7279F95C97D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B0124-0A74-4D3F-8FD4-D956DE720CDF}"/>
      </w:docPartPr>
      <w:docPartBody>
        <w:p w:rsidR="005C5E46" w:rsidRDefault="00E45C13" w:rsidP="00E45C13">
          <w:pPr>
            <w:pStyle w:val="DD135F4D494046938C7279F95C97D3E2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13"/>
    <w:rsid w:val="0000650D"/>
    <w:rsid w:val="000314EC"/>
    <w:rsid w:val="0008512B"/>
    <w:rsid w:val="000D217E"/>
    <w:rsid w:val="000D7802"/>
    <w:rsid w:val="00120640"/>
    <w:rsid w:val="00180233"/>
    <w:rsid w:val="00185344"/>
    <w:rsid w:val="001B311F"/>
    <w:rsid w:val="001B519B"/>
    <w:rsid w:val="001B79F7"/>
    <w:rsid w:val="001E7D0C"/>
    <w:rsid w:val="002340B1"/>
    <w:rsid w:val="00246C3B"/>
    <w:rsid w:val="002C00D4"/>
    <w:rsid w:val="002C06F6"/>
    <w:rsid w:val="002D0B2F"/>
    <w:rsid w:val="003309D9"/>
    <w:rsid w:val="00391E39"/>
    <w:rsid w:val="00394378"/>
    <w:rsid w:val="003A7BEE"/>
    <w:rsid w:val="00471AEB"/>
    <w:rsid w:val="0048709A"/>
    <w:rsid w:val="004C2236"/>
    <w:rsid w:val="00500D25"/>
    <w:rsid w:val="00584F7E"/>
    <w:rsid w:val="005C3A79"/>
    <w:rsid w:val="005C5E46"/>
    <w:rsid w:val="005C7B51"/>
    <w:rsid w:val="005F6489"/>
    <w:rsid w:val="006302F8"/>
    <w:rsid w:val="006A44F5"/>
    <w:rsid w:val="006B718A"/>
    <w:rsid w:val="00725479"/>
    <w:rsid w:val="00745E5F"/>
    <w:rsid w:val="007554A5"/>
    <w:rsid w:val="00763BD2"/>
    <w:rsid w:val="007B4834"/>
    <w:rsid w:val="007C3F2D"/>
    <w:rsid w:val="007E038D"/>
    <w:rsid w:val="0086164A"/>
    <w:rsid w:val="00873DAF"/>
    <w:rsid w:val="008C4DB4"/>
    <w:rsid w:val="009177EB"/>
    <w:rsid w:val="0091797D"/>
    <w:rsid w:val="009362DC"/>
    <w:rsid w:val="00942601"/>
    <w:rsid w:val="009630CE"/>
    <w:rsid w:val="00965B98"/>
    <w:rsid w:val="009A6353"/>
    <w:rsid w:val="009E15A4"/>
    <w:rsid w:val="009E5667"/>
    <w:rsid w:val="00AB54C1"/>
    <w:rsid w:val="00B150D2"/>
    <w:rsid w:val="00B27AFC"/>
    <w:rsid w:val="00B31122"/>
    <w:rsid w:val="00B850C9"/>
    <w:rsid w:val="00BA0737"/>
    <w:rsid w:val="00BA0DBD"/>
    <w:rsid w:val="00BC4A9B"/>
    <w:rsid w:val="00BE3C44"/>
    <w:rsid w:val="00C0450F"/>
    <w:rsid w:val="00C56ED9"/>
    <w:rsid w:val="00C60986"/>
    <w:rsid w:val="00D33E29"/>
    <w:rsid w:val="00DE0984"/>
    <w:rsid w:val="00DE1286"/>
    <w:rsid w:val="00E45C13"/>
    <w:rsid w:val="00E8746C"/>
    <w:rsid w:val="00E92D2A"/>
    <w:rsid w:val="00E94B9D"/>
    <w:rsid w:val="00EE4C53"/>
    <w:rsid w:val="00F35EBD"/>
    <w:rsid w:val="00F6417E"/>
    <w:rsid w:val="00FC4CAE"/>
    <w:rsid w:val="00FD2C18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5C13"/>
    <w:rPr>
      <w:color w:val="808080"/>
    </w:rPr>
  </w:style>
  <w:style w:type="paragraph" w:customStyle="1" w:styleId="4F7590F97A1E4C20A088CC0F6F6FE005">
    <w:name w:val="4F7590F97A1E4C20A088CC0F6F6FE005"/>
    <w:rsid w:val="00E45C13"/>
  </w:style>
  <w:style w:type="paragraph" w:customStyle="1" w:styleId="DD135F4D494046938C7279F95C97D3E2">
    <w:name w:val="DD135F4D494046938C7279F95C97D3E2"/>
    <w:rsid w:val="00E45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265</TotalTime>
  <Pages>5</Pages>
  <Words>2053</Words>
  <Characters>12323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MOŁDAWSKA Agnieszka</dc:creator>
  <cp:lastModifiedBy>Machaj Maciej</cp:lastModifiedBy>
  <cp:revision>15</cp:revision>
  <cp:lastPrinted>2012-04-23T06:39:00Z</cp:lastPrinted>
  <dcterms:created xsi:type="dcterms:W3CDTF">2023-08-31T06:21:00Z</dcterms:created>
  <dcterms:modified xsi:type="dcterms:W3CDTF">2023-09-19T13:08:00Z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