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F712" w14:textId="7805784F" w:rsidR="0007628B" w:rsidRDefault="0007628B" w:rsidP="0007628B">
      <w:pPr>
        <w:pStyle w:val="OZNPROJEKTUwskazaniedatylubwersjiprojektu"/>
      </w:pPr>
      <w:r>
        <w:t xml:space="preserve">Projekt z </w:t>
      </w:r>
      <w:r w:rsidR="00F93E9B">
        <w:t xml:space="preserve">30 </w:t>
      </w:r>
      <w:r w:rsidR="00DD1553">
        <w:t>sierpnia</w:t>
      </w:r>
      <w:r w:rsidR="00114D9C">
        <w:t xml:space="preserve"> 2023</w:t>
      </w:r>
      <w:r>
        <w:t xml:space="preserve"> r.</w:t>
      </w:r>
    </w:p>
    <w:p w14:paraId="6BD83BFB" w14:textId="77777777" w:rsidR="0007628B" w:rsidRDefault="0007628B" w:rsidP="0007628B">
      <w:pPr>
        <w:pStyle w:val="OZNRODZAKTUtznustawalubrozporzdzenieiorganwydajcy"/>
      </w:pPr>
    </w:p>
    <w:p w14:paraId="3AF119CB" w14:textId="7AC26D77" w:rsidR="0007628B" w:rsidRPr="0007628B" w:rsidRDefault="0007628B" w:rsidP="0007628B">
      <w:pPr>
        <w:pStyle w:val="OZNRODZAKTUtznustawalubrozporzdzenieiorganwydajcy"/>
      </w:pPr>
      <w:r w:rsidRPr="0007628B">
        <w:t>ROZPORZĄDZENIE</w:t>
      </w:r>
      <w:r w:rsidRPr="0007628B">
        <w:br/>
        <w:t xml:space="preserve">MINISTRA </w:t>
      </w:r>
      <w:r w:rsidR="00622DE6">
        <w:t>FUNDUSZY I POLITYKI REGIONALNE</w:t>
      </w:r>
      <w:r w:rsidR="00114D9C">
        <w:t>j</w:t>
      </w:r>
      <w:r w:rsidR="00114D9C">
        <w:rPr>
          <w:rStyle w:val="Odwoanieprzypisudolnego"/>
        </w:rPr>
        <w:footnoteReference w:id="1"/>
      </w:r>
      <w:r w:rsidR="009449DC" w:rsidRPr="009449DC">
        <w:rPr>
          <w:rStyle w:val="IGindeksgrny"/>
        </w:rPr>
        <w:t>)</w:t>
      </w:r>
    </w:p>
    <w:p w14:paraId="4E775F1E" w14:textId="24499F41" w:rsidR="0007628B" w:rsidRPr="0007628B" w:rsidRDefault="0007628B" w:rsidP="0007628B">
      <w:pPr>
        <w:pStyle w:val="DATAAKTUdatauchwalenialubwydaniaaktu"/>
      </w:pPr>
      <w:r w:rsidRPr="0007628B">
        <w:t>z dnia … ……. 202</w:t>
      </w:r>
      <w:r w:rsidR="00114D9C">
        <w:t>3</w:t>
      </w:r>
      <w:r w:rsidRPr="0007628B">
        <w:t> r.</w:t>
      </w:r>
    </w:p>
    <w:p w14:paraId="5488E64D" w14:textId="7EADD2FB" w:rsidR="0007628B" w:rsidRPr="0007628B" w:rsidRDefault="0007628B" w:rsidP="0007628B">
      <w:pPr>
        <w:pStyle w:val="TYTUAKTUprzedmiotregulacjiustawylubrozporzdzenia"/>
      </w:pPr>
      <w:bookmarkStart w:id="0" w:name="_Hlk141097363"/>
      <w:r w:rsidRPr="0007628B">
        <w:t xml:space="preserve">w sprawie pomocy publicznej </w:t>
      </w:r>
      <w:r w:rsidR="00622DE6" w:rsidRPr="00622DE6">
        <w:t xml:space="preserve">na realizację </w:t>
      </w:r>
      <w:r w:rsidR="00622DE6">
        <w:t>projektów</w:t>
      </w:r>
      <w:r w:rsidR="00622DE6" w:rsidRPr="00622DE6">
        <w:t xml:space="preserve"> w zakresie transportu intermodalnego w ramach programu Fundusze Europejskie na Infrastrukturę, Klimat, Środowisko 2021</w:t>
      </w:r>
      <w:r w:rsidR="00EE6B08" w:rsidRPr="0007628B">
        <w:t>–</w:t>
      </w:r>
      <w:r w:rsidR="00622DE6" w:rsidRPr="00622DE6">
        <w:t>2027</w:t>
      </w:r>
    </w:p>
    <w:p w14:paraId="22F80119" w14:textId="358DDE10" w:rsidR="0007628B" w:rsidRPr="0007628B" w:rsidRDefault="0007628B" w:rsidP="0007628B">
      <w:pPr>
        <w:pStyle w:val="NIEARTTEKSTtekstnieartykuowanynppodstprawnarozplubpreambua"/>
      </w:pPr>
      <w:bookmarkStart w:id="1" w:name="18353927"/>
      <w:bookmarkEnd w:id="0"/>
      <w:bookmarkEnd w:id="1"/>
      <w:r w:rsidRPr="0007628B">
        <w:t>Na podstawie art. </w:t>
      </w:r>
      <w:r>
        <w:t>30</w:t>
      </w:r>
      <w:r w:rsidRPr="0007628B">
        <w:t xml:space="preserve"> ust. 4 ustawy z dnia 28 kwietnia 2022 r. o zasadach realizacji zadań finansowanych ze środków europejskich w perspektywie finansowej 2021</w:t>
      </w:r>
      <w:r w:rsidR="00EE6B08" w:rsidRPr="0007628B">
        <w:t>–</w:t>
      </w:r>
      <w:r w:rsidRPr="0007628B">
        <w:t>2027 (Dz. U. z Dz.</w:t>
      </w:r>
      <w:r w:rsidR="00EE6B08">
        <w:t xml:space="preserve"> </w:t>
      </w:r>
      <w:r w:rsidRPr="0007628B">
        <w:t>U. poz. 1079) zarządza się, co następuje:</w:t>
      </w:r>
    </w:p>
    <w:p w14:paraId="1F4EEFDB" w14:textId="1E8CD70B" w:rsidR="0007628B" w:rsidRPr="0007628B" w:rsidRDefault="0007628B" w:rsidP="0007628B">
      <w:pPr>
        <w:pStyle w:val="ARTartustawynprozporzdzenia"/>
      </w:pPr>
      <w:bookmarkStart w:id="2" w:name="18353928"/>
      <w:bookmarkEnd w:id="2"/>
      <w:r w:rsidRPr="0007628B">
        <w:rPr>
          <w:rStyle w:val="Ppogrubienie"/>
        </w:rPr>
        <w:t>§ 1.</w:t>
      </w:r>
      <w:r w:rsidRPr="0007628B">
        <w:t xml:space="preserve"> Rozporządzenie określa szczegółowe przeznaczenie, warunki i tryb udzielania pomocy publicznej na realizację </w:t>
      </w:r>
      <w:r w:rsidR="00CA3206">
        <w:t>projektów</w:t>
      </w:r>
      <w:r w:rsidRPr="0007628B">
        <w:t xml:space="preserve"> w zakresie transportu intermodalnego, zwanej dalej „pomocą”, w ramach </w:t>
      </w:r>
      <w:r w:rsidR="00114D9C">
        <w:t xml:space="preserve">programu </w:t>
      </w:r>
      <w:r w:rsidRPr="0007628B">
        <w:t>Fundusze Europejskie na Infrastrukturę, Klimat, Środowisko 2021</w:t>
      </w:r>
      <w:r w:rsidR="00EE6B08" w:rsidRPr="0007628B">
        <w:t>–</w:t>
      </w:r>
      <w:r w:rsidRPr="006E668D">
        <w:t>2027, zwanego dalej „programem”</w:t>
      </w:r>
      <w:r w:rsidR="006E668D" w:rsidRPr="006E668D">
        <w:t>, a także podmiot udzielający pomocy</w:t>
      </w:r>
      <w:r w:rsidRPr="006E668D">
        <w:t>.</w:t>
      </w:r>
    </w:p>
    <w:p w14:paraId="32545AE2" w14:textId="77777777" w:rsidR="0007628B" w:rsidRPr="0007628B" w:rsidRDefault="0007628B" w:rsidP="0007628B">
      <w:pPr>
        <w:pStyle w:val="ARTartustawynprozporzdzenia"/>
      </w:pPr>
      <w:bookmarkStart w:id="3" w:name="18353929"/>
      <w:bookmarkEnd w:id="3"/>
      <w:r w:rsidRPr="0007628B">
        <w:rPr>
          <w:rStyle w:val="Ppogrubienie"/>
        </w:rPr>
        <w:t>§ 2.</w:t>
      </w:r>
      <w:r w:rsidRPr="0007628B">
        <w:t xml:space="preserve"> Ilekroć w rozporządzeniu jest mowa o:</w:t>
      </w:r>
    </w:p>
    <w:p w14:paraId="692F5E06" w14:textId="77777777" w:rsidR="0007628B" w:rsidRPr="0007628B" w:rsidRDefault="0007628B" w:rsidP="0007628B">
      <w:pPr>
        <w:pStyle w:val="PKTpunkt"/>
      </w:pPr>
      <w:r w:rsidRPr="0007628B">
        <w:t>1) </w:t>
      </w:r>
      <w:r w:rsidRPr="0007628B">
        <w:tab/>
        <w:t>intermodalnej jednostce ładunkowej – należy przez to rozumieć jednostkę ładunkową umożliwiającą przewóz towarów z wykorzystaniem różnych gałęzi transportu na całej trasie przewozu bez konieczności przeładunku towarów do innej jednostki ładunkowej przy zmianie gałęzi transportu;</w:t>
      </w:r>
    </w:p>
    <w:p w14:paraId="593708C9" w14:textId="77777777" w:rsidR="0007628B" w:rsidRPr="0007628B" w:rsidRDefault="0007628B" w:rsidP="0007628B">
      <w:pPr>
        <w:pStyle w:val="PKTpunkt"/>
      </w:pPr>
      <w:r w:rsidRPr="0007628B">
        <w:t>2) </w:t>
      </w:r>
      <w:r w:rsidRPr="0007628B">
        <w:tab/>
        <w:t>operatorze – należy przez to rozumieć przedsiębiorcę świadczącego usługi terminalowe w zakresie obsługi intermodalnych jednostek ładunkowych;</w:t>
      </w:r>
    </w:p>
    <w:p w14:paraId="001BC512" w14:textId="00B03607" w:rsidR="0007628B" w:rsidRPr="0007628B" w:rsidRDefault="0007628B" w:rsidP="0007628B">
      <w:pPr>
        <w:pStyle w:val="PKTpunkt"/>
      </w:pPr>
      <w:r w:rsidRPr="0007628B">
        <w:t>3)</w:t>
      </w:r>
      <w:r w:rsidRPr="0007628B">
        <w:tab/>
        <w:t xml:space="preserve">podmiocie udostępniającym tabor kolejowy – należy przez to rozumieć przedsiębiorcę prowadzącego działalność gospodarczą polegającą na udostępnianiu do korzystania taboru kolejowego służącego wykonywaniu transportu intermodalnego mającego swój początek lub koniec na terytorium Rzeczypospolitej Polskiej lub przebiegającego przez terytorium Rzeczypospolitej Polskiej przedsiębiorcom wykonującym ten rodzaj </w:t>
      </w:r>
      <w:r w:rsidRPr="0007628B">
        <w:lastRenderedPageBreak/>
        <w:t>transportu, z wyłączeniem samodzielnego wykonywania transportu intermodalnego przez podmiot udostępniający tabor kolejowy;</w:t>
      </w:r>
    </w:p>
    <w:p w14:paraId="4463FFC8" w14:textId="16DC9D78" w:rsidR="0007628B" w:rsidRPr="0007628B" w:rsidRDefault="002E1984" w:rsidP="0007628B">
      <w:pPr>
        <w:pStyle w:val="PKTpunkt"/>
      </w:pPr>
      <w:r>
        <w:t>4</w:t>
      </w:r>
      <w:r w:rsidR="0007628B" w:rsidRPr="0007628B">
        <w:t>)</w:t>
      </w:r>
      <w:r w:rsidR="0007628B" w:rsidRPr="0007628B">
        <w:tab/>
        <w:t xml:space="preserve">terminalu intermodalnym – należy przez to rozumieć </w:t>
      </w:r>
      <w:r w:rsidR="00114D9C" w:rsidRPr="006E6C9D">
        <w:t>znajdujący się na terytorium Rzeczypospolitej Polskiej</w:t>
      </w:r>
      <w:r w:rsidR="00114D9C" w:rsidRPr="0007628B">
        <w:t xml:space="preserve"> </w:t>
      </w:r>
      <w:r w:rsidR="0007628B" w:rsidRPr="0007628B">
        <w:t>obiekt budowlany lub zespół obiektów budowlanych</w:t>
      </w:r>
      <w:r w:rsidR="00CE7F91">
        <w:t>,</w:t>
      </w:r>
      <w:r w:rsidR="0007628B" w:rsidRPr="0007628B">
        <w:t xml:space="preserve"> trwale związany z gruntem</w:t>
      </w:r>
      <w:r w:rsidR="00CE7F91">
        <w:t>,</w:t>
      </w:r>
      <w:r w:rsidR="0007628B" w:rsidRPr="0007628B">
        <w:t xml:space="preserve"> wraz z urządzeniami specjalistycznymi i infrastrukturą, które umożliwiają prowadzenie działalności polegającej na załadunku, wyładunku lub innych czynnościach ładunkowych, a także czasowym składowaniu intermodalnych jednostek ładunkowych;</w:t>
      </w:r>
    </w:p>
    <w:p w14:paraId="4B5876FF" w14:textId="7C51B98C" w:rsidR="0007628B" w:rsidRPr="0007628B" w:rsidRDefault="002E1984" w:rsidP="0007628B">
      <w:pPr>
        <w:pStyle w:val="PKTpunkt"/>
      </w:pPr>
      <w:r>
        <w:t>5</w:t>
      </w:r>
      <w:r w:rsidR="0007628B" w:rsidRPr="0007628B">
        <w:t>)</w:t>
      </w:r>
      <w:r w:rsidR="0007628B" w:rsidRPr="0007628B">
        <w:tab/>
      </w:r>
      <w:r w:rsidR="00114D9C" w:rsidRPr="0034514E">
        <w:t>transporcie intermodalnym – należy przez to rozumieć przewóz towarów z</w:t>
      </w:r>
      <w:r w:rsidR="00114D9C">
        <w:t> </w:t>
      </w:r>
      <w:r w:rsidR="00114D9C" w:rsidRPr="0034514E">
        <w:t>wykorzystaniem więcej niż jednej gałęzi transportu</w:t>
      </w:r>
      <w:r w:rsidR="00114D9C">
        <w:t>,</w:t>
      </w:r>
      <w:r w:rsidR="00114D9C" w:rsidRPr="0034514E">
        <w:t xml:space="preserve"> realizowany z wykorzystaniem </w:t>
      </w:r>
      <w:r w:rsidR="00114D9C">
        <w:t>tej samej</w:t>
      </w:r>
      <w:r w:rsidR="00114D9C" w:rsidRPr="0034514E">
        <w:t xml:space="preserve"> intermodalnej jednostki ładunkowej, bez </w:t>
      </w:r>
      <w:r w:rsidR="00114D9C">
        <w:t>rozformowania</w:t>
      </w:r>
      <w:r w:rsidR="00114D9C" w:rsidRPr="0034514E">
        <w:t xml:space="preserve"> tej jednostki, na całej trasie przewozu</w:t>
      </w:r>
      <w:r w:rsidR="00114D9C">
        <w:t>;</w:t>
      </w:r>
      <w:r w:rsidR="00114D9C" w:rsidRPr="0034514E">
        <w:t xml:space="preserve"> </w:t>
      </w:r>
      <w:r w:rsidR="00114D9C">
        <w:t>w</w:t>
      </w:r>
      <w:r w:rsidR="00114D9C" w:rsidRPr="0034514E">
        <w:t xml:space="preserve">yjątkowo do </w:t>
      </w:r>
      <w:r w:rsidR="00114D9C">
        <w:t>rozformowania intermodalnej</w:t>
      </w:r>
      <w:r w:rsidR="00114D9C" w:rsidRPr="0034514E">
        <w:t xml:space="preserve"> jednostki ładunkowej może dochodzić w przypadku jednostki specjalistycznej przeznaczonej do transportu produktów rolnych</w:t>
      </w:r>
      <w:r w:rsidR="00114D9C">
        <w:t>,</w:t>
      </w:r>
      <w:r w:rsidR="00114D9C" w:rsidRPr="0034514E">
        <w:t xml:space="preserve"> </w:t>
      </w:r>
      <w:r w:rsidR="00114D9C">
        <w:t>podczas</w:t>
      </w:r>
      <w:r w:rsidR="00114D9C" w:rsidRPr="0034514E">
        <w:t xml:space="preserve"> przeładunku na statek w porcie morskim lub śródlądowym;</w:t>
      </w:r>
    </w:p>
    <w:p w14:paraId="1BD9E69C" w14:textId="7B8DDA5D" w:rsidR="0007628B" w:rsidRPr="0007628B" w:rsidRDefault="002E1984" w:rsidP="0007628B">
      <w:pPr>
        <w:pStyle w:val="PKTpunkt"/>
      </w:pPr>
      <w:r>
        <w:t>6</w:t>
      </w:r>
      <w:r w:rsidR="0007628B" w:rsidRPr="0007628B">
        <w:t>)</w:t>
      </w:r>
      <w:r w:rsidR="0007628B" w:rsidRPr="0007628B">
        <w:tab/>
        <w:t>usługach terminalowych – należy przez to rozumieć usługi polegające na załadunku, wyładunku lub innych czynnościach ładunkowych, a także czasowym składowaniu intermodalnych jednostek ładunkowych.</w:t>
      </w:r>
    </w:p>
    <w:p w14:paraId="1170BD93" w14:textId="46FBCEEB" w:rsidR="0007628B" w:rsidRPr="0007628B" w:rsidRDefault="0007628B" w:rsidP="0007628B">
      <w:pPr>
        <w:pStyle w:val="ARTartustawynprozporzdzenia"/>
      </w:pPr>
      <w:bookmarkStart w:id="4" w:name="18353930"/>
      <w:bookmarkEnd w:id="4"/>
      <w:r w:rsidRPr="0007628B">
        <w:rPr>
          <w:rStyle w:val="Ppogrubienie"/>
        </w:rPr>
        <w:t xml:space="preserve">§ 3. </w:t>
      </w:r>
      <w:r w:rsidRPr="0007628B">
        <w:t xml:space="preserve">1. Pomoc może być udzielona </w:t>
      </w:r>
      <w:r w:rsidR="00114D9C" w:rsidRPr="00114D9C">
        <w:t>przedsiębiorcy jednego z państw członkowskich Unii Europejskiej lub Europejskiego Porozumienia o Wolnym Handlu (EFTA), mającemu siedzibę, oddział lub przedstawicielstwo na terytorium Rzeczypospolitej Polskiej, na realizację p</w:t>
      </w:r>
      <w:r w:rsidR="009541FF">
        <w:t>rojektu</w:t>
      </w:r>
      <w:r w:rsidR="00114D9C" w:rsidRPr="00114D9C">
        <w:t xml:space="preserve"> w zakresie transportu intermodalnego na terytorium Rzeczypospolitej Polskiej, obejmującego:</w:t>
      </w:r>
    </w:p>
    <w:p w14:paraId="2D256E25" w14:textId="093AFB99" w:rsidR="0007628B" w:rsidRPr="0007628B" w:rsidRDefault="0007628B" w:rsidP="0007628B">
      <w:pPr>
        <w:pStyle w:val="PKTpunkt"/>
      </w:pPr>
      <w:r w:rsidRPr="0007628B">
        <w:t>1)</w:t>
      </w:r>
      <w:r w:rsidRPr="0007628B">
        <w:tab/>
        <w:t xml:space="preserve">budowę lub przebudowę infrastruktury terminali intermodalnych, w tym infrastruktury dedykowanej, w rozumieniu art. 2 pkt 33 rozporządzenia Komisji (UE) nr 651/2014 z dnia 17 czerwca 2014 r. uznającego niektóre rodzaje pomocy za zgodne z rynkiem wewnętrznym w zastosowaniu art. 107 i 108 Traktatu (Dz. Urz. UE L 187 z 26.06.2014, str. 1, z </w:t>
      </w:r>
      <w:proofErr w:type="spellStart"/>
      <w:r w:rsidRPr="0007628B">
        <w:t>późn</w:t>
      </w:r>
      <w:proofErr w:type="spellEnd"/>
      <w:r w:rsidRPr="0007628B">
        <w:t>. zm.</w:t>
      </w:r>
      <w:r w:rsidR="00114D9C">
        <w:rPr>
          <w:rStyle w:val="Odwoanieprzypisudolnego"/>
        </w:rPr>
        <w:footnoteReference w:id="2"/>
      </w:r>
      <w:r w:rsidRPr="0007628B">
        <w:rPr>
          <w:rStyle w:val="IGindeksgrny"/>
        </w:rPr>
        <w:t>)</w:t>
      </w:r>
      <w:r w:rsidRPr="0007628B">
        <w:t>), w zakresie infrastruktury drogowej, bocznic lub linii kolejowych, które służą połączeniu terminali intermodalnych z siecią drogową lub siecią kolejową;</w:t>
      </w:r>
    </w:p>
    <w:p w14:paraId="0FFF4EB2" w14:textId="77777777" w:rsidR="0007628B" w:rsidRPr="0007628B" w:rsidRDefault="0007628B" w:rsidP="0007628B">
      <w:pPr>
        <w:pStyle w:val="PKTpunkt"/>
      </w:pPr>
      <w:r w:rsidRPr="0007628B">
        <w:t>2)</w:t>
      </w:r>
      <w:r w:rsidRPr="0007628B">
        <w:tab/>
        <w:t>zakup lub modernizację urządzeń niezbędnych do obsługi terminali intermodalnych;</w:t>
      </w:r>
    </w:p>
    <w:p w14:paraId="507AC08E" w14:textId="7953B10B" w:rsidR="0007628B" w:rsidRPr="0007628B" w:rsidRDefault="0007628B" w:rsidP="0007628B">
      <w:pPr>
        <w:pStyle w:val="PKTpunkt"/>
      </w:pPr>
      <w:r w:rsidRPr="0007628B">
        <w:lastRenderedPageBreak/>
        <w:t>3)</w:t>
      </w:r>
      <w:r w:rsidRPr="0007628B">
        <w:tab/>
      </w:r>
      <w:r w:rsidR="009449DC" w:rsidRPr="0034514E">
        <w:t>zakup</w:t>
      </w:r>
      <w:r w:rsidR="009449DC">
        <w:t xml:space="preserve"> lub</w:t>
      </w:r>
      <w:r w:rsidR="009449DC" w:rsidRPr="0034514E">
        <w:t xml:space="preserve"> modernizację </w:t>
      </w:r>
      <w:r w:rsidR="009449DC">
        <w:t>i</w:t>
      </w:r>
      <w:r w:rsidR="009449DC" w:rsidRPr="0034514E">
        <w:t xml:space="preserve"> wdrożenie systemów</w:t>
      </w:r>
      <w:r w:rsidR="009449DC">
        <w:t xml:space="preserve"> informatycznych</w:t>
      </w:r>
      <w:r w:rsidR="009449DC" w:rsidRPr="008000CB">
        <w:t xml:space="preserve"> </w:t>
      </w:r>
      <w:r w:rsidR="009449DC">
        <w:t>niezbędnych do obsługi terminali intermodalnych</w:t>
      </w:r>
      <w:r w:rsidR="009449DC" w:rsidRPr="0034514E">
        <w:t xml:space="preserve"> </w:t>
      </w:r>
      <w:r w:rsidR="009449DC">
        <w:t xml:space="preserve">oraz systemów </w:t>
      </w:r>
      <w:proofErr w:type="spellStart"/>
      <w:r w:rsidR="009449DC" w:rsidRPr="0034514E">
        <w:t>telematycznych</w:t>
      </w:r>
      <w:proofErr w:type="spellEnd"/>
      <w:r w:rsidR="009449DC" w:rsidRPr="0034514E">
        <w:t xml:space="preserve"> i satelitarnych związanych z transportem intermodalnym</w:t>
      </w:r>
      <w:r w:rsidRPr="0007628B">
        <w:t>;</w:t>
      </w:r>
    </w:p>
    <w:p w14:paraId="1039E2C7" w14:textId="77777777" w:rsidR="0007628B" w:rsidRPr="0007628B" w:rsidRDefault="0007628B" w:rsidP="0007628B">
      <w:pPr>
        <w:pStyle w:val="PKTpunkt"/>
      </w:pPr>
      <w:r w:rsidRPr="0007628B">
        <w:t>4)</w:t>
      </w:r>
      <w:r w:rsidRPr="0007628B">
        <w:tab/>
        <w:t>zakup nowego lub zmodernizowanego taboru kolejowego służącego wyłącznie do wykonywania transportu intermodalnego – jeżeli przedsiębiorca nie jest podmiotem udostępniającym tabor kolejowy;</w:t>
      </w:r>
    </w:p>
    <w:p w14:paraId="17BDA1F2" w14:textId="77777777" w:rsidR="0007628B" w:rsidRPr="0007628B" w:rsidRDefault="0007628B" w:rsidP="0007628B">
      <w:pPr>
        <w:pStyle w:val="PKTpunkt"/>
      </w:pPr>
      <w:r w:rsidRPr="0007628B">
        <w:t>5)</w:t>
      </w:r>
      <w:r w:rsidRPr="0007628B">
        <w:tab/>
        <w:t>zakup nowego taboru kolejowego służącego wyłącznie do wykonywania transportu intermodalnego – jeżeli przedsiębiorca jest podmiotem udostępniającym tabor kolejowy.</w:t>
      </w:r>
    </w:p>
    <w:p w14:paraId="60FA767C" w14:textId="77777777" w:rsidR="0007628B" w:rsidRPr="0007628B" w:rsidRDefault="0007628B" w:rsidP="0007628B">
      <w:pPr>
        <w:pStyle w:val="USTustnpkodeksu"/>
      </w:pPr>
      <w:r w:rsidRPr="0007628B">
        <w:t>2. Pomoc nie może być udzielana lub wypłacana przedsiębiorcy:</w:t>
      </w:r>
    </w:p>
    <w:p w14:paraId="03A06E62" w14:textId="77777777" w:rsidR="0007628B" w:rsidRPr="0007628B" w:rsidRDefault="0007628B" w:rsidP="0007628B">
      <w:pPr>
        <w:pStyle w:val="PKTpunkt"/>
      </w:pPr>
      <w:r w:rsidRPr="0007628B">
        <w:t>1)</w:t>
      </w:r>
      <w:r w:rsidRPr="0007628B">
        <w:tab/>
        <w:t>na którym ciąży obowiązek zwrotu pomocy publicznej, wynikający z decyzji Komisji Europejskiej uznającej pomoc publiczną za niezgodną z rynkiem wewnętrznym Unii Europejskiej;</w:t>
      </w:r>
    </w:p>
    <w:p w14:paraId="3CB75854" w14:textId="2D9F1E20" w:rsidR="0007628B" w:rsidRPr="0007628B" w:rsidRDefault="0007628B" w:rsidP="0007628B">
      <w:pPr>
        <w:pStyle w:val="PKTpunkt"/>
      </w:pPr>
      <w:r w:rsidRPr="0007628B">
        <w:t>2)</w:t>
      </w:r>
      <w:r w:rsidRPr="0007628B">
        <w:tab/>
        <w:t>znajdującemu się w trudnej sytuacji zdefiniowanej w pkt 20 komunikatu Komisji – Wytyczne dotyczące pomocy państwa na ratowanie i restrukturyzację przedsiębiorstw niefinansowych znajdujących się w trudnej sytuacji (Dz. Urz. UE C 249 z 31.07.2014, str. 1</w:t>
      </w:r>
      <w:r w:rsidR="009449DC">
        <w:t xml:space="preserve">, z </w:t>
      </w:r>
      <w:proofErr w:type="spellStart"/>
      <w:r w:rsidR="009449DC">
        <w:t>późn</w:t>
      </w:r>
      <w:proofErr w:type="spellEnd"/>
      <w:r w:rsidR="009449DC">
        <w:t>. zm.</w:t>
      </w:r>
      <w:r w:rsidR="009449DC">
        <w:rPr>
          <w:rStyle w:val="Odwoanieprzypisudolnego"/>
        </w:rPr>
        <w:footnoteReference w:id="3"/>
      </w:r>
      <w:r w:rsidR="009449DC" w:rsidRPr="009449DC">
        <w:rPr>
          <w:rStyle w:val="IGindeksgrny"/>
        </w:rPr>
        <w:t>)</w:t>
      </w:r>
      <w:r w:rsidR="009449DC">
        <w:t>),</w:t>
      </w:r>
      <w:r w:rsidRPr="0007628B">
        <w:t xml:space="preserve"> zwanych dalej „wytycznymi”</w:t>
      </w:r>
      <w:r w:rsidR="00CE7F91" w:rsidRPr="00CE7F91">
        <w:t>.</w:t>
      </w:r>
      <w:r w:rsidRPr="0007628B">
        <w:t xml:space="preserve"> </w:t>
      </w:r>
      <w:bookmarkStart w:id="6" w:name="18353931"/>
      <w:bookmarkEnd w:id="6"/>
    </w:p>
    <w:p w14:paraId="60C4673B" w14:textId="77777777" w:rsidR="0007628B" w:rsidRPr="0007628B" w:rsidRDefault="0007628B" w:rsidP="0007628B">
      <w:pPr>
        <w:pStyle w:val="PKTpunkt"/>
      </w:pPr>
      <w:r w:rsidRPr="0007628B">
        <w:rPr>
          <w:rStyle w:val="Ppogrubienie"/>
        </w:rPr>
        <w:t>§ 4.</w:t>
      </w:r>
      <w:r w:rsidRPr="0007628B">
        <w:t xml:space="preserve"> 1. Przedsiębiorca może otrzymać pomoc, jeżeli:</w:t>
      </w:r>
    </w:p>
    <w:p w14:paraId="69B91EAB" w14:textId="041092FA" w:rsidR="0007628B" w:rsidRPr="0007628B" w:rsidRDefault="0007628B" w:rsidP="0007628B">
      <w:pPr>
        <w:pStyle w:val="PKTpunkt"/>
      </w:pPr>
      <w:r w:rsidRPr="0007628B">
        <w:t>1)</w:t>
      </w:r>
      <w:r w:rsidRPr="0007628B">
        <w:tab/>
        <w:t xml:space="preserve">zakres realizacji </w:t>
      </w:r>
      <w:r w:rsidR="00CA3206">
        <w:t>projektu</w:t>
      </w:r>
      <w:r w:rsidRPr="0007628B">
        <w:t xml:space="preserve"> jest zgodny z § 3 ust. 1;</w:t>
      </w:r>
    </w:p>
    <w:p w14:paraId="7DDA76F6" w14:textId="6BBF8D78" w:rsidR="0007628B" w:rsidRPr="0094050E" w:rsidRDefault="0007628B" w:rsidP="0007628B">
      <w:pPr>
        <w:pStyle w:val="PKTpunkt"/>
      </w:pPr>
      <w:r w:rsidRPr="0007628B">
        <w:t>2)</w:t>
      </w:r>
      <w:r w:rsidRPr="0007628B">
        <w:tab/>
        <w:t xml:space="preserve">wydatki kwalifikowalne na realizację </w:t>
      </w:r>
      <w:r w:rsidR="00CA3206">
        <w:t>projektu</w:t>
      </w:r>
      <w:r w:rsidRPr="0007628B">
        <w:t xml:space="preserve"> są ponoszone w zakresie określonym w </w:t>
      </w:r>
      <w:r w:rsidRPr="0094050E">
        <w:t>§ 6 ust. 1 i 3;</w:t>
      </w:r>
    </w:p>
    <w:p w14:paraId="4112AA56" w14:textId="77777777" w:rsidR="0007628B" w:rsidRPr="0094050E" w:rsidRDefault="0007628B" w:rsidP="0007628B">
      <w:pPr>
        <w:pStyle w:val="PKTpunkt"/>
      </w:pPr>
      <w:r w:rsidRPr="0094050E">
        <w:t>3)</w:t>
      </w:r>
      <w:r w:rsidRPr="0094050E">
        <w:tab/>
        <w:t>wielkość pomocy nie przekracza wartości określonej na podstawie § 5 ust. 3;</w:t>
      </w:r>
    </w:p>
    <w:p w14:paraId="041D7F89" w14:textId="0AB8647B" w:rsidR="0007628B" w:rsidRPr="0007628B" w:rsidRDefault="0007628B" w:rsidP="0007628B">
      <w:pPr>
        <w:pStyle w:val="PKTpunkt"/>
      </w:pPr>
      <w:r w:rsidRPr="0007628B">
        <w:t>4)</w:t>
      </w:r>
      <w:r w:rsidRPr="0007628B">
        <w:tab/>
        <w:t xml:space="preserve">zobowiąże się, </w:t>
      </w:r>
      <w:r w:rsidR="00CA3206" w:rsidRPr="00CA3206">
        <w:t>że projekt zachowa trwałość operacji</w:t>
      </w:r>
      <w:r w:rsidR="00CE7F91" w:rsidRPr="00CE7F91">
        <w:t xml:space="preserve">, zgodnie z art. </w:t>
      </w:r>
      <w:r w:rsidR="00CE7F91">
        <w:t>65</w:t>
      </w:r>
      <w:r w:rsidR="00CE7F91" w:rsidRPr="00CE7F91">
        <w:t xml:space="preserve"> rozporządzenia Parlamentu Europejskiego i Rady (UE) nr</w:t>
      </w:r>
      <w:r w:rsidR="00CE7F91">
        <w:t xml:space="preserve"> </w:t>
      </w:r>
      <w:r w:rsidR="00CE7F91" w:rsidRPr="00CE7F91">
        <w:t>2021/1060 z dnia 24 czerwca 2021 r. ustanawiające</w:t>
      </w:r>
      <w:r w:rsidR="00CE7F91">
        <w:t>go</w:t>
      </w:r>
      <w:r w:rsidR="00CE7F91" w:rsidRPr="00CE7F91">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w:t>
      </w:r>
      <w:r w:rsidR="00CE7F91" w:rsidRPr="00CE7F91">
        <w:lastRenderedPageBreak/>
        <w:t xml:space="preserve">Polityki </w:t>
      </w:r>
      <w:r w:rsidR="00CE7F91" w:rsidRPr="00CB7A40">
        <w:t>Wizowej (Dz. Urz. UE L 231 z 30.06.2021, str. 159</w:t>
      </w:r>
      <w:r w:rsidR="00115C8E">
        <w:rPr>
          <w:rStyle w:val="Odwoanieprzypisudolnego"/>
        </w:rPr>
        <w:footnoteReference w:id="4"/>
      </w:r>
      <w:r w:rsidR="00115C8E" w:rsidRPr="00115C8E">
        <w:rPr>
          <w:rStyle w:val="IGindeksgrny"/>
        </w:rPr>
        <w:t>)</w:t>
      </w:r>
      <w:r w:rsidR="00CE7F91" w:rsidRPr="00CB7A40">
        <w:t>)</w:t>
      </w:r>
      <w:r w:rsidR="0094050E" w:rsidRPr="00CB7A40">
        <w:t>, zwanym zwanych dalej „rozporządzeniem nr 2021/106</w:t>
      </w:r>
      <w:r w:rsidR="00CB7A40">
        <w:t>0</w:t>
      </w:r>
      <w:r w:rsidR="00CB7A40" w:rsidRPr="00CB7A40">
        <w:t>”</w:t>
      </w:r>
      <w:r w:rsidR="0094050E" w:rsidRPr="00CB7A40">
        <w:t>;</w:t>
      </w:r>
    </w:p>
    <w:p w14:paraId="7AB25986" w14:textId="57EDBAA7" w:rsidR="0007628B" w:rsidRPr="0007628B" w:rsidRDefault="0007628B" w:rsidP="0007628B">
      <w:pPr>
        <w:pStyle w:val="PKTpunkt"/>
      </w:pPr>
      <w:r w:rsidRPr="0007628B">
        <w:t>5)</w:t>
      </w:r>
      <w:r w:rsidRPr="0007628B">
        <w:tab/>
        <w:t xml:space="preserve">zobowiąże się, że przedmiot realizacji </w:t>
      </w:r>
      <w:r w:rsidR="00CA3206">
        <w:t>projektu</w:t>
      </w:r>
      <w:r w:rsidRPr="0007628B">
        <w:t xml:space="preserve"> objęty pomocą będzie wykorzystywany wyłącznie na potrzeby transportu intermodalnego;</w:t>
      </w:r>
    </w:p>
    <w:p w14:paraId="4422004D" w14:textId="3A1A70FA" w:rsidR="0007628B" w:rsidRDefault="0007628B" w:rsidP="00FC1DD8">
      <w:pPr>
        <w:pStyle w:val="PKTpunkt"/>
      </w:pPr>
      <w:r w:rsidRPr="0007628B">
        <w:t>6)</w:t>
      </w:r>
      <w:r w:rsidRPr="0007628B">
        <w:tab/>
        <w:t>zobowiąże się, że tabor kolejowy objęty pomocą będzie wykorzystywany wyłącznie do transportu intermodalnego mającego swój początek lub koniec na terytorium Rzeczypospolitej Polskiej lub przebiegającego przez terytorium Rzeczypospolitej Polskiej;</w:t>
      </w:r>
    </w:p>
    <w:p w14:paraId="41331B38" w14:textId="24F36545" w:rsidR="001D3527" w:rsidRPr="0007628B" w:rsidRDefault="00FC1DD8" w:rsidP="0007628B">
      <w:pPr>
        <w:pStyle w:val="PKTpunkt"/>
      </w:pPr>
      <w:r>
        <w:t>7</w:t>
      </w:r>
      <w:r w:rsidR="001D3527">
        <w:t>)</w:t>
      </w:r>
      <w:r w:rsidR="001D3527">
        <w:tab/>
      </w:r>
      <w:r w:rsidR="001D3527" w:rsidRPr="001D3527">
        <w:t>posiada niezbędne zezwolenia do prowadzenia danego rodzaju działalności gospodarczej.</w:t>
      </w:r>
    </w:p>
    <w:p w14:paraId="67726DED" w14:textId="733E33E3" w:rsidR="0007628B" w:rsidRPr="0007628B" w:rsidRDefault="0007628B" w:rsidP="0007628B">
      <w:pPr>
        <w:pStyle w:val="USTustnpkodeksu"/>
      </w:pPr>
      <w:r w:rsidRPr="0007628B">
        <w:t>2. Przedsiębiorca świadczący usługi terminalowe może otrzymać pomoc, jeżeli zobowiąże się do zapewnienia dostępu na przejrzystych, równych i niedyskryminujących warunkach do usług terminalowych, których dotyczy p</w:t>
      </w:r>
      <w:r w:rsidR="00CA3206">
        <w:t>rojekt</w:t>
      </w:r>
      <w:r w:rsidRPr="0007628B">
        <w:t xml:space="preserve">, wszystkim podmiotom zainteresowanym korzystaniem z tych usług za opłatą ustaloną w taki sposób, aby efektywność finansowa </w:t>
      </w:r>
      <w:r w:rsidR="00CA3206">
        <w:t>projektu</w:t>
      </w:r>
      <w:r w:rsidRPr="0007628B">
        <w:t xml:space="preserve"> wyrażona wskaźnikiem finansowej wewnętrznej stopy zwrotu z kapitału krajowego</w:t>
      </w:r>
      <w:r w:rsidR="001D3527">
        <w:t xml:space="preserve">, </w:t>
      </w:r>
      <w:r w:rsidRPr="0007628B">
        <w:t>zwanym dalej „wskaźnikiem FFR/k”</w:t>
      </w:r>
      <w:r w:rsidR="001D3527">
        <w:t>,</w:t>
      </w:r>
      <w:r w:rsidRPr="0007628B">
        <w:t xml:space="preserve"> nie przekroczyła typowej oczekiwanej stopy zwrotu z pr</w:t>
      </w:r>
      <w:r w:rsidR="00622DE6">
        <w:t>ojektów</w:t>
      </w:r>
      <w:r w:rsidRPr="0007628B">
        <w:t xml:space="preserve"> w zakresie transportu intermodalnego.</w:t>
      </w:r>
    </w:p>
    <w:p w14:paraId="2BF002C7" w14:textId="77777777" w:rsidR="0007628B" w:rsidRPr="0007628B" w:rsidRDefault="0007628B" w:rsidP="0007628B">
      <w:pPr>
        <w:pStyle w:val="USTustnpkodeksu"/>
      </w:pPr>
      <w:r w:rsidRPr="0007628B">
        <w:t>3. Przedsiębiorca, który zamierza wybudować terminal intermodalny, którego operatorem będzie inny przedsiębiorca, może otrzymać pomoc pod warunkiem, że zobowiąże się, że operator będzie ponosił opłatę za korzystanie z tego terminala ustaloną w wysokości rynkowej i na przejrzystych, równych i niedyskryminujących warunkach.</w:t>
      </w:r>
    </w:p>
    <w:p w14:paraId="31A7526D" w14:textId="2DCD7E78" w:rsidR="0007628B" w:rsidRPr="0007628B" w:rsidRDefault="0007628B" w:rsidP="001D3527">
      <w:pPr>
        <w:pStyle w:val="USTustnpkodeksu"/>
      </w:pPr>
      <w:r w:rsidRPr="0007628B">
        <w:t xml:space="preserve">4. W przypadku </w:t>
      </w:r>
      <w:r w:rsidR="00CA3206">
        <w:t>projektów</w:t>
      </w:r>
      <w:r w:rsidRPr="0007628B">
        <w:t xml:space="preserve">, o których </w:t>
      </w:r>
      <w:r w:rsidRPr="00CB7A40">
        <w:t xml:space="preserve">mowa w § 3 ust. 1 pkt 5, </w:t>
      </w:r>
      <w:r w:rsidR="001D3527" w:rsidRPr="00CB7A40">
        <w:t xml:space="preserve">przedsiębiorca </w:t>
      </w:r>
      <w:r w:rsidR="001D3527" w:rsidRPr="00660F31">
        <w:t>może otrzymać pomoc</w:t>
      </w:r>
      <w:r w:rsidR="001D3527">
        <w:t>,</w:t>
      </w:r>
      <w:r w:rsidR="001D3527" w:rsidRPr="00660F31">
        <w:t xml:space="preserve"> </w:t>
      </w:r>
      <w:r w:rsidR="001D3527">
        <w:t>jeżeli</w:t>
      </w:r>
      <w:r w:rsidR="001D3527" w:rsidRPr="00660F31">
        <w:t xml:space="preserve"> zobowiąże się udostępniać na przejrzystych, równych i</w:t>
      </w:r>
      <w:r w:rsidR="001D3527">
        <w:t> </w:t>
      </w:r>
      <w:r w:rsidR="001D3527" w:rsidRPr="00660F31">
        <w:t>niedyskryminujących warunkach tabor kolejowy, którego dotyczyła pomoc, przedsiębiorcom wykonującym transport intermodalny za opłatą ustaloną w taki sposób, aby efektywność finansowa p</w:t>
      </w:r>
      <w:r w:rsidR="009541FF">
        <w:t>rojektu</w:t>
      </w:r>
      <w:r w:rsidR="001D3527" w:rsidRPr="00660F31">
        <w:t xml:space="preserve"> wyrażona wskaźnikiem F</w:t>
      </w:r>
      <w:r w:rsidR="001D3527">
        <w:t>R</w:t>
      </w:r>
      <w:r w:rsidR="001D3527" w:rsidRPr="00660F31">
        <w:t xml:space="preserve">R/k nie przekroczyła typowej oczekiwanej stopy zwrotu z </w:t>
      </w:r>
      <w:r w:rsidR="001D3527">
        <w:t>pr</w:t>
      </w:r>
      <w:r w:rsidR="009541FF">
        <w:t>ojektów</w:t>
      </w:r>
      <w:r w:rsidR="001D3527" w:rsidRPr="00660F31">
        <w:t xml:space="preserve"> w zakresie transportu intermodalnego.</w:t>
      </w:r>
    </w:p>
    <w:p w14:paraId="22B0339B" w14:textId="552BEBDB" w:rsidR="00CA3206" w:rsidRDefault="0007628B" w:rsidP="00CA3206">
      <w:pPr>
        <w:pStyle w:val="ARTartustawynprozporzdzenia"/>
      </w:pPr>
      <w:bookmarkStart w:id="7" w:name="18353932"/>
      <w:bookmarkEnd w:id="7"/>
      <w:r w:rsidRPr="00DB0766">
        <w:rPr>
          <w:rStyle w:val="Ppogrubienie"/>
        </w:rPr>
        <w:t>§ 5.</w:t>
      </w:r>
      <w:r w:rsidRPr="00DB0766">
        <w:t xml:space="preserve"> 1. Podmiotem udzielającym </w:t>
      </w:r>
      <w:r w:rsidRPr="0007628B">
        <w:t xml:space="preserve">pomocy jest </w:t>
      </w:r>
      <w:r w:rsidR="00CA3206" w:rsidRPr="00CA3206">
        <w:t>Centrum Unijnych Projektów Transportowych, zwane dalej „CUPT”</w:t>
      </w:r>
      <w:r w:rsidR="00CA5DAD">
        <w:t>.</w:t>
      </w:r>
    </w:p>
    <w:p w14:paraId="78DC6515" w14:textId="2F3A6EB0" w:rsidR="0007628B" w:rsidRPr="0007628B" w:rsidRDefault="0007628B" w:rsidP="001D3527">
      <w:pPr>
        <w:pStyle w:val="USTustnpkodeksu"/>
      </w:pPr>
      <w:r w:rsidRPr="0007628B">
        <w:t>2. Przedsiębiorca ubiegający się o udzielenie pomocy składa do CUPT wniosek o udzielenie pomocy, zwany dalej „wnioskiem”</w:t>
      </w:r>
      <w:r w:rsidR="001D3527">
        <w:t xml:space="preserve">, </w:t>
      </w:r>
      <w:r w:rsidRPr="0007628B">
        <w:t>zawiera</w:t>
      </w:r>
      <w:r w:rsidR="001D3527">
        <w:t>jący</w:t>
      </w:r>
      <w:r w:rsidRPr="0007628B">
        <w:t xml:space="preserve"> następujące informacje:</w:t>
      </w:r>
    </w:p>
    <w:p w14:paraId="3A1EDC3A" w14:textId="63BBC814" w:rsidR="0007628B" w:rsidRPr="0007628B" w:rsidRDefault="0007628B" w:rsidP="00205424">
      <w:pPr>
        <w:pStyle w:val="PKTpunkt"/>
      </w:pPr>
      <w:r w:rsidRPr="0007628B">
        <w:lastRenderedPageBreak/>
        <w:t>1)</w:t>
      </w:r>
      <w:r w:rsidRPr="0007628B">
        <w:tab/>
      </w:r>
      <w:r w:rsidR="001D3527" w:rsidRPr="0034514E">
        <w:t>firm</w:t>
      </w:r>
      <w:r w:rsidR="001D3527">
        <w:t>ę</w:t>
      </w:r>
      <w:r w:rsidR="001D3527" w:rsidRPr="0034514E">
        <w:t xml:space="preserve"> </w:t>
      </w:r>
      <w:r w:rsidR="001D3527">
        <w:t xml:space="preserve">przedsiębiorcy </w:t>
      </w:r>
      <w:r w:rsidR="001D3527" w:rsidRPr="0034514E">
        <w:t xml:space="preserve">oraz </w:t>
      </w:r>
      <w:r w:rsidR="001D3527">
        <w:t xml:space="preserve">określenie </w:t>
      </w:r>
      <w:r w:rsidR="001D3527" w:rsidRPr="0034514E">
        <w:t>jego formy prawnej</w:t>
      </w:r>
      <w:r w:rsidRPr="0007628B">
        <w:t>;</w:t>
      </w:r>
    </w:p>
    <w:p w14:paraId="4CF371D0" w14:textId="0AB199A8" w:rsidR="0007628B" w:rsidRPr="0007628B" w:rsidRDefault="0007628B" w:rsidP="00205424">
      <w:pPr>
        <w:pStyle w:val="PKTpunkt"/>
      </w:pPr>
      <w:r w:rsidRPr="0007628B">
        <w:t>2)</w:t>
      </w:r>
      <w:r w:rsidRPr="0007628B">
        <w:tab/>
      </w:r>
      <w:r w:rsidR="001D3527" w:rsidRPr="0034514E">
        <w:t>adres i siedzib</w:t>
      </w:r>
      <w:r w:rsidR="001D3527">
        <w:t>ę</w:t>
      </w:r>
      <w:r w:rsidR="001D3527" w:rsidRPr="0034514E">
        <w:t xml:space="preserve"> </w:t>
      </w:r>
      <w:r w:rsidR="001D3527">
        <w:t>przedsiębiorcy</w:t>
      </w:r>
      <w:r w:rsidRPr="0007628B">
        <w:t>;</w:t>
      </w:r>
    </w:p>
    <w:p w14:paraId="3262231D" w14:textId="3027D3A8" w:rsidR="0007628B" w:rsidRPr="0007628B" w:rsidRDefault="0007628B" w:rsidP="00205424">
      <w:pPr>
        <w:pStyle w:val="PKTpunkt"/>
      </w:pPr>
      <w:r w:rsidRPr="0007628B">
        <w:t>3)</w:t>
      </w:r>
      <w:r w:rsidRPr="0007628B">
        <w:tab/>
      </w:r>
      <w:r w:rsidR="001D3527" w:rsidRPr="0034514E">
        <w:t>imi</w:t>
      </w:r>
      <w:r w:rsidR="001D3527">
        <w:t>ę i</w:t>
      </w:r>
      <w:r w:rsidR="001D3527" w:rsidRPr="0034514E">
        <w:t xml:space="preserve"> nazwisk</w:t>
      </w:r>
      <w:r w:rsidR="001D3527">
        <w:t>o</w:t>
      </w:r>
      <w:r w:rsidR="001D3527" w:rsidRPr="0034514E">
        <w:t xml:space="preserve"> osoby reprezentującej </w:t>
      </w:r>
      <w:r w:rsidR="001D3527">
        <w:t>przedsiębiorcę</w:t>
      </w:r>
      <w:r w:rsidR="001D3527" w:rsidRPr="0034514E">
        <w:t xml:space="preserve"> </w:t>
      </w:r>
      <w:r w:rsidR="001D3527">
        <w:t>oraz jej</w:t>
      </w:r>
      <w:r w:rsidR="001D3527" w:rsidRPr="0034514E">
        <w:t xml:space="preserve"> dan</w:t>
      </w:r>
      <w:r w:rsidR="001D3527">
        <w:t>e</w:t>
      </w:r>
      <w:r w:rsidR="001D3527" w:rsidRPr="0034514E">
        <w:t xml:space="preserve"> kontaktow</w:t>
      </w:r>
      <w:r w:rsidR="001D3527">
        <w:t>e – numer telefonu i adres poczty elektronicznej</w:t>
      </w:r>
      <w:r w:rsidRPr="0007628B">
        <w:t>;</w:t>
      </w:r>
    </w:p>
    <w:p w14:paraId="79E9CE3F" w14:textId="6631EE6F" w:rsidR="0007628B" w:rsidRPr="0007628B" w:rsidRDefault="0007628B" w:rsidP="00205424">
      <w:pPr>
        <w:pStyle w:val="PKTpunkt"/>
      </w:pPr>
      <w:r w:rsidRPr="0007628B">
        <w:t>4)</w:t>
      </w:r>
      <w:r w:rsidRPr="0007628B">
        <w:tab/>
      </w:r>
      <w:r w:rsidR="00CB7A40">
        <w:t>informację</w:t>
      </w:r>
      <w:r w:rsidRPr="0007628B">
        <w:t>, czy przedsiębiorca ubiegający się o udzielenie pomocy jest małym lub średnim przedsiębiorstwem w rozumieniu załącznika I do rozporządzenia Komisji (UE) nr 651/2014 z dnia 17 czerwca 2014 r. uznającego niektóre rodzaje pomocy za zgodne z rynkiem wewnętrznym w zastosowaniu art. 107 i 108 Traktatu;</w:t>
      </w:r>
    </w:p>
    <w:p w14:paraId="199A485E" w14:textId="3169911B" w:rsidR="0007628B" w:rsidRPr="0007628B" w:rsidRDefault="0007628B" w:rsidP="00205424">
      <w:pPr>
        <w:pStyle w:val="PKTpunkt"/>
      </w:pPr>
      <w:r w:rsidRPr="0007628B">
        <w:t>5)</w:t>
      </w:r>
      <w:r w:rsidRPr="0007628B">
        <w:tab/>
      </w:r>
      <w:r w:rsidR="00CB7A40">
        <w:t>informację</w:t>
      </w:r>
      <w:r w:rsidRPr="0007628B">
        <w:t>, czy przedsiębiorca wnioskujący o udzielenie pomocy jest przedsiębiorstwem znajdującym się w trudnej sytuacji zdefiniowanej w pkt 20 wytycznych;</w:t>
      </w:r>
    </w:p>
    <w:p w14:paraId="4ED6ECD4" w14:textId="13E0E9F9" w:rsidR="0007628B" w:rsidRPr="0007628B" w:rsidRDefault="0007628B" w:rsidP="00205424">
      <w:pPr>
        <w:pStyle w:val="PKTpunkt"/>
      </w:pPr>
      <w:r w:rsidRPr="0007628B">
        <w:t>6)</w:t>
      </w:r>
      <w:r w:rsidRPr="0007628B">
        <w:tab/>
        <w:t xml:space="preserve">nazwę oraz miejsce realizacji </w:t>
      </w:r>
      <w:r w:rsidR="00CA3206">
        <w:t>projektu</w:t>
      </w:r>
      <w:r w:rsidRPr="0007628B">
        <w:t>;</w:t>
      </w:r>
    </w:p>
    <w:p w14:paraId="26486113" w14:textId="09EC3AC7" w:rsidR="0007628B" w:rsidRPr="0007628B" w:rsidRDefault="0007628B" w:rsidP="00205424">
      <w:pPr>
        <w:pStyle w:val="PKTpunkt"/>
      </w:pPr>
      <w:r w:rsidRPr="0007628B">
        <w:t>7)</w:t>
      </w:r>
      <w:r w:rsidRPr="0007628B">
        <w:tab/>
        <w:t xml:space="preserve">opis planowanych rezultatów </w:t>
      </w:r>
      <w:r w:rsidR="00CA3206">
        <w:t>projektu</w:t>
      </w:r>
      <w:r w:rsidRPr="0007628B">
        <w:t>;</w:t>
      </w:r>
    </w:p>
    <w:p w14:paraId="41C0EA7F" w14:textId="4E625C38" w:rsidR="0007628B" w:rsidRPr="0007628B" w:rsidRDefault="0007628B" w:rsidP="00205424">
      <w:pPr>
        <w:pStyle w:val="PKTpunkt"/>
      </w:pPr>
      <w:r w:rsidRPr="0007628B">
        <w:t>8)</w:t>
      </w:r>
      <w:r w:rsidRPr="0007628B">
        <w:tab/>
        <w:t xml:space="preserve">planowaną datę rozpoczęcia i zakończenia realizacji </w:t>
      </w:r>
      <w:r w:rsidR="00CA3206">
        <w:t>projektu</w:t>
      </w:r>
      <w:r w:rsidRPr="0007628B">
        <w:t>;</w:t>
      </w:r>
    </w:p>
    <w:p w14:paraId="20F0E6C0" w14:textId="0C9B1B82" w:rsidR="0007628B" w:rsidRPr="0007628B" w:rsidRDefault="0007628B" w:rsidP="00205424">
      <w:pPr>
        <w:pStyle w:val="PKTpunkt"/>
      </w:pPr>
      <w:r w:rsidRPr="0007628B">
        <w:t>9)</w:t>
      </w:r>
      <w:r w:rsidRPr="0007628B">
        <w:tab/>
        <w:t xml:space="preserve">zakres realizacji </w:t>
      </w:r>
      <w:r w:rsidR="00CA3206">
        <w:t>projektu</w:t>
      </w:r>
      <w:r w:rsidRPr="0007628B">
        <w:t>;</w:t>
      </w:r>
    </w:p>
    <w:p w14:paraId="54D11AB5" w14:textId="1D23FCDD" w:rsidR="0007628B" w:rsidRPr="0007628B" w:rsidRDefault="0007628B" w:rsidP="00205424">
      <w:pPr>
        <w:pStyle w:val="PKTpunkt"/>
      </w:pPr>
      <w:r w:rsidRPr="0007628B">
        <w:t>10)</w:t>
      </w:r>
      <w:r w:rsidRPr="0007628B">
        <w:tab/>
        <w:t xml:space="preserve">przewidywaną wartość </w:t>
      </w:r>
      <w:r w:rsidR="00CA3206">
        <w:t>projektu</w:t>
      </w:r>
      <w:r w:rsidRPr="0007628B">
        <w:t>;</w:t>
      </w:r>
    </w:p>
    <w:p w14:paraId="74FA6C1D" w14:textId="77777777" w:rsidR="0007628B" w:rsidRPr="0007628B" w:rsidRDefault="0007628B" w:rsidP="00205424">
      <w:pPr>
        <w:pStyle w:val="PKTpunkt"/>
      </w:pPr>
      <w:r w:rsidRPr="0007628B">
        <w:t>11)</w:t>
      </w:r>
      <w:r w:rsidRPr="0007628B">
        <w:tab/>
        <w:t>wielkość pomocy, o którą ubiega się przedsiębiorca;</w:t>
      </w:r>
    </w:p>
    <w:p w14:paraId="461296FC" w14:textId="77777777" w:rsidR="0007628B" w:rsidRPr="0007628B" w:rsidRDefault="0007628B" w:rsidP="00205424">
      <w:pPr>
        <w:pStyle w:val="PKTpunkt"/>
      </w:pPr>
      <w:r w:rsidRPr="0007628B">
        <w:t>12)</w:t>
      </w:r>
      <w:r w:rsidRPr="0007628B">
        <w:tab/>
        <w:t>rodzaje wydatków kwalifikowalnych;</w:t>
      </w:r>
    </w:p>
    <w:p w14:paraId="52372487" w14:textId="3C4E46A9" w:rsidR="0007628B" w:rsidRPr="0007628B" w:rsidRDefault="0007628B" w:rsidP="00205424">
      <w:pPr>
        <w:pStyle w:val="PKTpunkt"/>
      </w:pPr>
      <w:r w:rsidRPr="0007628B">
        <w:t>13)</w:t>
      </w:r>
      <w:r w:rsidRPr="0007628B">
        <w:tab/>
        <w:t>określenie źródeł finansowania p</w:t>
      </w:r>
      <w:r w:rsidR="00CA3206">
        <w:t>rojektu</w:t>
      </w:r>
      <w:r w:rsidRPr="0007628B">
        <w:t>.</w:t>
      </w:r>
    </w:p>
    <w:p w14:paraId="288126DC" w14:textId="3F4D79FF" w:rsidR="0007628B" w:rsidRPr="0007628B" w:rsidRDefault="001D3527" w:rsidP="001D3527">
      <w:pPr>
        <w:pStyle w:val="USTustnpkodeksu"/>
      </w:pPr>
      <w:r>
        <w:t>3</w:t>
      </w:r>
      <w:r w:rsidR="0007628B" w:rsidRPr="0007628B">
        <w:t xml:space="preserve">. Wielkość pomocy, </w:t>
      </w:r>
      <w:r w:rsidRPr="0034514E">
        <w:t>o którą ubiega się przedsiębiorca, nie może być większa niż niezbędna do uczynienia p</w:t>
      </w:r>
      <w:r>
        <w:t>rojektu</w:t>
      </w:r>
      <w:r w:rsidRPr="0034514E">
        <w:t xml:space="preserve"> wystarczająco rentownym, tak aby przedsiębiorca był zainteresowany jego realizacją. W celu ustalenia maksymalnej dopuszczalnej wielkości pomocy przyjmuje się, że rentowność p</w:t>
      </w:r>
      <w:r>
        <w:t>rojektu</w:t>
      </w:r>
      <w:r w:rsidRPr="0034514E">
        <w:t>, określona poziomem wskaźnika FRR/k</w:t>
      </w:r>
      <w:r>
        <w:t xml:space="preserve"> wyliczonego dla projektu, </w:t>
      </w:r>
      <w:r w:rsidRPr="0034514E">
        <w:t xml:space="preserve">nie może być wyższa niż typowa oczekiwana stopa zwrotu z </w:t>
      </w:r>
      <w:r>
        <w:t>pr</w:t>
      </w:r>
      <w:r w:rsidR="009541FF">
        <w:t>ojektów</w:t>
      </w:r>
      <w:r w:rsidRPr="0034514E">
        <w:t xml:space="preserve"> w zakresie transportu intermodalnego. </w:t>
      </w:r>
      <w:r>
        <w:t>Wielkość pomocy</w:t>
      </w:r>
      <w:r w:rsidRPr="0034514E">
        <w:t xml:space="preserve"> uwzględniana w wyliczeniu poziomu wskaźnika FRR/k obejmuje skumulowaną pomoc</w:t>
      </w:r>
      <w:r>
        <w:t xml:space="preserve"> i finansowanie</w:t>
      </w:r>
      <w:r w:rsidRPr="0034514E">
        <w:t>, o któr</w:t>
      </w:r>
      <w:r>
        <w:t>ych</w:t>
      </w:r>
      <w:r w:rsidRPr="0034514E">
        <w:t xml:space="preserve"> </w:t>
      </w:r>
      <w:r w:rsidRPr="00CB7A40">
        <w:t>mowa w § 8.</w:t>
      </w:r>
    </w:p>
    <w:p w14:paraId="7DBC9B43" w14:textId="0BC12D97" w:rsidR="0007628B" w:rsidRPr="00CB7A40" w:rsidRDefault="001D3527" w:rsidP="00205424">
      <w:pPr>
        <w:pStyle w:val="USTustnpkodeksu"/>
      </w:pPr>
      <w:r w:rsidRPr="00CB7A40">
        <w:t>4</w:t>
      </w:r>
      <w:r w:rsidR="0007628B" w:rsidRPr="00CB7A40">
        <w:t>. Do wniosku</w:t>
      </w:r>
      <w:r w:rsidRPr="00CB7A40">
        <w:t xml:space="preserve"> dołącza się kalkulację wielkości pomocy, o którą ubiega się przedsiębiorca, potwierdzającą, że wielkość pomocy nie jest większa niż niezbędna do uczynienia projektu wystarczająco rentownym, tak aby przedsiębiorca był zainteresowany jego realizacją</w:t>
      </w:r>
      <w:r w:rsidR="0007628B" w:rsidRPr="00CB7A40">
        <w:t>.</w:t>
      </w:r>
    </w:p>
    <w:p w14:paraId="0CFEC11E" w14:textId="72D9A150" w:rsidR="0094050E" w:rsidRPr="0007628B" w:rsidRDefault="0094050E" w:rsidP="00205424">
      <w:pPr>
        <w:pStyle w:val="USTustnpkodeksu"/>
      </w:pPr>
      <w:r>
        <w:t xml:space="preserve">5. Do obliczania kosztów, o których mowa </w:t>
      </w:r>
      <w:r w:rsidR="00CB7A40" w:rsidRPr="00CB7A40">
        <w:t xml:space="preserve">w § </w:t>
      </w:r>
      <w:r w:rsidR="00CB7A40">
        <w:t>6 ust. 1 pkt 1</w:t>
      </w:r>
      <w:r>
        <w:t>, stosuje się stawkę</w:t>
      </w:r>
      <w:r w:rsidRPr="0094050E">
        <w:t xml:space="preserve"> ryczałtow</w:t>
      </w:r>
      <w:r>
        <w:t xml:space="preserve">ą, o której mowa w art. 54 lit. a </w:t>
      </w:r>
      <w:r w:rsidR="00CB7A40">
        <w:t xml:space="preserve">rozporządzenia </w:t>
      </w:r>
      <w:r w:rsidR="00A6677C">
        <w:t>nr 2021/1060.</w:t>
      </w:r>
    </w:p>
    <w:p w14:paraId="479D5545" w14:textId="51C63F49" w:rsidR="0007628B" w:rsidRPr="0007628B" w:rsidRDefault="0094050E" w:rsidP="00205424">
      <w:pPr>
        <w:pStyle w:val="USTustnpkodeksu"/>
      </w:pPr>
      <w:r>
        <w:lastRenderedPageBreak/>
        <w:t>6</w:t>
      </w:r>
      <w:r w:rsidR="0007628B" w:rsidRPr="0007628B">
        <w:t>. Jeżeli wniosek nie spełnia warunków, o których mowa w ust. </w:t>
      </w:r>
      <w:r w:rsidR="001D3527">
        <w:t>2</w:t>
      </w:r>
      <w:r w:rsidR="0007628B" w:rsidRPr="0007628B">
        <w:t>–</w:t>
      </w:r>
      <w:r w:rsidR="001D3527">
        <w:t>4</w:t>
      </w:r>
      <w:r w:rsidR="0007628B" w:rsidRPr="0007628B">
        <w:t>, CUPT wzywa przedsiębiorcę do usunięcia braków w terminie nie krótszym niż 14 dni roboczych</w:t>
      </w:r>
      <w:r w:rsidR="00C9658F">
        <w:t xml:space="preserve"> od dnia doręczenia wezwania,</w:t>
      </w:r>
      <w:r w:rsidR="0007628B" w:rsidRPr="0007628B">
        <w:t xml:space="preserve"> z pouczeniem, że nieusunięcie tych braków spowoduje pozostawienie wniosku bez rozpoznania.</w:t>
      </w:r>
    </w:p>
    <w:p w14:paraId="79DD22B0" w14:textId="0BF11F17" w:rsidR="0007628B" w:rsidRPr="0007628B" w:rsidRDefault="0094050E" w:rsidP="00205424">
      <w:pPr>
        <w:pStyle w:val="USTustnpkodeksu"/>
      </w:pPr>
      <w:r>
        <w:t>7</w:t>
      </w:r>
      <w:r w:rsidR="0007628B" w:rsidRPr="0007628B">
        <w:t>. CUPT, w terminie 21 dni roboczych od dnia otrzymania kompletnego wniosku, informuje przedsiębiorcę, czy p</w:t>
      </w:r>
      <w:r w:rsidR="00205424">
        <w:t>rojekt</w:t>
      </w:r>
      <w:r w:rsidR="0007628B" w:rsidRPr="0007628B">
        <w:t>, którego dotyczy wniosek, wstępnie, z zastrzeżeniem dalszej szczegółowej oceny pr</w:t>
      </w:r>
      <w:r w:rsidR="00622DE6">
        <w:t>ojektu</w:t>
      </w:r>
      <w:r w:rsidR="0007628B" w:rsidRPr="0007628B">
        <w:t>, kwalifikuje się do otrzymania pomocy.</w:t>
      </w:r>
    </w:p>
    <w:p w14:paraId="3388A5FC" w14:textId="75F8E221" w:rsidR="0007628B" w:rsidRPr="00C9658F" w:rsidRDefault="0094050E" w:rsidP="00205424">
      <w:pPr>
        <w:pStyle w:val="USTustnpkodeksu"/>
      </w:pPr>
      <w:r>
        <w:t>8</w:t>
      </w:r>
      <w:r w:rsidR="0007628B" w:rsidRPr="0007628B">
        <w:t xml:space="preserve">. Pomoc jest udzielana w formie </w:t>
      </w:r>
      <w:r w:rsidR="00A8346B">
        <w:t>dotacji</w:t>
      </w:r>
      <w:r w:rsidR="0007628B" w:rsidRPr="0007628B">
        <w:t>, przeznaczone</w:t>
      </w:r>
      <w:r w:rsidR="00A8346B">
        <w:t>j</w:t>
      </w:r>
      <w:r w:rsidR="0007628B" w:rsidRPr="0007628B">
        <w:t xml:space="preserve"> na pokrycie wydatków kwalifikowalnych, o których mowa </w:t>
      </w:r>
      <w:r w:rsidR="0007628B" w:rsidRPr="00C9658F">
        <w:t>w § 6 ust. 1.</w:t>
      </w:r>
    </w:p>
    <w:p w14:paraId="1C548BB1" w14:textId="6148214C" w:rsidR="0007628B" w:rsidRPr="0007628B" w:rsidRDefault="0094050E" w:rsidP="00205424">
      <w:pPr>
        <w:pStyle w:val="USTustnpkodeksu"/>
      </w:pPr>
      <w:r>
        <w:t>9</w:t>
      </w:r>
      <w:r w:rsidR="0007628B" w:rsidRPr="0007628B">
        <w:t xml:space="preserve">. Wybór </w:t>
      </w:r>
      <w:r w:rsidR="00CA3206">
        <w:t xml:space="preserve">projektu </w:t>
      </w:r>
      <w:r w:rsidR="0007628B" w:rsidRPr="0007628B">
        <w:t xml:space="preserve">do </w:t>
      </w:r>
      <w:r w:rsidR="00CA3206">
        <w:t>dofinansowania</w:t>
      </w:r>
      <w:r w:rsidR="0007628B" w:rsidRPr="0007628B">
        <w:t xml:space="preserve"> następuje w </w:t>
      </w:r>
      <w:r w:rsidR="00A8346B">
        <w:t xml:space="preserve">sposób </w:t>
      </w:r>
      <w:r w:rsidR="00CA3206">
        <w:t>konkurencyjny</w:t>
      </w:r>
      <w:r w:rsidR="0007628B" w:rsidRPr="0007628B">
        <w:t xml:space="preserve">, o którym mowa w art. </w:t>
      </w:r>
      <w:r w:rsidR="00CA3206">
        <w:t>44 ust. 1</w:t>
      </w:r>
      <w:r w:rsidR="0007628B" w:rsidRPr="0007628B">
        <w:t xml:space="preserve"> ustawy</w:t>
      </w:r>
      <w:r w:rsidR="00205424">
        <w:t xml:space="preserve"> </w:t>
      </w:r>
      <w:r w:rsidR="00EE6B08">
        <w:t xml:space="preserve">z dnia 28 kwietnia 2022 r. </w:t>
      </w:r>
      <w:r w:rsidR="00205424" w:rsidRPr="00205424">
        <w:t>o zasadach realizacji zadań finansowanych ze środków europejskich w perspektywie finansowej 2021</w:t>
      </w:r>
      <w:r w:rsidR="00EE6B08" w:rsidRPr="0007628B">
        <w:t>–</w:t>
      </w:r>
      <w:r w:rsidR="00205424" w:rsidRPr="00205424">
        <w:t xml:space="preserve">2027, na podstawie wniosku o dofinansowanie projektu, o którym mowa w art. </w:t>
      </w:r>
      <w:r w:rsidR="00205424">
        <w:t>50</w:t>
      </w:r>
      <w:r w:rsidR="00205424" w:rsidRPr="00205424">
        <w:t xml:space="preserve"> ust. 1 tej ustawy.</w:t>
      </w:r>
    </w:p>
    <w:p w14:paraId="727FC24A" w14:textId="50B179A1" w:rsidR="0007628B" w:rsidRPr="0007628B" w:rsidRDefault="0007628B" w:rsidP="0007628B">
      <w:pPr>
        <w:pStyle w:val="ARTartustawynprozporzdzenia"/>
      </w:pPr>
      <w:bookmarkStart w:id="8" w:name="18353933"/>
      <w:bookmarkEnd w:id="8"/>
      <w:r w:rsidRPr="0007628B">
        <w:rPr>
          <w:rStyle w:val="Ppogrubienie"/>
        </w:rPr>
        <w:t xml:space="preserve">§ 6. </w:t>
      </w:r>
      <w:r w:rsidRPr="0007628B">
        <w:t>1. Do wydatków kwalifikowalnych zalicza się niezbędne do realizacji pr</w:t>
      </w:r>
      <w:r w:rsidR="00205424">
        <w:t>ojektu</w:t>
      </w:r>
      <w:r w:rsidRPr="0007628B">
        <w:t xml:space="preserve"> wydatki lub koszty poniesione na:</w:t>
      </w:r>
    </w:p>
    <w:p w14:paraId="2A4D8B8B" w14:textId="7AA7B2B4" w:rsidR="0007628B" w:rsidRPr="0007628B" w:rsidRDefault="0007628B" w:rsidP="0007628B">
      <w:pPr>
        <w:pStyle w:val="PKTpunkt"/>
      </w:pPr>
      <w:r w:rsidRPr="0007628B">
        <w:t>1)</w:t>
      </w:r>
      <w:r w:rsidRPr="0007628B">
        <w:tab/>
        <w:t>prace związane z przygotowaniem pr</w:t>
      </w:r>
      <w:r w:rsidR="00622DE6">
        <w:t>ojektu</w:t>
      </w:r>
      <w:r w:rsidRPr="0007628B">
        <w:t>, w tym:</w:t>
      </w:r>
    </w:p>
    <w:p w14:paraId="7BEF144E" w14:textId="77777777" w:rsidR="0007628B" w:rsidRPr="0007628B" w:rsidRDefault="0007628B" w:rsidP="0007628B">
      <w:pPr>
        <w:pStyle w:val="LITlitera"/>
      </w:pPr>
      <w:r w:rsidRPr="0007628B">
        <w:t>a)</w:t>
      </w:r>
      <w:r w:rsidRPr="0007628B">
        <w:tab/>
        <w:t>niezbędną dokumentację,</w:t>
      </w:r>
    </w:p>
    <w:p w14:paraId="1DEAF91C" w14:textId="3CD9BB4A" w:rsidR="0007628B" w:rsidRPr="0007628B" w:rsidRDefault="0007628B" w:rsidP="0007628B">
      <w:pPr>
        <w:pStyle w:val="LITlitera"/>
      </w:pPr>
      <w:r w:rsidRPr="0007628B">
        <w:t>b)</w:t>
      </w:r>
      <w:r w:rsidRPr="0007628B">
        <w:tab/>
        <w:t>opłaty związane z koniecznością uzyskania niezbędnych decyzji administracyjnych na etapie przygotowania pr</w:t>
      </w:r>
      <w:r w:rsidR="00205424">
        <w:t>ojektu</w:t>
      </w:r>
      <w:r w:rsidRPr="0007628B">
        <w:t>;</w:t>
      </w:r>
    </w:p>
    <w:p w14:paraId="5A637BEA" w14:textId="407DD045" w:rsidR="0007628B" w:rsidRPr="0007628B" w:rsidRDefault="0007628B" w:rsidP="0007628B">
      <w:pPr>
        <w:pStyle w:val="PKTpunkt"/>
      </w:pPr>
      <w:r w:rsidRPr="0007628B">
        <w:t>2)</w:t>
      </w:r>
      <w:r w:rsidRPr="0007628B">
        <w:tab/>
        <w:t>zakup nieruchomości niezabudowanych lub zabudowanych lub nabycie innego niż własność prawa do nieruchomości o wartości nie większej niż 10% łącznych wydatków kwalifikowalnych danego pr</w:t>
      </w:r>
      <w:r w:rsidR="00205424">
        <w:t>ojektu</w:t>
      </w:r>
      <w:r w:rsidRPr="0007628B">
        <w:t>;</w:t>
      </w:r>
    </w:p>
    <w:p w14:paraId="3595AA8F" w14:textId="77777777" w:rsidR="0007628B" w:rsidRPr="0007628B" w:rsidRDefault="0007628B" w:rsidP="0007628B">
      <w:pPr>
        <w:pStyle w:val="PKTpunkt"/>
      </w:pPr>
      <w:r w:rsidRPr="0007628B">
        <w:t>3)</w:t>
      </w:r>
      <w:r w:rsidRPr="0007628B">
        <w:tab/>
      </w:r>
      <w:r w:rsidRPr="00AC2C37">
        <w:t>budowę, przebudowę i montaż, w tym:</w:t>
      </w:r>
    </w:p>
    <w:p w14:paraId="49BCEEAA" w14:textId="31E9A94C" w:rsidR="0007628B" w:rsidRPr="0007628B" w:rsidRDefault="0007628B" w:rsidP="0007628B">
      <w:pPr>
        <w:pStyle w:val="LITlitera"/>
      </w:pPr>
      <w:r w:rsidRPr="0007628B">
        <w:t>a)</w:t>
      </w:r>
      <w:r w:rsidRPr="0007628B">
        <w:tab/>
        <w:t>budowę lub przebudowę placów składowych i przeładunkowych, parkingów służących wyłącznie do postoju pojazdów wykorzystywanych do wykonywania transportu intermodalnego</w:t>
      </w:r>
      <w:r w:rsidR="00AC2C37" w:rsidRPr="00AC2C37">
        <w:t xml:space="preserve"> </w:t>
      </w:r>
      <w:r w:rsidR="00AC2C37">
        <w:t>oraz</w:t>
      </w:r>
      <w:r w:rsidR="00AC2C37" w:rsidRPr="0034514E">
        <w:t xml:space="preserve"> zaplecza technicznego do obsługi </w:t>
      </w:r>
      <w:r w:rsidR="00AC2C37">
        <w:t>tych pojazdów</w:t>
      </w:r>
      <w:r w:rsidRPr="0007628B">
        <w:t>,</w:t>
      </w:r>
    </w:p>
    <w:p w14:paraId="701CCADE" w14:textId="77777777" w:rsidR="0007628B" w:rsidRPr="0007628B" w:rsidRDefault="0007628B" w:rsidP="0007628B">
      <w:pPr>
        <w:pStyle w:val="LITlitera"/>
      </w:pPr>
      <w:r w:rsidRPr="0007628B">
        <w:t>b)</w:t>
      </w:r>
      <w:r w:rsidRPr="0007628B">
        <w:tab/>
        <w:t>budowę lub przebudowę dróg wewnętrznych i wewnętrznego układu torowego wraz z urządzeniami sterowania ruchem kolejowym,</w:t>
      </w:r>
    </w:p>
    <w:p w14:paraId="1B9FA20F" w14:textId="13AC8F5F" w:rsidR="0007628B" w:rsidRPr="0007628B" w:rsidRDefault="0007628B" w:rsidP="0007628B">
      <w:pPr>
        <w:pStyle w:val="LITlitera"/>
      </w:pPr>
      <w:r w:rsidRPr="0007628B">
        <w:t>c)</w:t>
      </w:r>
      <w:r w:rsidRPr="0007628B">
        <w:tab/>
        <w:t>odtworzenie nawierzchni drogi poza pasem prowadzenia robót, uszkodzonej działaniami związanymi z realizacją pr</w:t>
      </w:r>
      <w:r w:rsidR="00205424">
        <w:t>ojektu</w:t>
      </w:r>
      <w:r w:rsidRPr="0007628B">
        <w:t>,</w:t>
      </w:r>
    </w:p>
    <w:p w14:paraId="5618D338" w14:textId="7D13CB36" w:rsidR="0007628B" w:rsidRPr="0007628B" w:rsidRDefault="0007628B" w:rsidP="0007628B">
      <w:pPr>
        <w:pStyle w:val="LITlitera"/>
      </w:pPr>
      <w:r w:rsidRPr="0007628B">
        <w:t>d)</w:t>
      </w:r>
      <w:r w:rsidRPr="0007628B">
        <w:tab/>
        <w:t>odtworzenie nawierzchni drogi kolejowej lub bocznicy kolejowej poza pasem prowadzenia robót, uszkodzonej działaniami związanymi z realizacją pr</w:t>
      </w:r>
      <w:r w:rsidR="00205424">
        <w:t>ojektu</w:t>
      </w:r>
      <w:r w:rsidRPr="0007628B">
        <w:t>,</w:t>
      </w:r>
    </w:p>
    <w:p w14:paraId="116BE6E9" w14:textId="45064C76" w:rsidR="0007628B" w:rsidRPr="0007628B" w:rsidRDefault="0007628B" w:rsidP="0007628B">
      <w:pPr>
        <w:pStyle w:val="LITlitera"/>
      </w:pPr>
      <w:r w:rsidRPr="0007628B">
        <w:lastRenderedPageBreak/>
        <w:t>e)</w:t>
      </w:r>
      <w:r w:rsidRPr="0007628B">
        <w:tab/>
        <w:t>budowę lub przebudowę nabrzeży oraz urządzeń obcych w zakresie niezbędnym do realizacji p</w:t>
      </w:r>
      <w:r w:rsidR="00205424">
        <w:t>rojektu</w:t>
      </w:r>
      <w:r w:rsidRPr="0007628B">
        <w:t>, w przypadku gdy konieczność taka wynika z projektu budowlanego,</w:t>
      </w:r>
    </w:p>
    <w:p w14:paraId="73862AC5" w14:textId="4EE15F42" w:rsidR="0007628B" w:rsidRPr="0007628B" w:rsidRDefault="0007628B" w:rsidP="0007628B">
      <w:pPr>
        <w:pStyle w:val="LITlitera"/>
      </w:pPr>
      <w:r w:rsidRPr="0007628B">
        <w:t>f)</w:t>
      </w:r>
      <w:r w:rsidRPr="0007628B">
        <w:tab/>
        <w:t xml:space="preserve">budowę, przebudowę lub modernizację infrastruktury </w:t>
      </w:r>
      <w:r w:rsidR="00AC2C37" w:rsidRPr="0034514E">
        <w:t>telekomunikacyjnej, wodno-kanalizacyjnej, energetycznej</w:t>
      </w:r>
      <w:r w:rsidR="00AC2C37">
        <w:t xml:space="preserve">, gazowej, ciepłowniczej, </w:t>
      </w:r>
      <w:r w:rsidR="00AC2C37" w:rsidRPr="0034514E">
        <w:t xml:space="preserve">kanalizacji deszczowej </w:t>
      </w:r>
      <w:r w:rsidR="00AC2C37">
        <w:t xml:space="preserve">i innej infrastruktury </w:t>
      </w:r>
      <w:r w:rsidR="00AC2C37" w:rsidRPr="0034514E">
        <w:t>bezpośrednio</w:t>
      </w:r>
      <w:r w:rsidR="00AC2C37">
        <w:t xml:space="preserve"> </w:t>
      </w:r>
      <w:r w:rsidRPr="0007628B">
        <w:t>związanej z realizacją pr</w:t>
      </w:r>
      <w:r w:rsidR="00205424">
        <w:t>ojektu</w:t>
      </w:r>
      <w:r w:rsidRPr="0007628B">
        <w:t>;</w:t>
      </w:r>
    </w:p>
    <w:p w14:paraId="7D23B542" w14:textId="77777777" w:rsidR="0007628B" w:rsidRPr="0007628B" w:rsidRDefault="0007628B" w:rsidP="0007628B">
      <w:pPr>
        <w:pStyle w:val="PKTpunkt"/>
      </w:pPr>
      <w:r w:rsidRPr="0007628B">
        <w:t>4)</w:t>
      </w:r>
      <w:r w:rsidRPr="0007628B">
        <w:tab/>
        <w:t>budowę lub przebudowę infrastruktury służącej połączeniu terminali intermodalnych z siecią kolejową lub siecią drogową, w tym:</w:t>
      </w:r>
    </w:p>
    <w:p w14:paraId="5DEDA22E" w14:textId="77777777" w:rsidR="0007628B" w:rsidRPr="0007628B" w:rsidRDefault="0007628B" w:rsidP="0007628B">
      <w:pPr>
        <w:pStyle w:val="ZLITzmlitartykuempunktem"/>
      </w:pPr>
      <w:r w:rsidRPr="0007628B">
        <w:t>a)</w:t>
      </w:r>
      <w:r w:rsidRPr="0007628B">
        <w:tab/>
        <w:t>bocznic kolejowych lub linii kolejowych,</w:t>
      </w:r>
    </w:p>
    <w:p w14:paraId="0073ACA3" w14:textId="77777777" w:rsidR="0007628B" w:rsidRPr="0007628B" w:rsidRDefault="0007628B" w:rsidP="0007628B">
      <w:pPr>
        <w:pStyle w:val="ZLITzmlitartykuempunktem"/>
      </w:pPr>
      <w:r w:rsidRPr="0007628B">
        <w:t>b)</w:t>
      </w:r>
      <w:r w:rsidRPr="0007628B">
        <w:tab/>
        <w:t>dróg dojazdowych;</w:t>
      </w:r>
    </w:p>
    <w:p w14:paraId="70B2883C" w14:textId="77777777" w:rsidR="0007628B" w:rsidRPr="0007628B" w:rsidRDefault="0007628B" w:rsidP="0007628B">
      <w:pPr>
        <w:pStyle w:val="PKTpunkt"/>
      </w:pPr>
      <w:r w:rsidRPr="0007628B">
        <w:t>5)</w:t>
      </w:r>
      <w:r w:rsidRPr="0007628B">
        <w:tab/>
        <w:t>nadzór nad robotami budowlanymi;</w:t>
      </w:r>
    </w:p>
    <w:p w14:paraId="0C214749" w14:textId="518ED80C" w:rsidR="0007628B" w:rsidRPr="0007628B" w:rsidRDefault="0007628B" w:rsidP="0007628B">
      <w:pPr>
        <w:pStyle w:val="PKTpunkt"/>
      </w:pPr>
      <w:r w:rsidRPr="0007628B">
        <w:t>6)</w:t>
      </w:r>
      <w:r w:rsidRPr="0007628B">
        <w:tab/>
      </w:r>
      <w:r w:rsidR="00AC2C37">
        <w:t xml:space="preserve">zakup lub modernizację </w:t>
      </w:r>
      <w:r w:rsidR="00AC2C37" w:rsidRPr="00C97958">
        <w:t>urządze</w:t>
      </w:r>
      <w:r w:rsidR="00AC2C37">
        <w:t>ń</w:t>
      </w:r>
      <w:r w:rsidRPr="0007628B">
        <w:t>, w tym:</w:t>
      </w:r>
    </w:p>
    <w:p w14:paraId="73B8604E" w14:textId="04406372" w:rsidR="0007628B" w:rsidRPr="0007628B" w:rsidRDefault="0007628B" w:rsidP="0007628B">
      <w:pPr>
        <w:pStyle w:val="LITlitera"/>
      </w:pPr>
      <w:r w:rsidRPr="0007628B">
        <w:t>a)</w:t>
      </w:r>
      <w:r w:rsidRPr="0007628B">
        <w:tab/>
      </w:r>
      <w:r w:rsidR="00AC2C37" w:rsidRPr="0034514E">
        <w:t>środk</w:t>
      </w:r>
      <w:r w:rsidR="00AC2C37">
        <w:t>ów</w:t>
      </w:r>
      <w:r w:rsidR="00AC2C37" w:rsidRPr="0034514E">
        <w:t xml:space="preserve"> trwał</w:t>
      </w:r>
      <w:r w:rsidR="00AC2C37">
        <w:t>ych</w:t>
      </w:r>
      <w:r w:rsidR="00AC2C37" w:rsidRPr="0034514E">
        <w:t xml:space="preserve"> zainstalowan</w:t>
      </w:r>
      <w:r w:rsidR="00AC2C37">
        <w:t>ych</w:t>
      </w:r>
      <w:r w:rsidR="00AC2C37" w:rsidRPr="0034514E">
        <w:t xml:space="preserve"> na stałe w ramach realizacji </w:t>
      </w:r>
      <w:r w:rsidR="00AC2C37">
        <w:t>projektu</w:t>
      </w:r>
      <w:r w:rsidR="00AC2C37" w:rsidRPr="0034514E">
        <w:t>, taki</w:t>
      </w:r>
      <w:r w:rsidR="00AC2C37">
        <w:t>ch</w:t>
      </w:r>
      <w:r w:rsidR="00AC2C37" w:rsidRPr="0034514E">
        <w:t xml:space="preserve"> jak urządzenia dźwigowe oraz przeładunkowe</w:t>
      </w:r>
      <w:r w:rsidRPr="0007628B">
        <w:t>,</w:t>
      </w:r>
    </w:p>
    <w:p w14:paraId="035397A9" w14:textId="6D4CAD87" w:rsidR="0007628B" w:rsidRPr="0007628B" w:rsidRDefault="0007628B" w:rsidP="0007628B">
      <w:pPr>
        <w:pStyle w:val="LITlitera"/>
      </w:pPr>
      <w:r w:rsidRPr="0007628B">
        <w:t>b)</w:t>
      </w:r>
      <w:r w:rsidRPr="0007628B">
        <w:tab/>
        <w:t>ruchom</w:t>
      </w:r>
      <w:r w:rsidR="00AC2C37">
        <w:t>ych</w:t>
      </w:r>
      <w:r w:rsidRPr="0007628B">
        <w:t xml:space="preserve"> środk</w:t>
      </w:r>
      <w:r w:rsidR="00AC2C37">
        <w:t>ów</w:t>
      </w:r>
      <w:r w:rsidRPr="0007628B">
        <w:t xml:space="preserve"> trwał</w:t>
      </w:r>
      <w:r w:rsidR="00AC2C37">
        <w:t>ych</w:t>
      </w:r>
      <w:r w:rsidRPr="0007628B">
        <w:t xml:space="preserve"> niezbędn</w:t>
      </w:r>
      <w:r w:rsidR="00AC2C37">
        <w:t>ych</w:t>
      </w:r>
      <w:r w:rsidRPr="0007628B">
        <w:t xml:space="preserve"> do poprawnego funkcjonowania infrastruktury powstałej w wyniku realizacji </w:t>
      </w:r>
      <w:r w:rsidR="00205424">
        <w:t>projektu</w:t>
      </w:r>
      <w:r w:rsidRPr="0007628B">
        <w:t>,</w:t>
      </w:r>
    </w:p>
    <w:p w14:paraId="1943F696" w14:textId="43F99815" w:rsidR="0007628B" w:rsidRPr="0007628B" w:rsidRDefault="0007628B" w:rsidP="00AC2C37">
      <w:pPr>
        <w:pStyle w:val="LITlitera"/>
      </w:pPr>
      <w:r w:rsidRPr="0007628B">
        <w:t>c)</w:t>
      </w:r>
      <w:r w:rsidRPr="0007628B">
        <w:tab/>
        <w:t>sprzęt</w:t>
      </w:r>
      <w:r w:rsidR="00AC2C37">
        <w:t>u</w:t>
      </w:r>
      <w:r w:rsidRPr="0007628B">
        <w:t xml:space="preserve"> będąc</w:t>
      </w:r>
      <w:r w:rsidR="00AC2C37">
        <w:t>ego</w:t>
      </w:r>
      <w:r w:rsidRPr="0007628B">
        <w:t xml:space="preserve"> środkiem trwałym zakupiony lub wytworzony na czas realizacji </w:t>
      </w:r>
      <w:r w:rsidR="00205424">
        <w:t>projektu</w:t>
      </w:r>
      <w:r w:rsidRPr="0007628B">
        <w:t>,</w:t>
      </w:r>
    </w:p>
    <w:p w14:paraId="5F578C57" w14:textId="039F5A1E" w:rsidR="0007628B" w:rsidRPr="0007628B" w:rsidRDefault="0007628B" w:rsidP="0007628B">
      <w:pPr>
        <w:pStyle w:val="LITlitera"/>
      </w:pPr>
      <w:r w:rsidRPr="0007628B">
        <w:t>e)</w:t>
      </w:r>
      <w:r w:rsidRPr="0007628B">
        <w:tab/>
      </w:r>
      <w:r w:rsidR="00AC2C37" w:rsidRPr="0034514E">
        <w:t>materiałów niestanowiących środków trwałych wykorzystywanych przez czas realizacji</w:t>
      </w:r>
      <w:r w:rsidRPr="0007628B">
        <w:t xml:space="preserve"> </w:t>
      </w:r>
      <w:r w:rsidR="00205424">
        <w:t>projektu</w:t>
      </w:r>
      <w:r w:rsidRPr="0007628B">
        <w:t>,</w:t>
      </w:r>
    </w:p>
    <w:p w14:paraId="3CAFDA1F" w14:textId="6FFCAD79" w:rsidR="0007628B" w:rsidRPr="0007628B" w:rsidRDefault="0007628B" w:rsidP="0007628B">
      <w:pPr>
        <w:pStyle w:val="LITlitera"/>
      </w:pPr>
      <w:r w:rsidRPr="0007628B">
        <w:t>f)</w:t>
      </w:r>
      <w:r w:rsidRPr="0007628B">
        <w:tab/>
        <w:t>intermodalnych jednostek ładunkowych z wyjątkiem kontenerów;</w:t>
      </w:r>
    </w:p>
    <w:p w14:paraId="5DBC13F6" w14:textId="1D54B48E" w:rsidR="00AC2C37" w:rsidRDefault="0007628B" w:rsidP="0007628B">
      <w:pPr>
        <w:pStyle w:val="PKTpunkt"/>
      </w:pPr>
      <w:r w:rsidRPr="0007628B">
        <w:t>7)</w:t>
      </w:r>
      <w:r w:rsidRPr="0007628B">
        <w:tab/>
      </w:r>
      <w:r w:rsidR="00AC2C37">
        <w:t xml:space="preserve">nabycie </w:t>
      </w:r>
      <w:r w:rsidR="00AC2C37" w:rsidRPr="0007628B">
        <w:t>wartości niematerialn</w:t>
      </w:r>
      <w:r w:rsidR="00AC2C37">
        <w:t>ych</w:t>
      </w:r>
      <w:r w:rsidR="00AC2C37" w:rsidRPr="0007628B">
        <w:t xml:space="preserve"> i prawn</w:t>
      </w:r>
      <w:r w:rsidR="00AC2C37">
        <w:t>ych;</w:t>
      </w:r>
    </w:p>
    <w:p w14:paraId="414F9C0C" w14:textId="2D82F49A" w:rsidR="0007628B" w:rsidRPr="0007628B" w:rsidRDefault="00AC2C37" w:rsidP="0007628B">
      <w:pPr>
        <w:pStyle w:val="PKTpunkt"/>
      </w:pPr>
      <w:r>
        <w:t>8)</w:t>
      </w:r>
      <w:r>
        <w:tab/>
      </w:r>
      <w:r w:rsidR="0007628B" w:rsidRPr="0007628B">
        <w:t>zakup taboru kolejowego, w tym lokomotyw manewrowych i trakcyjnych oraz wagonów, służących wyłącznie wykonywaniu transportu intermodalnego;</w:t>
      </w:r>
    </w:p>
    <w:p w14:paraId="26224876" w14:textId="5B493CCB" w:rsidR="0007628B" w:rsidRPr="0007628B" w:rsidRDefault="00AC2C37" w:rsidP="0007628B">
      <w:pPr>
        <w:pStyle w:val="PKTpunkt"/>
      </w:pPr>
      <w:r>
        <w:t>9</w:t>
      </w:r>
      <w:r w:rsidR="0007628B" w:rsidRPr="0007628B">
        <w:t>)</w:t>
      </w:r>
      <w:r w:rsidR="0007628B" w:rsidRPr="0007628B">
        <w:tab/>
        <w:t xml:space="preserve">zakup lub modernizację oraz wdrożenie systemów </w:t>
      </w:r>
      <w:r w:rsidRPr="000E039E">
        <w:t>informatycznych niezbędnych do obsługi terminali intermodalnych</w:t>
      </w:r>
      <w:r>
        <w:t xml:space="preserve"> oraz</w:t>
      </w:r>
      <w:r w:rsidRPr="0034514E">
        <w:t xml:space="preserve"> systemów </w:t>
      </w:r>
      <w:proofErr w:type="spellStart"/>
      <w:r w:rsidRPr="0034514E">
        <w:t>telematycznych</w:t>
      </w:r>
      <w:proofErr w:type="spellEnd"/>
      <w:r w:rsidRPr="0034514E">
        <w:t xml:space="preserve"> i</w:t>
      </w:r>
      <w:r>
        <w:t xml:space="preserve"> </w:t>
      </w:r>
      <w:r w:rsidRPr="0034514E">
        <w:t>satelitarnych związanych z transportem intermodalnym</w:t>
      </w:r>
      <w:r w:rsidR="0007628B" w:rsidRPr="0007628B">
        <w:t>;</w:t>
      </w:r>
    </w:p>
    <w:p w14:paraId="0C429104" w14:textId="7B9C3216" w:rsidR="0007628B" w:rsidRPr="0007628B" w:rsidRDefault="00AC2C37" w:rsidP="0007628B">
      <w:pPr>
        <w:pStyle w:val="PKTpunkt"/>
      </w:pPr>
      <w:r>
        <w:t>10</w:t>
      </w:r>
      <w:r w:rsidR="0007628B" w:rsidRPr="0007628B">
        <w:t>)</w:t>
      </w:r>
      <w:r w:rsidR="0007628B" w:rsidRPr="0007628B">
        <w:tab/>
        <w:t>podatek od towarów i usług, o ile przedsiębiorcy, któremu udzielono pomocy, nie przysługuje prawo do obniżenia kwoty podatku należnego o kwotę podatku naliczonego lub ubiegania się o zwrot podatku od towarów i usług;</w:t>
      </w:r>
    </w:p>
    <w:p w14:paraId="70C1F821" w14:textId="043A7781" w:rsidR="0007628B" w:rsidRPr="0007628B" w:rsidRDefault="0007628B" w:rsidP="0007628B">
      <w:pPr>
        <w:pStyle w:val="PKTpunkt"/>
      </w:pPr>
      <w:r w:rsidRPr="0007628B">
        <w:t>1</w:t>
      </w:r>
      <w:r w:rsidR="00AC2C37">
        <w:t>1</w:t>
      </w:r>
      <w:r w:rsidRPr="0007628B">
        <w:t>)</w:t>
      </w:r>
      <w:r w:rsidRPr="0007628B">
        <w:tab/>
        <w:t>niezbędne opłaty związane z realizacją pr</w:t>
      </w:r>
      <w:r w:rsidR="00205424">
        <w:t>ojektu</w:t>
      </w:r>
      <w:r w:rsidRPr="0007628B">
        <w:t xml:space="preserve">, w tym opłaty administracyjne, jeżeli stanowią one wydatki kwalifikowalne w ramach </w:t>
      </w:r>
      <w:r w:rsidR="00205424">
        <w:t>programu</w:t>
      </w:r>
      <w:r w:rsidRPr="0007628B">
        <w:t>;</w:t>
      </w:r>
    </w:p>
    <w:p w14:paraId="5C58F43C" w14:textId="7ABADD44" w:rsidR="0007628B" w:rsidRPr="0007628B" w:rsidRDefault="0007628B" w:rsidP="0007628B">
      <w:pPr>
        <w:pStyle w:val="PKTpunkt"/>
      </w:pPr>
      <w:r w:rsidRPr="0007628B">
        <w:lastRenderedPageBreak/>
        <w:t>1</w:t>
      </w:r>
      <w:r w:rsidR="00AC2C37">
        <w:t>2</w:t>
      </w:r>
      <w:r w:rsidRPr="0007628B">
        <w:t>)</w:t>
      </w:r>
      <w:r w:rsidRPr="0007628B">
        <w:tab/>
        <w:t>zastosowanie technik finansowania niepowodujących natychmiastowego przeniesienia prawa własności.</w:t>
      </w:r>
    </w:p>
    <w:p w14:paraId="5B9E9183" w14:textId="77777777" w:rsidR="0007628B" w:rsidRPr="0007628B" w:rsidRDefault="0007628B" w:rsidP="0007628B">
      <w:pPr>
        <w:pStyle w:val="USTustnpkodeksu"/>
      </w:pPr>
      <w:r w:rsidRPr="0007628B">
        <w:t>2. Do wydatków kwalifikowalnych nie zalicza się wydatków lub kosztów poniesionych na:</w:t>
      </w:r>
    </w:p>
    <w:p w14:paraId="6D41481F" w14:textId="77777777" w:rsidR="0007628B" w:rsidRPr="0007628B" w:rsidRDefault="0007628B" w:rsidP="0007628B">
      <w:pPr>
        <w:pStyle w:val="PKTpunkt"/>
      </w:pPr>
      <w:r w:rsidRPr="0007628B">
        <w:t>1)</w:t>
      </w:r>
      <w:r w:rsidRPr="0007628B">
        <w:tab/>
        <w:t>przygotowanie wniosku;</w:t>
      </w:r>
    </w:p>
    <w:p w14:paraId="7C78BEED" w14:textId="72F77F50" w:rsidR="0007628B" w:rsidRPr="0007628B" w:rsidRDefault="0007628B" w:rsidP="0007628B">
      <w:pPr>
        <w:pStyle w:val="PKTpunkt"/>
      </w:pPr>
      <w:r w:rsidRPr="0007628B">
        <w:t>2)</w:t>
      </w:r>
      <w:r w:rsidRPr="0007628B">
        <w:tab/>
        <w:t xml:space="preserve">przygotowanie wniosku </w:t>
      </w:r>
      <w:r w:rsidR="00622DE6" w:rsidRPr="00622DE6">
        <w:t>o dofinansowanie projektu</w:t>
      </w:r>
      <w:r w:rsidR="00622DE6">
        <w:t>,</w:t>
      </w:r>
      <w:r w:rsidR="00622DE6" w:rsidRPr="00622DE6">
        <w:t xml:space="preserve"> o którym mowa w art. 50 ust. 1 </w:t>
      </w:r>
      <w:r w:rsidR="00205424" w:rsidRPr="00205424">
        <w:t>ustawy o zasadach realizacji zadań finansowanych ze środków europejskich w perspektywie finansowej 2021</w:t>
      </w:r>
      <w:r w:rsidR="00EE6B08" w:rsidRPr="0007628B">
        <w:t>–</w:t>
      </w:r>
      <w:r w:rsidR="00205424" w:rsidRPr="00205424">
        <w:t>2027</w:t>
      </w:r>
      <w:r w:rsidRPr="0007628B">
        <w:t>;</w:t>
      </w:r>
    </w:p>
    <w:p w14:paraId="3F417911" w14:textId="023C2FB1" w:rsidR="0007628B" w:rsidRDefault="0007628B" w:rsidP="0007628B">
      <w:pPr>
        <w:pStyle w:val="PKTpunkt"/>
      </w:pPr>
      <w:r w:rsidRPr="0007628B">
        <w:t>3)</w:t>
      </w:r>
      <w:r w:rsidRPr="0007628B">
        <w:tab/>
        <w:t>budowę, przebudowę lub modernizację obiektów służb ochrony, agencji celnych, magazynów oraz socjalnych, takich jak pomieszczenia sypialne oraz stołówki</w:t>
      </w:r>
      <w:r w:rsidR="00A13CC1">
        <w:t>;</w:t>
      </w:r>
    </w:p>
    <w:p w14:paraId="59FE38FF" w14:textId="24D414A7" w:rsidR="00A13CC1" w:rsidRPr="0007628B" w:rsidRDefault="00A13CC1" w:rsidP="00A13CC1">
      <w:pPr>
        <w:pStyle w:val="PKTpunkt"/>
      </w:pPr>
      <w:r>
        <w:t>4)</w:t>
      </w:r>
      <w:r w:rsidRPr="00CB7A40">
        <w:tab/>
        <w:t>zakup używanego środka trwałego, który był uprzednio współfinansowany z</w:t>
      </w:r>
      <w:r w:rsidR="00C81402">
        <w:t>e</w:t>
      </w:r>
      <w:r w:rsidRPr="00CB7A40">
        <w:t xml:space="preserve"> środków </w:t>
      </w:r>
      <w:r w:rsidR="00C81402">
        <w:t>unijnych</w:t>
      </w:r>
      <w:r w:rsidRPr="00CB7A40">
        <w:t>.</w:t>
      </w:r>
    </w:p>
    <w:p w14:paraId="4DCE5B77" w14:textId="7D68038E" w:rsidR="0007628B" w:rsidRPr="0007628B" w:rsidRDefault="0007628B" w:rsidP="0007628B">
      <w:pPr>
        <w:pStyle w:val="USTustnpkodeksu"/>
      </w:pPr>
      <w:r w:rsidRPr="0007628B">
        <w:t>3</w:t>
      </w:r>
      <w:r w:rsidRPr="00CB7A40">
        <w:t>. Za kwalifikowalne mogą zostać uznane wydatki i koszty</w:t>
      </w:r>
      <w:r w:rsidR="00AC2C37" w:rsidRPr="00CB7A40">
        <w:t xml:space="preserve">, o których mowa w ust. 1, </w:t>
      </w:r>
      <w:r w:rsidRPr="00CB7A40">
        <w:t xml:space="preserve">poniesione przez przedsiębiorcę w okresie od dnia otrzymania informacji, o której mowa w § 5 ust. 7, do dnia </w:t>
      </w:r>
      <w:r w:rsidR="00622DE6" w:rsidRPr="00CB7A40">
        <w:t>31 grudnia</w:t>
      </w:r>
      <w:r w:rsidRPr="00CB7A40">
        <w:t xml:space="preserve"> 202</w:t>
      </w:r>
      <w:r w:rsidR="00622DE6" w:rsidRPr="00CB7A40">
        <w:t>9</w:t>
      </w:r>
      <w:r w:rsidRPr="00CB7A40">
        <w:t> r.</w:t>
      </w:r>
    </w:p>
    <w:p w14:paraId="0097B95A" w14:textId="7674EE4F" w:rsidR="0007628B" w:rsidRPr="0007628B" w:rsidRDefault="0007628B" w:rsidP="0007628B">
      <w:pPr>
        <w:pStyle w:val="ARTartustawynprozporzdzenia"/>
      </w:pPr>
      <w:bookmarkStart w:id="9" w:name="18353934"/>
      <w:bookmarkEnd w:id="9"/>
      <w:r w:rsidRPr="0007628B">
        <w:rPr>
          <w:rStyle w:val="Ppogrubienie"/>
        </w:rPr>
        <w:t>§ 7</w:t>
      </w:r>
      <w:r w:rsidRPr="00CB7A40">
        <w:rPr>
          <w:rStyle w:val="Ppogrubienie"/>
        </w:rPr>
        <w:t>.</w:t>
      </w:r>
      <w:r w:rsidRPr="00CB7A40">
        <w:t xml:space="preserve"> 1. Maksymalna intensywność pomocy wynosi 50% wydatków kwalifikowalnych, o których mowa w § 6 ust. 1. </w:t>
      </w:r>
    </w:p>
    <w:p w14:paraId="57AE725B" w14:textId="0F58580A" w:rsidR="0007628B" w:rsidRPr="0007628B" w:rsidRDefault="0007628B" w:rsidP="0007628B">
      <w:pPr>
        <w:pStyle w:val="USTustnpkodeksu"/>
      </w:pPr>
      <w:r w:rsidRPr="0007628B">
        <w:t xml:space="preserve">2. Intensywność pomocy może zostać zwiększona o dodatkowe 25 punktów procentowych w odniesieniu do kosztów zakupu </w:t>
      </w:r>
      <w:r w:rsidR="007450E4">
        <w:t>zeroemisyjnych urządzeń</w:t>
      </w:r>
      <w:r w:rsidR="007450E4" w:rsidRPr="0034514E">
        <w:t xml:space="preserve"> przeładunkow</w:t>
      </w:r>
      <w:r w:rsidR="007450E4">
        <w:t>ych</w:t>
      </w:r>
      <w:r w:rsidRPr="0007628B">
        <w:t>.</w:t>
      </w:r>
    </w:p>
    <w:p w14:paraId="5A6603E5" w14:textId="77777777" w:rsidR="0007628B" w:rsidRPr="0007628B" w:rsidRDefault="0007628B" w:rsidP="0007628B">
      <w:pPr>
        <w:pStyle w:val="ARTartustawynprozporzdzenia"/>
      </w:pPr>
      <w:bookmarkStart w:id="10" w:name="18353935"/>
      <w:bookmarkEnd w:id="10"/>
      <w:r w:rsidRPr="0007628B">
        <w:rPr>
          <w:rStyle w:val="Ppogrubienie"/>
        </w:rPr>
        <w:t>§ 8.</w:t>
      </w:r>
      <w:r w:rsidRPr="0007628B">
        <w:t xml:space="preserve"> 1. Pomoc udzielana w odniesieniu do tych samych wydatków kwalifikowalnych podlega sumowaniu z każdą inną pomocą publiczną, pomocą </w:t>
      </w:r>
      <w:r w:rsidRPr="009541FF">
        <w:rPr>
          <w:rStyle w:val="Kkursywa"/>
        </w:rPr>
        <w:t xml:space="preserve">de </w:t>
      </w:r>
      <w:proofErr w:type="spellStart"/>
      <w:r w:rsidRPr="009541FF">
        <w:rPr>
          <w:rStyle w:val="Kkursywa"/>
        </w:rPr>
        <w:t>minimis</w:t>
      </w:r>
      <w:proofErr w:type="spellEnd"/>
      <w:r w:rsidRPr="0007628B">
        <w:t xml:space="preserve"> lub finansowaniem unijnym zarządzanym centralnie i niestanowiącym pomocy publicznej udzielonym przedsiębiorcy, któremu przyznano pomoc na podstawie niniejszego rozporządzenia, niezależnie od jej formy i źródła.</w:t>
      </w:r>
    </w:p>
    <w:p w14:paraId="16B050A5" w14:textId="77777777" w:rsidR="0007628B" w:rsidRPr="0007628B" w:rsidRDefault="0007628B" w:rsidP="0007628B">
      <w:pPr>
        <w:pStyle w:val="USTustnpkodeksu"/>
      </w:pPr>
      <w:r w:rsidRPr="0007628B">
        <w:t xml:space="preserve">2. Skumulowana pomoc i finansowanie, o których mowa w ust. 1, nie może przekroczyć maksymalnej intensywności pomocy, o której </w:t>
      </w:r>
      <w:r w:rsidRPr="00CB7A40">
        <w:t>mowa w § 7.</w:t>
      </w:r>
    </w:p>
    <w:p w14:paraId="0512855D" w14:textId="4BF43844" w:rsidR="0007628B" w:rsidRPr="0007628B" w:rsidRDefault="0007628B" w:rsidP="0007628B">
      <w:pPr>
        <w:pStyle w:val="USTustnpkodeksu"/>
      </w:pPr>
      <w:r w:rsidRPr="0007628B">
        <w:t>3. Przedsiębiorca informuje CUPT o każdej innej pomocy publicznej, pomocy </w:t>
      </w:r>
      <w:r w:rsidRPr="009541FF">
        <w:rPr>
          <w:rStyle w:val="Kkursywa"/>
        </w:rPr>
        <w:t xml:space="preserve">de </w:t>
      </w:r>
      <w:proofErr w:type="spellStart"/>
      <w:r w:rsidRPr="009541FF">
        <w:rPr>
          <w:rStyle w:val="Kkursywa"/>
        </w:rPr>
        <w:t>minimis</w:t>
      </w:r>
      <w:proofErr w:type="spellEnd"/>
      <w:r w:rsidRPr="0007628B">
        <w:t xml:space="preserve"> lub niestanowiącym pomocy publicznej finansowaniu unijnym zarządzanym centralnie otrzymanym na realizację tego samego </w:t>
      </w:r>
      <w:r w:rsidR="00622DE6">
        <w:t>projektu</w:t>
      </w:r>
      <w:r w:rsidRPr="0007628B">
        <w:t>.</w:t>
      </w:r>
    </w:p>
    <w:p w14:paraId="3292F5D6" w14:textId="67F0863E" w:rsidR="0007628B" w:rsidRPr="0007628B" w:rsidRDefault="0007628B" w:rsidP="0007628B">
      <w:pPr>
        <w:pStyle w:val="ARTartustawynprozporzdzenia"/>
      </w:pPr>
      <w:bookmarkStart w:id="11" w:name="18353936"/>
      <w:bookmarkEnd w:id="11"/>
      <w:r w:rsidRPr="0007628B">
        <w:rPr>
          <w:rStyle w:val="Ppogrubienie"/>
        </w:rPr>
        <w:t>§ 9.</w:t>
      </w:r>
      <w:r w:rsidRPr="0007628B">
        <w:t xml:space="preserve"> Pomoc może być udzielana w okresie obowiązywania decyzji Komisji Europejskiej, o której mowa odpowiednio w art. 4 ust. 3 albo art. 9 ust. 3 i 4 rozporządzenia Rady (UE) 2015/1589 z dnia 13 lipca 2015 r. ustanawiającego szczegółowe zasady stosowania art. 108 </w:t>
      </w:r>
      <w:r w:rsidRPr="0007628B">
        <w:lastRenderedPageBreak/>
        <w:t xml:space="preserve">Traktatu o funkcjonowaniu Unii Europejskiej (Dz. Urz. UE L 248 z 24.09.2015, str. 9), nie dłużej jednak niż do dnia </w:t>
      </w:r>
      <w:r w:rsidR="00622DE6">
        <w:t>31 grudnia</w:t>
      </w:r>
      <w:r w:rsidRPr="0007628B">
        <w:t xml:space="preserve"> 202</w:t>
      </w:r>
      <w:r w:rsidR="00622DE6">
        <w:t>9</w:t>
      </w:r>
      <w:r w:rsidRPr="0007628B">
        <w:t> r</w:t>
      </w:r>
      <w:bookmarkStart w:id="12" w:name="18353937"/>
      <w:bookmarkEnd w:id="12"/>
      <w:r w:rsidRPr="0007628B">
        <w:t>.</w:t>
      </w:r>
    </w:p>
    <w:p w14:paraId="0B8F68DC" w14:textId="5FFB3EB1" w:rsidR="00261A16" w:rsidRPr="00737F6A" w:rsidRDefault="0007628B" w:rsidP="00097D63">
      <w:pPr>
        <w:pStyle w:val="ARTartustawynprozporzdzenia"/>
      </w:pPr>
      <w:r w:rsidRPr="0007628B">
        <w:rPr>
          <w:rStyle w:val="Ppogrubienie"/>
        </w:rPr>
        <w:t>§ 10.</w:t>
      </w:r>
      <w:r w:rsidRPr="0007628B">
        <w:t xml:space="preserve"> Rozporządzenie wchodzi w życie z dniem następującym po dniu ogłoszenia.</w:t>
      </w:r>
      <w:bookmarkStart w:id="13" w:name="18353938"/>
      <w:bookmarkEnd w:id="13"/>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E728" w14:textId="77777777" w:rsidR="001C1658" w:rsidRDefault="001C1658">
      <w:r>
        <w:separator/>
      </w:r>
    </w:p>
  </w:endnote>
  <w:endnote w:type="continuationSeparator" w:id="0">
    <w:p w14:paraId="39E05008" w14:textId="77777777" w:rsidR="001C1658" w:rsidRDefault="001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CE23" w14:textId="77777777" w:rsidR="001C1658" w:rsidRDefault="001C1658">
      <w:r>
        <w:separator/>
      </w:r>
    </w:p>
  </w:footnote>
  <w:footnote w:type="continuationSeparator" w:id="0">
    <w:p w14:paraId="7E16ED93" w14:textId="77777777" w:rsidR="001C1658" w:rsidRDefault="001C1658">
      <w:r>
        <w:continuationSeparator/>
      </w:r>
    </w:p>
  </w:footnote>
  <w:footnote w:id="1">
    <w:p w14:paraId="3038DD40" w14:textId="67D05F42" w:rsidR="00114D9C" w:rsidRDefault="00114D9C" w:rsidP="009449DC">
      <w:pPr>
        <w:pStyle w:val="ODNONIKtreodnonika"/>
      </w:pPr>
      <w:r>
        <w:rPr>
          <w:rStyle w:val="Odwoanieprzypisudolnego"/>
        </w:rPr>
        <w:footnoteRef/>
      </w:r>
      <w:r w:rsidR="009449DC" w:rsidRPr="009449DC">
        <w:rPr>
          <w:rStyle w:val="IGindeksgrny"/>
        </w:rPr>
        <w:t>)</w:t>
      </w:r>
      <w:r w:rsidRPr="009449DC">
        <w:rPr>
          <w:rStyle w:val="IGindeksgrny"/>
        </w:rPr>
        <w:t xml:space="preserve"> </w:t>
      </w:r>
      <w:r w:rsidR="009449DC">
        <w:tab/>
      </w:r>
      <w:r w:rsidR="009449DC" w:rsidRPr="00E06C54">
        <w:t>Minister Funduszy i Polityki Regionalnej kieruje działem administracji rządowej – rozwój regionalny, na podstawie § 1 ust. 2 rozporządzenia Prezesa Rady Ministrów z dnia 27 października 2021 r. w sprawie szczegółowego zakresu działania Ministra Funduszy</w:t>
      </w:r>
      <w:r w:rsidR="009449DC">
        <w:t xml:space="preserve"> </w:t>
      </w:r>
      <w:r w:rsidR="009449DC" w:rsidRPr="00E06C54">
        <w:t>i Polityki Regionalnej (Dz. U. poz. 1948).</w:t>
      </w:r>
    </w:p>
  </w:footnote>
  <w:footnote w:id="2">
    <w:p w14:paraId="04BEAD8A" w14:textId="0589A4D0" w:rsidR="00114D9C" w:rsidRDefault="00114D9C" w:rsidP="009449DC">
      <w:pPr>
        <w:pStyle w:val="ODNONIKtreodnonika"/>
      </w:pPr>
      <w:r>
        <w:rPr>
          <w:rStyle w:val="Odwoanieprzypisudolnego"/>
        </w:rPr>
        <w:footnoteRef/>
      </w:r>
      <w:r w:rsidR="009449DC" w:rsidRPr="009449DC">
        <w:rPr>
          <w:rStyle w:val="IGindeksgrny"/>
        </w:rPr>
        <w:t>)</w:t>
      </w:r>
      <w:r w:rsidR="009449DC">
        <w:tab/>
      </w:r>
      <w:r w:rsidRPr="00114D9C">
        <w:t>Zmiany wymienionego rozporządzenia zostały ogłoszone w Dz. Urz. UE L 329 z 15.12.2015, str. 28, Dz. Urz. UE L 149 z 07.06.2016, str. 10, Dz. Urz. UE L 156 z 20.06.2017, str. 1, Dz. Urz. UE L 236 z 14.09.2017, str. 28, Dz. Urz. UE L 26 z 31.01.2018, str. 53, Dz. Urz. UE L 215 z 07.07.2020, str. 3, Dz. Urz. UE L 89 z 16.03.2021, str. 1, Dz. Urz. UE L 270 z 29.07.2021, str. 39 oraz Dz. Urz. UE L 167 z 30.06.2023, str. 1.</w:t>
      </w:r>
    </w:p>
  </w:footnote>
  <w:footnote w:id="3">
    <w:p w14:paraId="5713DB14" w14:textId="00E2EC4B" w:rsidR="009449DC" w:rsidRDefault="009449DC" w:rsidP="009449DC">
      <w:pPr>
        <w:pStyle w:val="ODNONIKtreodnonika"/>
      </w:pPr>
      <w:r>
        <w:rPr>
          <w:rStyle w:val="Odwoanieprzypisudolnego"/>
        </w:rPr>
        <w:footnoteRef/>
      </w:r>
      <w:bookmarkStart w:id="5" w:name="_Hlk141349881"/>
      <w:r w:rsidRPr="009449DC">
        <w:rPr>
          <w:rStyle w:val="IGindeksgrny"/>
        </w:rPr>
        <w:t>)</w:t>
      </w:r>
      <w:bookmarkEnd w:id="5"/>
      <w:r>
        <w:t xml:space="preserve"> </w:t>
      </w:r>
      <w:r w:rsidRPr="009449DC">
        <w:t>Zmiany wymienionego komunikatu zostały ogłoszone w Dz. Urz. UE C 224 z 08.07.2020, str. 2.</w:t>
      </w:r>
    </w:p>
  </w:footnote>
  <w:footnote w:id="4">
    <w:p w14:paraId="28E7F921" w14:textId="1B2E1780" w:rsidR="00115C8E" w:rsidRDefault="00115C8E" w:rsidP="00FA1AEF">
      <w:pPr>
        <w:pStyle w:val="ODNONIKtreodnonika"/>
      </w:pPr>
      <w:r>
        <w:rPr>
          <w:rStyle w:val="Odwoanieprzypisudolnego"/>
        </w:rPr>
        <w:footnoteRef/>
      </w:r>
      <w:r w:rsidRPr="00115C8E">
        <w:rPr>
          <w:rStyle w:val="IGindeksgrny"/>
        </w:rPr>
        <w:t>)</w:t>
      </w:r>
      <w:r w:rsidRPr="00115C8E">
        <w:t xml:space="preserve"> Zmiana wymienionego rozporządzenia została ogłoszona w Dz.</w:t>
      </w:r>
      <w:r w:rsidR="00FA1AEF">
        <w:t xml:space="preserve"> </w:t>
      </w:r>
      <w:r w:rsidRPr="00115C8E">
        <w:t>Urz. UE L 261 z 22.07.2021, str.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99DC"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0974"/>
    <w:multiLevelType w:val="hybridMultilevel"/>
    <w:tmpl w:val="D9124686"/>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5"/>
  </w:num>
  <w:num w:numId="12">
    <w:abstractNumId w:val="11"/>
  </w:num>
  <w:num w:numId="13">
    <w:abstractNumId w:val="16"/>
  </w:num>
  <w:num w:numId="14">
    <w:abstractNumId w:val="27"/>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2"/>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4"/>
  </w:num>
  <w:num w:numId="40">
    <w:abstractNumId w:val="30"/>
  </w:num>
  <w:num w:numId="41">
    <w:abstractNumId w:val="29"/>
  </w:num>
  <w:num w:numId="42">
    <w:abstractNumId w:val="22"/>
  </w:num>
  <w:num w:numId="43">
    <w:abstractNumId w:val="35"/>
  </w:num>
  <w:num w:numId="44">
    <w:abstractNumId w:val="13"/>
  </w:num>
  <w:num w:numId="4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28B"/>
    <w:rsid w:val="000012DA"/>
    <w:rsid w:val="0000246E"/>
    <w:rsid w:val="00003862"/>
    <w:rsid w:val="000074A3"/>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28B"/>
    <w:rsid w:val="00076BFC"/>
    <w:rsid w:val="000814A7"/>
    <w:rsid w:val="0008557B"/>
    <w:rsid w:val="00085CE7"/>
    <w:rsid w:val="000906EE"/>
    <w:rsid w:val="00091BA2"/>
    <w:rsid w:val="000944EF"/>
    <w:rsid w:val="0009732D"/>
    <w:rsid w:val="000973F0"/>
    <w:rsid w:val="00097D63"/>
    <w:rsid w:val="000A1296"/>
    <w:rsid w:val="000A1C27"/>
    <w:rsid w:val="000A1DAD"/>
    <w:rsid w:val="000A2649"/>
    <w:rsid w:val="000A323B"/>
    <w:rsid w:val="000B298D"/>
    <w:rsid w:val="000B5B2D"/>
    <w:rsid w:val="000B5DCE"/>
    <w:rsid w:val="000C05BA"/>
    <w:rsid w:val="000C0E8F"/>
    <w:rsid w:val="000C4BC4"/>
    <w:rsid w:val="000D0110"/>
    <w:rsid w:val="000D2468"/>
    <w:rsid w:val="000D30BF"/>
    <w:rsid w:val="000D318A"/>
    <w:rsid w:val="000D6173"/>
    <w:rsid w:val="000D6F83"/>
    <w:rsid w:val="000E25CC"/>
    <w:rsid w:val="000E3694"/>
    <w:rsid w:val="000E490F"/>
    <w:rsid w:val="000E6241"/>
    <w:rsid w:val="000F2BE3"/>
    <w:rsid w:val="000F3D0D"/>
    <w:rsid w:val="000F5833"/>
    <w:rsid w:val="000F6ED4"/>
    <w:rsid w:val="000F7A6E"/>
    <w:rsid w:val="001042BA"/>
    <w:rsid w:val="00106D03"/>
    <w:rsid w:val="00110465"/>
    <w:rsid w:val="00110628"/>
    <w:rsid w:val="0011245A"/>
    <w:rsid w:val="0011493E"/>
    <w:rsid w:val="00114D9C"/>
    <w:rsid w:val="00115B72"/>
    <w:rsid w:val="00115C8E"/>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658"/>
    <w:rsid w:val="001C1832"/>
    <w:rsid w:val="001C188C"/>
    <w:rsid w:val="001D1783"/>
    <w:rsid w:val="001D3527"/>
    <w:rsid w:val="001D53CD"/>
    <w:rsid w:val="001D55A3"/>
    <w:rsid w:val="001D5AF5"/>
    <w:rsid w:val="001E1E73"/>
    <w:rsid w:val="001E4E0C"/>
    <w:rsid w:val="001E526D"/>
    <w:rsid w:val="001E5655"/>
    <w:rsid w:val="001F1832"/>
    <w:rsid w:val="001F220F"/>
    <w:rsid w:val="001F25B3"/>
    <w:rsid w:val="001F6616"/>
    <w:rsid w:val="00202BD4"/>
    <w:rsid w:val="00204A97"/>
    <w:rsid w:val="00205424"/>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984"/>
    <w:rsid w:val="002E1DE3"/>
    <w:rsid w:val="002E2AB6"/>
    <w:rsid w:val="002E3F34"/>
    <w:rsid w:val="002E5F79"/>
    <w:rsid w:val="002E60F6"/>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37D5"/>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2EAB"/>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7429"/>
    <w:rsid w:val="00526DFC"/>
    <w:rsid w:val="00526F43"/>
    <w:rsid w:val="00527651"/>
    <w:rsid w:val="005363AB"/>
    <w:rsid w:val="00544EF4"/>
    <w:rsid w:val="00545E53"/>
    <w:rsid w:val="005479D9"/>
    <w:rsid w:val="00550CE2"/>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DE6"/>
    <w:rsid w:val="00622E4B"/>
    <w:rsid w:val="006333DA"/>
    <w:rsid w:val="00635134"/>
    <w:rsid w:val="006356E2"/>
    <w:rsid w:val="00642A65"/>
    <w:rsid w:val="00645DCE"/>
    <w:rsid w:val="006465AC"/>
    <w:rsid w:val="006465BF"/>
    <w:rsid w:val="006528C1"/>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E668D"/>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0E4"/>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96FAA"/>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050E"/>
    <w:rsid w:val="00943751"/>
    <w:rsid w:val="009449DC"/>
    <w:rsid w:val="00946DD0"/>
    <w:rsid w:val="009509E6"/>
    <w:rsid w:val="00952018"/>
    <w:rsid w:val="00952800"/>
    <w:rsid w:val="0095300D"/>
    <w:rsid w:val="009541FF"/>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CC1"/>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77C"/>
    <w:rsid w:val="00A66A78"/>
    <w:rsid w:val="00A7436E"/>
    <w:rsid w:val="00A74E96"/>
    <w:rsid w:val="00A75A8E"/>
    <w:rsid w:val="00A824DD"/>
    <w:rsid w:val="00A8346B"/>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2C37"/>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646D"/>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1402"/>
    <w:rsid w:val="00C823DA"/>
    <w:rsid w:val="00C8259F"/>
    <w:rsid w:val="00C82746"/>
    <w:rsid w:val="00C8312F"/>
    <w:rsid w:val="00C84C47"/>
    <w:rsid w:val="00C858A4"/>
    <w:rsid w:val="00C86AFA"/>
    <w:rsid w:val="00C9658F"/>
    <w:rsid w:val="00CA3206"/>
    <w:rsid w:val="00CA5DAD"/>
    <w:rsid w:val="00CB18D0"/>
    <w:rsid w:val="00CB1C8A"/>
    <w:rsid w:val="00CB24F5"/>
    <w:rsid w:val="00CB2663"/>
    <w:rsid w:val="00CB3BBE"/>
    <w:rsid w:val="00CB59E9"/>
    <w:rsid w:val="00CB7A40"/>
    <w:rsid w:val="00CC0D6A"/>
    <w:rsid w:val="00CC3831"/>
    <w:rsid w:val="00CC3E3D"/>
    <w:rsid w:val="00CC519B"/>
    <w:rsid w:val="00CD12C1"/>
    <w:rsid w:val="00CD214E"/>
    <w:rsid w:val="00CD46FA"/>
    <w:rsid w:val="00CD5973"/>
    <w:rsid w:val="00CE31A6"/>
    <w:rsid w:val="00CE7F91"/>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1EB9"/>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0766"/>
    <w:rsid w:val="00DB1AD2"/>
    <w:rsid w:val="00DB2B58"/>
    <w:rsid w:val="00DB5206"/>
    <w:rsid w:val="00DB6276"/>
    <w:rsid w:val="00DB63F5"/>
    <w:rsid w:val="00DC1C6B"/>
    <w:rsid w:val="00DC2C2E"/>
    <w:rsid w:val="00DC4AF0"/>
    <w:rsid w:val="00DC7886"/>
    <w:rsid w:val="00DD0CF2"/>
    <w:rsid w:val="00DD1553"/>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2DDB"/>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6B08"/>
    <w:rsid w:val="00EF0B96"/>
    <w:rsid w:val="00EF3486"/>
    <w:rsid w:val="00EF47AF"/>
    <w:rsid w:val="00EF53B6"/>
    <w:rsid w:val="00F00B73"/>
    <w:rsid w:val="00F115CA"/>
    <w:rsid w:val="00F14817"/>
    <w:rsid w:val="00F14EBA"/>
    <w:rsid w:val="00F1510F"/>
    <w:rsid w:val="00F1533A"/>
    <w:rsid w:val="00F15E5A"/>
    <w:rsid w:val="00F17F0A"/>
    <w:rsid w:val="00F21E38"/>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015A"/>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3E9B"/>
    <w:rsid w:val="00F9415B"/>
    <w:rsid w:val="00FA13C2"/>
    <w:rsid w:val="00FA1AEF"/>
    <w:rsid w:val="00FA7F91"/>
    <w:rsid w:val="00FB121C"/>
    <w:rsid w:val="00FB1CDD"/>
    <w:rsid w:val="00FB1FBF"/>
    <w:rsid w:val="00FB2C2F"/>
    <w:rsid w:val="00FB305C"/>
    <w:rsid w:val="00FC1DD8"/>
    <w:rsid w:val="00FC2E3D"/>
    <w:rsid w:val="00FC3BDE"/>
    <w:rsid w:val="00FC7D6F"/>
    <w:rsid w:val="00FD1DBE"/>
    <w:rsid w:val="00FD25A7"/>
    <w:rsid w:val="00FD27B6"/>
    <w:rsid w:val="00FD3689"/>
    <w:rsid w:val="00FD42A3"/>
    <w:rsid w:val="00FD7468"/>
    <w:rsid w:val="00FD7CE0"/>
    <w:rsid w:val="00FD7D26"/>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CB457"/>
  <w15:docId w15:val="{44C250AF-9FF4-43AE-9CA7-94892532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28B"/>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39">
      <w:bodyDiv w:val="1"/>
      <w:marLeft w:val="0"/>
      <w:marRight w:val="0"/>
      <w:marTop w:val="0"/>
      <w:marBottom w:val="0"/>
      <w:divBdr>
        <w:top w:val="none" w:sz="0" w:space="0" w:color="auto"/>
        <w:left w:val="none" w:sz="0" w:space="0" w:color="auto"/>
        <w:bottom w:val="none" w:sz="0" w:space="0" w:color="auto"/>
        <w:right w:val="none" w:sz="0" w:space="0" w:color="auto"/>
      </w:divBdr>
    </w:div>
    <w:div w:id="141041631">
      <w:bodyDiv w:val="1"/>
      <w:marLeft w:val="0"/>
      <w:marRight w:val="0"/>
      <w:marTop w:val="0"/>
      <w:marBottom w:val="0"/>
      <w:divBdr>
        <w:top w:val="none" w:sz="0" w:space="0" w:color="auto"/>
        <w:left w:val="none" w:sz="0" w:space="0" w:color="auto"/>
        <w:bottom w:val="none" w:sz="0" w:space="0" w:color="auto"/>
        <w:right w:val="none" w:sz="0" w:space="0" w:color="auto"/>
      </w:divBdr>
    </w:div>
    <w:div w:id="324016022">
      <w:bodyDiv w:val="1"/>
      <w:marLeft w:val="0"/>
      <w:marRight w:val="0"/>
      <w:marTop w:val="0"/>
      <w:marBottom w:val="0"/>
      <w:divBdr>
        <w:top w:val="none" w:sz="0" w:space="0" w:color="auto"/>
        <w:left w:val="none" w:sz="0" w:space="0" w:color="auto"/>
        <w:bottom w:val="none" w:sz="0" w:space="0" w:color="auto"/>
        <w:right w:val="none" w:sz="0" w:space="0" w:color="auto"/>
      </w:divBdr>
    </w:div>
    <w:div w:id="469521891">
      <w:bodyDiv w:val="1"/>
      <w:marLeft w:val="0"/>
      <w:marRight w:val="0"/>
      <w:marTop w:val="0"/>
      <w:marBottom w:val="0"/>
      <w:divBdr>
        <w:top w:val="none" w:sz="0" w:space="0" w:color="auto"/>
        <w:left w:val="none" w:sz="0" w:space="0" w:color="auto"/>
        <w:bottom w:val="none" w:sz="0" w:space="0" w:color="auto"/>
        <w:right w:val="none" w:sz="0" w:space="0" w:color="auto"/>
      </w:divBdr>
    </w:div>
    <w:div w:id="753823899">
      <w:bodyDiv w:val="1"/>
      <w:marLeft w:val="0"/>
      <w:marRight w:val="0"/>
      <w:marTop w:val="0"/>
      <w:marBottom w:val="0"/>
      <w:divBdr>
        <w:top w:val="none" w:sz="0" w:space="0" w:color="auto"/>
        <w:left w:val="none" w:sz="0" w:space="0" w:color="auto"/>
        <w:bottom w:val="none" w:sz="0" w:space="0" w:color="auto"/>
        <w:right w:val="none" w:sz="0" w:space="0" w:color="auto"/>
      </w:divBdr>
      <w:divsChild>
        <w:div w:id="1681853388">
          <w:marLeft w:val="0"/>
          <w:marRight w:val="0"/>
          <w:marTop w:val="0"/>
          <w:marBottom w:val="160"/>
          <w:divBdr>
            <w:top w:val="none" w:sz="0" w:space="0" w:color="auto"/>
            <w:left w:val="none" w:sz="0" w:space="0" w:color="auto"/>
            <w:bottom w:val="none" w:sz="0" w:space="0" w:color="auto"/>
            <w:right w:val="none" w:sz="0" w:space="0" w:color="auto"/>
          </w:divBdr>
        </w:div>
      </w:divsChild>
    </w:div>
    <w:div w:id="874151146">
      <w:bodyDiv w:val="1"/>
      <w:marLeft w:val="0"/>
      <w:marRight w:val="0"/>
      <w:marTop w:val="0"/>
      <w:marBottom w:val="0"/>
      <w:divBdr>
        <w:top w:val="none" w:sz="0" w:space="0" w:color="auto"/>
        <w:left w:val="none" w:sz="0" w:space="0" w:color="auto"/>
        <w:bottom w:val="none" w:sz="0" w:space="0" w:color="auto"/>
        <w:right w:val="none" w:sz="0" w:space="0" w:color="auto"/>
      </w:divBdr>
    </w:div>
    <w:div w:id="1389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_Jarecki\AppData\Local\Temp\Temp1_szablon_4.0-2.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Pages>
  <Words>2368</Words>
  <Characters>14212</Characters>
  <Application>Microsoft Office Word</Application>
  <DocSecurity>0</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Jarecki Stefan</dc:creator>
  <cp:lastModifiedBy>Jarecki Stefan</cp:lastModifiedBy>
  <cp:revision>2</cp:revision>
  <cp:lastPrinted>2012-04-23T06:39:00Z</cp:lastPrinted>
  <dcterms:created xsi:type="dcterms:W3CDTF">2023-10-23T11:04:00Z</dcterms:created>
  <dcterms:modified xsi:type="dcterms:W3CDTF">2023-10-23T11:04:00Z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