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082BBF" w14:textId="5281A0F5" w:rsidR="000A3331" w:rsidRDefault="000A3331" w:rsidP="0049471C">
      <w:pPr>
        <w:spacing w:before="120" w:after="120"/>
        <w:jc w:val="center"/>
        <w:rPr>
          <w:b/>
        </w:rPr>
      </w:pPr>
      <w:bookmarkStart w:id="0" w:name="_GoBack"/>
      <w:bookmarkEnd w:id="0"/>
      <w:r w:rsidRPr="0049471C">
        <w:rPr>
          <w:b/>
        </w:rPr>
        <w:t>UZASADNIENIE</w:t>
      </w:r>
      <w:r w:rsidR="00B73520">
        <w:rPr>
          <w:b/>
        </w:rPr>
        <w:t xml:space="preserve"> </w:t>
      </w:r>
    </w:p>
    <w:p w14:paraId="6F3A1FF8" w14:textId="77777777" w:rsidR="00572D7B" w:rsidRPr="0049471C" w:rsidRDefault="00572D7B" w:rsidP="0049471C">
      <w:pPr>
        <w:spacing w:before="120" w:after="120"/>
        <w:jc w:val="center"/>
        <w:rPr>
          <w:b/>
        </w:rPr>
      </w:pPr>
    </w:p>
    <w:p w14:paraId="16001C1C" w14:textId="2CD807DF" w:rsidR="00F813FF" w:rsidRPr="004664C5" w:rsidRDefault="00F813FF" w:rsidP="00F813FF">
      <w:pPr>
        <w:autoSpaceDE w:val="0"/>
        <w:autoSpaceDN w:val="0"/>
        <w:adjustRightInd w:val="0"/>
        <w:spacing w:before="120" w:after="120"/>
        <w:jc w:val="both"/>
      </w:pPr>
      <w:r w:rsidRPr="004664C5">
        <w:t xml:space="preserve">Instrumentem inwestycyjnym </w:t>
      </w:r>
      <w:r w:rsidR="00981F23" w:rsidRPr="00981F23">
        <w:t>Unii Europejskiej</w:t>
      </w:r>
      <w:r w:rsidRPr="004664C5">
        <w:t>, będący</w:t>
      </w:r>
      <w:r w:rsidR="00827A03" w:rsidRPr="004664C5">
        <w:t>m</w:t>
      </w:r>
      <w:r w:rsidRPr="004664C5">
        <w:t xml:space="preserve"> następcą Planu Inwestycyjnego </w:t>
      </w:r>
      <w:r w:rsidR="00981F23">
        <w:br/>
      </w:r>
      <w:r w:rsidRPr="004664C5">
        <w:t>dla Europy, który działał w latach 2015-2020, jest Program InvestEU.</w:t>
      </w:r>
    </w:p>
    <w:p w14:paraId="1D431459" w14:textId="41BAE330" w:rsidR="00F813FF" w:rsidRPr="004664C5" w:rsidRDefault="00F813FF" w:rsidP="00F813FF">
      <w:pPr>
        <w:autoSpaceDE w:val="0"/>
        <w:autoSpaceDN w:val="0"/>
        <w:adjustRightInd w:val="0"/>
        <w:spacing w:before="120" w:after="120"/>
        <w:jc w:val="both"/>
      </w:pPr>
      <w:r w:rsidRPr="004664C5">
        <w:t xml:space="preserve">Program InvestEU ma na celu uzupełnienie luki inwestycyjnej i poprawę poziomu inwestycji dzięki zapewnieniu gwarancji </w:t>
      </w:r>
      <w:r w:rsidR="00981F23" w:rsidRPr="00981F23">
        <w:t>Unii Europejskiej</w:t>
      </w:r>
      <w:r w:rsidRPr="004664C5">
        <w:t xml:space="preserve"> na akcję kredytową prowadzoną </w:t>
      </w:r>
      <w:r w:rsidR="007A2371">
        <w:br/>
      </w:r>
      <w:r w:rsidRPr="004664C5">
        <w:t xml:space="preserve">przez Europejski Bank Inwestycyjny, krajowe banki rozwoju oraz inne instytucje finansowe. Zapewnienie gwarancji </w:t>
      </w:r>
      <w:r w:rsidR="00981F23" w:rsidRPr="00981F23">
        <w:t>Unii Europejskiej</w:t>
      </w:r>
      <w:r w:rsidRPr="004664C5">
        <w:t xml:space="preserve"> ma zmobilizować przede wszystkim prywatne, </w:t>
      </w:r>
      <w:r w:rsidR="007A2371">
        <w:br/>
      </w:r>
      <w:r w:rsidRPr="004664C5">
        <w:t xml:space="preserve">ale również publiczne, środki na inwestycje o strategicznym znaczeniu dla gospodarki </w:t>
      </w:r>
      <w:r w:rsidR="00981F23" w:rsidRPr="00981F23">
        <w:t>Unii Europejskiej</w:t>
      </w:r>
      <w:r w:rsidRPr="004664C5">
        <w:t>.</w:t>
      </w:r>
    </w:p>
    <w:p w14:paraId="345542B0" w14:textId="286B0D38" w:rsidR="00F813FF" w:rsidRPr="004664C5" w:rsidRDefault="00F813FF" w:rsidP="00F813FF">
      <w:pPr>
        <w:autoSpaceDE w:val="0"/>
        <w:autoSpaceDN w:val="0"/>
        <w:adjustRightInd w:val="0"/>
        <w:spacing w:before="120" w:after="120"/>
        <w:jc w:val="both"/>
      </w:pPr>
      <w:r w:rsidRPr="004664C5">
        <w:t>Jednym z filarów Program</w:t>
      </w:r>
      <w:r w:rsidR="00713150">
        <w:t>u</w:t>
      </w:r>
      <w:r w:rsidRPr="004664C5">
        <w:t xml:space="preserve"> InvestEU jest </w:t>
      </w:r>
      <w:bookmarkStart w:id="1" w:name="_Hlk154649766"/>
      <w:r w:rsidRPr="004664C5">
        <w:t>Fundusz InvestEU</w:t>
      </w:r>
      <w:bookmarkEnd w:id="1"/>
      <w:r w:rsidRPr="004664C5">
        <w:t xml:space="preserve">, czyli oparty o gwarancję </w:t>
      </w:r>
      <w:r w:rsidR="00981F23" w:rsidRPr="00981F23">
        <w:t xml:space="preserve">Unii Europejskiej </w:t>
      </w:r>
      <w:r w:rsidRPr="004664C5">
        <w:t xml:space="preserve">fundusz oferujący wsparcie zwrotne na realizację inwestycji o strategicznym znaczeniu dla gospodarki i podwyższonym profilu ryzyka. </w:t>
      </w:r>
    </w:p>
    <w:p w14:paraId="3858CDD2" w14:textId="5FBC71DD" w:rsidR="00667F03" w:rsidRPr="004664C5" w:rsidRDefault="00A62DCF" w:rsidP="00F813FF">
      <w:pPr>
        <w:autoSpaceDE w:val="0"/>
        <w:autoSpaceDN w:val="0"/>
        <w:adjustRightInd w:val="0"/>
        <w:spacing w:before="120" w:after="120"/>
        <w:jc w:val="both"/>
      </w:pPr>
      <w:r w:rsidRPr="004664C5">
        <w:t xml:space="preserve">Fundusz InvestEU został ustanowiony </w:t>
      </w:r>
      <w:r w:rsidR="00667F03" w:rsidRPr="004664C5">
        <w:t>rozporządzeni</w:t>
      </w:r>
      <w:r w:rsidRPr="004664C5">
        <w:t xml:space="preserve">em </w:t>
      </w:r>
      <w:r w:rsidR="00667F03" w:rsidRPr="004664C5">
        <w:t>Parlamentu Europejskiego i Rady (UE) 2021/523 z dnia 24 marca 2021 r. ustanawiając</w:t>
      </w:r>
      <w:r w:rsidR="00944513">
        <w:t>ym</w:t>
      </w:r>
      <w:r w:rsidR="00667F03" w:rsidRPr="004664C5">
        <w:t xml:space="preserve"> Program InvestEU i zmieniając</w:t>
      </w:r>
      <w:r w:rsidR="00944513">
        <w:t>ym</w:t>
      </w:r>
      <w:r w:rsidR="00667F03" w:rsidRPr="004664C5">
        <w:t xml:space="preserve"> rozporządzenie (UE) 2015/1017  (Dz. Urz. UE L 107 z 26.03.2021, str. 30)</w:t>
      </w:r>
      <w:r w:rsidRPr="004664C5">
        <w:t>, w któr</w:t>
      </w:r>
      <w:r w:rsidR="00827A03" w:rsidRPr="004664C5">
        <w:t>y</w:t>
      </w:r>
      <w:r w:rsidRPr="004664C5">
        <w:t xml:space="preserve">m w art. 1 </w:t>
      </w:r>
      <w:r w:rsidR="00310B7F">
        <w:t xml:space="preserve">w </w:t>
      </w:r>
      <w:r w:rsidRPr="004664C5">
        <w:t>zd</w:t>
      </w:r>
      <w:r w:rsidR="00310B7F">
        <w:t>aniu pierwszym</w:t>
      </w:r>
      <w:r w:rsidRPr="004664C5">
        <w:t xml:space="preserve"> wskazano, że „…Fundusz InvestEU (…) ma zapewniać gwarancję UE wspierającą operacje z zakresu finansowania i inwestycji przeprowadzane przez partnerów wykonawczych, które to operacje przyczyniają się do realizacji polityki wewnętrznej Unii.”.</w:t>
      </w:r>
    </w:p>
    <w:p w14:paraId="230E8250" w14:textId="0EE1D4A4" w:rsidR="00AF4F74" w:rsidRPr="004664C5" w:rsidRDefault="00F813FF" w:rsidP="00F813FF">
      <w:pPr>
        <w:autoSpaceDE w:val="0"/>
        <w:autoSpaceDN w:val="0"/>
        <w:adjustRightInd w:val="0"/>
        <w:spacing w:before="120" w:after="120"/>
        <w:jc w:val="both"/>
      </w:pPr>
      <w:r w:rsidRPr="004664C5">
        <w:t>W ramach Funduszu InvestEU w</w:t>
      </w:r>
      <w:r w:rsidR="00AF4F74" w:rsidRPr="004664C5">
        <w:t>sparcie przedsiębiorców</w:t>
      </w:r>
      <w:r w:rsidRPr="004664C5">
        <w:t xml:space="preserve"> z sektora mikroprzedsiębiorców, małych lub średnich przedsiębiorców</w:t>
      </w:r>
      <w:r w:rsidR="00971B52" w:rsidRPr="004664C5">
        <w:t xml:space="preserve">, </w:t>
      </w:r>
      <w:r w:rsidR="004178E3" w:rsidRPr="004664C5">
        <w:t xml:space="preserve">zwanych dalej „MŚP”, </w:t>
      </w:r>
      <w:r w:rsidR="00A567BE" w:rsidRPr="004664C5">
        <w:t>w rozumieniu art. 2 pkt 2 rozporządzenia Komisji (UE) nr 651/2014 z dnia 17 czerwca 2014 r. uznającego niektóre rodzaje pomocy za zgodne</w:t>
      </w:r>
      <w:r w:rsidR="004178E3" w:rsidRPr="004664C5">
        <w:t xml:space="preserve"> </w:t>
      </w:r>
      <w:r w:rsidR="00A567BE" w:rsidRPr="004664C5">
        <w:t>z rynkiem wewnętrznym w zastosowaniu art. 107 i 108 Traktatu (Dz. Urz. UE L 187</w:t>
      </w:r>
      <w:r w:rsidR="004178E3" w:rsidRPr="004664C5">
        <w:t xml:space="preserve"> </w:t>
      </w:r>
      <w:r w:rsidR="00A567BE" w:rsidRPr="004664C5">
        <w:t xml:space="preserve">z 26.06.2014, str. 1, z późn. zm.), </w:t>
      </w:r>
      <w:r w:rsidR="00D0438D" w:rsidRPr="004664C5">
        <w:t xml:space="preserve">zwanego dalej „rozporządzeniem Komisji”, </w:t>
      </w:r>
      <w:r w:rsidR="00AF4F74" w:rsidRPr="004664C5">
        <w:t>zapewnić mają</w:t>
      </w:r>
      <w:r w:rsidR="0049471C" w:rsidRPr="004664C5">
        <w:t xml:space="preserve"> </w:t>
      </w:r>
      <w:r w:rsidR="00944513">
        <w:t>m. in.</w:t>
      </w:r>
      <w:r w:rsidR="00A62DCF" w:rsidRPr="004664C5">
        <w:t xml:space="preserve"> </w:t>
      </w:r>
      <w:r w:rsidR="00AF4F74" w:rsidRPr="004664C5">
        <w:t xml:space="preserve">gwarancje </w:t>
      </w:r>
      <w:r w:rsidR="00373C2C" w:rsidRPr="004664C5">
        <w:t>Banku Gospodarstwa Krajowego, zwanego dalej „BGK”, spłaty kredytu, stanowiące pomoc publiczną, zwaną dalej „pomocą”.</w:t>
      </w:r>
    </w:p>
    <w:p w14:paraId="0CEE105F" w14:textId="5D660A7A" w:rsidR="006362D5" w:rsidRPr="004664C5" w:rsidRDefault="006362D5">
      <w:pPr>
        <w:autoSpaceDE w:val="0"/>
        <w:autoSpaceDN w:val="0"/>
        <w:adjustRightInd w:val="0"/>
        <w:spacing w:before="120" w:after="120"/>
        <w:jc w:val="both"/>
      </w:pPr>
      <w:r w:rsidRPr="004664C5">
        <w:t xml:space="preserve">Gwarancje te </w:t>
      </w:r>
      <w:r w:rsidR="00754A8B" w:rsidRPr="004664C5">
        <w:t xml:space="preserve">będą </w:t>
      </w:r>
      <w:r w:rsidRPr="004664C5">
        <w:t>zabezpieczać kredyty</w:t>
      </w:r>
      <w:r w:rsidR="00373C2C" w:rsidRPr="004664C5">
        <w:t xml:space="preserve"> </w:t>
      </w:r>
      <w:r w:rsidR="00310B7F">
        <w:t xml:space="preserve">wchodzące w skład </w:t>
      </w:r>
      <w:r w:rsidR="00373C2C" w:rsidRPr="004664C5">
        <w:t>portfela kredytowego obejmującego kredyty obrotowe i inwestycyjne</w:t>
      </w:r>
      <w:r w:rsidR="00971B52" w:rsidRPr="004664C5">
        <w:t xml:space="preserve">, </w:t>
      </w:r>
      <w:r w:rsidRPr="004664C5">
        <w:t>zaciągane</w:t>
      </w:r>
      <w:r w:rsidR="008E497E" w:rsidRPr="004664C5">
        <w:t xml:space="preserve"> </w:t>
      </w:r>
      <w:r w:rsidRPr="004664C5">
        <w:t>w bankach komercyjnych</w:t>
      </w:r>
      <w:r w:rsidR="00971B52" w:rsidRPr="004664C5">
        <w:t xml:space="preserve"> </w:t>
      </w:r>
      <w:r w:rsidRPr="004664C5">
        <w:t>i</w:t>
      </w:r>
      <w:r w:rsidR="00E66D57">
        <w:t> </w:t>
      </w:r>
      <w:r w:rsidRPr="004664C5">
        <w:t>spółdzielczych</w:t>
      </w:r>
      <w:r w:rsidR="00971B52" w:rsidRPr="004664C5">
        <w:t>.</w:t>
      </w:r>
    </w:p>
    <w:p w14:paraId="4721EE7E" w14:textId="2AAD4585" w:rsidR="00971B52" w:rsidRPr="004664C5" w:rsidRDefault="00CA3986">
      <w:pPr>
        <w:autoSpaceDE w:val="0"/>
        <w:autoSpaceDN w:val="0"/>
        <w:adjustRightInd w:val="0"/>
        <w:spacing w:before="120" w:after="120"/>
        <w:jc w:val="both"/>
      </w:pPr>
      <w:r w:rsidRPr="004664C5">
        <w:t>Łączną kwotę limitu gwarancji dla portfela kredytowego oraz przeznaczenie kredytów wchodzących w jego skład określą umowy zawierane pomiędzy BGK a bankami udzielającym</w:t>
      </w:r>
      <w:r w:rsidR="00E66D57">
        <w:t>i</w:t>
      </w:r>
      <w:r w:rsidRPr="004664C5">
        <w:t xml:space="preserve"> tych kredytów. </w:t>
      </w:r>
    </w:p>
    <w:p w14:paraId="04A47D6D" w14:textId="13E07D8A" w:rsidR="002B49DF" w:rsidRPr="004664C5" w:rsidRDefault="00CA3986" w:rsidP="00CA3986">
      <w:pPr>
        <w:autoSpaceDE w:val="0"/>
        <w:autoSpaceDN w:val="0"/>
        <w:adjustRightInd w:val="0"/>
        <w:spacing w:before="120" w:after="120"/>
        <w:jc w:val="both"/>
      </w:pPr>
      <w:r w:rsidRPr="004664C5">
        <w:t>W umowach tych zostanie wskazane, że celem transakcji kredytobiorcy mogą być: inwestycje w rzeczowe aktywa trwałe lub wartości niematerialne i prawne, kapitał obrotowy</w:t>
      </w:r>
      <w:r w:rsidR="00F47DC5">
        <w:t xml:space="preserve">, </w:t>
      </w:r>
      <w:r w:rsidRPr="004664C5">
        <w:t>transfery biznesowe.</w:t>
      </w:r>
    </w:p>
    <w:p w14:paraId="558DAEFA" w14:textId="39AA8965" w:rsidR="00593CF2" w:rsidRPr="004664C5" w:rsidRDefault="00593CF2">
      <w:pPr>
        <w:pStyle w:val="Tekstpodstawowy2"/>
        <w:spacing w:before="120" w:after="120"/>
        <w:rPr>
          <w:color w:val="auto"/>
          <w:szCs w:val="24"/>
        </w:rPr>
      </w:pPr>
      <w:r w:rsidRPr="004664C5">
        <w:rPr>
          <w:color w:val="auto"/>
          <w:szCs w:val="24"/>
        </w:rPr>
        <w:t xml:space="preserve">Działaniem determinującym możliwość udzielania przez BGK pomocy w formie gwarancji </w:t>
      </w:r>
      <w:r w:rsidR="007A2371">
        <w:rPr>
          <w:color w:val="auto"/>
          <w:szCs w:val="24"/>
        </w:rPr>
        <w:br/>
      </w:r>
      <w:r w:rsidRPr="004664C5">
        <w:rPr>
          <w:color w:val="auto"/>
          <w:szCs w:val="24"/>
        </w:rPr>
        <w:t>jest przygotowanie programu pomocowego.</w:t>
      </w:r>
    </w:p>
    <w:p w14:paraId="377E9E0A" w14:textId="2C6D0731" w:rsidR="00593CF2" w:rsidRPr="004664C5" w:rsidRDefault="00593CF2">
      <w:pPr>
        <w:pStyle w:val="Tekstpodstawowy2"/>
        <w:spacing w:before="120" w:after="120"/>
        <w:rPr>
          <w:color w:val="auto"/>
          <w:szCs w:val="24"/>
        </w:rPr>
      </w:pPr>
      <w:r w:rsidRPr="004664C5">
        <w:rPr>
          <w:color w:val="auto"/>
          <w:szCs w:val="24"/>
        </w:rPr>
        <w:t xml:space="preserve">Zgodnie z art. 2 pkt 7 ustawy z dnia 30 kwietnia 2004 r. o postępowaniu w sprawach dotyczących pomocy publicznej (Dz. U. z 2023 r. poz. 702), zwanej dalej „ustawą o postępowaniu w sprawach dotyczących pomocy publicznej”, ilekroć jest w niej mowa </w:t>
      </w:r>
      <w:r w:rsidRPr="004664C5">
        <w:rPr>
          <w:color w:val="auto"/>
          <w:szCs w:val="24"/>
        </w:rPr>
        <w:br/>
        <w:t xml:space="preserve">o programie pomocowym, należy przez to rozumieć akt normatywny spełniający przesłanki, </w:t>
      </w:r>
      <w:r w:rsidRPr="004664C5">
        <w:rPr>
          <w:color w:val="auto"/>
          <w:szCs w:val="24"/>
        </w:rPr>
        <w:br/>
        <w:t xml:space="preserve">o których mowa w art. 1 lit. d rozporządzenia Rady (UE) nr 2015/1589 z dnia 13 lipca 2015 r. ustanawiającego szczegółowe zasady stosowania art. 108 Traktatu o funkcjonowaniu Unii Europejskiej (Dz. Urz. UE L 248 z 24.09.2015, str. </w:t>
      </w:r>
      <w:r w:rsidR="00B37CA1" w:rsidRPr="004664C5">
        <w:rPr>
          <w:color w:val="auto"/>
          <w:szCs w:val="24"/>
        </w:rPr>
        <w:t>9</w:t>
      </w:r>
      <w:r w:rsidRPr="004664C5">
        <w:rPr>
          <w:color w:val="auto"/>
          <w:szCs w:val="24"/>
        </w:rPr>
        <w:t xml:space="preserve">). Program pomocowy powinien mieć </w:t>
      </w:r>
      <w:r w:rsidRPr="004664C5">
        <w:rPr>
          <w:color w:val="auto"/>
          <w:szCs w:val="24"/>
        </w:rPr>
        <w:lastRenderedPageBreak/>
        <w:t>zatem formę wskazanego w Konstytucji Rzeczypospolitej Polskiej</w:t>
      </w:r>
      <w:r w:rsidR="002B49DF" w:rsidRPr="004664C5">
        <w:rPr>
          <w:color w:val="auto"/>
          <w:szCs w:val="24"/>
        </w:rPr>
        <w:t xml:space="preserve"> </w:t>
      </w:r>
      <w:r w:rsidRPr="004664C5">
        <w:rPr>
          <w:color w:val="auto"/>
          <w:szCs w:val="24"/>
        </w:rPr>
        <w:t>z dnia 2 kwietnia 1997 r. (Dz. U. poz. 483, z późn. zm.) aktu normatywnego,</w:t>
      </w:r>
      <w:r w:rsidR="002B49DF" w:rsidRPr="004664C5">
        <w:rPr>
          <w:color w:val="auto"/>
          <w:szCs w:val="24"/>
        </w:rPr>
        <w:t xml:space="preserve"> </w:t>
      </w:r>
      <w:r w:rsidRPr="004664C5">
        <w:rPr>
          <w:color w:val="auto"/>
          <w:szCs w:val="24"/>
        </w:rPr>
        <w:t xml:space="preserve">np. rozporządzenia. </w:t>
      </w:r>
    </w:p>
    <w:p w14:paraId="3D258C69" w14:textId="26B39246" w:rsidR="00593CF2" w:rsidRPr="004664C5" w:rsidRDefault="00593CF2" w:rsidP="00A80D1B">
      <w:pPr>
        <w:spacing w:before="120" w:after="120"/>
        <w:jc w:val="both"/>
      </w:pPr>
      <w:r w:rsidRPr="004664C5">
        <w:t xml:space="preserve">Projektowane rozporządzenie </w:t>
      </w:r>
      <w:r w:rsidR="005B558B" w:rsidRPr="004664C5">
        <w:t>w sprawie udzielania przez Bank Gospodarstwa Krajowego pomocy publicznej w formie gwarancji spłaty kredytu w ramach Funduszu InvestEU</w:t>
      </w:r>
      <w:r w:rsidRPr="004664C5">
        <w:t>, zwane dalej „rozporządzeniem”, stanowić będzie program pomocowy przewidujący udzielanie pomocy,</w:t>
      </w:r>
      <w:r w:rsidR="009136EE" w:rsidRPr="004664C5">
        <w:t xml:space="preserve"> </w:t>
      </w:r>
      <w:r w:rsidRPr="004664C5">
        <w:t xml:space="preserve">której nie dotyczy obowiązek notyfikacji Komisji Europejskiej. Zgodnie z art. 7 </w:t>
      </w:r>
      <w:r w:rsidR="005B558B" w:rsidRPr="004664C5">
        <w:br/>
      </w:r>
      <w:r w:rsidRPr="004664C5">
        <w:t>ust. 2 ustawy  o postępowaniu w sprawach dotyczących pomocy publicznej, projekt pomocy udzielanej</w:t>
      </w:r>
      <w:r w:rsidR="009136EE" w:rsidRPr="004664C5">
        <w:t xml:space="preserve"> </w:t>
      </w:r>
      <w:r w:rsidRPr="004664C5">
        <w:t>w ramach wyłączeń grupowych podlega notyfikacji, jeżeli o jej dokonanie wystąpi podmiot opracowujący program pomocowy lub podmiot udzielający pomocy.</w:t>
      </w:r>
    </w:p>
    <w:p w14:paraId="7C7F1A73" w14:textId="09D125F6" w:rsidR="00593CF2" w:rsidRPr="004664C5" w:rsidRDefault="00593CF2">
      <w:pPr>
        <w:shd w:val="clear" w:color="auto" w:fill="FFFFFF"/>
        <w:spacing w:before="120" w:after="120"/>
        <w:jc w:val="both"/>
      </w:pPr>
      <w:r w:rsidRPr="004664C5">
        <w:t>Ustawa z dnia 14 marca 2003 r. o Banku Gospodarstwa Krajowego (Dz. U. z 2022 r. poz. 2153</w:t>
      </w:r>
      <w:r w:rsidR="00B00FE1" w:rsidRPr="004664C5">
        <w:t>, z późn. zm.</w:t>
      </w:r>
      <w:r w:rsidRPr="004664C5">
        <w:t>), zwana dalej „ustawą o BGK”, w art. 4 pkt 1 stanowi, że do podstawowych celów działalności BGK, w zakresie określonym ustawą o BGK oraz odrębnymi przepisami, należy wspieranie polityki gospodarczej Rady Ministrów, rządowych programów społeczno</w:t>
      </w:r>
      <w:r w:rsidR="00EC10CC" w:rsidRPr="004664C5">
        <w:br/>
      </w:r>
      <w:r w:rsidRPr="004664C5">
        <w:t xml:space="preserve">-gospodarczych, w tym poręczeniowo-gwarancyjnych, oraz programów samorządności lokalnej i rozwoju regionalnego, obejmujących m. in. projekty </w:t>
      </w:r>
      <w:bookmarkStart w:id="2" w:name="mip65294667"/>
      <w:bookmarkEnd w:id="2"/>
      <w:r w:rsidRPr="004664C5">
        <w:t xml:space="preserve"> realizowane z wykorzystaniem środków pochodzących z funduszy Unii Europejskiej, </w:t>
      </w:r>
      <w:bookmarkStart w:id="3" w:name="mip65294668"/>
      <w:bookmarkStart w:id="4" w:name="mip65294669"/>
      <w:bookmarkStart w:id="5" w:name="mip65294670"/>
      <w:bookmarkEnd w:id="3"/>
      <w:bookmarkEnd w:id="4"/>
      <w:bookmarkEnd w:id="5"/>
      <w:r w:rsidRPr="004664C5">
        <w:t>w tym realizowane z wykorzystaniem środków publicznych.</w:t>
      </w:r>
    </w:p>
    <w:p w14:paraId="3326A42A" w14:textId="2A92D687" w:rsidR="00593CF2" w:rsidRPr="004664C5" w:rsidRDefault="00593CF2">
      <w:pPr>
        <w:spacing w:before="120" w:after="120"/>
        <w:jc w:val="both"/>
      </w:pPr>
      <w:r w:rsidRPr="004664C5">
        <w:t xml:space="preserve">W art. 5 ust. 1 pkt 5 ustawy o BGK wskazano ponadto, że do zadań BGK należy </w:t>
      </w:r>
      <w:r w:rsidRPr="004664C5">
        <w:rPr>
          <w:shd w:val="clear" w:color="auto" w:fill="FFFFFF"/>
        </w:rPr>
        <w:t xml:space="preserve">prowadzenie, bezpośrednio lub pośrednio, działalności gwarancyjnej lub poręczeniowej w ramach realizacji rządowych programów poręczeniowo-gwarancyjnych lub w imieniu i na rachunek Skarbu Państwa na podstawie </w:t>
      </w:r>
      <w:r w:rsidRPr="004664C5">
        <w:t>ustawy z dnia 8 maja 1997 r. o poręczeniach i gwarancjach udzielanych przez Skarb Państwa oraz niektóre osoby prawne (Dz. U. z 2023 r. poz. 926, z późn. zm.), zwanej dalej „ustawą o poręczeniach i gwarancjach”</w:t>
      </w:r>
      <w:r w:rsidRPr="004664C5">
        <w:rPr>
          <w:i/>
        </w:rPr>
        <w:t>,</w:t>
      </w:r>
      <w:r w:rsidRPr="004664C5">
        <w:rPr>
          <w:shd w:val="clear" w:color="auto" w:fill="FFFFFF"/>
        </w:rPr>
        <w:t xml:space="preserve"> w szczególności dla sektora </w:t>
      </w:r>
      <w:r w:rsidR="00100BE5">
        <w:rPr>
          <w:shd w:val="clear" w:color="auto" w:fill="FFFFFF"/>
        </w:rPr>
        <w:t>MŚP</w:t>
      </w:r>
      <w:r w:rsidRPr="004664C5">
        <w:t>.</w:t>
      </w:r>
    </w:p>
    <w:p w14:paraId="6C74B8CB" w14:textId="5E65C32D" w:rsidR="00593CF2" w:rsidRPr="004664C5" w:rsidRDefault="00593CF2">
      <w:pPr>
        <w:spacing w:before="120" w:after="120"/>
        <w:jc w:val="both"/>
      </w:pPr>
      <w:r w:rsidRPr="004664C5">
        <w:t xml:space="preserve">Ustawa o poręczeniach i gwarancjach, która normuje działalność gwarancyjną BGK, </w:t>
      </w:r>
      <w:r w:rsidR="007A2371">
        <w:br/>
      </w:r>
      <w:r w:rsidRPr="004664C5">
        <w:t xml:space="preserve">w art. 2 ust. 1 pkt 4 lit. a stanowi, że ilekroć w ustawie o poręczeniach i gwarancjach jest mowa </w:t>
      </w:r>
      <w:r w:rsidRPr="004664C5">
        <w:br/>
        <w:t xml:space="preserve">o gwarancjach udzielanych przez BGK należy przez to rozumieć gwarancje, m. in. spłaty kredytów, udzielane w ramach </w:t>
      </w:r>
      <w:r w:rsidRPr="004664C5">
        <w:rPr>
          <w:shd w:val="clear" w:color="auto" w:fill="FFFFFF"/>
        </w:rPr>
        <w:t>rządowego programu poręczeniowo-gwarancyjnego, zwanego dalej „programem rządowym”.</w:t>
      </w:r>
    </w:p>
    <w:p w14:paraId="07AEAF18" w14:textId="2F7B1963" w:rsidR="00593CF2" w:rsidRPr="004664C5" w:rsidRDefault="00593CF2" w:rsidP="00A80D1B">
      <w:pPr>
        <w:pStyle w:val="ARTartustawynprozporzdzenia"/>
        <w:spacing w:after="12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4664C5">
        <w:rPr>
          <w:rFonts w:ascii="Times New Roman" w:hAnsi="Times New Roman" w:cs="Times New Roman"/>
          <w:sz w:val="24"/>
          <w:szCs w:val="24"/>
        </w:rPr>
        <w:t xml:space="preserve">Programem rządowym określającym zasady udzielania ww. gwarancji BGK jest program </w:t>
      </w:r>
      <w:r w:rsidRPr="004664C5">
        <w:rPr>
          <w:rFonts w:ascii="Times New Roman" w:hAnsi="Times New Roman" w:cs="Times New Roman"/>
          <w:sz w:val="24"/>
          <w:szCs w:val="24"/>
        </w:rPr>
        <w:br/>
        <w:t>pn. „Wspieranie przedsiębiorczości z wykorzystaniem poręczeń i gwarancji Banku Gospodarstwa Krajowego”. Określono w nim m. in. katalog instrumentów poręczeniowo</w:t>
      </w:r>
      <w:r w:rsidRPr="004664C5">
        <w:rPr>
          <w:rFonts w:ascii="Times New Roman" w:hAnsi="Times New Roman" w:cs="Times New Roman"/>
          <w:sz w:val="24"/>
          <w:szCs w:val="24"/>
        </w:rPr>
        <w:br/>
        <w:t xml:space="preserve">-gwarancyjnych pozostających w dyspozycji BGK. </w:t>
      </w:r>
    </w:p>
    <w:p w14:paraId="537FE005" w14:textId="25D47778" w:rsidR="00593CF2" w:rsidRPr="004664C5" w:rsidRDefault="00593CF2">
      <w:pPr>
        <w:autoSpaceDE w:val="0"/>
        <w:autoSpaceDN w:val="0"/>
        <w:adjustRightInd w:val="0"/>
        <w:spacing w:before="120" w:after="120"/>
        <w:jc w:val="both"/>
      </w:pPr>
      <w:r w:rsidRPr="004664C5">
        <w:t xml:space="preserve">Zgodnie z art. 34a ust. 4 pkt </w:t>
      </w:r>
      <w:r w:rsidR="004A2D23" w:rsidRPr="004664C5">
        <w:t>1</w:t>
      </w:r>
      <w:r w:rsidRPr="004664C5">
        <w:t xml:space="preserve"> ustawy o poręczeniach i gwarancjach, </w:t>
      </w:r>
      <w:r w:rsidR="004510F9" w:rsidRPr="004664C5">
        <w:t xml:space="preserve">minister właściwy </w:t>
      </w:r>
      <w:r w:rsidR="00EC10CC" w:rsidRPr="004664C5">
        <w:br/>
      </w:r>
      <w:r w:rsidR="004510F9" w:rsidRPr="004664C5">
        <w:t>do spraw finansów publicznych</w:t>
      </w:r>
      <w:r w:rsidRPr="004664C5">
        <w:t xml:space="preserve"> określa, w drodze rozporządzenia, szczegółowe warunki </w:t>
      </w:r>
      <w:r w:rsidR="00EC10CC" w:rsidRPr="004664C5">
        <w:br/>
      </w:r>
      <w:r w:rsidRPr="004664C5">
        <w:t>oraz tryb udzielania pomocy</w:t>
      </w:r>
      <w:bookmarkStart w:id="6" w:name="mip64523811"/>
      <w:bookmarkStart w:id="7" w:name="mip64523812"/>
      <w:bookmarkEnd w:id="6"/>
      <w:bookmarkEnd w:id="7"/>
      <w:r w:rsidR="009136EE" w:rsidRPr="004664C5">
        <w:rPr>
          <w:iCs/>
        </w:rPr>
        <w:t xml:space="preserve">, </w:t>
      </w:r>
      <w:r w:rsidRPr="004664C5">
        <w:t xml:space="preserve">w formie gwarancji BGK w ramach programu rządowego, uwzględniając konieczność realizacji celów określonych w programie rządowym </w:t>
      </w:r>
      <w:r w:rsidR="00EC10CC" w:rsidRPr="004664C5">
        <w:br/>
      </w:r>
      <w:r w:rsidRPr="004664C5">
        <w:t>oraz efektywnego i skutecznego wykorzystania pomocy</w:t>
      </w:r>
      <w:r w:rsidR="009136EE" w:rsidRPr="004664C5">
        <w:t>,</w:t>
      </w:r>
      <w:r w:rsidRPr="004664C5">
        <w:t xml:space="preserve"> </w:t>
      </w:r>
      <w:r w:rsidRPr="004664C5">
        <w:rPr>
          <w:shd w:val="clear" w:color="auto" w:fill="FFFFFF"/>
        </w:rPr>
        <w:t>a także zapewnienia przejrzystości jej udzielania i zgodności z rynkiem wewnętrznym.</w:t>
      </w:r>
    </w:p>
    <w:p w14:paraId="6BC1F169" w14:textId="1F40224D" w:rsidR="00593CF2" w:rsidRPr="004664C5" w:rsidRDefault="00593CF2">
      <w:pPr>
        <w:shd w:val="clear" w:color="auto" w:fill="FFFFFF"/>
        <w:spacing w:before="120" w:after="120"/>
        <w:jc w:val="both"/>
      </w:pPr>
      <w:r w:rsidRPr="004664C5">
        <w:rPr>
          <w:bCs/>
        </w:rPr>
        <w:t xml:space="preserve">Stosownie do art. 34a ust. 1 ustawy </w:t>
      </w:r>
      <w:r w:rsidRPr="004664C5">
        <w:t xml:space="preserve">o poręczeniach i gwarancjach, BGK może udzielać, </w:t>
      </w:r>
      <w:r w:rsidRPr="004664C5">
        <w:br/>
        <w:t xml:space="preserve">we własnym imieniu i na własny rachunek, </w:t>
      </w:r>
      <w:r w:rsidR="004510F9" w:rsidRPr="004664C5">
        <w:t xml:space="preserve">m. in. </w:t>
      </w:r>
      <w:r w:rsidRPr="004664C5">
        <w:t>gwarancji w ramach programu rządowego, obejmującego w szczególności projekty:</w:t>
      </w:r>
    </w:p>
    <w:p w14:paraId="0A5741EF" w14:textId="32F2DE16" w:rsidR="00593CF2" w:rsidRPr="004664C5" w:rsidRDefault="00593CF2" w:rsidP="00A80D1B">
      <w:pPr>
        <w:pStyle w:val="Akapitzlist"/>
        <w:numPr>
          <w:ilvl w:val="0"/>
          <w:numId w:val="27"/>
        </w:numPr>
        <w:shd w:val="clear" w:color="auto" w:fill="FFFFFF"/>
        <w:spacing w:before="120" w:after="120"/>
        <w:jc w:val="both"/>
      </w:pPr>
      <w:r w:rsidRPr="004664C5">
        <w:t xml:space="preserve">realizowane z wykorzystaniem środków pochodzących z funduszy Unii Europejskiej </w:t>
      </w:r>
      <w:r w:rsidRPr="004664C5">
        <w:br/>
        <w:t xml:space="preserve">oraz międzynarodowych instytucji finansowych w rozumieniu art. 4 ust. 1 pkt 3 ustawy z dnia 29 sierpnia 1997 r. </w:t>
      </w:r>
      <w:r w:rsidR="004510F9" w:rsidRPr="004664C5">
        <w:rPr>
          <w:bCs/>
        </w:rPr>
        <w:t>–</w:t>
      </w:r>
      <w:r w:rsidRPr="004664C5">
        <w:t xml:space="preserve"> Prawo bankowe (Dz. U. z 202</w:t>
      </w:r>
      <w:r w:rsidR="005B4B58">
        <w:t>3</w:t>
      </w:r>
      <w:r w:rsidRPr="004664C5">
        <w:t xml:space="preserve"> r. poz. 2</w:t>
      </w:r>
      <w:r w:rsidR="005B4B58">
        <w:t>488</w:t>
      </w:r>
      <w:r w:rsidRPr="004664C5">
        <w:t>),</w:t>
      </w:r>
    </w:p>
    <w:p w14:paraId="508919CE" w14:textId="27788CA0" w:rsidR="00593CF2" w:rsidRPr="004664C5" w:rsidRDefault="00593CF2" w:rsidP="00A80D1B">
      <w:pPr>
        <w:pStyle w:val="Akapitzlist"/>
        <w:numPr>
          <w:ilvl w:val="0"/>
          <w:numId w:val="27"/>
        </w:numPr>
        <w:shd w:val="clear" w:color="auto" w:fill="FFFFFF"/>
        <w:spacing w:before="120" w:after="120"/>
        <w:jc w:val="both"/>
      </w:pPr>
      <w:r w:rsidRPr="004664C5">
        <w:t>infrastrukturalne,</w:t>
      </w:r>
    </w:p>
    <w:p w14:paraId="36AFE594" w14:textId="64E8A0CE" w:rsidR="00593CF2" w:rsidRPr="004664C5" w:rsidRDefault="00593CF2" w:rsidP="00A80D1B">
      <w:pPr>
        <w:pStyle w:val="Akapitzlist"/>
        <w:numPr>
          <w:ilvl w:val="0"/>
          <w:numId w:val="27"/>
        </w:numPr>
        <w:shd w:val="clear" w:color="auto" w:fill="FFFFFF"/>
        <w:spacing w:before="120" w:after="120"/>
        <w:jc w:val="both"/>
      </w:pPr>
      <w:r w:rsidRPr="004664C5">
        <w:t xml:space="preserve">związane z rozwojem sektora </w:t>
      </w:r>
      <w:r w:rsidR="002C381F">
        <w:t>MŚP</w:t>
      </w:r>
      <w:r w:rsidRPr="004664C5">
        <w:t xml:space="preserve">, </w:t>
      </w:r>
    </w:p>
    <w:p w14:paraId="15072E44" w14:textId="5FB2AABB" w:rsidR="00593CF2" w:rsidRPr="004664C5" w:rsidRDefault="00593CF2" w:rsidP="00A80D1B">
      <w:pPr>
        <w:pStyle w:val="Akapitzlist"/>
        <w:numPr>
          <w:ilvl w:val="0"/>
          <w:numId w:val="27"/>
        </w:numPr>
        <w:shd w:val="clear" w:color="auto" w:fill="FFFFFF"/>
        <w:spacing w:before="120" w:after="120"/>
        <w:jc w:val="both"/>
      </w:pPr>
      <w:r w:rsidRPr="004664C5">
        <w:t>z zakresu ochrony środowiska,</w:t>
      </w:r>
    </w:p>
    <w:p w14:paraId="4F86B5D4" w14:textId="644C9EC6" w:rsidR="00593CF2" w:rsidRPr="004664C5" w:rsidRDefault="00593CF2" w:rsidP="00A80D1B">
      <w:pPr>
        <w:pStyle w:val="Akapitzlist"/>
        <w:numPr>
          <w:ilvl w:val="0"/>
          <w:numId w:val="27"/>
        </w:numPr>
        <w:shd w:val="clear" w:color="auto" w:fill="FFFFFF"/>
        <w:spacing w:before="120" w:after="120"/>
        <w:jc w:val="both"/>
      </w:pPr>
      <w:r w:rsidRPr="004664C5">
        <w:lastRenderedPageBreak/>
        <w:t>w obszarze szkolnictwa wyższego i nauki,</w:t>
      </w:r>
    </w:p>
    <w:p w14:paraId="7DFA58A8" w14:textId="6A73FFC6" w:rsidR="00593CF2" w:rsidRPr="004664C5" w:rsidRDefault="00593CF2" w:rsidP="00A80D1B">
      <w:pPr>
        <w:pStyle w:val="Akapitzlist"/>
        <w:numPr>
          <w:ilvl w:val="0"/>
          <w:numId w:val="27"/>
        </w:numPr>
        <w:shd w:val="clear" w:color="auto" w:fill="FFFFFF"/>
        <w:spacing w:before="120" w:after="120"/>
        <w:jc w:val="both"/>
      </w:pPr>
      <w:r w:rsidRPr="004664C5">
        <w:t>z zakresu ochrony zdrowia</w:t>
      </w:r>
    </w:p>
    <w:p w14:paraId="082832A6" w14:textId="793C379B" w:rsidR="00593CF2" w:rsidRPr="004664C5" w:rsidRDefault="00251BDA" w:rsidP="00A80D1B">
      <w:pPr>
        <w:shd w:val="clear" w:color="auto" w:fill="FFFFFF"/>
        <w:spacing w:before="120" w:after="120"/>
        <w:ind w:firstLine="360"/>
        <w:jc w:val="both"/>
      </w:pPr>
      <w:r w:rsidRPr="004664C5">
        <w:t>–</w:t>
      </w:r>
      <w:r w:rsidR="00593CF2" w:rsidRPr="004664C5">
        <w:t xml:space="preserve"> w tym realizowane z wykorzystaniem środków publicznych. </w:t>
      </w:r>
    </w:p>
    <w:p w14:paraId="092BC979" w14:textId="5C365807" w:rsidR="00593CF2" w:rsidRPr="004664C5" w:rsidRDefault="00593CF2">
      <w:pPr>
        <w:shd w:val="clear" w:color="auto" w:fill="FFFFFF"/>
        <w:spacing w:before="120" w:after="120"/>
        <w:jc w:val="both"/>
        <w:rPr>
          <w:bCs/>
        </w:rPr>
      </w:pPr>
      <w:r w:rsidRPr="004664C5">
        <w:t xml:space="preserve">Gwarancje te </w:t>
      </w:r>
      <w:r w:rsidR="009136EE" w:rsidRPr="004664C5">
        <w:t xml:space="preserve">mogą stanowić </w:t>
      </w:r>
      <w:r w:rsidRPr="004664C5">
        <w:t>pomoc</w:t>
      </w:r>
      <w:r w:rsidRPr="004664C5">
        <w:rPr>
          <w:iCs/>
        </w:rPr>
        <w:t xml:space="preserve"> (</w:t>
      </w:r>
      <w:r w:rsidRPr="004664C5">
        <w:rPr>
          <w:bCs/>
        </w:rPr>
        <w:t>art. 34a ust. 2 ustawy</w:t>
      </w:r>
      <w:r w:rsidRPr="004664C5">
        <w:t xml:space="preserve"> o poręczeniach</w:t>
      </w:r>
      <w:r w:rsidR="009136EE" w:rsidRPr="004664C5">
        <w:t xml:space="preserve"> </w:t>
      </w:r>
      <w:r w:rsidRPr="004664C5">
        <w:t>i</w:t>
      </w:r>
      <w:r w:rsidR="00754A8B" w:rsidRPr="004664C5">
        <w:t> </w:t>
      </w:r>
      <w:r w:rsidRPr="004664C5">
        <w:t>gwarancjach</w:t>
      </w:r>
      <w:r w:rsidRPr="004664C5">
        <w:rPr>
          <w:bCs/>
        </w:rPr>
        <w:t>).</w:t>
      </w:r>
    </w:p>
    <w:p w14:paraId="6FDCDF27" w14:textId="7E9A4B0D" w:rsidR="00593CF2" w:rsidRPr="004664C5" w:rsidRDefault="00593CF2">
      <w:pPr>
        <w:shd w:val="clear" w:color="auto" w:fill="FFFFFF"/>
        <w:spacing w:before="120" w:after="120"/>
        <w:jc w:val="both"/>
        <w:rPr>
          <w:bCs/>
        </w:rPr>
      </w:pPr>
      <w:r w:rsidRPr="004664C5">
        <w:t xml:space="preserve">Biorąc pod uwagę powyższe, w tym w szczególności stan prawny regulujący działalność gwarancyjną BGK, w celu umożliwienia udzielania </w:t>
      </w:r>
      <w:r w:rsidR="00CF7596" w:rsidRPr="004664C5">
        <w:t xml:space="preserve">w </w:t>
      </w:r>
      <w:r w:rsidR="00EC10CC" w:rsidRPr="004664C5">
        <w:t xml:space="preserve">ramach Funduszu InvestEU </w:t>
      </w:r>
      <w:r w:rsidRPr="004664C5">
        <w:t>gwarancji BGK, koniecznym jest wydanie rozporządzenia.</w:t>
      </w:r>
    </w:p>
    <w:p w14:paraId="0769BDDA" w14:textId="2E3E3E63" w:rsidR="00593CF2" w:rsidRPr="004664C5" w:rsidRDefault="00593CF2">
      <w:pPr>
        <w:pStyle w:val="ARTartustawynprozporzdzenia"/>
        <w:spacing w:after="120" w:line="240" w:lineRule="auto"/>
        <w:ind w:firstLine="0"/>
        <w:rPr>
          <w:rFonts w:ascii="Times New Roman" w:eastAsia="Cambria" w:hAnsi="Times New Roman" w:cs="Times New Roman"/>
          <w:sz w:val="24"/>
          <w:szCs w:val="24"/>
        </w:rPr>
      </w:pPr>
      <w:r w:rsidRPr="004664C5">
        <w:rPr>
          <w:rFonts w:ascii="Times New Roman" w:hAnsi="Times New Roman" w:cs="Times New Roman"/>
          <w:sz w:val="24"/>
          <w:szCs w:val="24"/>
        </w:rPr>
        <w:t xml:space="preserve">Rozporządzenie stanowić będzie wykonanie upoważnienia z </w:t>
      </w:r>
      <w:hyperlink r:id="rId8" w:history="1">
        <w:r w:rsidRPr="004664C5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 xml:space="preserve">art. 34a ust. 4 pkt </w:t>
        </w:r>
        <w:r w:rsidR="004A2D23" w:rsidRPr="004664C5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1</w:t>
        </w:r>
      </w:hyperlink>
      <w:r w:rsidRPr="004664C5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4664C5">
        <w:rPr>
          <w:rFonts w:ascii="Times New Roman" w:eastAsia="Cambria" w:hAnsi="Times New Roman" w:cs="Times New Roman"/>
          <w:sz w:val="24"/>
          <w:szCs w:val="24"/>
        </w:rPr>
        <w:t>ustawy</w:t>
      </w:r>
      <w:r w:rsidRPr="004664C5">
        <w:rPr>
          <w:rFonts w:ascii="Times New Roman" w:hAnsi="Times New Roman" w:cs="Times New Roman"/>
          <w:sz w:val="24"/>
          <w:szCs w:val="24"/>
        </w:rPr>
        <w:t xml:space="preserve"> </w:t>
      </w:r>
      <w:r w:rsidRPr="004664C5">
        <w:rPr>
          <w:rFonts w:ascii="Times New Roman" w:hAnsi="Times New Roman" w:cs="Times New Roman"/>
          <w:sz w:val="24"/>
          <w:szCs w:val="24"/>
        </w:rPr>
        <w:br/>
        <w:t>o poręczeniach i gwarancjach</w:t>
      </w:r>
      <w:r w:rsidRPr="004664C5">
        <w:rPr>
          <w:rFonts w:ascii="Times New Roman" w:eastAsia="Cambria" w:hAnsi="Times New Roman" w:cs="Times New Roman"/>
          <w:sz w:val="24"/>
          <w:szCs w:val="24"/>
        </w:rPr>
        <w:t xml:space="preserve">. </w:t>
      </w:r>
    </w:p>
    <w:p w14:paraId="1F09B14A" w14:textId="263CD0C1" w:rsidR="007C7A8B" w:rsidRPr="004664C5" w:rsidRDefault="00C228E0" w:rsidP="004178E3">
      <w:pPr>
        <w:pStyle w:val="ARTartustawynprozporzdzenia"/>
        <w:spacing w:before="0" w:after="12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bookmarkStart w:id="8" w:name="mip64523809"/>
      <w:bookmarkStart w:id="9" w:name="mip64523810"/>
      <w:bookmarkStart w:id="10" w:name="mip64523807"/>
      <w:bookmarkStart w:id="11" w:name="mip64523799"/>
      <w:bookmarkStart w:id="12" w:name="mip64523801"/>
      <w:bookmarkStart w:id="13" w:name="mip64523802"/>
      <w:bookmarkStart w:id="14" w:name="mip64523805"/>
      <w:bookmarkEnd w:id="8"/>
      <w:bookmarkEnd w:id="9"/>
      <w:bookmarkEnd w:id="10"/>
      <w:bookmarkEnd w:id="11"/>
      <w:bookmarkEnd w:id="12"/>
      <w:bookmarkEnd w:id="13"/>
      <w:bookmarkEnd w:id="14"/>
      <w:r w:rsidRPr="004664C5">
        <w:rPr>
          <w:rFonts w:ascii="Times New Roman" w:hAnsi="Times New Roman" w:cs="Times New Roman"/>
          <w:sz w:val="24"/>
          <w:szCs w:val="24"/>
        </w:rPr>
        <w:t>Rozporządzenie określa szczegółowe warunki oraz tryb udzielania</w:t>
      </w:r>
      <w:r w:rsidR="00667F03" w:rsidRPr="004664C5">
        <w:rPr>
          <w:rFonts w:ascii="Times New Roman" w:hAnsi="Times New Roman" w:cs="Times New Roman"/>
          <w:sz w:val="24"/>
          <w:szCs w:val="24"/>
        </w:rPr>
        <w:t xml:space="preserve"> przez BGK</w:t>
      </w:r>
      <w:r w:rsidRPr="004664C5">
        <w:rPr>
          <w:rFonts w:ascii="Times New Roman" w:hAnsi="Times New Roman" w:cs="Times New Roman"/>
          <w:sz w:val="24"/>
          <w:szCs w:val="24"/>
        </w:rPr>
        <w:t xml:space="preserve"> pomocy</w:t>
      </w:r>
      <w:r w:rsidR="00527FD7" w:rsidRPr="004664C5">
        <w:rPr>
          <w:rFonts w:ascii="Times New Roman" w:hAnsi="Times New Roman" w:cs="Times New Roman"/>
          <w:sz w:val="24"/>
          <w:szCs w:val="24"/>
        </w:rPr>
        <w:t xml:space="preserve"> </w:t>
      </w:r>
      <w:r w:rsidR="00936FB9" w:rsidRPr="004664C5">
        <w:rPr>
          <w:rFonts w:ascii="Times New Roman" w:hAnsi="Times New Roman" w:cs="Times New Roman"/>
          <w:sz w:val="24"/>
          <w:szCs w:val="24"/>
        </w:rPr>
        <w:br/>
      </w:r>
      <w:r w:rsidRPr="004664C5">
        <w:rPr>
          <w:rFonts w:ascii="Times New Roman" w:hAnsi="Times New Roman" w:cs="Times New Roman"/>
          <w:sz w:val="24"/>
          <w:szCs w:val="24"/>
        </w:rPr>
        <w:t xml:space="preserve">w formie gwarancji </w:t>
      </w:r>
      <w:r w:rsidR="00667F03" w:rsidRPr="004664C5">
        <w:rPr>
          <w:rFonts w:ascii="Times New Roman" w:hAnsi="Times New Roman" w:cs="Times New Roman"/>
          <w:sz w:val="24"/>
          <w:szCs w:val="24"/>
        </w:rPr>
        <w:t>spłaty kredytu</w:t>
      </w:r>
      <w:r w:rsidRPr="004664C5">
        <w:rPr>
          <w:rFonts w:ascii="Times New Roman" w:hAnsi="Times New Roman" w:cs="Times New Roman"/>
          <w:sz w:val="24"/>
          <w:szCs w:val="24"/>
        </w:rPr>
        <w:t xml:space="preserve">, </w:t>
      </w:r>
      <w:r w:rsidR="008351BA" w:rsidRPr="004664C5">
        <w:rPr>
          <w:rFonts w:ascii="Times New Roman" w:hAnsi="Times New Roman" w:cs="Times New Roman"/>
          <w:sz w:val="24"/>
          <w:szCs w:val="24"/>
        </w:rPr>
        <w:t xml:space="preserve">w ramach programu rządowego, </w:t>
      </w:r>
      <w:r w:rsidR="00667F03" w:rsidRPr="004664C5">
        <w:rPr>
          <w:rFonts w:ascii="Times New Roman" w:hAnsi="Times New Roman" w:cs="Times New Roman"/>
          <w:sz w:val="24"/>
          <w:szCs w:val="24"/>
        </w:rPr>
        <w:t xml:space="preserve">z wykorzystaniem środków pochodzących z Funduszu InvestEU </w:t>
      </w:r>
      <w:r w:rsidR="00527FD7" w:rsidRPr="004664C5">
        <w:rPr>
          <w:rFonts w:ascii="Times New Roman" w:hAnsi="Times New Roman" w:cs="Times New Roman"/>
          <w:sz w:val="24"/>
          <w:szCs w:val="24"/>
        </w:rPr>
        <w:t>(§</w:t>
      </w:r>
      <w:r w:rsidR="00CB16A8" w:rsidRPr="004664C5">
        <w:rPr>
          <w:rFonts w:ascii="Times New Roman" w:hAnsi="Times New Roman" w:cs="Times New Roman"/>
          <w:sz w:val="24"/>
          <w:szCs w:val="24"/>
        </w:rPr>
        <w:t> </w:t>
      </w:r>
      <w:r w:rsidR="007477E8" w:rsidRPr="004664C5">
        <w:rPr>
          <w:rFonts w:ascii="Times New Roman" w:hAnsi="Times New Roman" w:cs="Times New Roman"/>
          <w:sz w:val="24"/>
          <w:szCs w:val="24"/>
        </w:rPr>
        <w:t>1</w:t>
      </w:r>
      <w:r w:rsidR="00527FD7" w:rsidRPr="004664C5">
        <w:rPr>
          <w:rFonts w:ascii="Times New Roman" w:hAnsi="Times New Roman" w:cs="Times New Roman"/>
          <w:sz w:val="24"/>
          <w:szCs w:val="24"/>
        </w:rPr>
        <w:t xml:space="preserve"> rozporządzenia)</w:t>
      </w:r>
      <w:r w:rsidR="00570873" w:rsidRPr="004664C5">
        <w:rPr>
          <w:rFonts w:ascii="Times New Roman" w:hAnsi="Times New Roman" w:cs="Times New Roman"/>
          <w:sz w:val="24"/>
          <w:szCs w:val="24"/>
        </w:rPr>
        <w:t>.</w:t>
      </w:r>
    </w:p>
    <w:p w14:paraId="509BF060" w14:textId="083A68B4" w:rsidR="00936FB9" w:rsidRPr="004664C5" w:rsidRDefault="00936FB9" w:rsidP="001E7B64">
      <w:pPr>
        <w:pStyle w:val="ARTartustawynprozporzdzenia"/>
        <w:spacing w:before="0" w:after="12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4664C5">
        <w:rPr>
          <w:rFonts w:ascii="Times New Roman" w:hAnsi="Times New Roman" w:cs="Times New Roman"/>
          <w:sz w:val="24"/>
          <w:szCs w:val="24"/>
        </w:rPr>
        <w:t xml:space="preserve">W § 2 rozporządzenia zdefiniowano pojęcia </w:t>
      </w:r>
      <w:r w:rsidR="00A567BE" w:rsidRPr="004664C5">
        <w:rPr>
          <w:rFonts w:ascii="Times New Roman" w:hAnsi="Times New Roman" w:cs="Times New Roman"/>
          <w:sz w:val="24"/>
          <w:szCs w:val="24"/>
        </w:rPr>
        <w:t>stosowane</w:t>
      </w:r>
      <w:r w:rsidRPr="004664C5">
        <w:rPr>
          <w:rFonts w:ascii="Times New Roman" w:hAnsi="Times New Roman" w:cs="Times New Roman"/>
          <w:sz w:val="24"/>
          <w:szCs w:val="24"/>
        </w:rPr>
        <w:t xml:space="preserve"> w rozporządzeniu</w:t>
      </w:r>
      <w:r w:rsidR="00A567BE" w:rsidRPr="004664C5">
        <w:rPr>
          <w:rFonts w:ascii="Times New Roman" w:hAnsi="Times New Roman" w:cs="Times New Roman"/>
          <w:sz w:val="24"/>
          <w:szCs w:val="24"/>
        </w:rPr>
        <w:t>.</w:t>
      </w:r>
    </w:p>
    <w:p w14:paraId="1D0365B2" w14:textId="221313B1" w:rsidR="00196585" w:rsidRDefault="00BC41EB" w:rsidP="001E7B64">
      <w:pPr>
        <w:pStyle w:val="ARTartustawynprozporzdzenia"/>
        <w:spacing w:before="0" w:after="12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bookmarkStart w:id="15" w:name="_Hlk154655659"/>
      <w:r w:rsidRPr="004664C5">
        <w:rPr>
          <w:rFonts w:ascii="Times New Roman" w:hAnsi="Times New Roman" w:cs="Times New Roman"/>
          <w:sz w:val="24"/>
          <w:szCs w:val="24"/>
        </w:rPr>
        <w:t xml:space="preserve">W </w:t>
      </w:r>
      <w:bookmarkStart w:id="16" w:name="_Hlk154656278"/>
      <w:r w:rsidRPr="004664C5">
        <w:rPr>
          <w:rFonts w:ascii="Times New Roman" w:hAnsi="Times New Roman" w:cs="Times New Roman"/>
          <w:sz w:val="24"/>
          <w:szCs w:val="24"/>
        </w:rPr>
        <w:t>§ 2</w:t>
      </w:r>
      <w:r w:rsidR="00A567BE" w:rsidRPr="004664C5">
        <w:rPr>
          <w:rFonts w:ascii="Times New Roman" w:hAnsi="Times New Roman" w:cs="Times New Roman"/>
          <w:sz w:val="24"/>
          <w:szCs w:val="24"/>
        </w:rPr>
        <w:t xml:space="preserve"> pkt 1</w:t>
      </w:r>
      <w:r w:rsidRPr="004664C5">
        <w:rPr>
          <w:rFonts w:ascii="Times New Roman" w:hAnsi="Times New Roman" w:cs="Times New Roman"/>
          <w:sz w:val="24"/>
          <w:szCs w:val="24"/>
        </w:rPr>
        <w:t xml:space="preserve"> rozporządzenia </w:t>
      </w:r>
      <w:bookmarkEnd w:id="15"/>
      <w:bookmarkEnd w:id="16"/>
      <w:r w:rsidRPr="004664C5">
        <w:rPr>
          <w:rFonts w:ascii="Times New Roman" w:hAnsi="Times New Roman" w:cs="Times New Roman"/>
          <w:sz w:val="24"/>
          <w:szCs w:val="24"/>
        </w:rPr>
        <w:t>wyjaśniono, że</w:t>
      </w:r>
      <w:r w:rsidR="00A567BE" w:rsidRPr="004664C5">
        <w:rPr>
          <w:rFonts w:ascii="Times New Roman" w:hAnsi="Times New Roman" w:cs="Times New Roman"/>
          <w:sz w:val="24"/>
          <w:szCs w:val="24"/>
        </w:rPr>
        <w:t xml:space="preserve"> ilekroć w rozporządzeniu jest mowa o gwarancji należy przez to rozumieć gwarancję spłaty </w:t>
      </w:r>
      <w:r w:rsidR="00F47DC5" w:rsidRPr="004664C5">
        <w:rPr>
          <w:rFonts w:ascii="Times New Roman" w:hAnsi="Times New Roman" w:cs="Times New Roman"/>
          <w:sz w:val="24"/>
          <w:szCs w:val="24"/>
        </w:rPr>
        <w:t>kredyt</w:t>
      </w:r>
      <w:r w:rsidR="00F47DC5">
        <w:rPr>
          <w:rFonts w:ascii="Times New Roman" w:hAnsi="Times New Roman" w:cs="Times New Roman"/>
          <w:sz w:val="24"/>
          <w:szCs w:val="24"/>
        </w:rPr>
        <w:t>u</w:t>
      </w:r>
      <w:r w:rsidR="00F47DC5" w:rsidRPr="004664C5">
        <w:rPr>
          <w:rFonts w:ascii="Times New Roman" w:hAnsi="Times New Roman" w:cs="Times New Roman"/>
          <w:sz w:val="24"/>
          <w:szCs w:val="24"/>
        </w:rPr>
        <w:t xml:space="preserve"> </w:t>
      </w:r>
      <w:r w:rsidR="00A567BE" w:rsidRPr="004664C5">
        <w:rPr>
          <w:rFonts w:ascii="Times New Roman" w:hAnsi="Times New Roman" w:cs="Times New Roman"/>
          <w:sz w:val="24"/>
          <w:szCs w:val="24"/>
        </w:rPr>
        <w:t xml:space="preserve">udzielaną, w ramach Funduszu InvestEU, </w:t>
      </w:r>
      <w:r w:rsidR="008A62FC" w:rsidRPr="004664C5">
        <w:rPr>
          <w:rFonts w:ascii="Times New Roman" w:hAnsi="Times New Roman" w:cs="Times New Roman"/>
          <w:sz w:val="24"/>
          <w:szCs w:val="24"/>
        </w:rPr>
        <w:br/>
      </w:r>
      <w:r w:rsidR="00A567BE" w:rsidRPr="004664C5">
        <w:rPr>
          <w:rFonts w:ascii="Times New Roman" w:hAnsi="Times New Roman" w:cs="Times New Roman"/>
          <w:sz w:val="24"/>
          <w:szCs w:val="24"/>
        </w:rPr>
        <w:t xml:space="preserve">przez BGK </w:t>
      </w:r>
      <w:r w:rsidR="009E336A" w:rsidRPr="004664C5">
        <w:rPr>
          <w:rFonts w:ascii="Times New Roman" w:hAnsi="Times New Roman" w:cs="Times New Roman"/>
          <w:sz w:val="24"/>
          <w:szCs w:val="24"/>
        </w:rPr>
        <w:t>banko</w:t>
      </w:r>
      <w:r w:rsidR="009E336A">
        <w:rPr>
          <w:rFonts w:ascii="Times New Roman" w:hAnsi="Times New Roman" w:cs="Times New Roman"/>
          <w:sz w:val="24"/>
          <w:szCs w:val="24"/>
        </w:rPr>
        <w:t>wi</w:t>
      </w:r>
      <w:r w:rsidR="009E336A" w:rsidRPr="004664C5">
        <w:rPr>
          <w:rFonts w:ascii="Times New Roman" w:hAnsi="Times New Roman" w:cs="Times New Roman"/>
          <w:sz w:val="24"/>
          <w:szCs w:val="24"/>
        </w:rPr>
        <w:t xml:space="preserve"> udzielając</w:t>
      </w:r>
      <w:r w:rsidR="009E336A">
        <w:rPr>
          <w:rFonts w:ascii="Times New Roman" w:hAnsi="Times New Roman" w:cs="Times New Roman"/>
          <w:sz w:val="24"/>
          <w:szCs w:val="24"/>
        </w:rPr>
        <w:t>emu</w:t>
      </w:r>
      <w:r w:rsidR="009E336A" w:rsidRPr="004664C5">
        <w:rPr>
          <w:rFonts w:ascii="Times New Roman" w:hAnsi="Times New Roman" w:cs="Times New Roman"/>
          <w:sz w:val="24"/>
          <w:szCs w:val="24"/>
        </w:rPr>
        <w:t xml:space="preserve"> kredyt</w:t>
      </w:r>
      <w:r w:rsidR="009E336A">
        <w:rPr>
          <w:rFonts w:ascii="Times New Roman" w:hAnsi="Times New Roman" w:cs="Times New Roman"/>
          <w:sz w:val="24"/>
          <w:szCs w:val="24"/>
        </w:rPr>
        <w:t>u</w:t>
      </w:r>
      <w:r w:rsidR="00A567BE" w:rsidRPr="004664C5">
        <w:rPr>
          <w:rFonts w:ascii="Times New Roman" w:hAnsi="Times New Roman" w:cs="Times New Roman"/>
          <w:sz w:val="24"/>
          <w:szCs w:val="24"/>
        </w:rPr>
        <w:t>, z wykorzystaniem regwarancji udzielanej</w:t>
      </w:r>
      <w:r w:rsidR="008A62FC" w:rsidRPr="004664C5">
        <w:rPr>
          <w:rFonts w:ascii="Times New Roman" w:hAnsi="Times New Roman" w:cs="Times New Roman"/>
          <w:sz w:val="24"/>
          <w:szCs w:val="24"/>
        </w:rPr>
        <w:br/>
      </w:r>
      <w:r w:rsidR="00A567BE" w:rsidRPr="004664C5">
        <w:rPr>
          <w:rFonts w:ascii="Times New Roman" w:hAnsi="Times New Roman" w:cs="Times New Roman"/>
          <w:sz w:val="24"/>
          <w:szCs w:val="24"/>
        </w:rPr>
        <w:t>przez Europejski Fundusz Inwestycyjny</w:t>
      </w:r>
      <w:r w:rsidR="001A418B">
        <w:rPr>
          <w:rFonts w:ascii="Times New Roman" w:hAnsi="Times New Roman" w:cs="Times New Roman"/>
          <w:sz w:val="24"/>
          <w:szCs w:val="24"/>
        </w:rPr>
        <w:t>, zwany dalej „EFI</w:t>
      </w:r>
      <w:r w:rsidR="00C738A0">
        <w:rPr>
          <w:rFonts w:ascii="Times New Roman" w:hAnsi="Times New Roman" w:cs="Times New Roman"/>
          <w:sz w:val="24"/>
          <w:szCs w:val="24"/>
        </w:rPr>
        <w:t>”</w:t>
      </w:r>
      <w:r w:rsidR="008A62FC" w:rsidRPr="004664C5">
        <w:rPr>
          <w:rFonts w:ascii="Times New Roman" w:hAnsi="Times New Roman" w:cs="Times New Roman"/>
          <w:sz w:val="24"/>
          <w:szCs w:val="24"/>
        </w:rPr>
        <w:t>.</w:t>
      </w:r>
    </w:p>
    <w:p w14:paraId="27EE558B" w14:textId="7536B3BF" w:rsidR="00196585" w:rsidRPr="009E336A" w:rsidRDefault="00196585" w:rsidP="009A3FDD">
      <w:pPr>
        <w:pStyle w:val="ARTartustawynprozporzdzenia"/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5A00D4">
        <w:rPr>
          <w:rFonts w:ascii="Times New Roman" w:hAnsi="Times New Roman" w:cs="Times New Roman"/>
          <w:sz w:val="24"/>
          <w:szCs w:val="24"/>
        </w:rPr>
        <w:t>BGK, jako krajowy bank rozw</w:t>
      </w:r>
      <w:r w:rsidRPr="009E336A">
        <w:rPr>
          <w:rFonts w:ascii="Times New Roman" w:hAnsi="Times New Roman" w:cs="Times New Roman"/>
          <w:sz w:val="24"/>
          <w:szCs w:val="24"/>
        </w:rPr>
        <w:t>oju</w:t>
      </w:r>
      <w:r w:rsidR="00C738A0" w:rsidRPr="009A3FDD">
        <w:rPr>
          <w:rFonts w:ascii="Times New Roman" w:hAnsi="Times New Roman" w:cs="Times New Roman"/>
          <w:sz w:val="24"/>
          <w:szCs w:val="24"/>
        </w:rPr>
        <w:t>, w ramach współpracy z EFI</w:t>
      </w:r>
      <w:r w:rsidR="001A418B" w:rsidRPr="005A00D4">
        <w:rPr>
          <w:rFonts w:ascii="Times New Roman" w:hAnsi="Times New Roman" w:cs="Times New Roman"/>
          <w:sz w:val="24"/>
          <w:szCs w:val="24"/>
        </w:rPr>
        <w:t xml:space="preserve"> </w:t>
      </w:r>
      <w:r w:rsidR="00C738A0" w:rsidRPr="009A3FDD">
        <w:rPr>
          <w:rFonts w:ascii="Times New Roman" w:hAnsi="Times New Roman" w:cs="Times New Roman"/>
          <w:sz w:val="24"/>
          <w:szCs w:val="24"/>
        </w:rPr>
        <w:t>będzie miał możliwość</w:t>
      </w:r>
      <w:r w:rsidR="001A418B" w:rsidRPr="005A00D4">
        <w:rPr>
          <w:rFonts w:ascii="Times New Roman" w:hAnsi="Times New Roman" w:cs="Times New Roman"/>
          <w:sz w:val="24"/>
          <w:szCs w:val="24"/>
        </w:rPr>
        <w:t xml:space="preserve"> udzielania gwarancji z regwarancją EFI w ramach dwó</w:t>
      </w:r>
      <w:r w:rsidR="001A418B" w:rsidRPr="009E336A">
        <w:rPr>
          <w:rFonts w:ascii="Times New Roman" w:hAnsi="Times New Roman" w:cs="Times New Roman"/>
          <w:sz w:val="24"/>
          <w:szCs w:val="24"/>
        </w:rPr>
        <w:t xml:space="preserve">ch segmentów: </w:t>
      </w:r>
    </w:p>
    <w:p w14:paraId="14246DB7" w14:textId="50E72246" w:rsidR="001A418B" w:rsidRPr="005A00D4" w:rsidRDefault="001A418B" w:rsidP="009A3FDD">
      <w:pPr>
        <w:pStyle w:val="ARTartustawynprozporzdzenia"/>
        <w:numPr>
          <w:ilvl w:val="0"/>
          <w:numId w:val="32"/>
        </w:numPr>
        <w:spacing w:before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A3FDD">
        <w:rPr>
          <w:rFonts w:ascii="Times New Roman" w:hAnsi="Times New Roman" w:cs="Times New Roman"/>
          <w:iCs/>
          <w:sz w:val="24"/>
          <w:szCs w:val="24"/>
        </w:rPr>
        <w:t>MŚP</w:t>
      </w:r>
      <w:r w:rsidR="009E336A" w:rsidRPr="009A3FDD">
        <w:rPr>
          <w:rFonts w:ascii="Times New Roman" w:hAnsi="Times New Roman" w:cs="Times New Roman"/>
          <w:iCs/>
          <w:sz w:val="24"/>
          <w:szCs w:val="24"/>
        </w:rPr>
        <w:t>;</w:t>
      </w:r>
    </w:p>
    <w:p w14:paraId="16B9654B" w14:textId="7477606E" w:rsidR="001A418B" w:rsidRPr="009A3FDD" w:rsidRDefault="001A418B" w:rsidP="009A3FDD">
      <w:pPr>
        <w:pStyle w:val="ARTartustawynprozporzdzenia"/>
        <w:numPr>
          <w:ilvl w:val="0"/>
          <w:numId w:val="32"/>
        </w:numPr>
        <w:spacing w:before="0" w:after="120" w:line="240" w:lineRule="auto"/>
        <w:ind w:left="777" w:hanging="357"/>
        <w:rPr>
          <w:rFonts w:ascii="Times New Roman" w:hAnsi="Times New Roman" w:cs="Times New Roman"/>
          <w:i/>
          <w:sz w:val="24"/>
          <w:szCs w:val="24"/>
        </w:rPr>
      </w:pPr>
      <w:r w:rsidRPr="009A3FDD">
        <w:rPr>
          <w:rFonts w:ascii="Times New Roman" w:hAnsi="Times New Roman" w:cs="Times New Roman"/>
          <w:i/>
          <w:sz w:val="24"/>
          <w:szCs w:val="24"/>
        </w:rPr>
        <w:t>Mikrofinansowanie i finansowanie podmiotów ekonomii społecznej</w:t>
      </w:r>
      <w:r w:rsidR="00D1455A">
        <w:rPr>
          <w:rFonts w:ascii="Times New Roman" w:hAnsi="Times New Roman" w:cs="Times New Roman"/>
          <w:i/>
          <w:sz w:val="24"/>
          <w:szCs w:val="24"/>
        </w:rPr>
        <w:t>.</w:t>
      </w:r>
    </w:p>
    <w:p w14:paraId="1BE34850" w14:textId="3F767C18" w:rsidR="00F34B4B" w:rsidRPr="009E336A" w:rsidRDefault="00F34B4B" w:rsidP="00F34B4B">
      <w:pPr>
        <w:pStyle w:val="ARTartustawynprozporzdzenia"/>
        <w:spacing w:before="0" w:after="12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5A00D4">
        <w:rPr>
          <w:rFonts w:ascii="Times New Roman" w:hAnsi="Times New Roman" w:cs="Times New Roman"/>
          <w:sz w:val="24"/>
          <w:szCs w:val="24"/>
        </w:rPr>
        <w:t xml:space="preserve">W ramach segmentu </w:t>
      </w:r>
      <w:r w:rsidRPr="009E336A">
        <w:rPr>
          <w:rFonts w:ascii="Times New Roman" w:hAnsi="Times New Roman" w:cs="Times New Roman"/>
          <w:sz w:val="24"/>
          <w:szCs w:val="24"/>
        </w:rPr>
        <w:t>MŚP</w:t>
      </w:r>
      <w:r w:rsidR="005D5731" w:rsidRPr="009A3FDD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5D5731" w:rsidRPr="005A00D4">
        <w:rPr>
          <w:rFonts w:ascii="Times New Roman" w:hAnsi="Times New Roman" w:cs="Times New Roman"/>
          <w:sz w:val="24"/>
          <w:szCs w:val="24"/>
        </w:rPr>
        <w:t xml:space="preserve"> podmioty należące do kategorii MŚP będą mogły skorzystać </w:t>
      </w:r>
      <w:r w:rsidR="00C80153">
        <w:rPr>
          <w:rFonts w:ascii="Times New Roman" w:hAnsi="Times New Roman" w:cs="Times New Roman"/>
          <w:sz w:val="24"/>
          <w:szCs w:val="24"/>
        </w:rPr>
        <w:br/>
      </w:r>
      <w:r w:rsidR="005D5731" w:rsidRPr="005A00D4">
        <w:rPr>
          <w:rFonts w:ascii="Times New Roman" w:hAnsi="Times New Roman" w:cs="Times New Roman"/>
          <w:sz w:val="24"/>
          <w:szCs w:val="24"/>
        </w:rPr>
        <w:t xml:space="preserve">z gwarancji, </w:t>
      </w:r>
      <w:bookmarkStart w:id="17" w:name="_Hlk155343472"/>
      <w:r w:rsidR="005D5731" w:rsidRPr="005A00D4">
        <w:rPr>
          <w:rFonts w:ascii="Times New Roman" w:hAnsi="Times New Roman" w:cs="Times New Roman"/>
          <w:sz w:val="24"/>
          <w:szCs w:val="24"/>
        </w:rPr>
        <w:t xml:space="preserve">dla której </w:t>
      </w:r>
      <w:r w:rsidRPr="009E336A">
        <w:rPr>
          <w:rFonts w:ascii="Times New Roman" w:hAnsi="Times New Roman" w:cs="Times New Roman"/>
          <w:sz w:val="24"/>
          <w:szCs w:val="24"/>
        </w:rPr>
        <w:t xml:space="preserve">założono następujące podstawowe parametry: </w:t>
      </w:r>
      <w:bookmarkEnd w:id="17"/>
    </w:p>
    <w:p w14:paraId="11DCF1C3" w14:textId="5E5441A3" w:rsidR="00F34B4B" w:rsidRPr="009E336A" w:rsidRDefault="00F34B4B" w:rsidP="009A3FDD">
      <w:pPr>
        <w:pStyle w:val="ARTartustawynprozporzdzenia"/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bookmarkStart w:id="18" w:name="_Hlk155343804"/>
      <w:r w:rsidRPr="009E336A">
        <w:rPr>
          <w:rFonts w:ascii="Times New Roman" w:hAnsi="Times New Roman" w:cs="Times New Roman"/>
          <w:sz w:val="24"/>
          <w:szCs w:val="24"/>
        </w:rPr>
        <w:t xml:space="preserve">- </w:t>
      </w:r>
      <w:r w:rsidR="00D1455A">
        <w:rPr>
          <w:rFonts w:ascii="Times New Roman" w:hAnsi="Times New Roman" w:cs="Times New Roman"/>
          <w:sz w:val="24"/>
          <w:szCs w:val="24"/>
        </w:rPr>
        <w:t xml:space="preserve"> </w:t>
      </w:r>
      <w:r w:rsidRPr="005A00D4">
        <w:rPr>
          <w:rFonts w:ascii="Times New Roman" w:hAnsi="Times New Roman" w:cs="Times New Roman"/>
          <w:sz w:val="24"/>
          <w:szCs w:val="24"/>
        </w:rPr>
        <w:t>zakres gwarancji</w:t>
      </w:r>
      <w:r w:rsidRPr="009E336A">
        <w:rPr>
          <w:rFonts w:ascii="Times New Roman" w:hAnsi="Times New Roman" w:cs="Times New Roman"/>
          <w:sz w:val="24"/>
          <w:szCs w:val="24"/>
        </w:rPr>
        <w:t xml:space="preserve"> do 80% kwoty kredytu, </w:t>
      </w:r>
    </w:p>
    <w:p w14:paraId="4CE58E3D" w14:textId="5096257D" w:rsidR="00F34B4B" w:rsidRPr="009E336A" w:rsidRDefault="00F34B4B" w:rsidP="009A3FDD">
      <w:pPr>
        <w:pStyle w:val="ARTartustawynprozporzdzenia"/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9E336A">
        <w:rPr>
          <w:rFonts w:ascii="Times New Roman" w:hAnsi="Times New Roman" w:cs="Times New Roman"/>
          <w:sz w:val="24"/>
          <w:szCs w:val="24"/>
        </w:rPr>
        <w:t xml:space="preserve">- </w:t>
      </w:r>
      <w:r w:rsidR="00D1455A">
        <w:rPr>
          <w:rFonts w:ascii="Times New Roman" w:hAnsi="Times New Roman" w:cs="Times New Roman"/>
          <w:sz w:val="24"/>
          <w:szCs w:val="24"/>
        </w:rPr>
        <w:t xml:space="preserve"> </w:t>
      </w:r>
      <w:r w:rsidRPr="005A00D4">
        <w:rPr>
          <w:rFonts w:ascii="Times New Roman" w:hAnsi="Times New Roman" w:cs="Times New Roman"/>
          <w:sz w:val="24"/>
          <w:szCs w:val="24"/>
        </w:rPr>
        <w:t>maksymalna kwota gwarancji: 1,6 mln</w:t>
      </w:r>
      <w:r w:rsidRPr="009E336A">
        <w:rPr>
          <w:rFonts w:ascii="Times New Roman" w:hAnsi="Times New Roman" w:cs="Times New Roman"/>
          <w:sz w:val="24"/>
          <w:szCs w:val="24"/>
        </w:rPr>
        <w:t xml:space="preserve"> EUR</w:t>
      </w:r>
      <w:r w:rsidR="003D6149" w:rsidRPr="009E336A">
        <w:rPr>
          <w:rFonts w:ascii="Times New Roman" w:hAnsi="Times New Roman" w:cs="Times New Roman"/>
          <w:sz w:val="24"/>
          <w:szCs w:val="24"/>
        </w:rPr>
        <w:t xml:space="preserve">, </w:t>
      </w:r>
    </w:p>
    <w:bookmarkEnd w:id="18"/>
    <w:p w14:paraId="637404F2" w14:textId="7ECF038A" w:rsidR="00F34B4B" w:rsidRPr="009A3FDD" w:rsidRDefault="00F34B4B" w:rsidP="005A00D4">
      <w:pPr>
        <w:pStyle w:val="ARTartustawynprozporzdzenia"/>
        <w:spacing w:before="0" w:after="12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9E336A">
        <w:rPr>
          <w:rFonts w:ascii="Times New Roman" w:hAnsi="Times New Roman" w:cs="Times New Roman"/>
          <w:sz w:val="24"/>
          <w:szCs w:val="24"/>
        </w:rPr>
        <w:t xml:space="preserve">- zakres regwarancji: nie mniej niż 50% i nie więcej niż 80% gwarancji (w zależności </w:t>
      </w:r>
      <w:r w:rsidR="009E336A" w:rsidRPr="009A3FDD">
        <w:rPr>
          <w:rFonts w:ascii="Times New Roman" w:hAnsi="Times New Roman" w:cs="Times New Roman"/>
          <w:sz w:val="24"/>
          <w:szCs w:val="24"/>
        </w:rPr>
        <w:br/>
      </w:r>
      <w:r w:rsidRPr="005A00D4">
        <w:rPr>
          <w:rFonts w:ascii="Times New Roman" w:hAnsi="Times New Roman" w:cs="Times New Roman"/>
          <w:sz w:val="24"/>
          <w:szCs w:val="24"/>
        </w:rPr>
        <w:t xml:space="preserve">od </w:t>
      </w:r>
      <w:r w:rsidR="00794A88" w:rsidRPr="009E336A">
        <w:rPr>
          <w:rFonts w:ascii="Times New Roman" w:hAnsi="Times New Roman" w:cs="Times New Roman"/>
          <w:sz w:val="24"/>
          <w:szCs w:val="24"/>
        </w:rPr>
        <w:t xml:space="preserve">regionu, w którym znajduje się </w:t>
      </w:r>
      <w:r w:rsidR="003D6149" w:rsidRPr="009E336A">
        <w:rPr>
          <w:rFonts w:ascii="Times New Roman" w:hAnsi="Times New Roman" w:cs="Times New Roman"/>
          <w:sz w:val="24"/>
          <w:szCs w:val="24"/>
        </w:rPr>
        <w:t>siedzib</w:t>
      </w:r>
      <w:r w:rsidR="00794A88" w:rsidRPr="009E336A">
        <w:rPr>
          <w:rFonts w:ascii="Times New Roman" w:hAnsi="Times New Roman" w:cs="Times New Roman"/>
          <w:sz w:val="24"/>
          <w:szCs w:val="24"/>
        </w:rPr>
        <w:t>a</w:t>
      </w:r>
      <w:r w:rsidR="003D6149" w:rsidRPr="009E336A">
        <w:rPr>
          <w:rFonts w:ascii="Times New Roman" w:hAnsi="Times New Roman" w:cs="Times New Roman"/>
          <w:sz w:val="24"/>
          <w:szCs w:val="24"/>
        </w:rPr>
        <w:t xml:space="preserve"> </w:t>
      </w:r>
      <w:r w:rsidR="009E336A" w:rsidRPr="009A3FDD">
        <w:rPr>
          <w:rFonts w:ascii="Times New Roman" w:hAnsi="Times New Roman" w:cs="Times New Roman"/>
          <w:sz w:val="24"/>
          <w:szCs w:val="24"/>
        </w:rPr>
        <w:t>k</w:t>
      </w:r>
      <w:r w:rsidR="003D6149" w:rsidRPr="005A00D4">
        <w:rPr>
          <w:rFonts w:ascii="Times New Roman" w:hAnsi="Times New Roman" w:cs="Times New Roman"/>
          <w:sz w:val="24"/>
          <w:szCs w:val="24"/>
        </w:rPr>
        <w:t xml:space="preserve">redytobiorcy). </w:t>
      </w:r>
    </w:p>
    <w:p w14:paraId="014C252A" w14:textId="66C7BAFE" w:rsidR="003D6149" w:rsidRPr="009E336A" w:rsidRDefault="005D5731" w:rsidP="00F34B4B">
      <w:pPr>
        <w:pStyle w:val="ARTartustawynprozporzdzenia"/>
        <w:spacing w:before="0" w:after="12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9A3FDD">
        <w:rPr>
          <w:rFonts w:ascii="Times New Roman" w:hAnsi="Times New Roman" w:cs="Times New Roman"/>
          <w:sz w:val="24"/>
          <w:szCs w:val="24"/>
        </w:rPr>
        <w:t>W ramach segment</w:t>
      </w:r>
      <w:r w:rsidRPr="005A00D4">
        <w:rPr>
          <w:rFonts w:ascii="Times New Roman" w:hAnsi="Times New Roman" w:cs="Times New Roman"/>
          <w:sz w:val="24"/>
          <w:szCs w:val="24"/>
        </w:rPr>
        <w:t>u</w:t>
      </w:r>
      <w:r w:rsidRPr="009A3FDD">
        <w:rPr>
          <w:rFonts w:ascii="Times New Roman" w:hAnsi="Times New Roman" w:cs="Times New Roman"/>
          <w:sz w:val="24"/>
          <w:szCs w:val="24"/>
        </w:rPr>
        <w:tab/>
      </w:r>
      <w:r w:rsidRPr="009A3FDD">
        <w:rPr>
          <w:rFonts w:ascii="Times New Roman" w:hAnsi="Times New Roman" w:cs="Times New Roman"/>
          <w:i/>
          <w:iCs/>
          <w:sz w:val="24"/>
          <w:szCs w:val="24"/>
        </w:rPr>
        <w:t>Mikrofinansowanie i finansowanie podmiotów ekonomii społecznej</w:t>
      </w:r>
      <w:r w:rsidR="00E939CD" w:rsidRPr="005A00D4">
        <w:rPr>
          <w:rFonts w:ascii="Times New Roman" w:hAnsi="Times New Roman" w:cs="Times New Roman"/>
          <w:sz w:val="24"/>
          <w:szCs w:val="24"/>
        </w:rPr>
        <w:t xml:space="preserve"> </w:t>
      </w:r>
      <w:r w:rsidRPr="009E336A">
        <w:rPr>
          <w:rFonts w:ascii="Times New Roman" w:hAnsi="Times New Roman" w:cs="Times New Roman"/>
          <w:sz w:val="24"/>
          <w:szCs w:val="24"/>
        </w:rPr>
        <w:t>mikroprzedsiębiorcy, w tym podmioty typu start-up będą mog</w:t>
      </w:r>
      <w:r w:rsidR="00C738A0" w:rsidRPr="009A3FDD">
        <w:rPr>
          <w:rFonts w:ascii="Times New Roman" w:hAnsi="Times New Roman" w:cs="Times New Roman"/>
          <w:sz w:val="24"/>
          <w:szCs w:val="24"/>
        </w:rPr>
        <w:t>li</w:t>
      </w:r>
      <w:r w:rsidRPr="009E336A">
        <w:rPr>
          <w:rFonts w:ascii="Times New Roman" w:hAnsi="Times New Roman" w:cs="Times New Roman"/>
          <w:sz w:val="24"/>
          <w:szCs w:val="24"/>
        </w:rPr>
        <w:t xml:space="preserve"> skorzystać z gwarancji, </w:t>
      </w:r>
      <w:r w:rsidR="009E336A" w:rsidRPr="009A3FDD">
        <w:rPr>
          <w:rFonts w:ascii="Times New Roman" w:hAnsi="Times New Roman" w:cs="Times New Roman"/>
          <w:sz w:val="24"/>
          <w:szCs w:val="24"/>
        </w:rPr>
        <w:br/>
      </w:r>
      <w:r w:rsidRPr="005A00D4">
        <w:rPr>
          <w:rFonts w:ascii="Times New Roman" w:hAnsi="Times New Roman" w:cs="Times New Roman"/>
          <w:sz w:val="24"/>
          <w:szCs w:val="24"/>
        </w:rPr>
        <w:t>dla której założono następujące podstawowe parametry:</w:t>
      </w:r>
    </w:p>
    <w:p w14:paraId="756C1251" w14:textId="175D97D7" w:rsidR="00794A88" w:rsidRPr="009E336A" w:rsidRDefault="00794A88" w:rsidP="009A3FDD">
      <w:pPr>
        <w:pStyle w:val="ARTartustawynprozporzdzenia"/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9E336A">
        <w:rPr>
          <w:rFonts w:ascii="Times New Roman" w:hAnsi="Times New Roman" w:cs="Times New Roman"/>
          <w:sz w:val="24"/>
          <w:szCs w:val="24"/>
        </w:rPr>
        <w:t xml:space="preserve">- zakres gwarancji do 80% kwoty kredytu, </w:t>
      </w:r>
    </w:p>
    <w:p w14:paraId="4E07AFA7" w14:textId="3D4C2D07" w:rsidR="00794A88" w:rsidRPr="009E336A" w:rsidRDefault="00794A88" w:rsidP="009A3FDD">
      <w:pPr>
        <w:pStyle w:val="ARTartustawynprozporzdzenia"/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9E336A">
        <w:rPr>
          <w:rFonts w:ascii="Times New Roman" w:hAnsi="Times New Roman" w:cs="Times New Roman"/>
          <w:sz w:val="24"/>
          <w:szCs w:val="24"/>
        </w:rPr>
        <w:t xml:space="preserve">- maksymalna kwota gwarancji: 40 000,00 EUR, </w:t>
      </w:r>
    </w:p>
    <w:p w14:paraId="7FA30786" w14:textId="072FE98E" w:rsidR="005D5731" w:rsidRPr="009E336A" w:rsidRDefault="00794A88" w:rsidP="005A00D4">
      <w:pPr>
        <w:pStyle w:val="ARTartustawynprozporzdzenia"/>
        <w:spacing w:before="0" w:after="12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9E336A">
        <w:rPr>
          <w:rFonts w:ascii="Times New Roman" w:hAnsi="Times New Roman" w:cs="Times New Roman"/>
          <w:sz w:val="24"/>
          <w:szCs w:val="24"/>
        </w:rPr>
        <w:t xml:space="preserve">- zakres regwarancji: 80% gwarancji. </w:t>
      </w:r>
    </w:p>
    <w:p w14:paraId="2596663E" w14:textId="245BF43D" w:rsidR="009C0392" w:rsidRDefault="009C0392" w:rsidP="009C0392">
      <w:pPr>
        <w:pStyle w:val="ARTartustawynprozporzdzenia"/>
        <w:spacing w:before="0" w:after="120" w:line="240" w:lineRule="auto"/>
        <w:ind w:firstLine="0"/>
        <w:rPr>
          <w:rFonts w:ascii="Times New Roman" w:hAnsi="Times New Roman"/>
          <w:bCs/>
          <w:sz w:val="24"/>
          <w:szCs w:val="24"/>
        </w:rPr>
      </w:pPr>
      <w:r w:rsidRPr="009C0392">
        <w:rPr>
          <w:rFonts w:ascii="Times New Roman" w:hAnsi="Times New Roman"/>
          <w:bCs/>
          <w:sz w:val="24"/>
          <w:szCs w:val="24"/>
        </w:rPr>
        <w:t>W przypadku wypłaty środków z gwarancji</w:t>
      </w:r>
      <w:r>
        <w:rPr>
          <w:rFonts w:ascii="Times New Roman" w:hAnsi="Times New Roman"/>
          <w:bCs/>
          <w:sz w:val="24"/>
          <w:szCs w:val="24"/>
        </w:rPr>
        <w:t>,</w:t>
      </w:r>
      <w:r w:rsidRPr="009C0392">
        <w:rPr>
          <w:rFonts w:ascii="Times New Roman" w:hAnsi="Times New Roman"/>
          <w:bCs/>
          <w:sz w:val="24"/>
          <w:szCs w:val="24"/>
        </w:rPr>
        <w:t xml:space="preserve"> różnica pomiędzy kwotą gwarancji </w:t>
      </w:r>
      <w:r w:rsidRPr="009C0392">
        <w:rPr>
          <w:rFonts w:ascii="Times New Roman" w:hAnsi="Times New Roman"/>
          <w:bCs/>
          <w:sz w:val="24"/>
          <w:szCs w:val="24"/>
        </w:rPr>
        <w:br/>
        <w:t xml:space="preserve">a regwarancją EFI będzie pokrywana ze środków Krajowego Funduszu Gwarancyjnego, zwanego dalej „KFG”, o którym mowa w art. 34g ustawy o poręczeniach i gwarancjach. </w:t>
      </w:r>
      <w:r w:rsidR="00E625D7">
        <w:rPr>
          <w:rFonts w:ascii="Times New Roman" w:hAnsi="Times New Roman"/>
          <w:bCs/>
          <w:sz w:val="24"/>
          <w:szCs w:val="24"/>
        </w:rPr>
        <w:br/>
      </w:r>
      <w:r w:rsidRPr="009C0392">
        <w:rPr>
          <w:rFonts w:ascii="Times New Roman" w:hAnsi="Times New Roman"/>
          <w:bCs/>
          <w:sz w:val="24"/>
          <w:szCs w:val="24"/>
        </w:rPr>
        <w:t>Ze środków KFG oprócz wypłat z gwarancji w części, za którą nie odpowiada EFI, będzie również pokrywana opłata administracyjna należna EFI oraz koszty operacyjne, natomiast KFG będzie zasilany wpływami z prowizji za udzielenie gwarancji.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14:paraId="59DD386A" w14:textId="770F6328" w:rsidR="002C54B1" w:rsidRPr="009A3FDD" w:rsidRDefault="002C54B1" w:rsidP="002C54B1">
      <w:pPr>
        <w:pStyle w:val="ARTartustawynprozporzdzenia"/>
        <w:spacing w:before="0" w:after="12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9A3FDD">
        <w:rPr>
          <w:rFonts w:ascii="Times New Roman" w:hAnsi="Times New Roman" w:cs="Times New Roman"/>
          <w:sz w:val="24"/>
          <w:szCs w:val="24"/>
        </w:rPr>
        <w:t>W ramach regwarancji</w:t>
      </w:r>
      <w:r w:rsidR="008A014D" w:rsidRPr="009A3FDD">
        <w:rPr>
          <w:rFonts w:ascii="Times New Roman" w:hAnsi="Times New Roman" w:cs="Times New Roman"/>
          <w:sz w:val="24"/>
          <w:szCs w:val="24"/>
        </w:rPr>
        <w:t xml:space="preserve"> EFI</w:t>
      </w:r>
      <w:r w:rsidRPr="009A3FDD">
        <w:rPr>
          <w:rFonts w:ascii="Times New Roman" w:hAnsi="Times New Roman" w:cs="Times New Roman"/>
          <w:sz w:val="24"/>
          <w:szCs w:val="24"/>
        </w:rPr>
        <w:t xml:space="preserve">, </w:t>
      </w:r>
      <w:r w:rsidR="008A014D" w:rsidRPr="009A3FDD">
        <w:rPr>
          <w:rFonts w:ascii="Times New Roman" w:hAnsi="Times New Roman" w:cs="Times New Roman"/>
          <w:sz w:val="24"/>
          <w:szCs w:val="24"/>
        </w:rPr>
        <w:t>BGK</w:t>
      </w:r>
      <w:r w:rsidR="00A94D63">
        <w:rPr>
          <w:rFonts w:ascii="Times New Roman" w:hAnsi="Times New Roman" w:cs="Times New Roman"/>
          <w:sz w:val="24"/>
          <w:szCs w:val="24"/>
        </w:rPr>
        <w:t>,</w:t>
      </w:r>
      <w:r w:rsidR="008A014D" w:rsidRPr="009A3FDD">
        <w:rPr>
          <w:rFonts w:ascii="Times New Roman" w:hAnsi="Times New Roman" w:cs="Times New Roman"/>
          <w:sz w:val="24"/>
          <w:szCs w:val="24"/>
        </w:rPr>
        <w:t xml:space="preserve"> </w:t>
      </w:r>
      <w:r w:rsidR="009C0392" w:rsidRPr="009A3FDD">
        <w:rPr>
          <w:rFonts w:ascii="Times New Roman" w:hAnsi="Times New Roman" w:cs="Times New Roman"/>
          <w:sz w:val="24"/>
          <w:szCs w:val="24"/>
        </w:rPr>
        <w:t>w przypadku wypłaty z gwarancji</w:t>
      </w:r>
      <w:r w:rsidR="00A94D63">
        <w:rPr>
          <w:rFonts w:ascii="Times New Roman" w:hAnsi="Times New Roman" w:cs="Times New Roman"/>
          <w:sz w:val="24"/>
          <w:szCs w:val="24"/>
        </w:rPr>
        <w:t>,</w:t>
      </w:r>
      <w:r w:rsidR="009C0392" w:rsidRPr="009A3FDD">
        <w:rPr>
          <w:rFonts w:ascii="Times New Roman" w:hAnsi="Times New Roman" w:cs="Times New Roman"/>
          <w:sz w:val="24"/>
          <w:szCs w:val="24"/>
        </w:rPr>
        <w:t xml:space="preserve"> </w:t>
      </w:r>
      <w:r w:rsidRPr="009A3FDD">
        <w:rPr>
          <w:rFonts w:ascii="Times New Roman" w:hAnsi="Times New Roman" w:cs="Times New Roman"/>
          <w:sz w:val="24"/>
          <w:szCs w:val="24"/>
        </w:rPr>
        <w:t>otrzymuje środki z EFI, co oznacza, że EFI partycypuje w ryzyku</w:t>
      </w:r>
      <w:r w:rsidR="008A014D" w:rsidRPr="009A3FDD">
        <w:rPr>
          <w:rFonts w:ascii="Times New Roman" w:hAnsi="Times New Roman" w:cs="Times New Roman"/>
          <w:sz w:val="24"/>
          <w:szCs w:val="24"/>
        </w:rPr>
        <w:t xml:space="preserve"> zgodnie z poziomem regwarancji. </w:t>
      </w:r>
      <w:r w:rsidRPr="009A3FDD">
        <w:rPr>
          <w:rFonts w:ascii="Times New Roman" w:hAnsi="Times New Roman" w:cs="Times New Roman"/>
          <w:sz w:val="24"/>
          <w:szCs w:val="24"/>
        </w:rPr>
        <w:t xml:space="preserve"> </w:t>
      </w:r>
      <w:r w:rsidR="00963033" w:rsidRPr="005A00D4">
        <w:rPr>
          <w:rFonts w:ascii="Times New Roman" w:hAnsi="Times New Roman" w:cs="Times New Roman"/>
          <w:sz w:val="24"/>
          <w:szCs w:val="24"/>
        </w:rPr>
        <w:t>Regwarancja</w:t>
      </w:r>
      <w:r w:rsidR="00963033" w:rsidRPr="009E336A">
        <w:rPr>
          <w:rFonts w:ascii="Times New Roman" w:hAnsi="Times New Roman" w:cs="Times New Roman"/>
          <w:sz w:val="24"/>
          <w:szCs w:val="24"/>
        </w:rPr>
        <w:t xml:space="preserve"> EFI jest udzielona do wysokości ustalonego poziomu limitu na ryzyko, przy czym przyjęty poziom limitu na ryzyko (10%) jest na tyle wysoki, że prawdopodobieństwo jego przekroczenia jest </w:t>
      </w:r>
      <w:r w:rsidR="00963033" w:rsidRPr="009E336A">
        <w:rPr>
          <w:rFonts w:ascii="Times New Roman" w:hAnsi="Times New Roman" w:cs="Times New Roman"/>
          <w:sz w:val="24"/>
          <w:szCs w:val="24"/>
        </w:rPr>
        <w:lastRenderedPageBreak/>
        <w:t>bardzo niskie</w:t>
      </w:r>
      <w:r w:rsidR="008864C4" w:rsidRPr="009E336A">
        <w:rPr>
          <w:rFonts w:ascii="Times New Roman" w:hAnsi="Times New Roman" w:cs="Times New Roman"/>
          <w:sz w:val="24"/>
          <w:szCs w:val="24"/>
        </w:rPr>
        <w:t xml:space="preserve">, szczególnie biorąc pod uwagę stosowane przez BGK procedury zarządzania ryzykiem gwarancyjnym oraz obecną szkodowość w ramach programów gwarancyjnych. </w:t>
      </w:r>
    </w:p>
    <w:p w14:paraId="0EC3FC9D" w14:textId="3F447430" w:rsidR="006266DA" w:rsidRPr="004664C5" w:rsidRDefault="008A62FC" w:rsidP="001E7B64">
      <w:pPr>
        <w:pStyle w:val="ARTartustawynprozporzdzenia"/>
        <w:spacing w:before="0" w:after="12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4664C5">
        <w:rPr>
          <w:rFonts w:ascii="Times New Roman" w:hAnsi="Times New Roman" w:cs="Times New Roman"/>
          <w:sz w:val="24"/>
          <w:szCs w:val="24"/>
        </w:rPr>
        <w:t>Stosownie do § 2 pkt 2 rozporządzenia</w:t>
      </w:r>
      <w:r w:rsidR="004178E3" w:rsidRPr="004664C5">
        <w:rPr>
          <w:rFonts w:ascii="Times New Roman" w:hAnsi="Times New Roman" w:cs="Times New Roman"/>
          <w:sz w:val="24"/>
          <w:szCs w:val="24"/>
        </w:rPr>
        <w:t xml:space="preserve">, przez </w:t>
      </w:r>
      <w:r w:rsidRPr="004664C5">
        <w:rPr>
          <w:rFonts w:ascii="Times New Roman" w:hAnsi="Times New Roman" w:cs="Times New Roman"/>
          <w:sz w:val="24"/>
          <w:szCs w:val="24"/>
        </w:rPr>
        <w:t xml:space="preserve">kredyt </w:t>
      </w:r>
      <w:r w:rsidR="004178E3" w:rsidRPr="004664C5">
        <w:rPr>
          <w:rFonts w:ascii="Times New Roman" w:hAnsi="Times New Roman" w:cs="Times New Roman"/>
          <w:sz w:val="24"/>
          <w:szCs w:val="24"/>
        </w:rPr>
        <w:t>rozumieć należy</w:t>
      </w:r>
      <w:r w:rsidRPr="004664C5">
        <w:rPr>
          <w:rFonts w:ascii="Times New Roman" w:hAnsi="Times New Roman" w:cs="Times New Roman"/>
          <w:sz w:val="24"/>
          <w:szCs w:val="24"/>
        </w:rPr>
        <w:t xml:space="preserve"> kredyt </w:t>
      </w:r>
      <w:r w:rsidR="002C54B1">
        <w:rPr>
          <w:rFonts w:ascii="Times New Roman" w:hAnsi="Times New Roman" w:cs="Times New Roman"/>
          <w:sz w:val="24"/>
          <w:szCs w:val="24"/>
        </w:rPr>
        <w:t xml:space="preserve">obrotowy </w:t>
      </w:r>
      <w:r w:rsidR="00EB49E6">
        <w:rPr>
          <w:rFonts w:ascii="Times New Roman" w:hAnsi="Times New Roman" w:cs="Times New Roman"/>
          <w:sz w:val="24"/>
          <w:szCs w:val="24"/>
        </w:rPr>
        <w:br/>
      </w:r>
      <w:r w:rsidR="002C54B1">
        <w:rPr>
          <w:rFonts w:ascii="Times New Roman" w:hAnsi="Times New Roman" w:cs="Times New Roman"/>
          <w:sz w:val="24"/>
          <w:szCs w:val="24"/>
        </w:rPr>
        <w:t xml:space="preserve">lub inwestycyjny udzielany przedsiębiorcy </w:t>
      </w:r>
      <w:r w:rsidRPr="004664C5">
        <w:rPr>
          <w:rFonts w:ascii="Times New Roman" w:hAnsi="Times New Roman" w:cs="Times New Roman"/>
          <w:sz w:val="24"/>
          <w:szCs w:val="24"/>
        </w:rPr>
        <w:t>wchodzący</w:t>
      </w:r>
      <w:r w:rsidR="00EB49E6">
        <w:rPr>
          <w:rFonts w:ascii="Times New Roman" w:hAnsi="Times New Roman" w:cs="Times New Roman"/>
          <w:sz w:val="24"/>
          <w:szCs w:val="24"/>
        </w:rPr>
        <w:t xml:space="preserve"> </w:t>
      </w:r>
      <w:r w:rsidRPr="004664C5">
        <w:rPr>
          <w:rFonts w:ascii="Times New Roman" w:hAnsi="Times New Roman" w:cs="Times New Roman"/>
          <w:sz w:val="24"/>
          <w:szCs w:val="24"/>
        </w:rPr>
        <w:t>w skład portfela kredytów, stanowiącego zbiór pojedynczych kredytów, dla którego łączną kwotę limitu gwarancji udzielanych na określony czas oraz przeznaczenie tych kredytów określa umowa zawarta pomiędzy BGK a bankiem udzielającym tego kredytu</w:t>
      </w:r>
      <w:r w:rsidR="006266DA" w:rsidRPr="004664C5">
        <w:rPr>
          <w:rFonts w:ascii="Times New Roman" w:hAnsi="Times New Roman" w:cs="Times New Roman"/>
          <w:sz w:val="24"/>
          <w:szCs w:val="24"/>
        </w:rPr>
        <w:t>.</w:t>
      </w:r>
    </w:p>
    <w:p w14:paraId="317CD216" w14:textId="13A32DF9" w:rsidR="00BC41EB" w:rsidRPr="004664C5" w:rsidRDefault="006266DA" w:rsidP="001E7B64">
      <w:pPr>
        <w:pStyle w:val="ARTartustawynprozporzdzenia"/>
        <w:spacing w:after="12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4664C5">
        <w:rPr>
          <w:rFonts w:ascii="Times New Roman" w:hAnsi="Times New Roman" w:cs="Times New Roman"/>
          <w:sz w:val="24"/>
          <w:szCs w:val="24"/>
        </w:rPr>
        <w:t>W rozporządzeniu projektodawca posługuje się pojęciem przedsiębiorcy. W</w:t>
      </w:r>
      <w:r w:rsidR="00BC41EB" w:rsidRPr="004664C5">
        <w:rPr>
          <w:rFonts w:ascii="Times New Roman" w:hAnsi="Times New Roman" w:cs="Times New Roman"/>
          <w:sz w:val="24"/>
          <w:szCs w:val="24"/>
        </w:rPr>
        <w:t xml:space="preserve"> rozumieniu przepisów rozporządzenia</w:t>
      </w:r>
      <w:r w:rsidRPr="004664C5">
        <w:rPr>
          <w:rFonts w:ascii="Times New Roman" w:hAnsi="Times New Roman" w:cs="Times New Roman"/>
          <w:sz w:val="24"/>
          <w:szCs w:val="24"/>
        </w:rPr>
        <w:t xml:space="preserve"> przedsiębiorcą jest wyłącznie MŚP</w:t>
      </w:r>
      <w:r w:rsidR="00BC41EB" w:rsidRPr="004664C5">
        <w:rPr>
          <w:rFonts w:ascii="Times New Roman" w:hAnsi="Times New Roman" w:cs="Times New Roman"/>
          <w:sz w:val="24"/>
          <w:szCs w:val="24"/>
        </w:rPr>
        <w:t xml:space="preserve"> </w:t>
      </w:r>
      <w:bookmarkStart w:id="19" w:name="_Hlk154656891"/>
      <w:r w:rsidRPr="004664C5">
        <w:rPr>
          <w:rFonts w:ascii="Times New Roman" w:hAnsi="Times New Roman" w:cs="Times New Roman"/>
          <w:sz w:val="24"/>
          <w:szCs w:val="24"/>
        </w:rPr>
        <w:t>(§ 2 pkt 3 rozporządzenia).</w:t>
      </w:r>
      <w:bookmarkEnd w:id="19"/>
    </w:p>
    <w:p w14:paraId="257A0AE8" w14:textId="1EDB9192" w:rsidR="006266DA" w:rsidRPr="004664C5" w:rsidRDefault="00F65AE7" w:rsidP="006266DA">
      <w:pPr>
        <w:pStyle w:val="ARTartustawynprozporzdzenia"/>
        <w:spacing w:after="120"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4178E3" w:rsidRPr="004664C5">
        <w:rPr>
          <w:rFonts w:ascii="Times New Roman" w:hAnsi="Times New Roman" w:cs="Times New Roman"/>
          <w:sz w:val="24"/>
          <w:szCs w:val="24"/>
        </w:rPr>
        <w:t xml:space="preserve"> § 2 pkt 4 rozporządzenia</w:t>
      </w:r>
      <w:r w:rsidRPr="00F65AE7">
        <w:rPr>
          <w:rFonts w:ascii="Times New Roman" w:hAnsi="Times New Roman" w:cs="Times New Roman"/>
          <w:sz w:val="24"/>
          <w:szCs w:val="24"/>
        </w:rPr>
        <w:t xml:space="preserve"> </w:t>
      </w:r>
      <w:r w:rsidRPr="004664C5">
        <w:rPr>
          <w:rFonts w:ascii="Times New Roman" w:hAnsi="Times New Roman" w:cs="Times New Roman"/>
          <w:sz w:val="24"/>
          <w:szCs w:val="24"/>
        </w:rPr>
        <w:t>zostało zdefiniowane Rozporządzenie Komisji</w:t>
      </w:r>
      <w:r w:rsidR="004178E3" w:rsidRPr="004664C5">
        <w:rPr>
          <w:rFonts w:ascii="Times New Roman" w:hAnsi="Times New Roman" w:cs="Times New Roman"/>
          <w:sz w:val="24"/>
          <w:szCs w:val="24"/>
        </w:rPr>
        <w:t>.</w:t>
      </w:r>
    </w:p>
    <w:p w14:paraId="2FB5B8BD" w14:textId="12B56A05" w:rsidR="002935C1" w:rsidRPr="004664C5" w:rsidRDefault="00DE283C" w:rsidP="00CF7596">
      <w:pPr>
        <w:pStyle w:val="ARTartustawynprozporzdzenia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4664C5">
        <w:rPr>
          <w:rFonts w:ascii="Times New Roman" w:hAnsi="Times New Roman" w:cs="Times New Roman"/>
          <w:sz w:val="24"/>
          <w:szCs w:val="24"/>
        </w:rPr>
        <w:t xml:space="preserve">W </w:t>
      </w:r>
      <w:bookmarkStart w:id="20" w:name="_Hlk154659146"/>
      <w:r w:rsidRPr="004664C5">
        <w:rPr>
          <w:rFonts w:ascii="Times New Roman" w:hAnsi="Times New Roman" w:cs="Times New Roman"/>
          <w:sz w:val="24"/>
          <w:szCs w:val="24"/>
        </w:rPr>
        <w:t xml:space="preserve">§ 3 ust. 1 rozporządzenia </w:t>
      </w:r>
      <w:bookmarkEnd w:id="20"/>
      <w:r w:rsidRPr="004664C5">
        <w:rPr>
          <w:rFonts w:ascii="Times New Roman" w:hAnsi="Times New Roman" w:cs="Times New Roman"/>
          <w:sz w:val="24"/>
          <w:szCs w:val="24"/>
        </w:rPr>
        <w:t>wskazano</w:t>
      </w:r>
      <w:r w:rsidR="00CF7596" w:rsidRPr="004664C5">
        <w:rPr>
          <w:rFonts w:ascii="Times New Roman" w:hAnsi="Times New Roman" w:cs="Times New Roman"/>
          <w:sz w:val="24"/>
          <w:szCs w:val="24"/>
        </w:rPr>
        <w:t xml:space="preserve"> w szczególności</w:t>
      </w:r>
      <w:r w:rsidR="002935C1" w:rsidRPr="004664C5">
        <w:rPr>
          <w:rFonts w:ascii="Times New Roman" w:hAnsi="Times New Roman" w:cs="Times New Roman"/>
          <w:sz w:val="24"/>
          <w:szCs w:val="24"/>
        </w:rPr>
        <w:t xml:space="preserve"> na przepisy rozporządzenia Komisji, zgodnie z którymi będzie udzielana pomoc, tj.</w:t>
      </w:r>
      <w:r w:rsidRPr="004664C5">
        <w:rPr>
          <w:rFonts w:ascii="Times New Roman" w:hAnsi="Times New Roman" w:cs="Times New Roman"/>
          <w:sz w:val="24"/>
          <w:szCs w:val="24"/>
        </w:rPr>
        <w:t xml:space="preserve"> art. 56d ust. 1-</w:t>
      </w:r>
      <w:r w:rsidR="00AC2D1E" w:rsidRPr="004664C5">
        <w:rPr>
          <w:rFonts w:ascii="Times New Roman" w:hAnsi="Times New Roman" w:cs="Times New Roman"/>
          <w:sz w:val="24"/>
          <w:szCs w:val="24"/>
        </w:rPr>
        <w:t xml:space="preserve">3 i ust. </w:t>
      </w:r>
      <w:r w:rsidRPr="004664C5">
        <w:rPr>
          <w:rFonts w:ascii="Times New Roman" w:hAnsi="Times New Roman" w:cs="Times New Roman"/>
          <w:sz w:val="24"/>
          <w:szCs w:val="24"/>
        </w:rPr>
        <w:t xml:space="preserve">4 </w:t>
      </w:r>
      <w:r w:rsidR="00AC2D1E" w:rsidRPr="004664C5">
        <w:rPr>
          <w:rFonts w:ascii="Times New Roman" w:hAnsi="Times New Roman" w:cs="Times New Roman"/>
          <w:sz w:val="24"/>
          <w:szCs w:val="24"/>
        </w:rPr>
        <w:t>lit. b</w:t>
      </w:r>
      <w:r w:rsidRPr="004664C5">
        <w:rPr>
          <w:rFonts w:ascii="Times New Roman" w:hAnsi="Times New Roman" w:cs="Times New Roman"/>
          <w:sz w:val="24"/>
          <w:szCs w:val="24"/>
        </w:rPr>
        <w:t xml:space="preserve"> oraz art. 56f ust. 1 i 2 rozporządzenia Komisji</w:t>
      </w:r>
      <w:r w:rsidR="002935C1" w:rsidRPr="004664C5">
        <w:rPr>
          <w:rFonts w:ascii="Times New Roman" w:hAnsi="Times New Roman" w:cs="Times New Roman"/>
          <w:sz w:val="24"/>
          <w:szCs w:val="24"/>
        </w:rPr>
        <w:t xml:space="preserve">. </w:t>
      </w:r>
      <w:r w:rsidR="00CF7596" w:rsidRPr="004664C5">
        <w:rPr>
          <w:rFonts w:ascii="Times New Roman" w:hAnsi="Times New Roman" w:cs="Times New Roman"/>
          <w:sz w:val="24"/>
          <w:szCs w:val="24"/>
        </w:rPr>
        <w:t xml:space="preserve">W regulacji tej zaznaczono także, że pomoc będzie udzielana przedsiębiorcy. Dodać przy tym należy, że działalności gospodarcza, której dotyczy pomoc, musi być prowadzona </w:t>
      </w:r>
      <w:r w:rsidR="007E5BBD">
        <w:rPr>
          <w:rFonts w:ascii="Times New Roman" w:hAnsi="Times New Roman" w:cs="Times New Roman"/>
          <w:sz w:val="24"/>
          <w:szCs w:val="24"/>
        </w:rPr>
        <w:t xml:space="preserve">przez przedsiębiorcę </w:t>
      </w:r>
      <w:r w:rsidR="00CF7596" w:rsidRPr="004664C5">
        <w:rPr>
          <w:rFonts w:ascii="Times New Roman" w:hAnsi="Times New Roman" w:cs="Times New Roman"/>
          <w:sz w:val="24"/>
          <w:szCs w:val="24"/>
        </w:rPr>
        <w:t xml:space="preserve">na terytorium Rzeczypospolitej Polskiej, co </w:t>
      </w:r>
      <w:r w:rsidR="002C54B1">
        <w:rPr>
          <w:rFonts w:ascii="Times New Roman" w:hAnsi="Times New Roman" w:cs="Times New Roman"/>
          <w:sz w:val="24"/>
          <w:szCs w:val="24"/>
        </w:rPr>
        <w:t xml:space="preserve">będzie </w:t>
      </w:r>
      <w:r w:rsidR="00CF7596" w:rsidRPr="004664C5">
        <w:rPr>
          <w:rFonts w:ascii="Times New Roman" w:hAnsi="Times New Roman" w:cs="Times New Roman"/>
          <w:sz w:val="24"/>
          <w:szCs w:val="24"/>
        </w:rPr>
        <w:t>wynika</w:t>
      </w:r>
      <w:r w:rsidR="002C54B1">
        <w:rPr>
          <w:rFonts w:ascii="Times New Roman" w:hAnsi="Times New Roman" w:cs="Times New Roman"/>
          <w:sz w:val="24"/>
          <w:szCs w:val="24"/>
        </w:rPr>
        <w:t>ć</w:t>
      </w:r>
      <w:r w:rsidR="00CF7596" w:rsidRPr="004664C5">
        <w:rPr>
          <w:rFonts w:ascii="Times New Roman" w:hAnsi="Times New Roman" w:cs="Times New Roman"/>
          <w:sz w:val="24"/>
          <w:szCs w:val="24"/>
        </w:rPr>
        <w:t xml:space="preserve"> z umowy portfelowej zawartej pomiędzy BGK a bankiem udzielającym kredytu.</w:t>
      </w:r>
    </w:p>
    <w:p w14:paraId="0CA06010" w14:textId="6759A6FE" w:rsidR="004178E3" w:rsidRPr="004664C5" w:rsidRDefault="001E7B64" w:rsidP="00E36E98">
      <w:pPr>
        <w:pStyle w:val="ARTartustawynprozporzdzenia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4664C5">
        <w:rPr>
          <w:rFonts w:ascii="Times New Roman" w:hAnsi="Times New Roman" w:cs="Times New Roman"/>
          <w:sz w:val="24"/>
          <w:szCs w:val="24"/>
        </w:rPr>
        <w:t>Przepis § 3 ust. 2 rozporządzenia określa przypadki, w których p</w:t>
      </w:r>
      <w:r w:rsidR="002935C1" w:rsidRPr="004664C5">
        <w:rPr>
          <w:rFonts w:ascii="Times New Roman" w:hAnsi="Times New Roman" w:cs="Times New Roman"/>
          <w:sz w:val="24"/>
          <w:szCs w:val="24"/>
        </w:rPr>
        <w:t xml:space="preserve">omoc nie będzie mogła być udzielona, </w:t>
      </w:r>
      <w:r w:rsidRPr="004664C5">
        <w:rPr>
          <w:rFonts w:ascii="Times New Roman" w:hAnsi="Times New Roman" w:cs="Times New Roman"/>
          <w:sz w:val="24"/>
          <w:szCs w:val="24"/>
        </w:rPr>
        <w:t>tj. te,</w:t>
      </w:r>
      <w:r w:rsidR="002935C1" w:rsidRPr="004664C5">
        <w:rPr>
          <w:rFonts w:ascii="Times New Roman" w:hAnsi="Times New Roman" w:cs="Times New Roman"/>
          <w:sz w:val="24"/>
          <w:szCs w:val="24"/>
        </w:rPr>
        <w:t xml:space="preserve"> o których mowa w</w:t>
      </w:r>
      <w:r w:rsidRPr="004664C5">
        <w:rPr>
          <w:rFonts w:ascii="Times New Roman" w:hAnsi="Times New Roman" w:cs="Times New Roman"/>
          <w:sz w:val="24"/>
          <w:szCs w:val="24"/>
        </w:rPr>
        <w:t xml:space="preserve"> </w:t>
      </w:r>
      <w:r w:rsidR="002935C1" w:rsidRPr="004664C5">
        <w:rPr>
          <w:rFonts w:ascii="Times New Roman" w:hAnsi="Times New Roman" w:cs="Times New Roman"/>
          <w:sz w:val="24"/>
          <w:szCs w:val="24"/>
        </w:rPr>
        <w:t>art. 56d ust. 5 rozporządzenia Komisji</w:t>
      </w:r>
      <w:r w:rsidRPr="004664C5">
        <w:rPr>
          <w:rFonts w:ascii="Times New Roman" w:hAnsi="Times New Roman" w:cs="Times New Roman"/>
          <w:sz w:val="24"/>
          <w:szCs w:val="24"/>
        </w:rPr>
        <w:t>.</w:t>
      </w:r>
      <w:r w:rsidR="002935C1" w:rsidRPr="004664C5">
        <w:rPr>
          <w:rFonts w:ascii="Times New Roman" w:hAnsi="Times New Roman" w:cs="Times New Roman"/>
          <w:sz w:val="24"/>
          <w:szCs w:val="24"/>
        </w:rPr>
        <w:t xml:space="preserve"> </w:t>
      </w:r>
      <w:r w:rsidRPr="004664C5">
        <w:rPr>
          <w:rFonts w:ascii="Times New Roman" w:hAnsi="Times New Roman" w:cs="Times New Roman"/>
          <w:sz w:val="24"/>
          <w:szCs w:val="24"/>
        </w:rPr>
        <w:t>S</w:t>
      </w:r>
      <w:r w:rsidR="002935C1" w:rsidRPr="004664C5">
        <w:rPr>
          <w:rFonts w:ascii="Times New Roman" w:hAnsi="Times New Roman" w:cs="Times New Roman"/>
          <w:sz w:val="24"/>
          <w:szCs w:val="24"/>
        </w:rPr>
        <w:t xml:space="preserve">tosownie do treści </w:t>
      </w:r>
      <w:r w:rsidR="00CF7596" w:rsidRPr="004664C5">
        <w:rPr>
          <w:rFonts w:ascii="Times New Roman" w:hAnsi="Times New Roman" w:cs="Times New Roman"/>
          <w:sz w:val="24"/>
          <w:szCs w:val="24"/>
        </w:rPr>
        <w:t>art. 56d ust. 5 rozporządzenia Komisji</w:t>
      </w:r>
      <w:r w:rsidR="002935C1" w:rsidRPr="004664C5">
        <w:rPr>
          <w:rFonts w:ascii="Times New Roman" w:hAnsi="Times New Roman" w:cs="Times New Roman"/>
          <w:sz w:val="24"/>
          <w:szCs w:val="24"/>
        </w:rPr>
        <w:t xml:space="preserve">: „Pomocy nie przyznaje się w formie (…) gwarancji </w:t>
      </w:r>
      <w:r w:rsidR="00CF7596" w:rsidRPr="004664C5">
        <w:rPr>
          <w:rFonts w:ascii="Times New Roman" w:hAnsi="Times New Roman" w:cs="Times New Roman"/>
          <w:sz w:val="24"/>
          <w:szCs w:val="24"/>
        </w:rPr>
        <w:br/>
      </w:r>
      <w:r w:rsidR="002935C1" w:rsidRPr="004664C5">
        <w:rPr>
          <w:rFonts w:ascii="Times New Roman" w:hAnsi="Times New Roman" w:cs="Times New Roman"/>
          <w:sz w:val="24"/>
          <w:szCs w:val="24"/>
        </w:rPr>
        <w:t>dla istniejących portfeli pośredników finansowych.”</w:t>
      </w:r>
      <w:r w:rsidR="00CF7596" w:rsidRPr="004664C5">
        <w:rPr>
          <w:rFonts w:ascii="Times New Roman" w:hAnsi="Times New Roman" w:cs="Times New Roman"/>
          <w:sz w:val="24"/>
          <w:szCs w:val="24"/>
        </w:rPr>
        <w:t>.</w:t>
      </w:r>
      <w:r w:rsidR="00E36E98">
        <w:rPr>
          <w:rFonts w:ascii="Times New Roman" w:hAnsi="Times New Roman" w:cs="Times New Roman"/>
          <w:sz w:val="24"/>
          <w:szCs w:val="24"/>
        </w:rPr>
        <w:t xml:space="preserve"> Należy mieć na względzie również fakt, że pomoc nie będzie mogła być udzielona przedsiębiorcy </w:t>
      </w:r>
      <w:r w:rsidR="00E36E98" w:rsidRPr="00E36E98">
        <w:rPr>
          <w:rFonts w:ascii="Times New Roman" w:hAnsi="Times New Roman" w:cs="Times New Roman"/>
          <w:sz w:val="24"/>
          <w:szCs w:val="24"/>
        </w:rPr>
        <w:t>objętemu środkami ograniczającymi,</w:t>
      </w:r>
      <w:r w:rsidR="00E36E98">
        <w:rPr>
          <w:rFonts w:ascii="Times New Roman" w:hAnsi="Times New Roman" w:cs="Times New Roman"/>
          <w:sz w:val="24"/>
          <w:szCs w:val="24"/>
        </w:rPr>
        <w:t xml:space="preserve"> </w:t>
      </w:r>
      <w:r w:rsidR="00E36E98" w:rsidRPr="00E36E98">
        <w:rPr>
          <w:rFonts w:ascii="Times New Roman" w:hAnsi="Times New Roman" w:cs="Times New Roman"/>
          <w:sz w:val="24"/>
          <w:szCs w:val="24"/>
        </w:rPr>
        <w:t>o których mowa w rozporządzeniu Rady (UE) nr 269/2014 z dnia 17 marca 2014 r. w sprawie środków ograniczających w odniesieniu do działań podważających integralność terytorialną, suwerenność i niezależność Ukrainy lub im zagrażających (Dz. Urz. UE L 78  z 17.03.2014, str. 6, z późn. zm.)</w:t>
      </w:r>
      <w:r w:rsidR="00E36E98">
        <w:rPr>
          <w:rFonts w:ascii="Times New Roman" w:hAnsi="Times New Roman" w:cs="Times New Roman"/>
          <w:sz w:val="24"/>
          <w:szCs w:val="24"/>
        </w:rPr>
        <w:t>.</w:t>
      </w:r>
    </w:p>
    <w:p w14:paraId="533FD06F" w14:textId="3CD24100" w:rsidR="001E7B64" w:rsidRPr="004664C5" w:rsidRDefault="001E7B64" w:rsidP="003928D4">
      <w:pPr>
        <w:pStyle w:val="ARTartustawynprozporzdzenia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4664C5">
        <w:rPr>
          <w:rFonts w:ascii="Times New Roman" w:hAnsi="Times New Roman" w:cs="Times New Roman"/>
          <w:sz w:val="24"/>
          <w:szCs w:val="24"/>
        </w:rPr>
        <w:t>Wartość pomocy będzie równa nominalnej kwocie udzielonej przez BGK gwarancji (§ 3 ust. 3 rozporządzenia).</w:t>
      </w:r>
    </w:p>
    <w:p w14:paraId="4B6F6279" w14:textId="2EACDF0F" w:rsidR="00B12A67" w:rsidRPr="004664C5" w:rsidRDefault="00B12A67" w:rsidP="003928D4">
      <w:pPr>
        <w:pStyle w:val="ARTartustawynprozporzdzenia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4664C5">
        <w:rPr>
          <w:rFonts w:ascii="Times New Roman" w:hAnsi="Times New Roman" w:cs="Times New Roman"/>
          <w:sz w:val="24"/>
          <w:szCs w:val="24"/>
        </w:rPr>
        <w:t>Zgodnie z § 4 rozporządzenia gwarancja BGK może obejmować maksymaln</w:t>
      </w:r>
      <w:r w:rsidR="00132F8B">
        <w:rPr>
          <w:rFonts w:ascii="Times New Roman" w:hAnsi="Times New Roman" w:cs="Times New Roman"/>
          <w:sz w:val="24"/>
          <w:szCs w:val="24"/>
        </w:rPr>
        <w:t>ie</w:t>
      </w:r>
      <w:r w:rsidRPr="004664C5">
        <w:rPr>
          <w:rFonts w:ascii="Times New Roman" w:hAnsi="Times New Roman" w:cs="Times New Roman"/>
          <w:sz w:val="24"/>
          <w:szCs w:val="24"/>
        </w:rPr>
        <w:t xml:space="preserve"> 80% kwoty</w:t>
      </w:r>
      <w:r w:rsidR="00132F8B">
        <w:rPr>
          <w:rFonts w:ascii="Times New Roman" w:hAnsi="Times New Roman" w:cs="Times New Roman"/>
          <w:sz w:val="24"/>
          <w:szCs w:val="24"/>
        </w:rPr>
        <w:t xml:space="preserve"> kredytu</w:t>
      </w:r>
      <w:r w:rsidRPr="004664C5">
        <w:rPr>
          <w:rFonts w:ascii="Times New Roman" w:hAnsi="Times New Roman" w:cs="Times New Roman"/>
          <w:sz w:val="24"/>
          <w:szCs w:val="24"/>
        </w:rPr>
        <w:t xml:space="preserve"> pozostającej do jego spłaty. </w:t>
      </w:r>
    </w:p>
    <w:p w14:paraId="1D0D0073" w14:textId="284DAEC4" w:rsidR="004178E3" w:rsidRPr="004664C5" w:rsidRDefault="00E36E98" w:rsidP="003928D4">
      <w:pPr>
        <w:pStyle w:val="ARTartustawynprozporzdzenia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B12A67" w:rsidRPr="004664C5">
        <w:rPr>
          <w:rFonts w:ascii="Times New Roman" w:hAnsi="Times New Roman" w:cs="Times New Roman"/>
          <w:sz w:val="24"/>
          <w:szCs w:val="24"/>
        </w:rPr>
        <w:t xml:space="preserve">ałkowita </w:t>
      </w:r>
      <w:r w:rsidR="00401585">
        <w:rPr>
          <w:rFonts w:ascii="Times New Roman" w:hAnsi="Times New Roman" w:cs="Times New Roman"/>
          <w:sz w:val="24"/>
          <w:szCs w:val="24"/>
        </w:rPr>
        <w:t>kwota</w:t>
      </w:r>
      <w:r w:rsidR="00401585" w:rsidRPr="004664C5">
        <w:rPr>
          <w:rFonts w:ascii="Times New Roman" w:hAnsi="Times New Roman" w:cs="Times New Roman"/>
          <w:sz w:val="24"/>
          <w:szCs w:val="24"/>
        </w:rPr>
        <w:t xml:space="preserve"> </w:t>
      </w:r>
      <w:r w:rsidR="00B12A67" w:rsidRPr="004664C5">
        <w:rPr>
          <w:rFonts w:ascii="Times New Roman" w:hAnsi="Times New Roman" w:cs="Times New Roman"/>
          <w:sz w:val="24"/>
          <w:szCs w:val="24"/>
        </w:rPr>
        <w:t xml:space="preserve">kredytów </w:t>
      </w:r>
      <w:r w:rsidR="00401585">
        <w:rPr>
          <w:rFonts w:ascii="Times New Roman" w:hAnsi="Times New Roman" w:cs="Times New Roman"/>
          <w:sz w:val="24"/>
          <w:szCs w:val="24"/>
        </w:rPr>
        <w:t xml:space="preserve">udzielonych </w:t>
      </w:r>
      <w:r w:rsidR="00B12A67" w:rsidRPr="004664C5">
        <w:rPr>
          <w:rFonts w:ascii="Times New Roman" w:hAnsi="Times New Roman" w:cs="Times New Roman"/>
          <w:sz w:val="24"/>
          <w:szCs w:val="24"/>
        </w:rPr>
        <w:t>przedsiębiorcy</w:t>
      </w:r>
      <w:r w:rsidR="00401585">
        <w:rPr>
          <w:rFonts w:ascii="Times New Roman" w:hAnsi="Times New Roman" w:cs="Times New Roman"/>
          <w:sz w:val="24"/>
          <w:szCs w:val="24"/>
        </w:rPr>
        <w:t>,</w:t>
      </w:r>
      <w:r w:rsidR="00401585" w:rsidRPr="00401585">
        <w:rPr>
          <w:rFonts w:ascii="Times New Roman" w:hAnsi="Times New Roman" w:cs="Times New Roman"/>
          <w:sz w:val="24"/>
          <w:szCs w:val="24"/>
        </w:rPr>
        <w:t xml:space="preserve"> </w:t>
      </w:r>
      <w:r w:rsidR="00401585" w:rsidRPr="004664C5">
        <w:rPr>
          <w:rFonts w:ascii="Times New Roman" w:hAnsi="Times New Roman" w:cs="Times New Roman"/>
          <w:sz w:val="24"/>
          <w:szCs w:val="24"/>
        </w:rPr>
        <w:t>objętych gwarancją,</w:t>
      </w:r>
      <w:r w:rsidR="00B12A67" w:rsidRPr="004664C5">
        <w:rPr>
          <w:rFonts w:ascii="Times New Roman" w:hAnsi="Times New Roman" w:cs="Times New Roman"/>
          <w:sz w:val="24"/>
          <w:szCs w:val="24"/>
        </w:rPr>
        <w:t xml:space="preserve"> nie może przekroczyć kwoty, o której mowa w art. 56f ust. 3 rozporządzenia Komisji </w:t>
      </w:r>
      <w:r>
        <w:rPr>
          <w:rFonts w:ascii="Times New Roman" w:hAnsi="Times New Roman" w:cs="Times New Roman"/>
          <w:sz w:val="24"/>
          <w:szCs w:val="24"/>
        </w:rPr>
        <w:br/>
      </w:r>
      <w:r w:rsidR="00B12A67" w:rsidRPr="004664C5">
        <w:rPr>
          <w:rFonts w:ascii="Times New Roman" w:hAnsi="Times New Roman" w:cs="Times New Roman"/>
          <w:sz w:val="24"/>
          <w:szCs w:val="24"/>
        </w:rPr>
        <w:t>(§ 5 rozporządzenia).</w:t>
      </w:r>
      <w:r w:rsidR="00FD3A31" w:rsidRPr="004664C5">
        <w:rPr>
          <w:rFonts w:ascii="Times New Roman" w:hAnsi="Times New Roman" w:cs="Times New Roman"/>
          <w:sz w:val="24"/>
          <w:szCs w:val="24"/>
        </w:rPr>
        <w:t xml:space="preserve"> W art. 56f ust. 3 rozporządzenia Komisji wskazuje się, że: „Nominalna kwota całkowitego finansowania przyznanego każdemu beneficjentowi końcowemu </w:t>
      </w:r>
      <w:r>
        <w:rPr>
          <w:rFonts w:ascii="Times New Roman" w:hAnsi="Times New Roman" w:cs="Times New Roman"/>
          <w:sz w:val="24"/>
          <w:szCs w:val="24"/>
        </w:rPr>
        <w:br/>
      </w:r>
      <w:r w:rsidR="00FD3A31" w:rsidRPr="004664C5">
        <w:rPr>
          <w:rFonts w:ascii="Times New Roman" w:hAnsi="Times New Roman" w:cs="Times New Roman"/>
          <w:sz w:val="24"/>
          <w:szCs w:val="24"/>
        </w:rPr>
        <w:t>przez wszystkich komercyjnych pośredników finansowych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3A31" w:rsidRPr="004664C5">
        <w:rPr>
          <w:rFonts w:ascii="Times New Roman" w:hAnsi="Times New Roman" w:cs="Times New Roman"/>
          <w:sz w:val="24"/>
          <w:szCs w:val="24"/>
        </w:rPr>
        <w:t>nie może przekraczać 8,25 mln EUR.”.</w:t>
      </w:r>
    </w:p>
    <w:p w14:paraId="530A00F6" w14:textId="604BF2C8" w:rsidR="001D6FF5" w:rsidRPr="004664C5" w:rsidRDefault="008D12F5">
      <w:pPr>
        <w:pStyle w:val="ARTartustawynprozporzdzenia"/>
        <w:spacing w:after="12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bookmarkStart w:id="21" w:name="mip54411458"/>
      <w:bookmarkStart w:id="22" w:name="mip54411459"/>
      <w:bookmarkEnd w:id="21"/>
      <w:bookmarkEnd w:id="22"/>
      <w:r w:rsidRPr="004664C5">
        <w:rPr>
          <w:rFonts w:ascii="Times New Roman" w:hAnsi="Times New Roman" w:cs="Times New Roman"/>
          <w:sz w:val="24"/>
          <w:szCs w:val="24"/>
        </w:rPr>
        <w:t xml:space="preserve">Pomoc wywołuje efekt zachęty, co oznacza, że będzie udzielana przedsiębiorcy pod warunkiem złożenia do banku </w:t>
      </w:r>
      <w:r w:rsidR="009A3BFD" w:rsidRPr="004664C5">
        <w:rPr>
          <w:rFonts w:ascii="Times New Roman" w:hAnsi="Times New Roman" w:cs="Times New Roman"/>
          <w:sz w:val="24"/>
          <w:szCs w:val="24"/>
        </w:rPr>
        <w:t xml:space="preserve">udzielającego kredytu </w:t>
      </w:r>
      <w:r w:rsidRPr="004664C5">
        <w:rPr>
          <w:rFonts w:ascii="Times New Roman" w:hAnsi="Times New Roman" w:cs="Times New Roman"/>
          <w:sz w:val="24"/>
          <w:szCs w:val="24"/>
        </w:rPr>
        <w:t xml:space="preserve">wniosku o udzielenie </w:t>
      </w:r>
      <w:r w:rsidR="009A3BFD" w:rsidRPr="004664C5">
        <w:rPr>
          <w:rFonts w:ascii="Times New Roman" w:hAnsi="Times New Roman" w:cs="Times New Roman"/>
          <w:sz w:val="24"/>
          <w:szCs w:val="24"/>
        </w:rPr>
        <w:t xml:space="preserve">gwarancji </w:t>
      </w:r>
      <w:r w:rsidR="001D6FF5" w:rsidRPr="004664C5">
        <w:rPr>
          <w:rFonts w:ascii="Times New Roman" w:hAnsi="Times New Roman" w:cs="Times New Roman"/>
          <w:sz w:val="24"/>
          <w:szCs w:val="24"/>
        </w:rPr>
        <w:t>(§</w:t>
      </w:r>
      <w:r w:rsidR="00CB16A8" w:rsidRPr="004664C5">
        <w:rPr>
          <w:rFonts w:ascii="Times New Roman" w:hAnsi="Times New Roman" w:cs="Times New Roman"/>
          <w:sz w:val="24"/>
          <w:szCs w:val="24"/>
        </w:rPr>
        <w:t> </w:t>
      </w:r>
      <w:r w:rsidR="009D562B" w:rsidRPr="004664C5">
        <w:rPr>
          <w:rFonts w:ascii="Times New Roman" w:hAnsi="Times New Roman" w:cs="Times New Roman"/>
          <w:sz w:val="24"/>
          <w:szCs w:val="24"/>
        </w:rPr>
        <w:t>6</w:t>
      </w:r>
      <w:r w:rsidR="009A3BFD" w:rsidRPr="004664C5">
        <w:rPr>
          <w:rFonts w:ascii="Times New Roman" w:hAnsi="Times New Roman" w:cs="Times New Roman"/>
          <w:sz w:val="24"/>
          <w:szCs w:val="24"/>
        </w:rPr>
        <w:t xml:space="preserve"> </w:t>
      </w:r>
      <w:r w:rsidR="001D6FF5" w:rsidRPr="004664C5">
        <w:rPr>
          <w:rFonts w:ascii="Times New Roman" w:hAnsi="Times New Roman" w:cs="Times New Roman"/>
          <w:sz w:val="24"/>
          <w:szCs w:val="24"/>
        </w:rPr>
        <w:t>ust. 1 rozporządzenia).</w:t>
      </w:r>
    </w:p>
    <w:p w14:paraId="4C228E36" w14:textId="4A8C8CAA" w:rsidR="006C760F" w:rsidRPr="004664C5" w:rsidRDefault="006C760F" w:rsidP="00A80D1B">
      <w:pPr>
        <w:pStyle w:val="ARTartustawynprozporzdzenia"/>
        <w:tabs>
          <w:tab w:val="left" w:pos="5790"/>
        </w:tabs>
        <w:spacing w:after="12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4664C5">
        <w:rPr>
          <w:rFonts w:ascii="Times New Roman" w:hAnsi="Times New Roman" w:cs="Times New Roman"/>
          <w:sz w:val="24"/>
          <w:szCs w:val="24"/>
        </w:rPr>
        <w:t>Gwarancja udzielana będzie w portfelowym trybie decyzyjnym, to jest, jak wskazano powyżej, za pośrednictwem banku udzielającego kredytu współpracującego z BGK na podstawie umowy portfelowej. Dzięki zastosowaniu takiego modelu, przedsiębiorca będzie realizować wszystkie formalności związane z uzyskaniem kredytu i gwarancji w jednym miejscu</w:t>
      </w:r>
      <w:r w:rsidR="00B57962" w:rsidRPr="004664C5">
        <w:rPr>
          <w:rFonts w:ascii="Times New Roman" w:hAnsi="Times New Roman" w:cs="Times New Roman"/>
          <w:sz w:val="24"/>
          <w:szCs w:val="24"/>
        </w:rPr>
        <w:t xml:space="preserve"> </w:t>
      </w:r>
      <w:r w:rsidRPr="004664C5">
        <w:rPr>
          <w:rFonts w:ascii="Times New Roman" w:hAnsi="Times New Roman" w:cs="Times New Roman"/>
          <w:sz w:val="24"/>
          <w:szCs w:val="24"/>
        </w:rPr>
        <w:t xml:space="preserve">– na poziomie danego banku udzielającego kredytu. </w:t>
      </w:r>
    </w:p>
    <w:p w14:paraId="41D3C585" w14:textId="2B5EEA3B" w:rsidR="001D6FF5" w:rsidRPr="004664C5" w:rsidRDefault="007F317C">
      <w:pPr>
        <w:pStyle w:val="USTustnpkodeksu"/>
        <w:spacing w:before="120" w:after="120" w:line="240" w:lineRule="auto"/>
        <w:ind w:firstLine="0"/>
        <w:rPr>
          <w:rFonts w:ascii="Times New Roman" w:hAnsi="Times New Roman" w:cs="Times New Roman"/>
          <w:szCs w:val="24"/>
        </w:rPr>
      </w:pPr>
      <w:bookmarkStart w:id="23" w:name="mip43309260"/>
      <w:bookmarkEnd w:id="23"/>
      <w:r w:rsidRPr="004664C5">
        <w:rPr>
          <w:rFonts w:ascii="Times New Roman" w:hAnsi="Times New Roman" w:cs="Times New Roman"/>
          <w:szCs w:val="24"/>
        </w:rPr>
        <w:t>Stosownie do §</w:t>
      </w:r>
      <w:r w:rsidR="009D562B" w:rsidRPr="004664C5">
        <w:rPr>
          <w:rFonts w:ascii="Times New Roman" w:hAnsi="Times New Roman" w:cs="Times New Roman"/>
          <w:szCs w:val="24"/>
        </w:rPr>
        <w:t xml:space="preserve"> 6</w:t>
      </w:r>
      <w:r w:rsidR="009A3BFD" w:rsidRPr="004664C5">
        <w:rPr>
          <w:rFonts w:ascii="Times New Roman" w:hAnsi="Times New Roman" w:cs="Times New Roman"/>
          <w:szCs w:val="24"/>
        </w:rPr>
        <w:t xml:space="preserve"> </w:t>
      </w:r>
      <w:r w:rsidRPr="004664C5">
        <w:rPr>
          <w:rFonts w:ascii="Times New Roman" w:hAnsi="Times New Roman" w:cs="Times New Roman"/>
          <w:szCs w:val="24"/>
        </w:rPr>
        <w:t xml:space="preserve">ust. 2 rozporządzenia, </w:t>
      </w:r>
      <w:r w:rsidR="008D12F5" w:rsidRPr="004664C5">
        <w:rPr>
          <w:rFonts w:ascii="Times New Roman" w:hAnsi="Times New Roman" w:cs="Times New Roman"/>
          <w:szCs w:val="24"/>
        </w:rPr>
        <w:t>wniosek</w:t>
      </w:r>
      <w:r w:rsidR="009A3BFD" w:rsidRPr="004664C5">
        <w:rPr>
          <w:rFonts w:ascii="Times New Roman" w:hAnsi="Times New Roman" w:cs="Times New Roman"/>
          <w:szCs w:val="24"/>
        </w:rPr>
        <w:t xml:space="preserve"> o udzieleni</w:t>
      </w:r>
      <w:r w:rsidR="00BE5A3A" w:rsidRPr="004664C5">
        <w:rPr>
          <w:rFonts w:ascii="Times New Roman" w:hAnsi="Times New Roman" w:cs="Times New Roman"/>
          <w:szCs w:val="24"/>
        </w:rPr>
        <w:t>e</w:t>
      </w:r>
      <w:r w:rsidR="009A3BFD" w:rsidRPr="004664C5">
        <w:rPr>
          <w:rFonts w:ascii="Times New Roman" w:hAnsi="Times New Roman" w:cs="Times New Roman"/>
          <w:szCs w:val="24"/>
        </w:rPr>
        <w:t xml:space="preserve"> gwarancji</w:t>
      </w:r>
      <w:r w:rsidR="008D12F5" w:rsidRPr="004664C5">
        <w:rPr>
          <w:rFonts w:ascii="Times New Roman" w:hAnsi="Times New Roman" w:cs="Times New Roman"/>
          <w:szCs w:val="24"/>
        </w:rPr>
        <w:t xml:space="preserve"> </w:t>
      </w:r>
      <w:r w:rsidRPr="004664C5">
        <w:rPr>
          <w:rFonts w:ascii="Times New Roman" w:hAnsi="Times New Roman" w:cs="Times New Roman"/>
          <w:szCs w:val="24"/>
        </w:rPr>
        <w:t>będzie zawierać:</w:t>
      </w:r>
    </w:p>
    <w:p w14:paraId="7A637B20" w14:textId="4055CC07" w:rsidR="009D562B" w:rsidRPr="004664C5" w:rsidRDefault="009D562B" w:rsidP="009D562B">
      <w:pPr>
        <w:pStyle w:val="PKTpunkt"/>
        <w:spacing w:line="240" w:lineRule="auto"/>
        <w:rPr>
          <w:rFonts w:ascii="Times New Roman" w:hAnsi="Times New Roman" w:cs="Times New Roman"/>
          <w:szCs w:val="24"/>
        </w:rPr>
      </w:pPr>
      <w:bookmarkStart w:id="24" w:name="mip43309262"/>
      <w:bookmarkEnd w:id="24"/>
      <w:r w:rsidRPr="004664C5">
        <w:rPr>
          <w:rFonts w:ascii="Times New Roman" w:hAnsi="Times New Roman" w:cs="Times New Roman"/>
          <w:szCs w:val="24"/>
        </w:rPr>
        <w:lastRenderedPageBreak/>
        <w:t>1)</w:t>
      </w:r>
      <w:r w:rsidRPr="004664C5">
        <w:rPr>
          <w:rFonts w:ascii="Times New Roman" w:hAnsi="Times New Roman" w:cs="Times New Roman"/>
          <w:szCs w:val="24"/>
        </w:rPr>
        <w:tab/>
        <w:t>informacje, o których mowa w rozporządzeniu Rady Ministrów z dnia 29 marca 2010 r. w sprawie zakresu informacji przedstawianych przez podmiot ubiegający się o pomoc inną niż pomoc de minimis lub pomoc de minimis w rolnictwie lub rybołówstwie (Dz. U. poz. 312, z późn. zm.);</w:t>
      </w:r>
    </w:p>
    <w:p w14:paraId="55776CBD" w14:textId="77777777" w:rsidR="009D562B" w:rsidRPr="004664C5" w:rsidRDefault="009D562B" w:rsidP="009D562B">
      <w:pPr>
        <w:pStyle w:val="PKTpunkt"/>
        <w:spacing w:line="240" w:lineRule="auto"/>
        <w:rPr>
          <w:rFonts w:ascii="Times New Roman" w:hAnsi="Times New Roman" w:cs="Times New Roman"/>
          <w:szCs w:val="24"/>
        </w:rPr>
      </w:pPr>
      <w:r w:rsidRPr="004664C5">
        <w:rPr>
          <w:rFonts w:ascii="Times New Roman" w:hAnsi="Times New Roman" w:cs="Times New Roman"/>
          <w:szCs w:val="24"/>
        </w:rPr>
        <w:t>2)</w:t>
      </w:r>
      <w:r w:rsidRPr="004664C5">
        <w:rPr>
          <w:rFonts w:ascii="Times New Roman" w:hAnsi="Times New Roman" w:cs="Times New Roman"/>
          <w:szCs w:val="24"/>
        </w:rPr>
        <w:tab/>
        <w:t>kwotę i przeznaczenie kredytu;</w:t>
      </w:r>
    </w:p>
    <w:p w14:paraId="61938113" w14:textId="77777777" w:rsidR="009D562B" w:rsidRPr="004664C5" w:rsidRDefault="009D562B" w:rsidP="009D562B">
      <w:pPr>
        <w:pStyle w:val="PKTpunkt"/>
        <w:spacing w:line="240" w:lineRule="auto"/>
        <w:rPr>
          <w:rFonts w:ascii="Times New Roman" w:hAnsi="Times New Roman" w:cs="Times New Roman"/>
          <w:szCs w:val="24"/>
        </w:rPr>
      </w:pPr>
      <w:r w:rsidRPr="004664C5">
        <w:rPr>
          <w:rFonts w:ascii="Times New Roman" w:hAnsi="Times New Roman" w:cs="Times New Roman"/>
          <w:szCs w:val="24"/>
        </w:rPr>
        <w:t>3)</w:t>
      </w:r>
      <w:r w:rsidRPr="004664C5">
        <w:rPr>
          <w:rFonts w:ascii="Times New Roman" w:hAnsi="Times New Roman" w:cs="Times New Roman"/>
          <w:szCs w:val="24"/>
        </w:rPr>
        <w:tab/>
        <w:t>wysokość i termin obowiązywania gwarancji;</w:t>
      </w:r>
    </w:p>
    <w:p w14:paraId="72CB9DC0" w14:textId="77777777" w:rsidR="009D562B" w:rsidRPr="004664C5" w:rsidRDefault="009D562B" w:rsidP="009D562B">
      <w:pPr>
        <w:pStyle w:val="PKTpunkt"/>
        <w:spacing w:after="120" w:line="240" w:lineRule="auto"/>
        <w:rPr>
          <w:rFonts w:ascii="Times New Roman" w:hAnsi="Times New Roman" w:cs="Times New Roman"/>
          <w:szCs w:val="24"/>
        </w:rPr>
      </w:pPr>
      <w:r w:rsidRPr="004664C5">
        <w:rPr>
          <w:rFonts w:ascii="Times New Roman" w:hAnsi="Times New Roman" w:cs="Times New Roman"/>
          <w:szCs w:val="24"/>
        </w:rPr>
        <w:t>4)</w:t>
      </w:r>
      <w:r w:rsidRPr="004664C5">
        <w:rPr>
          <w:rFonts w:ascii="Times New Roman" w:hAnsi="Times New Roman" w:cs="Times New Roman"/>
          <w:szCs w:val="24"/>
        </w:rPr>
        <w:tab/>
        <w:t>inne informacje wskazane przez bank udzielający kredytu, niezbędne do dokonania oceny wniosku, niestanowiące danych osobowych.</w:t>
      </w:r>
    </w:p>
    <w:p w14:paraId="56D23EE0" w14:textId="58271A3F" w:rsidR="006C760F" w:rsidRPr="004664C5" w:rsidRDefault="006C760F">
      <w:pPr>
        <w:pStyle w:val="PKTpunkt"/>
        <w:spacing w:before="120" w:after="120" w:line="240" w:lineRule="auto"/>
        <w:ind w:left="0" w:firstLine="0"/>
        <w:rPr>
          <w:rFonts w:ascii="Times New Roman" w:hAnsi="Times New Roman" w:cs="Times New Roman"/>
          <w:szCs w:val="24"/>
        </w:rPr>
      </w:pPr>
      <w:r w:rsidRPr="004664C5">
        <w:rPr>
          <w:rFonts w:ascii="Times New Roman" w:hAnsi="Times New Roman" w:cs="Times New Roman"/>
          <w:szCs w:val="24"/>
        </w:rPr>
        <w:t xml:space="preserve">Powyższe elementy wniosku są istotne z uwagi na ścisłe powiązanie kredytu oraz gwarancji </w:t>
      </w:r>
      <w:r w:rsidRPr="004664C5">
        <w:rPr>
          <w:rFonts w:ascii="Times New Roman" w:hAnsi="Times New Roman" w:cs="Times New Roman"/>
          <w:szCs w:val="24"/>
        </w:rPr>
        <w:br/>
        <w:t xml:space="preserve">i muszą pozostawać zbieżne z informacjami, które pozyskuje bank udzielający kredytu </w:t>
      </w:r>
      <w:r w:rsidRPr="004664C5">
        <w:rPr>
          <w:rFonts w:ascii="Times New Roman" w:hAnsi="Times New Roman" w:cs="Times New Roman"/>
          <w:szCs w:val="24"/>
        </w:rPr>
        <w:br/>
        <w:t>na etapie zapewniania finansowania.</w:t>
      </w:r>
    </w:p>
    <w:p w14:paraId="72334BC1" w14:textId="3468C5DC" w:rsidR="00DF1F9D" w:rsidRPr="00FE747B" w:rsidRDefault="00895CB2" w:rsidP="00FE747B">
      <w:pPr>
        <w:pStyle w:val="PKTpunkt"/>
        <w:spacing w:before="120" w:after="120" w:line="240" w:lineRule="auto"/>
        <w:ind w:left="0" w:firstLine="0"/>
        <w:contextualSpacing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Tak samo, </w:t>
      </w:r>
      <w:r w:rsidR="00DF1F9D" w:rsidRPr="00FE747B">
        <w:rPr>
          <w:rFonts w:ascii="Times New Roman" w:hAnsi="Times New Roman" w:cs="Times New Roman"/>
          <w:szCs w:val="24"/>
        </w:rPr>
        <w:t xml:space="preserve">jak zostało to ujęte w rozporządzeniu </w:t>
      </w:r>
      <w:r w:rsidR="0050006B" w:rsidRPr="0050006B">
        <w:rPr>
          <w:rFonts w:ascii="Times New Roman" w:hAnsi="Times New Roman" w:cs="Times New Roman"/>
          <w:szCs w:val="24"/>
        </w:rPr>
        <w:t>Ministra Finansów</w:t>
      </w:r>
      <w:r w:rsidR="00D42B4C">
        <w:rPr>
          <w:rFonts w:ascii="Times New Roman" w:hAnsi="Times New Roman" w:cs="Times New Roman"/>
          <w:szCs w:val="24"/>
        </w:rPr>
        <w:t xml:space="preserve"> </w:t>
      </w:r>
      <w:r w:rsidR="00FE747B" w:rsidRPr="00FE747B">
        <w:rPr>
          <w:rFonts w:ascii="Times New Roman" w:hAnsi="Times New Roman" w:cs="Times New Roman"/>
          <w:szCs w:val="24"/>
        </w:rPr>
        <w:t>z dnia 17 listopada 2023 r. w sprawie udzielania przez Bank Gospodarstwa Krajowego pomocy publicznej w formie gwarancji spłaty kredytów w zakresie programu „Fundusze Europejskie dla Nowoczesnej Gospodarki 2021–2027”</w:t>
      </w:r>
      <w:r w:rsidR="0050006B">
        <w:rPr>
          <w:rFonts w:ascii="Times New Roman" w:hAnsi="Times New Roman" w:cs="Times New Roman"/>
          <w:szCs w:val="24"/>
        </w:rPr>
        <w:t xml:space="preserve"> </w:t>
      </w:r>
      <w:r w:rsidR="00FE747B" w:rsidRPr="00FE747B">
        <w:rPr>
          <w:rFonts w:ascii="Times New Roman" w:hAnsi="Times New Roman" w:cs="Times New Roman"/>
        </w:rPr>
        <w:t>(</w:t>
      </w:r>
      <w:r w:rsidR="00FE747B" w:rsidRPr="00FE747B">
        <w:rPr>
          <w:rFonts w:ascii="Times New Roman" w:hAnsi="Times New Roman" w:cs="Times New Roman"/>
          <w:szCs w:val="24"/>
        </w:rPr>
        <w:t>Dz. U. poz. 2504)</w:t>
      </w:r>
      <w:r w:rsidR="00DF1F9D" w:rsidRPr="00FE747B">
        <w:rPr>
          <w:rFonts w:ascii="Times New Roman" w:hAnsi="Times New Roman" w:cs="Times New Roman"/>
          <w:szCs w:val="24"/>
        </w:rPr>
        <w:t>, zabezpieczenie udzielonej gwarancji stanowić będzie weksel własny</w:t>
      </w:r>
      <w:r w:rsidR="0050006B">
        <w:rPr>
          <w:rFonts w:ascii="Times New Roman" w:hAnsi="Times New Roman" w:cs="Times New Roman"/>
          <w:szCs w:val="24"/>
        </w:rPr>
        <w:t xml:space="preserve"> </w:t>
      </w:r>
      <w:r w:rsidR="00DF1F9D" w:rsidRPr="00FE747B">
        <w:rPr>
          <w:rFonts w:ascii="Times New Roman" w:hAnsi="Times New Roman" w:cs="Times New Roman"/>
          <w:szCs w:val="24"/>
        </w:rPr>
        <w:t>in blanco wystawiony przez przedsiębiorcę na rzecz BGK (§</w:t>
      </w:r>
      <w:r w:rsidR="00C40968" w:rsidRPr="00FE747B">
        <w:rPr>
          <w:rFonts w:ascii="Times New Roman" w:hAnsi="Times New Roman" w:cs="Times New Roman"/>
          <w:szCs w:val="24"/>
        </w:rPr>
        <w:t xml:space="preserve"> </w:t>
      </w:r>
      <w:r w:rsidR="00DF1F9D" w:rsidRPr="00FE747B">
        <w:rPr>
          <w:rFonts w:ascii="Times New Roman" w:hAnsi="Times New Roman" w:cs="Times New Roman"/>
          <w:szCs w:val="24"/>
        </w:rPr>
        <w:t>7 rozporządzenia).</w:t>
      </w:r>
    </w:p>
    <w:p w14:paraId="5ECC96E6" w14:textId="311A40D1" w:rsidR="00B21C4A" w:rsidRPr="004664C5" w:rsidRDefault="00B21C4A">
      <w:pPr>
        <w:pStyle w:val="USTustnpkodeksu"/>
        <w:spacing w:before="120" w:after="120" w:line="240" w:lineRule="auto"/>
        <w:ind w:firstLine="0"/>
        <w:rPr>
          <w:rFonts w:ascii="Times New Roman" w:eastAsia="Times New Roman" w:hAnsi="Times New Roman" w:cs="Times New Roman"/>
          <w:bCs w:val="0"/>
          <w:szCs w:val="24"/>
          <w:shd w:val="clear" w:color="auto" w:fill="FFFFFF"/>
        </w:rPr>
      </w:pPr>
      <w:r w:rsidRPr="004664C5">
        <w:rPr>
          <w:rFonts w:ascii="Times New Roman" w:eastAsia="Times New Roman" w:hAnsi="Times New Roman" w:cs="Times New Roman"/>
          <w:bCs w:val="0"/>
          <w:szCs w:val="24"/>
          <w:shd w:val="clear" w:color="auto" w:fill="FFFFFF"/>
        </w:rPr>
        <w:t>W</w:t>
      </w:r>
      <w:r w:rsidR="0050006B">
        <w:rPr>
          <w:rFonts w:ascii="Times New Roman" w:eastAsia="Times New Roman" w:hAnsi="Times New Roman" w:cs="Times New Roman"/>
          <w:bCs w:val="0"/>
          <w:szCs w:val="24"/>
          <w:shd w:val="clear" w:color="auto" w:fill="FFFFFF"/>
        </w:rPr>
        <w:t xml:space="preserve"> </w:t>
      </w:r>
      <w:r w:rsidRPr="004664C5">
        <w:rPr>
          <w:rFonts w:ascii="Times New Roman" w:hAnsi="Times New Roman" w:cs="Times New Roman"/>
          <w:szCs w:val="24"/>
        </w:rPr>
        <w:t>§ </w:t>
      </w:r>
      <w:r w:rsidR="00B72534" w:rsidRPr="004664C5">
        <w:rPr>
          <w:rFonts w:ascii="Times New Roman" w:hAnsi="Times New Roman" w:cs="Times New Roman"/>
          <w:szCs w:val="24"/>
        </w:rPr>
        <w:t>8</w:t>
      </w:r>
      <w:r w:rsidRPr="004664C5">
        <w:rPr>
          <w:rFonts w:ascii="Times New Roman" w:hAnsi="Times New Roman" w:cs="Times New Roman"/>
          <w:szCs w:val="24"/>
        </w:rPr>
        <w:t xml:space="preserve"> rozporządzenia wskazano dzień udzielenia pomocy – jest nim dzień udzielenia gwarancji</w:t>
      </w:r>
      <w:r w:rsidR="005A00D4">
        <w:rPr>
          <w:rFonts w:ascii="Times New Roman" w:hAnsi="Times New Roman" w:cs="Times New Roman"/>
          <w:szCs w:val="24"/>
        </w:rPr>
        <w:t>.</w:t>
      </w:r>
    </w:p>
    <w:p w14:paraId="39C6A4A2" w14:textId="0C10B4F2" w:rsidR="00CF3DD3" w:rsidRPr="004664C5" w:rsidRDefault="00DF1F9D" w:rsidP="003928D4">
      <w:pPr>
        <w:suppressAutoHyphens/>
        <w:autoSpaceDE w:val="0"/>
        <w:autoSpaceDN w:val="0"/>
        <w:adjustRightInd w:val="0"/>
        <w:spacing w:before="120" w:after="120"/>
        <w:jc w:val="both"/>
      </w:pPr>
      <w:r w:rsidRPr="004664C5">
        <w:rPr>
          <w:lang w:eastAsia="en-US"/>
        </w:rPr>
        <w:t>Pomoc</w:t>
      </w:r>
      <w:r w:rsidR="00D71D9E" w:rsidRPr="004664C5">
        <w:rPr>
          <w:lang w:eastAsia="en-US"/>
        </w:rPr>
        <w:t xml:space="preserve"> może być udzielana do </w:t>
      </w:r>
      <w:r w:rsidR="005A00D4">
        <w:rPr>
          <w:lang w:eastAsia="en-US"/>
        </w:rPr>
        <w:t xml:space="preserve">dnia </w:t>
      </w:r>
      <w:r w:rsidR="003D6149">
        <w:rPr>
          <w:lang w:eastAsia="en-US"/>
        </w:rPr>
        <w:t>30</w:t>
      </w:r>
      <w:r w:rsidR="007A62F0">
        <w:rPr>
          <w:lang w:eastAsia="en-US"/>
        </w:rPr>
        <w:t xml:space="preserve"> czerwca </w:t>
      </w:r>
      <w:r w:rsidR="003D6149">
        <w:rPr>
          <w:lang w:eastAsia="en-US"/>
        </w:rPr>
        <w:t>2027 r.</w:t>
      </w:r>
      <w:r w:rsidR="004C514B" w:rsidRPr="004664C5">
        <w:t xml:space="preserve"> (§</w:t>
      </w:r>
      <w:r w:rsidR="00CB16A8" w:rsidRPr="004664C5">
        <w:t> </w:t>
      </w:r>
      <w:r w:rsidR="00996058" w:rsidRPr="004664C5">
        <w:t>9</w:t>
      </w:r>
      <w:r w:rsidR="00B21C4A" w:rsidRPr="004664C5">
        <w:t xml:space="preserve"> </w:t>
      </w:r>
      <w:r w:rsidR="004C514B" w:rsidRPr="004664C5">
        <w:t>rozporządzenia</w:t>
      </w:r>
      <w:bookmarkStart w:id="25" w:name="mip58403370"/>
      <w:bookmarkEnd w:id="25"/>
      <w:r w:rsidR="009A3FDD" w:rsidRPr="004664C5">
        <w:t>)</w:t>
      </w:r>
      <w:r w:rsidR="009A3FDD">
        <w:t xml:space="preserve">, czyli zgodnie </w:t>
      </w:r>
      <w:r w:rsidR="009A3FDD">
        <w:br/>
        <w:t>z art. 59 zdanie drugie w zw. z art. 58 ust. 5 rozporządzenia Komisji.</w:t>
      </w:r>
    </w:p>
    <w:p w14:paraId="1D0D4591" w14:textId="0804A328" w:rsidR="008D447E" w:rsidRPr="004664C5" w:rsidRDefault="00C228E0">
      <w:pPr>
        <w:pStyle w:val="ARTartustawynprozporzdzenia"/>
        <w:spacing w:after="12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4664C5">
        <w:rPr>
          <w:rFonts w:ascii="Times New Roman" w:hAnsi="Times New Roman" w:cs="Times New Roman"/>
          <w:sz w:val="24"/>
          <w:szCs w:val="24"/>
        </w:rPr>
        <w:t>Wejście w życie rozporządzenia</w:t>
      </w:r>
      <w:r w:rsidR="002615BA" w:rsidRPr="004664C5">
        <w:rPr>
          <w:rFonts w:ascii="Times New Roman" w:hAnsi="Times New Roman" w:cs="Times New Roman"/>
          <w:sz w:val="24"/>
          <w:szCs w:val="24"/>
        </w:rPr>
        <w:t>, przewidzian</w:t>
      </w:r>
      <w:r w:rsidR="008D447E" w:rsidRPr="004664C5">
        <w:rPr>
          <w:rFonts w:ascii="Times New Roman" w:hAnsi="Times New Roman" w:cs="Times New Roman"/>
          <w:sz w:val="24"/>
          <w:szCs w:val="24"/>
        </w:rPr>
        <w:t>e</w:t>
      </w:r>
      <w:r w:rsidR="009C75AC" w:rsidRPr="004664C5">
        <w:rPr>
          <w:rFonts w:ascii="Times New Roman" w:hAnsi="Times New Roman" w:cs="Times New Roman"/>
          <w:sz w:val="24"/>
          <w:szCs w:val="24"/>
        </w:rPr>
        <w:t xml:space="preserve"> </w:t>
      </w:r>
      <w:r w:rsidR="002615BA" w:rsidRPr="004664C5">
        <w:rPr>
          <w:rFonts w:ascii="Times New Roman" w:hAnsi="Times New Roman" w:cs="Times New Roman"/>
          <w:sz w:val="24"/>
          <w:szCs w:val="24"/>
        </w:rPr>
        <w:t xml:space="preserve">na </w:t>
      </w:r>
      <w:r w:rsidR="00522EF6" w:rsidRPr="004664C5">
        <w:rPr>
          <w:rFonts w:ascii="Times New Roman" w:hAnsi="Times New Roman" w:cs="Times New Roman"/>
          <w:sz w:val="24"/>
          <w:szCs w:val="24"/>
        </w:rPr>
        <w:t xml:space="preserve">dzień </w:t>
      </w:r>
      <w:r w:rsidR="00EA6008" w:rsidRPr="004664C5">
        <w:rPr>
          <w:rFonts w:ascii="Times New Roman" w:hAnsi="Times New Roman" w:cs="Times New Roman"/>
          <w:sz w:val="24"/>
          <w:szCs w:val="24"/>
        </w:rPr>
        <w:t>2</w:t>
      </w:r>
      <w:r w:rsidR="00DF1F9D" w:rsidRPr="004664C5">
        <w:rPr>
          <w:rFonts w:ascii="Times New Roman" w:hAnsi="Times New Roman" w:cs="Times New Roman"/>
          <w:sz w:val="24"/>
          <w:szCs w:val="24"/>
        </w:rPr>
        <w:t>9</w:t>
      </w:r>
      <w:r w:rsidR="008338F9" w:rsidRPr="004664C5">
        <w:rPr>
          <w:rFonts w:ascii="Times New Roman" w:hAnsi="Times New Roman" w:cs="Times New Roman"/>
          <w:sz w:val="24"/>
          <w:szCs w:val="24"/>
        </w:rPr>
        <w:t xml:space="preserve"> </w:t>
      </w:r>
      <w:r w:rsidR="00DF1F9D" w:rsidRPr="004664C5">
        <w:rPr>
          <w:rFonts w:ascii="Times New Roman" w:hAnsi="Times New Roman" w:cs="Times New Roman"/>
          <w:sz w:val="24"/>
          <w:szCs w:val="24"/>
        </w:rPr>
        <w:t>marca</w:t>
      </w:r>
      <w:r w:rsidR="0048597A" w:rsidRPr="004664C5">
        <w:rPr>
          <w:rFonts w:ascii="Times New Roman" w:hAnsi="Times New Roman" w:cs="Times New Roman"/>
          <w:sz w:val="24"/>
          <w:szCs w:val="24"/>
        </w:rPr>
        <w:t xml:space="preserve"> </w:t>
      </w:r>
      <w:r w:rsidR="002615BA" w:rsidRPr="004664C5">
        <w:rPr>
          <w:rFonts w:ascii="Times New Roman" w:hAnsi="Times New Roman" w:cs="Times New Roman"/>
          <w:sz w:val="24"/>
          <w:szCs w:val="24"/>
        </w:rPr>
        <w:t>202</w:t>
      </w:r>
      <w:r w:rsidR="00DF1F9D" w:rsidRPr="004664C5">
        <w:rPr>
          <w:rFonts w:ascii="Times New Roman" w:hAnsi="Times New Roman" w:cs="Times New Roman"/>
          <w:sz w:val="24"/>
          <w:szCs w:val="24"/>
        </w:rPr>
        <w:t>4</w:t>
      </w:r>
      <w:r w:rsidR="002615BA" w:rsidRPr="004664C5">
        <w:rPr>
          <w:rFonts w:ascii="Times New Roman" w:hAnsi="Times New Roman" w:cs="Times New Roman"/>
          <w:sz w:val="24"/>
          <w:szCs w:val="24"/>
        </w:rPr>
        <w:t xml:space="preserve"> r.</w:t>
      </w:r>
      <w:r w:rsidR="0052063E" w:rsidRPr="004664C5">
        <w:rPr>
          <w:rFonts w:ascii="Times New Roman" w:hAnsi="Times New Roman" w:cs="Times New Roman"/>
          <w:sz w:val="24"/>
          <w:szCs w:val="24"/>
        </w:rPr>
        <w:t xml:space="preserve"> </w:t>
      </w:r>
      <w:r w:rsidR="002615BA" w:rsidRPr="004664C5">
        <w:rPr>
          <w:rFonts w:ascii="Times New Roman" w:hAnsi="Times New Roman" w:cs="Times New Roman"/>
          <w:sz w:val="24"/>
          <w:szCs w:val="24"/>
        </w:rPr>
        <w:t>(§</w:t>
      </w:r>
      <w:r w:rsidR="00CB16A8" w:rsidRPr="004664C5">
        <w:rPr>
          <w:rFonts w:ascii="Times New Roman" w:hAnsi="Times New Roman" w:cs="Times New Roman"/>
          <w:sz w:val="24"/>
          <w:szCs w:val="24"/>
        </w:rPr>
        <w:t> </w:t>
      </w:r>
      <w:r w:rsidR="00B21C4A" w:rsidRPr="004664C5">
        <w:rPr>
          <w:rFonts w:ascii="Times New Roman" w:hAnsi="Times New Roman" w:cs="Times New Roman"/>
          <w:sz w:val="24"/>
          <w:szCs w:val="24"/>
        </w:rPr>
        <w:t>1</w:t>
      </w:r>
      <w:r w:rsidR="00996058" w:rsidRPr="004664C5">
        <w:rPr>
          <w:rFonts w:ascii="Times New Roman" w:hAnsi="Times New Roman" w:cs="Times New Roman"/>
          <w:sz w:val="24"/>
          <w:szCs w:val="24"/>
        </w:rPr>
        <w:t>0</w:t>
      </w:r>
      <w:r w:rsidR="00B21C4A" w:rsidRPr="004664C5">
        <w:rPr>
          <w:rFonts w:ascii="Times New Roman" w:hAnsi="Times New Roman" w:cs="Times New Roman"/>
          <w:sz w:val="24"/>
          <w:szCs w:val="24"/>
        </w:rPr>
        <w:t xml:space="preserve"> </w:t>
      </w:r>
      <w:r w:rsidR="002615BA" w:rsidRPr="004664C5">
        <w:rPr>
          <w:rFonts w:ascii="Times New Roman" w:hAnsi="Times New Roman" w:cs="Times New Roman"/>
          <w:sz w:val="24"/>
          <w:szCs w:val="24"/>
        </w:rPr>
        <w:t>rozporządzenia</w:t>
      </w:r>
      <w:r w:rsidR="002A0EC5" w:rsidRPr="004664C5">
        <w:rPr>
          <w:rFonts w:ascii="Times New Roman" w:hAnsi="Times New Roman" w:cs="Times New Roman"/>
          <w:sz w:val="24"/>
          <w:szCs w:val="24"/>
        </w:rPr>
        <w:t>)</w:t>
      </w:r>
      <w:r w:rsidR="008D447E" w:rsidRPr="004664C5">
        <w:rPr>
          <w:rFonts w:ascii="Times New Roman" w:hAnsi="Times New Roman" w:cs="Times New Roman"/>
          <w:sz w:val="24"/>
          <w:szCs w:val="24"/>
        </w:rPr>
        <w:t>, rozszerzy ofertę gwarancji BGK kierowanych do przedsiębiorców, stanowiących pomoc</w:t>
      </w:r>
      <w:r w:rsidR="008D447E" w:rsidRPr="004664C5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8D447E" w:rsidRPr="004664C5">
        <w:rPr>
          <w:rFonts w:ascii="Times New Roman" w:hAnsi="Times New Roman" w:cs="Times New Roman"/>
          <w:sz w:val="24"/>
          <w:szCs w:val="24"/>
        </w:rPr>
        <w:t>a tym samym wpłynąć może nie tylko na rozwój tego sektora,</w:t>
      </w:r>
      <w:r w:rsidR="0052063E" w:rsidRPr="004664C5">
        <w:rPr>
          <w:rFonts w:ascii="Times New Roman" w:hAnsi="Times New Roman" w:cs="Times New Roman"/>
          <w:sz w:val="24"/>
          <w:szCs w:val="24"/>
        </w:rPr>
        <w:t xml:space="preserve"> </w:t>
      </w:r>
      <w:r w:rsidR="002E465C" w:rsidRPr="004664C5">
        <w:rPr>
          <w:rFonts w:ascii="Times New Roman" w:hAnsi="Times New Roman" w:cs="Times New Roman"/>
          <w:sz w:val="24"/>
          <w:szCs w:val="24"/>
        </w:rPr>
        <w:br/>
      </w:r>
      <w:r w:rsidR="008D447E" w:rsidRPr="004664C5">
        <w:rPr>
          <w:rFonts w:ascii="Times New Roman" w:hAnsi="Times New Roman" w:cs="Times New Roman"/>
          <w:sz w:val="24"/>
          <w:szCs w:val="24"/>
        </w:rPr>
        <w:t>ale i danego regionu, a finalnie także gospodarki kraju.</w:t>
      </w:r>
      <w:r w:rsidR="002A0EC5" w:rsidRPr="004664C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83D7BB" w14:textId="7F1B6A2F" w:rsidR="0099701E" w:rsidRPr="004664C5" w:rsidRDefault="0099701E" w:rsidP="0099701E">
      <w:pPr>
        <w:spacing w:before="60"/>
        <w:jc w:val="both"/>
      </w:pPr>
      <w:r w:rsidRPr="004664C5">
        <w:t xml:space="preserve">Udzielanie gwarancji na podstawie rozporządzenia, co do zasady, planowane jest od </w:t>
      </w:r>
      <w:r w:rsidR="00DF1F9D" w:rsidRPr="004664C5">
        <w:t xml:space="preserve">drugiego kwartału </w:t>
      </w:r>
      <w:r w:rsidRPr="004664C5">
        <w:t xml:space="preserve">2024 r. Jako dzień wejścia w życie rozporządzenia wskazano jednak wcześniejszą datę: </w:t>
      </w:r>
      <w:r w:rsidR="00DF1F9D" w:rsidRPr="004664C5">
        <w:t>29 marca 2024 r. Na przełomie pierwszego i drugiego kwartału</w:t>
      </w:r>
      <w:r w:rsidRPr="004664C5">
        <w:t xml:space="preserve"> </w:t>
      </w:r>
      <w:r w:rsidR="00DE4C05">
        <w:t xml:space="preserve">2024 r. </w:t>
      </w:r>
      <w:r w:rsidRPr="004664C5">
        <w:t>BGK zamierza podpisać umowy portfelowe z bankami udzielającymi kredytów, tak aby banki te mogły poczynić stosowne przygotowania związane z udzielaniem gwarancji przez BGK. Podstawa prawna udzielania gwarancji będzie wskazana w ww. umowach portfelowych.</w:t>
      </w:r>
      <w:r w:rsidR="008E2FC5" w:rsidRPr="004664C5">
        <w:t xml:space="preserve"> </w:t>
      </w:r>
    </w:p>
    <w:p w14:paraId="601E5E4F" w14:textId="77777777" w:rsidR="00762104" w:rsidRPr="004664C5" w:rsidRDefault="00762104">
      <w:pPr>
        <w:spacing w:before="120" w:after="120"/>
        <w:contextualSpacing/>
        <w:jc w:val="both"/>
      </w:pPr>
    </w:p>
    <w:p w14:paraId="51A6D9E0" w14:textId="44AD9C7B" w:rsidR="00151AC8" w:rsidRPr="00151AC8" w:rsidRDefault="006179FC">
      <w:pPr>
        <w:spacing w:before="120"/>
        <w:jc w:val="both"/>
        <w:rPr>
          <w:bCs/>
        </w:rPr>
      </w:pPr>
      <w:r w:rsidRPr="009A3FDD">
        <w:rPr>
          <w:bCs/>
        </w:rPr>
        <w:t>Zgodnie z umową pomiędzy BGK, a EFI, w ramach segment</w:t>
      </w:r>
      <w:r w:rsidR="00151AC8" w:rsidRPr="009A3FDD">
        <w:rPr>
          <w:bCs/>
        </w:rPr>
        <w:t>u</w:t>
      </w:r>
      <w:r w:rsidRPr="009A3FDD">
        <w:rPr>
          <w:bCs/>
        </w:rPr>
        <w:t xml:space="preserve"> </w:t>
      </w:r>
      <w:r w:rsidRPr="009A3FDD">
        <w:rPr>
          <w:bCs/>
          <w:iCs/>
        </w:rPr>
        <w:t>MŚP</w:t>
      </w:r>
      <w:r w:rsidRPr="009A3FDD">
        <w:rPr>
          <w:bCs/>
        </w:rPr>
        <w:t xml:space="preserve"> maksymalna akcja gwarancyjna wyniesie 1</w:t>
      </w:r>
      <w:r w:rsidR="001964A6" w:rsidRPr="009A3FDD">
        <w:rPr>
          <w:bCs/>
        </w:rPr>
        <w:t xml:space="preserve"> </w:t>
      </w:r>
      <w:r w:rsidRPr="009A3FDD">
        <w:rPr>
          <w:bCs/>
        </w:rPr>
        <w:t>926 ml</w:t>
      </w:r>
      <w:r w:rsidR="001964A6" w:rsidRPr="009A3FDD">
        <w:rPr>
          <w:bCs/>
        </w:rPr>
        <w:t>n</w:t>
      </w:r>
      <w:r w:rsidRPr="009A3FDD">
        <w:rPr>
          <w:bCs/>
        </w:rPr>
        <w:t xml:space="preserve"> zł (w tym </w:t>
      </w:r>
      <w:r w:rsidR="00151AC8" w:rsidRPr="009A3FDD">
        <w:rPr>
          <w:bCs/>
        </w:rPr>
        <w:t>z regwarancją EFI 1</w:t>
      </w:r>
      <w:r w:rsidR="001964A6" w:rsidRPr="009A3FDD">
        <w:rPr>
          <w:bCs/>
        </w:rPr>
        <w:t xml:space="preserve"> </w:t>
      </w:r>
      <w:r w:rsidR="00151AC8" w:rsidRPr="009A3FDD">
        <w:rPr>
          <w:bCs/>
        </w:rPr>
        <w:t>350 ml</w:t>
      </w:r>
      <w:r w:rsidR="001964A6" w:rsidRPr="009A3FDD">
        <w:rPr>
          <w:bCs/>
        </w:rPr>
        <w:t>n</w:t>
      </w:r>
      <w:r w:rsidR="00151AC8" w:rsidRPr="009A3FDD">
        <w:rPr>
          <w:bCs/>
        </w:rPr>
        <w:t xml:space="preserve"> zł). Pozwoli to na zabezpieczenie akcji kredytowej o wartości 2</w:t>
      </w:r>
      <w:r w:rsidR="001964A6" w:rsidRPr="009A3FDD">
        <w:rPr>
          <w:bCs/>
        </w:rPr>
        <w:t> </w:t>
      </w:r>
      <w:r w:rsidR="00151AC8" w:rsidRPr="009A3FDD">
        <w:rPr>
          <w:bCs/>
        </w:rPr>
        <w:t>407</w:t>
      </w:r>
      <w:r w:rsidR="001964A6" w:rsidRPr="009A3FDD">
        <w:rPr>
          <w:bCs/>
        </w:rPr>
        <w:t>,5</w:t>
      </w:r>
      <w:r w:rsidR="00151AC8" w:rsidRPr="009A3FDD">
        <w:rPr>
          <w:bCs/>
        </w:rPr>
        <w:t xml:space="preserve"> ml</w:t>
      </w:r>
      <w:r w:rsidR="001964A6" w:rsidRPr="009A3FDD">
        <w:rPr>
          <w:bCs/>
        </w:rPr>
        <w:t>n</w:t>
      </w:r>
      <w:r w:rsidR="00151AC8" w:rsidRPr="009A3FDD">
        <w:rPr>
          <w:bCs/>
        </w:rPr>
        <w:t xml:space="preserve"> zł. W ramach segmentu </w:t>
      </w:r>
      <w:r w:rsidR="00151AC8" w:rsidRPr="009A3FDD">
        <w:rPr>
          <w:bCs/>
          <w:i/>
          <w:iCs/>
        </w:rPr>
        <w:t xml:space="preserve">Mikrofinansowanie i finansowanie podmiotów ekonomii społecznej </w:t>
      </w:r>
      <w:r w:rsidR="00151AC8" w:rsidRPr="009A3FDD">
        <w:rPr>
          <w:bCs/>
        </w:rPr>
        <w:t>maksymalna akcja gwarancyjna wyniesie 5</w:t>
      </w:r>
      <w:r w:rsidR="001964A6" w:rsidRPr="009A3FDD">
        <w:rPr>
          <w:bCs/>
        </w:rPr>
        <w:t>5</w:t>
      </w:r>
      <w:r w:rsidR="00151AC8" w:rsidRPr="009A3FDD">
        <w:rPr>
          <w:bCs/>
        </w:rPr>
        <w:t>9,8 mln zł (w tym z regwarancją EFI 450 mln zł). Pozwoli to na zabezpieczenie akcji kredytowej o wartości 6</w:t>
      </w:r>
      <w:r w:rsidR="001964A6" w:rsidRPr="009A3FDD">
        <w:rPr>
          <w:bCs/>
        </w:rPr>
        <w:t>9</w:t>
      </w:r>
      <w:r w:rsidR="00151AC8" w:rsidRPr="009A3FDD">
        <w:rPr>
          <w:bCs/>
        </w:rPr>
        <w:t>9,</w:t>
      </w:r>
      <w:r w:rsidR="001964A6" w:rsidRPr="009A3FDD">
        <w:rPr>
          <w:bCs/>
        </w:rPr>
        <w:t>8</w:t>
      </w:r>
      <w:r w:rsidR="00151AC8" w:rsidRPr="009A3FDD">
        <w:rPr>
          <w:bCs/>
        </w:rPr>
        <w:t xml:space="preserve"> mln zł.</w:t>
      </w:r>
      <w:r w:rsidR="00151AC8">
        <w:rPr>
          <w:bCs/>
        </w:rPr>
        <w:t xml:space="preserve"> </w:t>
      </w:r>
    </w:p>
    <w:p w14:paraId="24B22AE9" w14:textId="22AFDDD0" w:rsidR="0057629F" w:rsidRPr="004664C5" w:rsidRDefault="0057629F" w:rsidP="003B0AE4">
      <w:pPr>
        <w:spacing w:before="120"/>
        <w:jc w:val="both"/>
        <w:rPr>
          <w:rFonts w:eastAsia="Cambria"/>
          <w:b/>
          <w:bCs/>
          <w:lang w:eastAsia="en-US"/>
        </w:rPr>
      </w:pPr>
      <w:r w:rsidRPr="004664C5">
        <w:rPr>
          <w:rFonts w:eastAsia="Cambria"/>
          <w:b/>
          <w:bCs/>
          <w:lang w:eastAsia="en-US"/>
        </w:rPr>
        <w:t xml:space="preserve">Ocena przewidywanego wpływu </w:t>
      </w:r>
      <w:r w:rsidR="00ED1B3A" w:rsidRPr="004664C5">
        <w:rPr>
          <w:b/>
        </w:rPr>
        <w:t>rozporządzenia</w:t>
      </w:r>
      <w:r w:rsidR="005D5A9B" w:rsidRPr="004664C5">
        <w:rPr>
          <w:b/>
        </w:rPr>
        <w:t xml:space="preserve"> </w:t>
      </w:r>
      <w:r w:rsidRPr="004664C5">
        <w:rPr>
          <w:rFonts w:eastAsia="Cambria"/>
          <w:b/>
          <w:bCs/>
          <w:lang w:eastAsia="en-US"/>
        </w:rPr>
        <w:t xml:space="preserve">na </w:t>
      </w:r>
      <w:r w:rsidR="00996058" w:rsidRPr="004664C5">
        <w:rPr>
          <w:b/>
        </w:rPr>
        <w:t>MŚP</w:t>
      </w:r>
      <w:r w:rsidRPr="004664C5">
        <w:rPr>
          <w:rFonts w:eastAsia="Cambria"/>
          <w:b/>
          <w:bCs/>
          <w:lang w:eastAsia="en-US"/>
        </w:rPr>
        <w:t>, zgodnie</w:t>
      </w:r>
      <w:r w:rsidR="00ED1B3A" w:rsidRPr="004664C5">
        <w:rPr>
          <w:rFonts w:eastAsia="Cambria"/>
          <w:b/>
          <w:bCs/>
          <w:lang w:eastAsia="en-US"/>
        </w:rPr>
        <w:t xml:space="preserve"> </w:t>
      </w:r>
      <w:r w:rsidRPr="004664C5">
        <w:rPr>
          <w:rFonts w:eastAsia="Cambria"/>
          <w:b/>
          <w:bCs/>
          <w:lang w:eastAsia="en-US"/>
        </w:rPr>
        <w:t>z art. 66</w:t>
      </w:r>
      <w:r w:rsidR="005D5A9B" w:rsidRPr="004664C5">
        <w:rPr>
          <w:rFonts w:eastAsia="Cambria"/>
          <w:b/>
          <w:bCs/>
          <w:lang w:eastAsia="en-US"/>
        </w:rPr>
        <w:t xml:space="preserve"> </w:t>
      </w:r>
      <w:r w:rsidRPr="004664C5">
        <w:rPr>
          <w:rFonts w:eastAsia="Cambria"/>
          <w:b/>
          <w:bCs/>
          <w:lang w:eastAsia="en-US"/>
        </w:rPr>
        <w:t>ust. 1 pkt 2 ustawy</w:t>
      </w:r>
      <w:r w:rsidR="00ED1B3A" w:rsidRPr="004664C5">
        <w:rPr>
          <w:rFonts w:eastAsia="Cambria"/>
          <w:b/>
          <w:bCs/>
          <w:lang w:eastAsia="en-US"/>
        </w:rPr>
        <w:t xml:space="preserve"> </w:t>
      </w:r>
      <w:r w:rsidRPr="004664C5">
        <w:rPr>
          <w:rFonts w:eastAsia="Cambria"/>
          <w:b/>
          <w:bCs/>
          <w:lang w:eastAsia="en-US"/>
        </w:rPr>
        <w:t xml:space="preserve">z dnia 6 marca 2018 r. </w:t>
      </w:r>
      <w:r w:rsidR="00750535" w:rsidRPr="004664C5">
        <w:rPr>
          <w:rFonts w:eastAsia="Cambria"/>
          <w:b/>
          <w:bCs/>
          <w:lang w:eastAsia="en-US"/>
        </w:rPr>
        <w:softHyphen/>
        <w:t>–</w:t>
      </w:r>
      <w:r w:rsidRPr="004664C5">
        <w:rPr>
          <w:rFonts w:eastAsia="Cambria"/>
          <w:b/>
          <w:bCs/>
          <w:lang w:eastAsia="en-US"/>
        </w:rPr>
        <w:t xml:space="preserve"> Prawo przedsiębiorców (Dz. U. z 20</w:t>
      </w:r>
      <w:r w:rsidR="00505CFC" w:rsidRPr="004664C5">
        <w:rPr>
          <w:rFonts w:eastAsia="Cambria"/>
          <w:b/>
          <w:bCs/>
          <w:lang w:eastAsia="en-US"/>
        </w:rPr>
        <w:t>2</w:t>
      </w:r>
      <w:r w:rsidR="00185B32" w:rsidRPr="004664C5">
        <w:rPr>
          <w:rFonts w:eastAsia="Cambria"/>
          <w:b/>
          <w:bCs/>
          <w:lang w:eastAsia="en-US"/>
        </w:rPr>
        <w:t>3</w:t>
      </w:r>
      <w:r w:rsidRPr="004664C5">
        <w:rPr>
          <w:rFonts w:eastAsia="Cambria"/>
          <w:b/>
          <w:bCs/>
          <w:lang w:eastAsia="en-US"/>
        </w:rPr>
        <w:t xml:space="preserve"> r. poz.</w:t>
      </w:r>
      <w:r w:rsidR="00B97EE2" w:rsidRPr="004664C5">
        <w:rPr>
          <w:rFonts w:eastAsia="Cambria"/>
          <w:b/>
          <w:bCs/>
          <w:lang w:eastAsia="en-US"/>
        </w:rPr>
        <w:t> </w:t>
      </w:r>
      <w:r w:rsidR="00185B32" w:rsidRPr="004664C5">
        <w:rPr>
          <w:rFonts w:eastAsia="Cambria"/>
          <w:b/>
          <w:bCs/>
          <w:lang w:eastAsia="en-US"/>
        </w:rPr>
        <w:t>221</w:t>
      </w:r>
      <w:r w:rsidR="00A84FB5" w:rsidRPr="004664C5">
        <w:rPr>
          <w:rFonts w:eastAsia="Cambria"/>
          <w:b/>
          <w:bCs/>
          <w:lang w:eastAsia="en-US"/>
        </w:rPr>
        <w:t>, z późn. zm.</w:t>
      </w:r>
      <w:r w:rsidR="00C81760" w:rsidRPr="004664C5">
        <w:rPr>
          <w:rFonts w:eastAsia="Cambria"/>
          <w:b/>
          <w:bCs/>
          <w:lang w:eastAsia="en-US"/>
        </w:rPr>
        <w:t>)</w:t>
      </w:r>
    </w:p>
    <w:p w14:paraId="2968866C" w14:textId="6A7B7E1A" w:rsidR="004E59AF" w:rsidRPr="004664C5" w:rsidRDefault="00ED1B3A">
      <w:pPr>
        <w:tabs>
          <w:tab w:val="left" w:pos="426"/>
          <w:tab w:val="left" w:pos="567"/>
        </w:tabs>
        <w:spacing w:before="120" w:after="120"/>
        <w:jc w:val="both"/>
        <w:rPr>
          <w:bCs/>
        </w:rPr>
      </w:pPr>
      <w:r w:rsidRPr="004664C5">
        <w:rPr>
          <w:rFonts w:eastAsia="Cambria"/>
          <w:bCs/>
          <w:lang w:eastAsia="en-US"/>
        </w:rPr>
        <w:t>R</w:t>
      </w:r>
      <w:r w:rsidR="00076152" w:rsidRPr="004664C5">
        <w:t>ozporządzenie</w:t>
      </w:r>
      <w:r w:rsidRPr="004664C5">
        <w:rPr>
          <w:rFonts w:eastAsia="Cambria"/>
          <w:bCs/>
          <w:lang w:eastAsia="en-US"/>
        </w:rPr>
        <w:t xml:space="preserve"> </w:t>
      </w:r>
      <w:r w:rsidR="0057629F" w:rsidRPr="004664C5">
        <w:rPr>
          <w:rFonts w:eastAsia="Cambria"/>
          <w:bCs/>
          <w:lang w:eastAsia="en-US"/>
        </w:rPr>
        <w:t>nie ogranicza praw majątkowych</w:t>
      </w:r>
      <w:r w:rsidR="00513F1E" w:rsidRPr="004664C5">
        <w:rPr>
          <w:rFonts w:eastAsia="Cambria"/>
          <w:bCs/>
          <w:lang w:eastAsia="en-US"/>
        </w:rPr>
        <w:t>,</w:t>
      </w:r>
      <w:r w:rsidR="0057629F" w:rsidRPr="004664C5">
        <w:rPr>
          <w:rFonts w:eastAsia="Cambria"/>
          <w:bCs/>
          <w:lang w:eastAsia="en-US"/>
        </w:rPr>
        <w:t xml:space="preserve"> ani praw wobec administracji publicznej</w:t>
      </w:r>
      <w:r w:rsidRPr="004664C5">
        <w:rPr>
          <w:rFonts w:eastAsia="Cambria"/>
          <w:bCs/>
          <w:lang w:eastAsia="en-US"/>
        </w:rPr>
        <w:t xml:space="preserve"> </w:t>
      </w:r>
      <w:r w:rsidR="00076152" w:rsidRPr="004664C5">
        <w:rPr>
          <w:rFonts w:eastAsia="Cambria"/>
          <w:bCs/>
          <w:lang w:eastAsia="en-US"/>
        </w:rPr>
        <w:br/>
      </w:r>
      <w:r w:rsidR="0057629F" w:rsidRPr="004664C5">
        <w:rPr>
          <w:rFonts w:eastAsia="Cambria"/>
          <w:bCs/>
          <w:lang w:eastAsia="en-US"/>
        </w:rPr>
        <w:t xml:space="preserve">oraz nie nakłada obowiązków, w tym wobec administracji publicznej. </w:t>
      </w:r>
      <w:r w:rsidR="00836BAA" w:rsidRPr="004664C5">
        <w:rPr>
          <w:rFonts w:eastAsia="Cambria"/>
          <w:lang w:eastAsia="en-US"/>
        </w:rPr>
        <w:t>P</w:t>
      </w:r>
      <w:r w:rsidR="004E59AF" w:rsidRPr="004664C5">
        <w:rPr>
          <w:bCs/>
        </w:rPr>
        <w:t xml:space="preserve">rzepisy </w:t>
      </w:r>
      <w:r w:rsidRPr="004664C5">
        <w:t xml:space="preserve">rozporządzenia </w:t>
      </w:r>
      <w:r w:rsidR="004E59AF" w:rsidRPr="004664C5">
        <w:rPr>
          <w:bCs/>
        </w:rPr>
        <w:t>powinny mieć pozytywny wpływ na rynek pracy</w:t>
      </w:r>
      <w:r w:rsidR="00076152" w:rsidRPr="004664C5">
        <w:rPr>
          <w:bCs/>
        </w:rPr>
        <w:t xml:space="preserve"> </w:t>
      </w:r>
      <w:r w:rsidR="00996058" w:rsidRPr="004664C5">
        <w:rPr>
          <w:bCs/>
        </w:rPr>
        <w:t>MŚP.</w:t>
      </w:r>
    </w:p>
    <w:p w14:paraId="4C36E01F" w14:textId="733FB8FB" w:rsidR="005109BF" w:rsidRDefault="00076152">
      <w:pPr>
        <w:tabs>
          <w:tab w:val="left" w:pos="426"/>
          <w:tab w:val="left" w:pos="567"/>
        </w:tabs>
        <w:spacing w:before="120" w:after="120"/>
        <w:jc w:val="both"/>
        <w:rPr>
          <w:bCs/>
        </w:rPr>
      </w:pPr>
      <w:r w:rsidRPr="004664C5">
        <w:rPr>
          <w:bCs/>
        </w:rPr>
        <w:lastRenderedPageBreak/>
        <w:t>R</w:t>
      </w:r>
      <w:r w:rsidR="00ED1B3A" w:rsidRPr="004664C5">
        <w:rPr>
          <w:bCs/>
        </w:rPr>
        <w:t>ozporządzeni</w:t>
      </w:r>
      <w:r w:rsidR="00BE5A3A" w:rsidRPr="004664C5">
        <w:rPr>
          <w:bCs/>
        </w:rPr>
        <w:t>e</w:t>
      </w:r>
      <w:r w:rsidR="00ED1B3A" w:rsidRPr="004664C5">
        <w:rPr>
          <w:bCs/>
        </w:rPr>
        <w:t xml:space="preserve"> </w:t>
      </w:r>
      <w:r w:rsidR="005109BF" w:rsidRPr="004664C5">
        <w:rPr>
          <w:bCs/>
        </w:rPr>
        <w:t>ma na celu ułatwieni</w:t>
      </w:r>
      <w:r w:rsidR="00BE5A3A" w:rsidRPr="004664C5">
        <w:rPr>
          <w:bCs/>
        </w:rPr>
        <w:t>e</w:t>
      </w:r>
      <w:r w:rsidR="005109BF" w:rsidRPr="004664C5">
        <w:rPr>
          <w:bCs/>
        </w:rPr>
        <w:t xml:space="preserve"> </w:t>
      </w:r>
      <w:bookmarkStart w:id="26" w:name="_Hlk154663628"/>
      <w:r w:rsidR="00996058" w:rsidRPr="004664C5">
        <w:rPr>
          <w:bCs/>
        </w:rPr>
        <w:t xml:space="preserve">MŚP </w:t>
      </w:r>
      <w:bookmarkEnd w:id="26"/>
      <w:r w:rsidR="005109BF" w:rsidRPr="004664C5">
        <w:rPr>
          <w:bCs/>
        </w:rPr>
        <w:t>dostępu do finansowania działalności</w:t>
      </w:r>
      <w:r w:rsidR="00E03D27" w:rsidRPr="004664C5">
        <w:rPr>
          <w:bCs/>
        </w:rPr>
        <w:t xml:space="preserve">. </w:t>
      </w:r>
      <w:r w:rsidR="005109BF" w:rsidRPr="004664C5">
        <w:rPr>
          <w:bCs/>
        </w:rPr>
        <w:t xml:space="preserve">Oferowanie </w:t>
      </w:r>
      <w:r w:rsidR="00685288" w:rsidRPr="004664C5">
        <w:rPr>
          <w:bCs/>
        </w:rPr>
        <w:t>przez BGK</w:t>
      </w:r>
      <w:r w:rsidR="005109BF" w:rsidRPr="004664C5">
        <w:rPr>
          <w:bCs/>
        </w:rPr>
        <w:t xml:space="preserve"> gwarancji</w:t>
      </w:r>
      <w:r w:rsidR="00685288" w:rsidRPr="004664C5">
        <w:rPr>
          <w:bCs/>
        </w:rPr>
        <w:t xml:space="preserve"> stanowiących pomoc </w:t>
      </w:r>
      <w:r w:rsidR="005109BF" w:rsidRPr="004664C5">
        <w:rPr>
          <w:bCs/>
        </w:rPr>
        <w:t>umożliwi też</w:t>
      </w:r>
      <w:r w:rsidR="00685288" w:rsidRPr="004664C5">
        <w:rPr>
          <w:bCs/>
        </w:rPr>
        <w:t xml:space="preserve"> </w:t>
      </w:r>
      <w:r w:rsidR="005109BF" w:rsidRPr="004664C5">
        <w:rPr>
          <w:bCs/>
        </w:rPr>
        <w:t>utrzymanie popytu ze strony</w:t>
      </w:r>
      <w:r w:rsidRPr="004664C5">
        <w:rPr>
          <w:bCs/>
        </w:rPr>
        <w:t xml:space="preserve"> </w:t>
      </w:r>
      <w:r w:rsidR="00996058" w:rsidRPr="004664C5">
        <w:rPr>
          <w:bCs/>
        </w:rPr>
        <w:t>MŚP</w:t>
      </w:r>
      <w:r w:rsidR="00513F1E" w:rsidRPr="004664C5">
        <w:rPr>
          <w:bCs/>
        </w:rPr>
        <w:t xml:space="preserve"> </w:t>
      </w:r>
      <w:r w:rsidR="00996058" w:rsidRPr="004664C5">
        <w:rPr>
          <w:bCs/>
        </w:rPr>
        <w:br/>
      </w:r>
      <w:r w:rsidR="005109BF" w:rsidRPr="004664C5">
        <w:rPr>
          <w:bCs/>
        </w:rPr>
        <w:t>na instrumenty gwarancyjne oferowane</w:t>
      </w:r>
      <w:r w:rsidR="00830363" w:rsidRPr="004664C5">
        <w:rPr>
          <w:bCs/>
        </w:rPr>
        <w:t xml:space="preserve"> </w:t>
      </w:r>
      <w:r w:rsidR="005109BF" w:rsidRPr="004664C5">
        <w:rPr>
          <w:bCs/>
        </w:rPr>
        <w:t xml:space="preserve">przez </w:t>
      </w:r>
      <w:r w:rsidR="00BE5A3A" w:rsidRPr="004664C5">
        <w:rPr>
          <w:bCs/>
        </w:rPr>
        <w:t xml:space="preserve">BGK </w:t>
      </w:r>
      <w:r w:rsidR="005109BF" w:rsidRPr="004664C5">
        <w:rPr>
          <w:bCs/>
        </w:rPr>
        <w:t>i utrzymanie aktywności inwestycyjnej.</w:t>
      </w:r>
    </w:p>
    <w:p w14:paraId="3EF8716E" w14:textId="79B8400D" w:rsidR="0057629F" w:rsidRPr="004664C5" w:rsidRDefault="00675C4D">
      <w:pPr>
        <w:tabs>
          <w:tab w:val="left" w:pos="426"/>
          <w:tab w:val="left" w:pos="567"/>
        </w:tabs>
        <w:spacing w:before="120" w:after="120"/>
        <w:jc w:val="both"/>
        <w:rPr>
          <w:rFonts w:eastAsia="Cambria"/>
          <w:bCs/>
          <w:lang w:eastAsia="en-US"/>
        </w:rPr>
      </w:pPr>
      <w:r w:rsidRPr="004664C5">
        <w:t>R</w:t>
      </w:r>
      <w:r w:rsidR="00ED1B3A" w:rsidRPr="004664C5">
        <w:t>ozporządzeni</w:t>
      </w:r>
      <w:r w:rsidRPr="004664C5">
        <w:t>e</w:t>
      </w:r>
      <w:r w:rsidR="00ED1B3A" w:rsidRPr="004664C5">
        <w:t xml:space="preserve"> </w:t>
      </w:r>
      <w:r w:rsidR="0057629F" w:rsidRPr="004664C5">
        <w:rPr>
          <w:rFonts w:eastAsia="Cambria"/>
          <w:bCs/>
          <w:lang w:eastAsia="en-US"/>
        </w:rPr>
        <w:t>jest zgodn</w:t>
      </w:r>
      <w:r w:rsidRPr="004664C5">
        <w:rPr>
          <w:rFonts w:eastAsia="Cambria"/>
          <w:bCs/>
          <w:lang w:eastAsia="en-US"/>
        </w:rPr>
        <w:t>e</w:t>
      </w:r>
      <w:r w:rsidR="0057629F" w:rsidRPr="004664C5">
        <w:rPr>
          <w:rFonts w:eastAsia="Cambria"/>
          <w:bCs/>
          <w:lang w:eastAsia="en-US"/>
        </w:rPr>
        <w:t xml:space="preserve"> z prawem Unii Europejskiej. </w:t>
      </w:r>
    </w:p>
    <w:p w14:paraId="5C245C81" w14:textId="5195C520" w:rsidR="0057629F" w:rsidRPr="004664C5" w:rsidRDefault="00675C4D">
      <w:pPr>
        <w:tabs>
          <w:tab w:val="left" w:pos="426"/>
          <w:tab w:val="left" w:pos="567"/>
        </w:tabs>
        <w:spacing w:before="120" w:after="120"/>
        <w:jc w:val="both"/>
        <w:rPr>
          <w:rFonts w:eastAsia="Cambria"/>
          <w:bCs/>
          <w:lang w:eastAsia="en-US"/>
        </w:rPr>
      </w:pPr>
      <w:r w:rsidRPr="004664C5">
        <w:t>R</w:t>
      </w:r>
      <w:r w:rsidR="00ED1B3A" w:rsidRPr="004664C5">
        <w:t>ozporządzeni</w:t>
      </w:r>
      <w:r w:rsidRPr="004664C5">
        <w:t>e</w:t>
      </w:r>
      <w:r w:rsidR="00ED1B3A" w:rsidRPr="004664C5">
        <w:t xml:space="preserve"> </w:t>
      </w:r>
      <w:r w:rsidR="0057629F" w:rsidRPr="004664C5">
        <w:rPr>
          <w:rFonts w:eastAsia="Cambria"/>
          <w:bCs/>
          <w:lang w:eastAsia="en-US"/>
        </w:rPr>
        <w:t>nie wymaga przedstawienia organom i instytucjom Unii Europejskiej w celu uzyskania opinii, dokonania powiadomienia, konsultacji</w:t>
      </w:r>
      <w:r w:rsidR="00076152" w:rsidRPr="004664C5">
        <w:rPr>
          <w:rFonts w:eastAsia="Cambria"/>
          <w:bCs/>
          <w:lang w:eastAsia="en-US"/>
        </w:rPr>
        <w:t xml:space="preserve"> </w:t>
      </w:r>
      <w:r w:rsidR="0057629F" w:rsidRPr="004664C5">
        <w:rPr>
          <w:rFonts w:eastAsia="Cambria"/>
          <w:bCs/>
          <w:lang w:eastAsia="en-US"/>
        </w:rPr>
        <w:t xml:space="preserve">albo uzgodnienia. </w:t>
      </w:r>
    </w:p>
    <w:p w14:paraId="79FDAF01" w14:textId="3530838C" w:rsidR="0057629F" w:rsidRPr="004664C5" w:rsidRDefault="0057629F">
      <w:pPr>
        <w:tabs>
          <w:tab w:val="left" w:pos="426"/>
          <w:tab w:val="left" w:pos="567"/>
        </w:tabs>
        <w:spacing w:before="120" w:after="120"/>
        <w:jc w:val="both"/>
        <w:rPr>
          <w:rFonts w:eastAsia="Cambria"/>
          <w:bCs/>
          <w:lang w:eastAsia="en-US"/>
        </w:rPr>
      </w:pPr>
      <w:r w:rsidRPr="004664C5">
        <w:rPr>
          <w:rFonts w:eastAsia="Cambria"/>
          <w:bCs/>
          <w:lang w:eastAsia="en-US"/>
        </w:rPr>
        <w:t xml:space="preserve">Zgodnie z art. 2 ust. 1 decyzji Rady 98/415/WE z dnia 29 czerwca 1998 r. w sprawie konsultacji Europejskiego Banku Centralnego udzielanych władzom krajowym w sprawie projektów przepisów prawnych (Dz. Urz. WE L 189 z 03.07.1998, str. 42; Dz. Urz. UE Polskie Wydanie Specjalne rozdz. 1, t. 1, str. 446) </w:t>
      </w:r>
      <w:r w:rsidR="00ED1B3A" w:rsidRPr="004664C5">
        <w:t>rozporządzeni</w:t>
      </w:r>
      <w:r w:rsidR="00675C4D" w:rsidRPr="004664C5">
        <w:t>e</w:t>
      </w:r>
      <w:r w:rsidR="00ED1B3A" w:rsidRPr="004664C5">
        <w:t xml:space="preserve"> </w:t>
      </w:r>
      <w:r w:rsidRPr="004664C5">
        <w:rPr>
          <w:rFonts w:eastAsia="Cambria"/>
          <w:bCs/>
          <w:lang w:eastAsia="en-US"/>
        </w:rPr>
        <w:t>nie wymaga konsultacji</w:t>
      </w:r>
      <w:r w:rsidR="00076152" w:rsidRPr="004664C5">
        <w:rPr>
          <w:rFonts w:eastAsia="Cambria"/>
          <w:bCs/>
          <w:lang w:eastAsia="en-US"/>
        </w:rPr>
        <w:t xml:space="preserve"> </w:t>
      </w:r>
      <w:r w:rsidRPr="004664C5">
        <w:rPr>
          <w:rFonts w:eastAsia="Cambria"/>
          <w:bCs/>
          <w:lang w:eastAsia="en-US"/>
        </w:rPr>
        <w:t>z Europejskim Bankiem Centralnym.</w:t>
      </w:r>
    </w:p>
    <w:p w14:paraId="142FBA05" w14:textId="6722698C" w:rsidR="0057629F" w:rsidRPr="004664C5" w:rsidRDefault="00ED1B3A">
      <w:pPr>
        <w:tabs>
          <w:tab w:val="left" w:pos="426"/>
          <w:tab w:val="left" w:pos="567"/>
        </w:tabs>
        <w:spacing w:before="120" w:after="120"/>
        <w:jc w:val="both"/>
        <w:rPr>
          <w:rFonts w:eastAsia="Cambria"/>
          <w:bCs/>
          <w:lang w:eastAsia="en-US"/>
        </w:rPr>
      </w:pPr>
      <w:r w:rsidRPr="004664C5">
        <w:t xml:space="preserve">Rozporządzenie </w:t>
      </w:r>
      <w:r w:rsidR="0057629F" w:rsidRPr="004664C5">
        <w:rPr>
          <w:rFonts w:eastAsia="Cambria"/>
          <w:bCs/>
          <w:lang w:eastAsia="en-US"/>
        </w:rPr>
        <w:t>nie podlega procedurze notyfikacji zgodnie z przepisami rozporządzenia Rady Ministrów z dnia 23 grudnia 2002 r. w sprawie sposobu funkcjonowania krajowego systemu notyfikacji norm i aktów prawnych (Dz. U. poz. 2039, z późn. zm.).</w:t>
      </w:r>
    </w:p>
    <w:p w14:paraId="060000A7" w14:textId="14120C51" w:rsidR="0057629F" w:rsidRPr="004664C5" w:rsidRDefault="0057629F">
      <w:pPr>
        <w:tabs>
          <w:tab w:val="left" w:pos="426"/>
          <w:tab w:val="left" w:pos="567"/>
        </w:tabs>
        <w:spacing w:before="120" w:after="120"/>
        <w:jc w:val="both"/>
        <w:rPr>
          <w:rFonts w:eastAsia="Cambria"/>
          <w:bCs/>
          <w:lang w:eastAsia="en-US"/>
        </w:rPr>
      </w:pPr>
      <w:r w:rsidRPr="004664C5">
        <w:rPr>
          <w:rFonts w:eastAsia="Cambria"/>
          <w:bCs/>
          <w:lang w:eastAsia="en-US"/>
        </w:rPr>
        <w:t>Zgodnie z art. 5 ustawy z dnia 7 lipca 2005 r. o działalności lobbingowej w procesie stanowienia prawa (Dz. U. z 2017 r. poz. 248) w związku z §</w:t>
      </w:r>
      <w:r w:rsidR="00CB16A8" w:rsidRPr="004664C5">
        <w:rPr>
          <w:rFonts w:eastAsia="Cambria"/>
          <w:bCs/>
          <w:lang w:eastAsia="en-US"/>
        </w:rPr>
        <w:t> </w:t>
      </w:r>
      <w:r w:rsidRPr="004664C5">
        <w:rPr>
          <w:rFonts w:eastAsia="Cambria"/>
          <w:bCs/>
          <w:lang w:eastAsia="en-US"/>
        </w:rPr>
        <w:t xml:space="preserve">52 ust. 1 uchwały </w:t>
      </w:r>
      <w:r w:rsidR="00784753" w:rsidRPr="004664C5">
        <w:rPr>
          <w:rFonts w:eastAsia="Cambria"/>
          <w:bCs/>
          <w:lang w:eastAsia="en-US"/>
        </w:rPr>
        <w:t>n</w:t>
      </w:r>
      <w:r w:rsidRPr="004664C5">
        <w:rPr>
          <w:rFonts w:eastAsia="Cambria"/>
          <w:bCs/>
          <w:lang w:eastAsia="en-US"/>
        </w:rPr>
        <w:t>r 190 Rady Ministrów z dnia 29 października 2013 r. – Regulamin pracy Rady Ministrów</w:t>
      </w:r>
      <w:r w:rsidR="00C81760" w:rsidRPr="004664C5">
        <w:rPr>
          <w:rFonts w:eastAsia="Cambria"/>
          <w:bCs/>
          <w:lang w:eastAsia="en-US"/>
        </w:rPr>
        <w:t xml:space="preserve"> (M.</w:t>
      </w:r>
      <w:r w:rsidR="004F6528" w:rsidRPr="004664C5">
        <w:rPr>
          <w:rFonts w:eastAsia="Cambria"/>
          <w:bCs/>
          <w:lang w:eastAsia="en-US"/>
        </w:rPr>
        <w:t xml:space="preserve"> </w:t>
      </w:r>
      <w:r w:rsidRPr="004664C5">
        <w:rPr>
          <w:rFonts w:eastAsia="Cambria"/>
          <w:bCs/>
          <w:lang w:eastAsia="en-US"/>
        </w:rPr>
        <w:t xml:space="preserve">P. z </w:t>
      </w:r>
      <w:r w:rsidR="006E2DF7" w:rsidRPr="004664C5">
        <w:rPr>
          <w:rFonts w:eastAsia="Cambria"/>
          <w:bCs/>
          <w:lang w:eastAsia="en-US"/>
        </w:rPr>
        <w:t>2022</w:t>
      </w:r>
      <w:r w:rsidRPr="004664C5">
        <w:rPr>
          <w:rFonts w:eastAsia="Cambria"/>
          <w:bCs/>
          <w:lang w:eastAsia="en-US"/>
        </w:rPr>
        <w:t xml:space="preserve"> r. poz. </w:t>
      </w:r>
      <w:r w:rsidR="006E2DF7" w:rsidRPr="004664C5">
        <w:rPr>
          <w:rFonts w:eastAsia="Cambria"/>
          <w:bCs/>
          <w:lang w:eastAsia="en-US"/>
        </w:rPr>
        <w:t>348</w:t>
      </w:r>
      <w:r w:rsidR="00CB41C2" w:rsidRPr="004664C5">
        <w:rPr>
          <w:rFonts w:eastAsia="Cambria"/>
          <w:bCs/>
          <w:lang w:eastAsia="en-US"/>
        </w:rPr>
        <w:t xml:space="preserve">) </w:t>
      </w:r>
      <w:r w:rsidR="00ED1B3A" w:rsidRPr="004664C5">
        <w:t>rozporządzeni</w:t>
      </w:r>
      <w:r w:rsidR="00675C4D" w:rsidRPr="004664C5">
        <w:t>e</w:t>
      </w:r>
      <w:r w:rsidR="00ED1B3A" w:rsidRPr="004664C5">
        <w:t xml:space="preserve"> </w:t>
      </w:r>
      <w:r w:rsidR="00C93816" w:rsidRPr="004664C5">
        <w:rPr>
          <w:rFonts w:eastAsia="Cambria"/>
          <w:bCs/>
          <w:lang w:eastAsia="en-US"/>
        </w:rPr>
        <w:t>zosta</w:t>
      </w:r>
      <w:r w:rsidR="00996058" w:rsidRPr="004664C5">
        <w:rPr>
          <w:rFonts w:eastAsia="Cambria"/>
          <w:bCs/>
          <w:lang w:eastAsia="en-US"/>
        </w:rPr>
        <w:t>nie</w:t>
      </w:r>
      <w:r w:rsidR="00C93816" w:rsidRPr="004664C5">
        <w:rPr>
          <w:rFonts w:eastAsia="Cambria"/>
          <w:bCs/>
          <w:lang w:eastAsia="en-US"/>
        </w:rPr>
        <w:t xml:space="preserve"> </w:t>
      </w:r>
      <w:r w:rsidRPr="004664C5">
        <w:rPr>
          <w:rFonts w:eastAsia="Cambria"/>
          <w:bCs/>
          <w:lang w:eastAsia="en-US"/>
        </w:rPr>
        <w:t>udostępnion</w:t>
      </w:r>
      <w:r w:rsidR="00B97EE2" w:rsidRPr="004664C5">
        <w:rPr>
          <w:rFonts w:eastAsia="Cambria"/>
          <w:bCs/>
          <w:lang w:eastAsia="en-US"/>
        </w:rPr>
        <w:t>e</w:t>
      </w:r>
      <w:r w:rsidRPr="004664C5">
        <w:rPr>
          <w:rFonts w:eastAsia="Cambria"/>
          <w:bCs/>
          <w:lang w:eastAsia="en-US"/>
        </w:rPr>
        <w:t xml:space="preserve"> w Biuletynie Informacji Publicznej</w:t>
      </w:r>
      <w:r w:rsidR="00076152" w:rsidRPr="004664C5">
        <w:rPr>
          <w:rFonts w:eastAsia="Cambria"/>
          <w:bCs/>
          <w:lang w:eastAsia="en-US"/>
        </w:rPr>
        <w:t xml:space="preserve"> </w:t>
      </w:r>
      <w:r w:rsidRPr="004664C5">
        <w:rPr>
          <w:rFonts w:eastAsia="Cambria"/>
          <w:bCs/>
          <w:lang w:eastAsia="en-US"/>
        </w:rPr>
        <w:t xml:space="preserve">na stronie podmiotowej Rządowego Centrum Legislacji, w serwisie Rządowy Proces Legislacyjny. </w:t>
      </w:r>
      <w:r w:rsidR="00B0741B" w:rsidRPr="004664C5">
        <w:rPr>
          <w:rFonts w:eastAsia="Cambria"/>
          <w:bCs/>
          <w:lang w:eastAsia="en-US"/>
        </w:rPr>
        <w:br/>
      </w:r>
    </w:p>
    <w:p w14:paraId="21CA8232" w14:textId="1AA33663" w:rsidR="00B0741B" w:rsidRPr="004664C5" w:rsidRDefault="00B0741B">
      <w:pPr>
        <w:tabs>
          <w:tab w:val="left" w:pos="426"/>
          <w:tab w:val="left" w:pos="567"/>
        </w:tabs>
        <w:spacing w:before="120" w:after="120"/>
        <w:jc w:val="both"/>
        <w:rPr>
          <w:rFonts w:eastAsia="Cambria"/>
          <w:bCs/>
          <w:lang w:eastAsia="en-US"/>
        </w:rPr>
      </w:pPr>
    </w:p>
    <w:sectPr w:rsidR="00B0741B" w:rsidRPr="004664C5" w:rsidSect="00B203B3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B6BCB4" w14:textId="77777777" w:rsidR="005B31F0" w:rsidRDefault="005B31F0">
      <w:r>
        <w:separator/>
      </w:r>
    </w:p>
  </w:endnote>
  <w:endnote w:type="continuationSeparator" w:id="0">
    <w:p w14:paraId="6FBFCE19" w14:textId="77777777" w:rsidR="005B31F0" w:rsidRDefault="005B31F0">
      <w:r>
        <w:continuationSeparator/>
      </w:r>
    </w:p>
  </w:endnote>
  <w:endnote w:type="continuationNotice" w:id="1">
    <w:p w14:paraId="77979EDE" w14:textId="77777777" w:rsidR="005B31F0" w:rsidRDefault="005B31F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DCBC63" w14:textId="77777777" w:rsidR="00076152" w:rsidRDefault="00076152" w:rsidP="0088217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833F85C" w14:textId="77777777" w:rsidR="00076152" w:rsidRDefault="00076152" w:rsidP="007A4DE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9750A5" w14:textId="783F6D82" w:rsidR="00076152" w:rsidRDefault="00076152" w:rsidP="0088217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63B2D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36FDAD4C" w14:textId="77777777" w:rsidR="00076152" w:rsidRDefault="00076152" w:rsidP="007A4DE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764079" w14:textId="77777777" w:rsidR="005B31F0" w:rsidRDefault="005B31F0">
      <w:r>
        <w:separator/>
      </w:r>
    </w:p>
  </w:footnote>
  <w:footnote w:type="continuationSeparator" w:id="0">
    <w:p w14:paraId="5A7B1128" w14:textId="77777777" w:rsidR="005B31F0" w:rsidRDefault="005B31F0">
      <w:r>
        <w:continuationSeparator/>
      </w:r>
    </w:p>
  </w:footnote>
  <w:footnote w:type="continuationNotice" w:id="1">
    <w:p w14:paraId="55A3577B" w14:textId="77777777" w:rsidR="005B31F0" w:rsidRDefault="005B31F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51D6B"/>
    <w:multiLevelType w:val="hybridMultilevel"/>
    <w:tmpl w:val="7884F3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0B7F7A"/>
    <w:multiLevelType w:val="hybridMultilevel"/>
    <w:tmpl w:val="21925F9E"/>
    <w:lvl w:ilvl="0" w:tplc="92B4885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1231C12"/>
    <w:multiLevelType w:val="hybridMultilevel"/>
    <w:tmpl w:val="35B863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B633CA"/>
    <w:multiLevelType w:val="hybridMultilevel"/>
    <w:tmpl w:val="F3F82A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475EA1"/>
    <w:multiLevelType w:val="hybridMultilevel"/>
    <w:tmpl w:val="12B878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7D184B"/>
    <w:multiLevelType w:val="hybridMultilevel"/>
    <w:tmpl w:val="358454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EF720A"/>
    <w:multiLevelType w:val="hybridMultilevel"/>
    <w:tmpl w:val="19A884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001842"/>
    <w:multiLevelType w:val="hybridMultilevel"/>
    <w:tmpl w:val="B97C499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3F711D"/>
    <w:multiLevelType w:val="hybridMultilevel"/>
    <w:tmpl w:val="7A06D9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48243B"/>
    <w:multiLevelType w:val="hybridMultilevel"/>
    <w:tmpl w:val="D2C8C42A"/>
    <w:lvl w:ilvl="0" w:tplc="4EB037F4">
      <w:start w:val="1"/>
      <w:numFmt w:val="decimal"/>
      <w:lvlText w:val="%1)"/>
      <w:lvlJc w:val="left"/>
      <w:pPr>
        <w:ind w:left="915" w:hanging="55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0637FA"/>
    <w:multiLevelType w:val="hybridMultilevel"/>
    <w:tmpl w:val="628C2D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6B3A66"/>
    <w:multiLevelType w:val="hybridMultilevel"/>
    <w:tmpl w:val="B75267EE"/>
    <w:lvl w:ilvl="0" w:tplc="AB92A8EA">
      <w:start w:val="1"/>
      <w:numFmt w:val="lowerLetter"/>
      <w:lvlText w:val="%1)"/>
      <w:lvlJc w:val="left"/>
      <w:pPr>
        <w:ind w:left="1710" w:hanging="9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9B30501"/>
    <w:multiLevelType w:val="hybridMultilevel"/>
    <w:tmpl w:val="474E08FA"/>
    <w:lvl w:ilvl="0" w:tplc="07A483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A523CC"/>
    <w:multiLevelType w:val="hybridMultilevel"/>
    <w:tmpl w:val="B80634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AEAA4F9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1A3289"/>
    <w:multiLevelType w:val="hybridMultilevel"/>
    <w:tmpl w:val="C2163AF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63712DA"/>
    <w:multiLevelType w:val="hybridMultilevel"/>
    <w:tmpl w:val="E48C7B58"/>
    <w:lvl w:ilvl="0" w:tplc="04150017">
      <w:start w:val="1"/>
      <w:numFmt w:val="lowerLetter"/>
      <w:lvlText w:val="%1)"/>
      <w:lvlJc w:val="left"/>
      <w:pPr>
        <w:ind w:left="2062" w:hanging="360"/>
      </w:pPr>
    </w:lvl>
    <w:lvl w:ilvl="1" w:tplc="04150019" w:tentative="1">
      <w:start w:val="1"/>
      <w:numFmt w:val="lowerLetter"/>
      <w:lvlText w:val="%2."/>
      <w:lvlJc w:val="left"/>
      <w:pPr>
        <w:ind w:left="2782" w:hanging="360"/>
      </w:pPr>
    </w:lvl>
    <w:lvl w:ilvl="2" w:tplc="0415001B" w:tentative="1">
      <w:start w:val="1"/>
      <w:numFmt w:val="lowerRoman"/>
      <w:lvlText w:val="%3."/>
      <w:lvlJc w:val="right"/>
      <w:pPr>
        <w:ind w:left="3502" w:hanging="180"/>
      </w:pPr>
    </w:lvl>
    <w:lvl w:ilvl="3" w:tplc="0415000F" w:tentative="1">
      <w:start w:val="1"/>
      <w:numFmt w:val="decimal"/>
      <w:lvlText w:val="%4."/>
      <w:lvlJc w:val="left"/>
      <w:pPr>
        <w:ind w:left="4222" w:hanging="360"/>
      </w:pPr>
    </w:lvl>
    <w:lvl w:ilvl="4" w:tplc="04150019" w:tentative="1">
      <w:start w:val="1"/>
      <w:numFmt w:val="lowerLetter"/>
      <w:lvlText w:val="%5."/>
      <w:lvlJc w:val="left"/>
      <w:pPr>
        <w:ind w:left="4942" w:hanging="360"/>
      </w:pPr>
    </w:lvl>
    <w:lvl w:ilvl="5" w:tplc="0415001B" w:tentative="1">
      <w:start w:val="1"/>
      <w:numFmt w:val="lowerRoman"/>
      <w:lvlText w:val="%6."/>
      <w:lvlJc w:val="right"/>
      <w:pPr>
        <w:ind w:left="5662" w:hanging="180"/>
      </w:pPr>
    </w:lvl>
    <w:lvl w:ilvl="6" w:tplc="0415000F" w:tentative="1">
      <w:start w:val="1"/>
      <w:numFmt w:val="decimal"/>
      <w:lvlText w:val="%7."/>
      <w:lvlJc w:val="left"/>
      <w:pPr>
        <w:ind w:left="6382" w:hanging="360"/>
      </w:pPr>
    </w:lvl>
    <w:lvl w:ilvl="7" w:tplc="04150019" w:tentative="1">
      <w:start w:val="1"/>
      <w:numFmt w:val="lowerLetter"/>
      <w:lvlText w:val="%8."/>
      <w:lvlJc w:val="left"/>
      <w:pPr>
        <w:ind w:left="7102" w:hanging="360"/>
      </w:pPr>
    </w:lvl>
    <w:lvl w:ilvl="8" w:tplc="0415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6">
    <w:nsid w:val="39B759BB"/>
    <w:multiLevelType w:val="hybridMultilevel"/>
    <w:tmpl w:val="5FD843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0A5266"/>
    <w:multiLevelType w:val="hybridMultilevel"/>
    <w:tmpl w:val="5252AE3C"/>
    <w:lvl w:ilvl="0" w:tplc="B65A23F8">
      <w:start w:val="1"/>
      <w:numFmt w:val="decimal"/>
      <w:lvlText w:val="%1)"/>
      <w:lvlJc w:val="left"/>
      <w:pPr>
        <w:ind w:left="7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>
    <w:nsid w:val="49503456"/>
    <w:multiLevelType w:val="hybridMultilevel"/>
    <w:tmpl w:val="EE56F9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F11916"/>
    <w:multiLevelType w:val="hybridMultilevel"/>
    <w:tmpl w:val="4B56AF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30008C"/>
    <w:multiLevelType w:val="hybridMultilevel"/>
    <w:tmpl w:val="4E32652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0313968"/>
    <w:multiLevelType w:val="hybridMultilevel"/>
    <w:tmpl w:val="FA869D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F34771"/>
    <w:multiLevelType w:val="hybridMultilevel"/>
    <w:tmpl w:val="F3D82A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0B589E"/>
    <w:multiLevelType w:val="hybridMultilevel"/>
    <w:tmpl w:val="0F6A98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495A39"/>
    <w:multiLevelType w:val="hybridMultilevel"/>
    <w:tmpl w:val="1DBACACE"/>
    <w:lvl w:ilvl="0" w:tplc="07A483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6F266E"/>
    <w:multiLevelType w:val="hybridMultilevel"/>
    <w:tmpl w:val="0E7C00F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5B3AA3"/>
    <w:multiLevelType w:val="hybridMultilevel"/>
    <w:tmpl w:val="7576D4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8420CC"/>
    <w:multiLevelType w:val="hybridMultilevel"/>
    <w:tmpl w:val="B3FA27D2"/>
    <w:lvl w:ilvl="0" w:tplc="E1A4E4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4D0FCC"/>
    <w:multiLevelType w:val="hybridMultilevel"/>
    <w:tmpl w:val="9B849EA8"/>
    <w:lvl w:ilvl="0" w:tplc="BBEA739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E560A43"/>
    <w:multiLevelType w:val="hybridMultilevel"/>
    <w:tmpl w:val="91A25B7E"/>
    <w:lvl w:ilvl="0" w:tplc="2A2E83C4">
      <w:start w:val="1"/>
      <w:numFmt w:val="decimal"/>
      <w:lvlText w:val="%1)"/>
      <w:lvlJc w:val="left"/>
      <w:pPr>
        <w:ind w:left="87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036E5A"/>
    <w:multiLevelType w:val="hybridMultilevel"/>
    <w:tmpl w:val="8FD6B146"/>
    <w:lvl w:ilvl="0" w:tplc="B978AC18">
      <w:start w:val="1"/>
      <w:numFmt w:val="decimal"/>
      <w:lvlText w:val="%1)"/>
      <w:lvlJc w:val="left"/>
      <w:pPr>
        <w:ind w:left="375" w:hanging="1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7"/>
  </w:num>
  <w:num w:numId="4">
    <w:abstractNumId w:val="20"/>
  </w:num>
  <w:num w:numId="5">
    <w:abstractNumId w:val="11"/>
  </w:num>
  <w:num w:numId="6">
    <w:abstractNumId w:val="14"/>
  </w:num>
  <w:num w:numId="7">
    <w:abstractNumId w:val="3"/>
  </w:num>
  <w:num w:numId="8">
    <w:abstractNumId w:val="24"/>
  </w:num>
  <w:num w:numId="9">
    <w:abstractNumId w:val="12"/>
  </w:num>
  <w:num w:numId="10">
    <w:abstractNumId w:val="18"/>
  </w:num>
  <w:num w:numId="11">
    <w:abstractNumId w:val="13"/>
  </w:num>
  <w:num w:numId="12">
    <w:abstractNumId w:val="26"/>
  </w:num>
  <w:num w:numId="13">
    <w:abstractNumId w:val="4"/>
  </w:num>
  <w:num w:numId="14">
    <w:abstractNumId w:val="10"/>
  </w:num>
  <w:num w:numId="15">
    <w:abstractNumId w:val="19"/>
  </w:num>
  <w:num w:numId="16">
    <w:abstractNumId w:val="8"/>
  </w:num>
  <w:num w:numId="17">
    <w:abstractNumId w:val="21"/>
  </w:num>
  <w:num w:numId="18">
    <w:abstractNumId w:val="0"/>
  </w:num>
  <w:num w:numId="19">
    <w:abstractNumId w:val="7"/>
  </w:num>
  <w:num w:numId="20">
    <w:abstractNumId w:val="25"/>
  </w:num>
  <w:num w:numId="21">
    <w:abstractNumId w:val="5"/>
  </w:num>
  <w:num w:numId="22">
    <w:abstractNumId w:val="6"/>
  </w:num>
  <w:num w:numId="23">
    <w:abstractNumId w:val="15"/>
  </w:num>
  <w:num w:numId="24">
    <w:abstractNumId w:val="28"/>
  </w:num>
  <w:num w:numId="25">
    <w:abstractNumId w:val="2"/>
  </w:num>
  <w:num w:numId="26">
    <w:abstractNumId w:val="29"/>
  </w:num>
  <w:num w:numId="27">
    <w:abstractNumId w:val="22"/>
  </w:num>
  <w:num w:numId="28">
    <w:abstractNumId w:val="30"/>
  </w:num>
  <w:num w:numId="29">
    <w:abstractNumId w:val="16"/>
  </w:num>
  <w:num w:numId="30">
    <w:abstractNumId w:val="9"/>
  </w:num>
  <w:num w:numId="31">
    <w:abstractNumId w:val="23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3B3"/>
    <w:rsid w:val="0000052A"/>
    <w:rsid w:val="00000BE2"/>
    <w:rsid w:val="0000181C"/>
    <w:rsid w:val="00001A07"/>
    <w:rsid w:val="00002892"/>
    <w:rsid w:val="000028A1"/>
    <w:rsid w:val="00003D34"/>
    <w:rsid w:val="0000403F"/>
    <w:rsid w:val="00004587"/>
    <w:rsid w:val="000067E6"/>
    <w:rsid w:val="00010C1A"/>
    <w:rsid w:val="00010D9D"/>
    <w:rsid w:val="000133D9"/>
    <w:rsid w:val="0001416A"/>
    <w:rsid w:val="00014C83"/>
    <w:rsid w:val="00015333"/>
    <w:rsid w:val="00015830"/>
    <w:rsid w:val="00017E09"/>
    <w:rsid w:val="000209C6"/>
    <w:rsid w:val="000244AD"/>
    <w:rsid w:val="000257AD"/>
    <w:rsid w:val="00027358"/>
    <w:rsid w:val="000325CB"/>
    <w:rsid w:val="00033220"/>
    <w:rsid w:val="00033B8D"/>
    <w:rsid w:val="00034886"/>
    <w:rsid w:val="00035865"/>
    <w:rsid w:val="00036BA9"/>
    <w:rsid w:val="0004307F"/>
    <w:rsid w:val="00045C50"/>
    <w:rsid w:val="00047506"/>
    <w:rsid w:val="00050F5E"/>
    <w:rsid w:val="000527BD"/>
    <w:rsid w:val="00052E47"/>
    <w:rsid w:val="00053190"/>
    <w:rsid w:val="00054612"/>
    <w:rsid w:val="00054E7B"/>
    <w:rsid w:val="00057FC5"/>
    <w:rsid w:val="00060D05"/>
    <w:rsid w:val="000613CB"/>
    <w:rsid w:val="00061E6F"/>
    <w:rsid w:val="00062701"/>
    <w:rsid w:val="0006429E"/>
    <w:rsid w:val="000655A9"/>
    <w:rsid w:val="00066002"/>
    <w:rsid w:val="00066930"/>
    <w:rsid w:val="00067639"/>
    <w:rsid w:val="000708CA"/>
    <w:rsid w:val="000727BB"/>
    <w:rsid w:val="000732C5"/>
    <w:rsid w:val="000736BC"/>
    <w:rsid w:val="00073D6E"/>
    <w:rsid w:val="00074929"/>
    <w:rsid w:val="000749E0"/>
    <w:rsid w:val="00076152"/>
    <w:rsid w:val="00076BB2"/>
    <w:rsid w:val="00077CAA"/>
    <w:rsid w:val="00077F2C"/>
    <w:rsid w:val="0008068F"/>
    <w:rsid w:val="00080859"/>
    <w:rsid w:val="000819B5"/>
    <w:rsid w:val="00081A73"/>
    <w:rsid w:val="00081D29"/>
    <w:rsid w:val="00083FA0"/>
    <w:rsid w:val="00087F7A"/>
    <w:rsid w:val="00091B95"/>
    <w:rsid w:val="00092739"/>
    <w:rsid w:val="00092AA4"/>
    <w:rsid w:val="00095316"/>
    <w:rsid w:val="000965B3"/>
    <w:rsid w:val="00096A61"/>
    <w:rsid w:val="00096F7D"/>
    <w:rsid w:val="000A049E"/>
    <w:rsid w:val="000A16AA"/>
    <w:rsid w:val="000A1D0D"/>
    <w:rsid w:val="000A2965"/>
    <w:rsid w:val="000A3331"/>
    <w:rsid w:val="000A3F4A"/>
    <w:rsid w:val="000A3FFF"/>
    <w:rsid w:val="000A70AC"/>
    <w:rsid w:val="000A7719"/>
    <w:rsid w:val="000B01D3"/>
    <w:rsid w:val="000B5E1D"/>
    <w:rsid w:val="000B6723"/>
    <w:rsid w:val="000B7004"/>
    <w:rsid w:val="000C37B2"/>
    <w:rsid w:val="000C3961"/>
    <w:rsid w:val="000C6C2B"/>
    <w:rsid w:val="000C73F3"/>
    <w:rsid w:val="000D0804"/>
    <w:rsid w:val="000D1E36"/>
    <w:rsid w:val="000D2581"/>
    <w:rsid w:val="000D3C4C"/>
    <w:rsid w:val="000D40B5"/>
    <w:rsid w:val="000D46F5"/>
    <w:rsid w:val="000D5173"/>
    <w:rsid w:val="000D570A"/>
    <w:rsid w:val="000D5898"/>
    <w:rsid w:val="000D614E"/>
    <w:rsid w:val="000D6698"/>
    <w:rsid w:val="000D6F9B"/>
    <w:rsid w:val="000D7367"/>
    <w:rsid w:val="000D7F40"/>
    <w:rsid w:val="000E2E34"/>
    <w:rsid w:val="000E414C"/>
    <w:rsid w:val="000E438D"/>
    <w:rsid w:val="000E558D"/>
    <w:rsid w:val="000E6AB0"/>
    <w:rsid w:val="000F1BF2"/>
    <w:rsid w:val="000F350D"/>
    <w:rsid w:val="000F521E"/>
    <w:rsid w:val="000F7510"/>
    <w:rsid w:val="000F785E"/>
    <w:rsid w:val="00100924"/>
    <w:rsid w:val="00100BE5"/>
    <w:rsid w:val="00100DDE"/>
    <w:rsid w:val="00101D52"/>
    <w:rsid w:val="00102A82"/>
    <w:rsid w:val="00102F3A"/>
    <w:rsid w:val="00105959"/>
    <w:rsid w:val="001075D3"/>
    <w:rsid w:val="00110D13"/>
    <w:rsid w:val="001117B5"/>
    <w:rsid w:val="00111C33"/>
    <w:rsid w:val="00112629"/>
    <w:rsid w:val="00113EB8"/>
    <w:rsid w:val="00114EEB"/>
    <w:rsid w:val="001162E4"/>
    <w:rsid w:val="00116F43"/>
    <w:rsid w:val="00117278"/>
    <w:rsid w:val="001216E0"/>
    <w:rsid w:val="00121A9E"/>
    <w:rsid w:val="00122F5F"/>
    <w:rsid w:val="00130F66"/>
    <w:rsid w:val="00132298"/>
    <w:rsid w:val="0013243A"/>
    <w:rsid w:val="00132F8B"/>
    <w:rsid w:val="0013553D"/>
    <w:rsid w:val="001357BE"/>
    <w:rsid w:val="00135F4C"/>
    <w:rsid w:val="00136568"/>
    <w:rsid w:val="0013670F"/>
    <w:rsid w:val="00141058"/>
    <w:rsid w:val="0014122D"/>
    <w:rsid w:val="00141847"/>
    <w:rsid w:val="00143F3B"/>
    <w:rsid w:val="001448F1"/>
    <w:rsid w:val="00144ABA"/>
    <w:rsid w:val="001452FD"/>
    <w:rsid w:val="00146C68"/>
    <w:rsid w:val="00147303"/>
    <w:rsid w:val="00151AC8"/>
    <w:rsid w:val="00153187"/>
    <w:rsid w:val="001540D4"/>
    <w:rsid w:val="00154860"/>
    <w:rsid w:val="00155607"/>
    <w:rsid w:val="001559B4"/>
    <w:rsid w:val="00155E2A"/>
    <w:rsid w:val="00156BB7"/>
    <w:rsid w:val="00160883"/>
    <w:rsid w:val="00162354"/>
    <w:rsid w:val="00162594"/>
    <w:rsid w:val="001626DA"/>
    <w:rsid w:val="001633BB"/>
    <w:rsid w:val="00163704"/>
    <w:rsid w:val="00163A92"/>
    <w:rsid w:val="001648FE"/>
    <w:rsid w:val="00165FB7"/>
    <w:rsid w:val="00170BE4"/>
    <w:rsid w:val="00170C79"/>
    <w:rsid w:val="00170E1F"/>
    <w:rsid w:val="001715FD"/>
    <w:rsid w:val="0017173C"/>
    <w:rsid w:val="0017371B"/>
    <w:rsid w:val="0017688B"/>
    <w:rsid w:val="00176BEC"/>
    <w:rsid w:val="0018243C"/>
    <w:rsid w:val="00182699"/>
    <w:rsid w:val="00184FA3"/>
    <w:rsid w:val="00185B32"/>
    <w:rsid w:val="001874DE"/>
    <w:rsid w:val="0018753B"/>
    <w:rsid w:val="00187DF0"/>
    <w:rsid w:val="00191D0F"/>
    <w:rsid w:val="001955A5"/>
    <w:rsid w:val="001964A6"/>
    <w:rsid w:val="00196585"/>
    <w:rsid w:val="00196E56"/>
    <w:rsid w:val="00197DC2"/>
    <w:rsid w:val="001A14CA"/>
    <w:rsid w:val="001A2C04"/>
    <w:rsid w:val="001A3F96"/>
    <w:rsid w:val="001A418B"/>
    <w:rsid w:val="001A494F"/>
    <w:rsid w:val="001A4DE9"/>
    <w:rsid w:val="001A6445"/>
    <w:rsid w:val="001A6BE6"/>
    <w:rsid w:val="001A7588"/>
    <w:rsid w:val="001B0F00"/>
    <w:rsid w:val="001B5C30"/>
    <w:rsid w:val="001C0A7C"/>
    <w:rsid w:val="001C2AEF"/>
    <w:rsid w:val="001C6E8F"/>
    <w:rsid w:val="001D0AF8"/>
    <w:rsid w:val="001D0E73"/>
    <w:rsid w:val="001D0F83"/>
    <w:rsid w:val="001D1CE1"/>
    <w:rsid w:val="001D24A3"/>
    <w:rsid w:val="001D5969"/>
    <w:rsid w:val="001D6964"/>
    <w:rsid w:val="001D6DFA"/>
    <w:rsid w:val="001D6FF5"/>
    <w:rsid w:val="001D74B3"/>
    <w:rsid w:val="001D7DE7"/>
    <w:rsid w:val="001E1A20"/>
    <w:rsid w:val="001E1BD3"/>
    <w:rsid w:val="001E1E3A"/>
    <w:rsid w:val="001E2249"/>
    <w:rsid w:val="001E4878"/>
    <w:rsid w:val="001E69FA"/>
    <w:rsid w:val="001E6DFC"/>
    <w:rsid w:val="001E79B4"/>
    <w:rsid w:val="001E7B64"/>
    <w:rsid w:val="001F0B87"/>
    <w:rsid w:val="001F1B98"/>
    <w:rsid w:val="001F2ADB"/>
    <w:rsid w:val="001F3CCE"/>
    <w:rsid w:val="001F6375"/>
    <w:rsid w:val="001F6BC6"/>
    <w:rsid w:val="001F7A0A"/>
    <w:rsid w:val="0020016F"/>
    <w:rsid w:val="0020196F"/>
    <w:rsid w:val="00202F07"/>
    <w:rsid w:val="0020461F"/>
    <w:rsid w:val="002048A7"/>
    <w:rsid w:val="0020525D"/>
    <w:rsid w:val="00206B74"/>
    <w:rsid w:val="00206BAA"/>
    <w:rsid w:val="00207AB5"/>
    <w:rsid w:val="00207FBD"/>
    <w:rsid w:val="002100B3"/>
    <w:rsid w:val="0021081B"/>
    <w:rsid w:val="00210C18"/>
    <w:rsid w:val="0021159F"/>
    <w:rsid w:val="00211966"/>
    <w:rsid w:val="00211DB8"/>
    <w:rsid w:val="00215C00"/>
    <w:rsid w:val="00223238"/>
    <w:rsid w:val="0022657F"/>
    <w:rsid w:val="0022757A"/>
    <w:rsid w:val="00231C2B"/>
    <w:rsid w:val="00232CC9"/>
    <w:rsid w:val="00236BB1"/>
    <w:rsid w:val="00236F8D"/>
    <w:rsid w:val="00240423"/>
    <w:rsid w:val="00241408"/>
    <w:rsid w:val="00241ADB"/>
    <w:rsid w:val="00242AF5"/>
    <w:rsid w:val="002437BB"/>
    <w:rsid w:val="00244B51"/>
    <w:rsid w:val="00244E5E"/>
    <w:rsid w:val="00247C5C"/>
    <w:rsid w:val="00247F0E"/>
    <w:rsid w:val="002503E2"/>
    <w:rsid w:val="00250B05"/>
    <w:rsid w:val="00250E49"/>
    <w:rsid w:val="002512BB"/>
    <w:rsid w:val="00251834"/>
    <w:rsid w:val="0025187E"/>
    <w:rsid w:val="00251BDA"/>
    <w:rsid w:val="002527B3"/>
    <w:rsid w:val="002528C6"/>
    <w:rsid w:val="00253346"/>
    <w:rsid w:val="00255064"/>
    <w:rsid w:val="00255DAE"/>
    <w:rsid w:val="0025643A"/>
    <w:rsid w:val="00256B1B"/>
    <w:rsid w:val="00260247"/>
    <w:rsid w:val="002615BA"/>
    <w:rsid w:val="002640AA"/>
    <w:rsid w:val="0027044C"/>
    <w:rsid w:val="00271BC4"/>
    <w:rsid w:val="00271FA7"/>
    <w:rsid w:val="00272049"/>
    <w:rsid w:val="002721A2"/>
    <w:rsid w:val="002742C3"/>
    <w:rsid w:val="00276A21"/>
    <w:rsid w:val="00280B47"/>
    <w:rsid w:val="002810C4"/>
    <w:rsid w:val="002846FD"/>
    <w:rsid w:val="002911AC"/>
    <w:rsid w:val="002935C1"/>
    <w:rsid w:val="00294C43"/>
    <w:rsid w:val="002958A4"/>
    <w:rsid w:val="00297B2F"/>
    <w:rsid w:val="002A05A2"/>
    <w:rsid w:val="002A0EC5"/>
    <w:rsid w:val="002A1A4A"/>
    <w:rsid w:val="002A31D0"/>
    <w:rsid w:val="002A3416"/>
    <w:rsid w:val="002A3C6C"/>
    <w:rsid w:val="002A428A"/>
    <w:rsid w:val="002A55D7"/>
    <w:rsid w:val="002A5F0B"/>
    <w:rsid w:val="002A6184"/>
    <w:rsid w:val="002A7848"/>
    <w:rsid w:val="002A7BAC"/>
    <w:rsid w:val="002B2323"/>
    <w:rsid w:val="002B2780"/>
    <w:rsid w:val="002B2EFF"/>
    <w:rsid w:val="002B49DF"/>
    <w:rsid w:val="002B5B6A"/>
    <w:rsid w:val="002C151E"/>
    <w:rsid w:val="002C1975"/>
    <w:rsid w:val="002C2975"/>
    <w:rsid w:val="002C3448"/>
    <w:rsid w:val="002C37EA"/>
    <w:rsid w:val="002C381F"/>
    <w:rsid w:val="002C4CE1"/>
    <w:rsid w:val="002C54B1"/>
    <w:rsid w:val="002C760B"/>
    <w:rsid w:val="002D0107"/>
    <w:rsid w:val="002D0AE5"/>
    <w:rsid w:val="002D1242"/>
    <w:rsid w:val="002D2797"/>
    <w:rsid w:val="002D33F4"/>
    <w:rsid w:val="002D3DD5"/>
    <w:rsid w:val="002D479E"/>
    <w:rsid w:val="002D4971"/>
    <w:rsid w:val="002D6748"/>
    <w:rsid w:val="002D78C3"/>
    <w:rsid w:val="002E1888"/>
    <w:rsid w:val="002E1F70"/>
    <w:rsid w:val="002E252C"/>
    <w:rsid w:val="002E329F"/>
    <w:rsid w:val="002E465C"/>
    <w:rsid w:val="002E4AA7"/>
    <w:rsid w:val="002E4E0F"/>
    <w:rsid w:val="002E4E2A"/>
    <w:rsid w:val="002E5D85"/>
    <w:rsid w:val="002E62E2"/>
    <w:rsid w:val="002E73D5"/>
    <w:rsid w:val="002E7D68"/>
    <w:rsid w:val="002F203D"/>
    <w:rsid w:val="002F300D"/>
    <w:rsid w:val="002F308A"/>
    <w:rsid w:val="002F36CE"/>
    <w:rsid w:val="002F3DB2"/>
    <w:rsid w:val="002F4C47"/>
    <w:rsid w:val="002F71B5"/>
    <w:rsid w:val="002F7BE7"/>
    <w:rsid w:val="00301809"/>
    <w:rsid w:val="0030236F"/>
    <w:rsid w:val="00302B6B"/>
    <w:rsid w:val="00303F32"/>
    <w:rsid w:val="00304DB5"/>
    <w:rsid w:val="00305A69"/>
    <w:rsid w:val="00305B70"/>
    <w:rsid w:val="003068DC"/>
    <w:rsid w:val="00306D27"/>
    <w:rsid w:val="00306DCF"/>
    <w:rsid w:val="003076D2"/>
    <w:rsid w:val="00310B7F"/>
    <w:rsid w:val="0031723D"/>
    <w:rsid w:val="00320939"/>
    <w:rsid w:val="003214A6"/>
    <w:rsid w:val="00322F22"/>
    <w:rsid w:val="0032376B"/>
    <w:rsid w:val="00324D42"/>
    <w:rsid w:val="003271D9"/>
    <w:rsid w:val="0032788F"/>
    <w:rsid w:val="003316ED"/>
    <w:rsid w:val="00334B2A"/>
    <w:rsid w:val="003359D1"/>
    <w:rsid w:val="00336585"/>
    <w:rsid w:val="00340C76"/>
    <w:rsid w:val="0034125E"/>
    <w:rsid w:val="00341728"/>
    <w:rsid w:val="00341929"/>
    <w:rsid w:val="00342404"/>
    <w:rsid w:val="00342B8B"/>
    <w:rsid w:val="003433D4"/>
    <w:rsid w:val="00344669"/>
    <w:rsid w:val="00344767"/>
    <w:rsid w:val="00344B74"/>
    <w:rsid w:val="00346680"/>
    <w:rsid w:val="003501B4"/>
    <w:rsid w:val="003507BE"/>
    <w:rsid w:val="00351261"/>
    <w:rsid w:val="00351CA6"/>
    <w:rsid w:val="003532C4"/>
    <w:rsid w:val="003533AA"/>
    <w:rsid w:val="00353A8E"/>
    <w:rsid w:val="003545D8"/>
    <w:rsid w:val="00355028"/>
    <w:rsid w:val="0035592D"/>
    <w:rsid w:val="00356914"/>
    <w:rsid w:val="00361EBD"/>
    <w:rsid w:val="0036247E"/>
    <w:rsid w:val="003628B9"/>
    <w:rsid w:val="0036326D"/>
    <w:rsid w:val="0036429A"/>
    <w:rsid w:val="0037061B"/>
    <w:rsid w:val="00370DD5"/>
    <w:rsid w:val="003715AB"/>
    <w:rsid w:val="003717B6"/>
    <w:rsid w:val="00371C25"/>
    <w:rsid w:val="00372C9D"/>
    <w:rsid w:val="00373048"/>
    <w:rsid w:val="00373C2C"/>
    <w:rsid w:val="00374162"/>
    <w:rsid w:val="00375566"/>
    <w:rsid w:val="00375C13"/>
    <w:rsid w:val="00376593"/>
    <w:rsid w:val="00377021"/>
    <w:rsid w:val="00380BB4"/>
    <w:rsid w:val="0038138F"/>
    <w:rsid w:val="00383A02"/>
    <w:rsid w:val="0038432E"/>
    <w:rsid w:val="00384E7B"/>
    <w:rsid w:val="00385CB1"/>
    <w:rsid w:val="00390205"/>
    <w:rsid w:val="0039040F"/>
    <w:rsid w:val="00390B9E"/>
    <w:rsid w:val="003928D4"/>
    <w:rsid w:val="003967E1"/>
    <w:rsid w:val="00396DDD"/>
    <w:rsid w:val="003974FA"/>
    <w:rsid w:val="003978A3"/>
    <w:rsid w:val="003A28CB"/>
    <w:rsid w:val="003A2F98"/>
    <w:rsid w:val="003A3279"/>
    <w:rsid w:val="003A4307"/>
    <w:rsid w:val="003A53D3"/>
    <w:rsid w:val="003A78DE"/>
    <w:rsid w:val="003A7E7B"/>
    <w:rsid w:val="003B0AE4"/>
    <w:rsid w:val="003B2B01"/>
    <w:rsid w:val="003B3569"/>
    <w:rsid w:val="003B36BA"/>
    <w:rsid w:val="003B4724"/>
    <w:rsid w:val="003B4D46"/>
    <w:rsid w:val="003B4E4E"/>
    <w:rsid w:val="003B5B69"/>
    <w:rsid w:val="003B6203"/>
    <w:rsid w:val="003B654A"/>
    <w:rsid w:val="003C0B0E"/>
    <w:rsid w:val="003C1594"/>
    <w:rsid w:val="003C185B"/>
    <w:rsid w:val="003C4A47"/>
    <w:rsid w:val="003C5797"/>
    <w:rsid w:val="003C77E9"/>
    <w:rsid w:val="003D4CD0"/>
    <w:rsid w:val="003D540A"/>
    <w:rsid w:val="003D6149"/>
    <w:rsid w:val="003D6678"/>
    <w:rsid w:val="003D6AC4"/>
    <w:rsid w:val="003D70B2"/>
    <w:rsid w:val="003D73B9"/>
    <w:rsid w:val="003E1166"/>
    <w:rsid w:val="003E2301"/>
    <w:rsid w:val="003E3318"/>
    <w:rsid w:val="003E38D9"/>
    <w:rsid w:val="003E4047"/>
    <w:rsid w:val="003E472C"/>
    <w:rsid w:val="003F066B"/>
    <w:rsid w:val="003F1EE2"/>
    <w:rsid w:val="003F2557"/>
    <w:rsid w:val="003F2FE3"/>
    <w:rsid w:val="003F3AE2"/>
    <w:rsid w:val="003F57C9"/>
    <w:rsid w:val="003F5C29"/>
    <w:rsid w:val="00400F35"/>
    <w:rsid w:val="00401585"/>
    <w:rsid w:val="004039E8"/>
    <w:rsid w:val="00405634"/>
    <w:rsid w:val="0041029C"/>
    <w:rsid w:val="0041034E"/>
    <w:rsid w:val="0041079E"/>
    <w:rsid w:val="0041090C"/>
    <w:rsid w:val="00412233"/>
    <w:rsid w:val="00413236"/>
    <w:rsid w:val="004149BD"/>
    <w:rsid w:val="00414C21"/>
    <w:rsid w:val="00416638"/>
    <w:rsid w:val="004166E4"/>
    <w:rsid w:val="004178E3"/>
    <w:rsid w:val="004205DF"/>
    <w:rsid w:val="00420D15"/>
    <w:rsid w:val="004235BF"/>
    <w:rsid w:val="0042556E"/>
    <w:rsid w:val="00426AB0"/>
    <w:rsid w:val="004274E9"/>
    <w:rsid w:val="0042760C"/>
    <w:rsid w:val="00430AB4"/>
    <w:rsid w:val="004315A1"/>
    <w:rsid w:val="0043161F"/>
    <w:rsid w:val="00431E43"/>
    <w:rsid w:val="00432C9F"/>
    <w:rsid w:val="00433F25"/>
    <w:rsid w:val="00434BD7"/>
    <w:rsid w:val="004351DE"/>
    <w:rsid w:val="004352E0"/>
    <w:rsid w:val="0043665A"/>
    <w:rsid w:val="0044262B"/>
    <w:rsid w:val="00443770"/>
    <w:rsid w:val="0044461E"/>
    <w:rsid w:val="00444963"/>
    <w:rsid w:val="00444A8B"/>
    <w:rsid w:val="00444AFA"/>
    <w:rsid w:val="004461A2"/>
    <w:rsid w:val="00446D33"/>
    <w:rsid w:val="00450A94"/>
    <w:rsid w:val="004510F9"/>
    <w:rsid w:val="004519EC"/>
    <w:rsid w:val="00452AC9"/>
    <w:rsid w:val="00453874"/>
    <w:rsid w:val="00455092"/>
    <w:rsid w:val="00462C7B"/>
    <w:rsid w:val="00464458"/>
    <w:rsid w:val="004664C5"/>
    <w:rsid w:val="004666C2"/>
    <w:rsid w:val="00466C4C"/>
    <w:rsid w:val="00467DF6"/>
    <w:rsid w:val="004705F3"/>
    <w:rsid w:val="00471CD5"/>
    <w:rsid w:val="00471DD6"/>
    <w:rsid w:val="004728C6"/>
    <w:rsid w:val="00473F02"/>
    <w:rsid w:val="0047703B"/>
    <w:rsid w:val="004774BE"/>
    <w:rsid w:val="004811C9"/>
    <w:rsid w:val="004820AB"/>
    <w:rsid w:val="00482249"/>
    <w:rsid w:val="00482850"/>
    <w:rsid w:val="00483BF3"/>
    <w:rsid w:val="00484959"/>
    <w:rsid w:val="00485047"/>
    <w:rsid w:val="0048597A"/>
    <w:rsid w:val="00485BEA"/>
    <w:rsid w:val="004860CB"/>
    <w:rsid w:val="00486818"/>
    <w:rsid w:val="00486932"/>
    <w:rsid w:val="004906F2"/>
    <w:rsid w:val="00490DB9"/>
    <w:rsid w:val="00490E0A"/>
    <w:rsid w:val="0049471C"/>
    <w:rsid w:val="00495309"/>
    <w:rsid w:val="004973CE"/>
    <w:rsid w:val="004A0C58"/>
    <w:rsid w:val="004A2D23"/>
    <w:rsid w:val="004A31DA"/>
    <w:rsid w:val="004A448A"/>
    <w:rsid w:val="004A71F1"/>
    <w:rsid w:val="004A76E5"/>
    <w:rsid w:val="004B1174"/>
    <w:rsid w:val="004B134F"/>
    <w:rsid w:val="004B30F9"/>
    <w:rsid w:val="004B31C0"/>
    <w:rsid w:val="004B36AA"/>
    <w:rsid w:val="004B52EE"/>
    <w:rsid w:val="004B5CEA"/>
    <w:rsid w:val="004B5E75"/>
    <w:rsid w:val="004C0C81"/>
    <w:rsid w:val="004C199E"/>
    <w:rsid w:val="004C1E19"/>
    <w:rsid w:val="004C2CFB"/>
    <w:rsid w:val="004C458D"/>
    <w:rsid w:val="004C514B"/>
    <w:rsid w:val="004C57DB"/>
    <w:rsid w:val="004C6569"/>
    <w:rsid w:val="004D0B9A"/>
    <w:rsid w:val="004D0CD1"/>
    <w:rsid w:val="004D3073"/>
    <w:rsid w:val="004D3FA7"/>
    <w:rsid w:val="004D411E"/>
    <w:rsid w:val="004D4E00"/>
    <w:rsid w:val="004D4E38"/>
    <w:rsid w:val="004D5CBC"/>
    <w:rsid w:val="004D6741"/>
    <w:rsid w:val="004D7EC4"/>
    <w:rsid w:val="004E23A6"/>
    <w:rsid w:val="004E59AF"/>
    <w:rsid w:val="004E6E27"/>
    <w:rsid w:val="004E77F2"/>
    <w:rsid w:val="004F12FD"/>
    <w:rsid w:val="004F1432"/>
    <w:rsid w:val="004F270E"/>
    <w:rsid w:val="004F379B"/>
    <w:rsid w:val="004F6317"/>
    <w:rsid w:val="004F6528"/>
    <w:rsid w:val="004F755B"/>
    <w:rsid w:val="0050006B"/>
    <w:rsid w:val="00501562"/>
    <w:rsid w:val="00502235"/>
    <w:rsid w:val="00505924"/>
    <w:rsid w:val="00505B6C"/>
    <w:rsid w:val="00505CFC"/>
    <w:rsid w:val="00507429"/>
    <w:rsid w:val="00507B83"/>
    <w:rsid w:val="00507C69"/>
    <w:rsid w:val="00510684"/>
    <w:rsid w:val="005109BF"/>
    <w:rsid w:val="00510A7A"/>
    <w:rsid w:val="00512347"/>
    <w:rsid w:val="0051283B"/>
    <w:rsid w:val="00512C20"/>
    <w:rsid w:val="00512E64"/>
    <w:rsid w:val="00513012"/>
    <w:rsid w:val="00513F1E"/>
    <w:rsid w:val="00514556"/>
    <w:rsid w:val="005170C0"/>
    <w:rsid w:val="0052010E"/>
    <w:rsid w:val="0052063E"/>
    <w:rsid w:val="00520F57"/>
    <w:rsid w:val="0052253A"/>
    <w:rsid w:val="00522EF6"/>
    <w:rsid w:val="00523CC0"/>
    <w:rsid w:val="00523DF3"/>
    <w:rsid w:val="00523E86"/>
    <w:rsid w:val="00525F8E"/>
    <w:rsid w:val="00527531"/>
    <w:rsid w:val="005275F2"/>
    <w:rsid w:val="00527BE6"/>
    <w:rsid w:val="00527FD7"/>
    <w:rsid w:val="00531939"/>
    <w:rsid w:val="00532627"/>
    <w:rsid w:val="005338A3"/>
    <w:rsid w:val="00533EE7"/>
    <w:rsid w:val="005351C8"/>
    <w:rsid w:val="00535419"/>
    <w:rsid w:val="005368C9"/>
    <w:rsid w:val="00536C7B"/>
    <w:rsid w:val="005416FA"/>
    <w:rsid w:val="0054264A"/>
    <w:rsid w:val="005435B9"/>
    <w:rsid w:val="00543B56"/>
    <w:rsid w:val="00545BE2"/>
    <w:rsid w:val="00547F18"/>
    <w:rsid w:val="00550B75"/>
    <w:rsid w:val="0055199A"/>
    <w:rsid w:val="00551B1B"/>
    <w:rsid w:val="00553A41"/>
    <w:rsid w:val="00555AA1"/>
    <w:rsid w:val="00556E10"/>
    <w:rsid w:val="00557033"/>
    <w:rsid w:val="005630FC"/>
    <w:rsid w:val="00563A54"/>
    <w:rsid w:val="00564B25"/>
    <w:rsid w:val="005651E7"/>
    <w:rsid w:val="00566131"/>
    <w:rsid w:val="00566B38"/>
    <w:rsid w:val="0057022F"/>
    <w:rsid w:val="00570873"/>
    <w:rsid w:val="0057150F"/>
    <w:rsid w:val="005718AD"/>
    <w:rsid w:val="00571C61"/>
    <w:rsid w:val="00571FC5"/>
    <w:rsid w:val="005727C9"/>
    <w:rsid w:val="00572D7B"/>
    <w:rsid w:val="005734DC"/>
    <w:rsid w:val="0057629F"/>
    <w:rsid w:val="00577CBC"/>
    <w:rsid w:val="00582168"/>
    <w:rsid w:val="0058223A"/>
    <w:rsid w:val="00582F5D"/>
    <w:rsid w:val="005830DD"/>
    <w:rsid w:val="005843F0"/>
    <w:rsid w:val="00585075"/>
    <w:rsid w:val="00585651"/>
    <w:rsid w:val="00587747"/>
    <w:rsid w:val="00587DA4"/>
    <w:rsid w:val="00587DD7"/>
    <w:rsid w:val="005903A8"/>
    <w:rsid w:val="005903E4"/>
    <w:rsid w:val="00591440"/>
    <w:rsid w:val="00592948"/>
    <w:rsid w:val="00593CF2"/>
    <w:rsid w:val="00594D0D"/>
    <w:rsid w:val="005961DF"/>
    <w:rsid w:val="005A00D4"/>
    <w:rsid w:val="005A1794"/>
    <w:rsid w:val="005A3B54"/>
    <w:rsid w:val="005A463C"/>
    <w:rsid w:val="005A58B5"/>
    <w:rsid w:val="005A754A"/>
    <w:rsid w:val="005A7BEA"/>
    <w:rsid w:val="005B112E"/>
    <w:rsid w:val="005B1F78"/>
    <w:rsid w:val="005B2444"/>
    <w:rsid w:val="005B31F0"/>
    <w:rsid w:val="005B3616"/>
    <w:rsid w:val="005B3C2C"/>
    <w:rsid w:val="005B4B58"/>
    <w:rsid w:val="005B50AD"/>
    <w:rsid w:val="005B558B"/>
    <w:rsid w:val="005B5E54"/>
    <w:rsid w:val="005B640A"/>
    <w:rsid w:val="005B7F15"/>
    <w:rsid w:val="005C0F46"/>
    <w:rsid w:val="005C1821"/>
    <w:rsid w:val="005C19BE"/>
    <w:rsid w:val="005C1C84"/>
    <w:rsid w:val="005C3AA3"/>
    <w:rsid w:val="005C48DE"/>
    <w:rsid w:val="005D0157"/>
    <w:rsid w:val="005D1EBA"/>
    <w:rsid w:val="005D2C63"/>
    <w:rsid w:val="005D336C"/>
    <w:rsid w:val="005D4276"/>
    <w:rsid w:val="005D5731"/>
    <w:rsid w:val="005D5A9B"/>
    <w:rsid w:val="005E3CBF"/>
    <w:rsid w:val="005E46A5"/>
    <w:rsid w:val="005E6F52"/>
    <w:rsid w:val="005F02DA"/>
    <w:rsid w:val="005F23CF"/>
    <w:rsid w:val="005F3548"/>
    <w:rsid w:val="005F496C"/>
    <w:rsid w:val="005F4B09"/>
    <w:rsid w:val="005F568C"/>
    <w:rsid w:val="005F6794"/>
    <w:rsid w:val="005F6DF5"/>
    <w:rsid w:val="005F7641"/>
    <w:rsid w:val="00601290"/>
    <w:rsid w:val="00602D62"/>
    <w:rsid w:val="006035ED"/>
    <w:rsid w:val="00603AF0"/>
    <w:rsid w:val="006047DB"/>
    <w:rsid w:val="00605B5D"/>
    <w:rsid w:val="006109FD"/>
    <w:rsid w:val="00612643"/>
    <w:rsid w:val="0061272F"/>
    <w:rsid w:val="00616B62"/>
    <w:rsid w:val="006179FC"/>
    <w:rsid w:val="00617A2F"/>
    <w:rsid w:val="00621126"/>
    <w:rsid w:val="006217E5"/>
    <w:rsid w:val="00621F2D"/>
    <w:rsid w:val="00622A8A"/>
    <w:rsid w:val="00624829"/>
    <w:rsid w:val="0062516B"/>
    <w:rsid w:val="006259D3"/>
    <w:rsid w:val="006266DA"/>
    <w:rsid w:val="006271C2"/>
    <w:rsid w:val="00627D51"/>
    <w:rsid w:val="0063043D"/>
    <w:rsid w:val="006318C5"/>
    <w:rsid w:val="0063240A"/>
    <w:rsid w:val="006330BA"/>
    <w:rsid w:val="0063460F"/>
    <w:rsid w:val="0063555A"/>
    <w:rsid w:val="00635595"/>
    <w:rsid w:val="006362D5"/>
    <w:rsid w:val="00636D7C"/>
    <w:rsid w:val="00637FBA"/>
    <w:rsid w:val="00640B8F"/>
    <w:rsid w:val="00641B63"/>
    <w:rsid w:val="00643CA1"/>
    <w:rsid w:val="00644BE4"/>
    <w:rsid w:val="006457D0"/>
    <w:rsid w:val="00647DD7"/>
    <w:rsid w:val="006502FB"/>
    <w:rsid w:val="006513A3"/>
    <w:rsid w:val="0065300A"/>
    <w:rsid w:val="00653F3F"/>
    <w:rsid w:val="0065414B"/>
    <w:rsid w:val="00655D6C"/>
    <w:rsid w:val="006560D9"/>
    <w:rsid w:val="00660430"/>
    <w:rsid w:val="00662567"/>
    <w:rsid w:val="00664D91"/>
    <w:rsid w:val="00664DBC"/>
    <w:rsid w:val="00664FE8"/>
    <w:rsid w:val="006657EE"/>
    <w:rsid w:val="00665F84"/>
    <w:rsid w:val="00666B17"/>
    <w:rsid w:val="00667F03"/>
    <w:rsid w:val="00670DCF"/>
    <w:rsid w:val="006732BF"/>
    <w:rsid w:val="00673AC3"/>
    <w:rsid w:val="00675A0C"/>
    <w:rsid w:val="00675C4D"/>
    <w:rsid w:val="00677514"/>
    <w:rsid w:val="00677A0A"/>
    <w:rsid w:val="0068294A"/>
    <w:rsid w:val="00684918"/>
    <w:rsid w:val="00685288"/>
    <w:rsid w:val="00692466"/>
    <w:rsid w:val="00695983"/>
    <w:rsid w:val="00696385"/>
    <w:rsid w:val="006975A6"/>
    <w:rsid w:val="0069774A"/>
    <w:rsid w:val="00697F8F"/>
    <w:rsid w:val="006A0BDE"/>
    <w:rsid w:val="006A16F8"/>
    <w:rsid w:val="006A1DAF"/>
    <w:rsid w:val="006A25E2"/>
    <w:rsid w:val="006A6E9B"/>
    <w:rsid w:val="006B02FC"/>
    <w:rsid w:val="006B291E"/>
    <w:rsid w:val="006B4390"/>
    <w:rsid w:val="006B5763"/>
    <w:rsid w:val="006B624D"/>
    <w:rsid w:val="006B7373"/>
    <w:rsid w:val="006B7406"/>
    <w:rsid w:val="006B7469"/>
    <w:rsid w:val="006B754A"/>
    <w:rsid w:val="006C090F"/>
    <w:rsid w:val="006C24F7"/>
    <w:rsid w:val="006C4AD5"/>
    <w:rsid w:val="006C56E2"/>
    <w:rsid w:val="006C57DC"/>
    <w:rsid w:val="006C7240"/>
    <w:rsid w:val="006C760F"/>
    <w:rsid w:val="006D0AAA"/>
    <w:rsid w:val="006D3463"/>
    <w:rsid w:val="006D3BFA"/>
    <w:rsid w:val="006D5BFD"/>
    <w:rsid w:val="006D5D9F"/>
    <w:rsid w:val="006D68BF"/>
    <w:rsid w:val="006E0749"/>
    <w:rsid w:val="006E1119"/>
    <w:rsid w:val="006E2DF7"/>
    <w:rsid w:val="006E3823"/>
    <w:rsid w:val="006E3E3B"/>
    <w:rsid w:val="006E4459"/>
    <w:rsid w:val="006E5FEC"/>
    <w:rsid w:val="006E72BF"/>
    <w:rsid w:val="006E7523"/>
    <w:rsid w:val="006E753B"/>
    <w:rsid w:val="006E75A5"/>
    <w:rsid w:val="006F0658"/>
    <w:rsid w:val="006F4F2C"/>
    <w:rsid w:val="00700834"/>
    <w:rsid w:val="00700E68"/>
    <w:rsid w:val="007022A3"/>
    <w:rsid w:val="007029D1"/>
    <w:rsid w:val="007046D3"/>
    <w:rsid w:val="007052C9"/>
    <w:rsid w:val="00705351"/>
    <w:rsid w:val="0070624A"/>
    <w:rsid w:val="00707494"/>
    <w:rsid w:val="0071062B"/>
    <w:rsid w:val="00713150"/>
    <w:rsid w:val="007141BA"/>
    <w:rsid w:val="00714532"/>
    <w:rsid w:val="00715A6C"/>
    <w:rsid w:val="00715FC4"/>
    <w:rsid w:val="007160EB"/>
    <w:rsid w:val="00716ADA"/>
    <w:rsid w:val="00717594"/>
    <w:rsid w:val="00722964"/>
    <w:rsid w:val="00722A37"/>
    <w:rsid w:val="00723666"/>
    <w:rsid w:val="00723741"/>
    <w:rsid w:val="007269F1"/>
    <w:rsid w:val="007271AD"/>
    <w:rsid w:val="0072748D"/>
    <w:rsid w:val="00727C15"/>
    <w:rsid w:val="007319D4"/>
    <w:rsid w:val="0073364C"/>
    <w:rsid w:val="00733962"/>
    <w:rsid w:val="00734BA0"/>
    <w:rsid w:val="00735595"/>
    <w:rsid w:val="00735D45"/>
    <w:rsid w:val="00737A2A"/>
    <w:rsid w:val="00740517"/>
    <w:rsid w:val="007408C2"/>
    <w:rsid w:val="007410A5"/>
    <w:rsid w:val="007420B7"/>
    <w:rsid w:val="00743DA8"/>
    <w:rsid w:val="007443C8"/>
    <w:rsid w:val="00745151"/>
    <w:rsid w:val="007457D0"/>
    <w:rsid w:val="00745DEC"/>
    <w:rsid w:val="007477E8"/>
    <w:rsid w:val="00750535"/>
    <w:rsid w:val="007523FA"/>
    <w:rsid w:val="00754A8B"/>
    <w:rsid w:val="007555BF"/>
    <w:rsid w:val="0075764B"/>
    <w:rsid w:val="00761368"/>
    <w:rsid w:val="00762104"/>
    <w:rsid w:val="00763F1F"/>
    <w:rsid w:val="00764EF8"/>
    <w:rsid w:val="00765E4E"/>
    <w:rsid w:val="00766862"/>
    <w:rsid w:val="0076740B"/>
    <w:rsid w:val="007735B6"/>
    <w:rsid w:val="0077513A"/>
    <w:rsid w:val="00775218"/>
    <w:rsid w:val="00775496"/>
    <w:rsid w:val="00781A23"/>
    <w:rsid w:val="007832E1"/>
    <w:rsid w:val="00784753"/>
    <w:rsid w:val="00784D59"/>
    <w:rsid w:val="00787051"/>
    <w:rsid w:val="0078787C"/>
    <w:rsid w:val="00791CEF"/>
    <w:rsid w:val="007926A1"/>
    <w:rsid w:val="00792C1D"/>
    <w:rsid w:val="00792D13"/>
    <w:rsid w:val="007934B7"/>
    <w:rsid w:val="007936E3"/>
    <w:rsid w:val="0079428E"/>
    <w:rsid w:val="00794A88"/>
    <w:rsid w:val="00796B33"/>
    <w:rsid w:val="007A0B02"/>
    <w:rsid w:val="007A2371"/>
    <w:rsid w:val="007A24BD"/>
    <w:rsid w:val="007A3B93"/>
    <w:rsid w:val="007A3EE5"/>
    <w:rsid w:val="007A4561"/>
    <w:rsid w:val="007A46A7"/>
    <w:rsid w:val="007A4DE1"/>
    <w:rsid w:val="007A596A"/>
    <w:rsid w:val="007A5F81"/>
    <w:rsid w:val="007A62F0"/>
    <w:rsid w:val="007A63FB"/>
    <w:rsid w:val="007A7886"/>
    <w:rsid w:val="007B35D0"/>
    <w:rsid w:val="007B47F8"/>
    <w:rsid w:val="007B71A1"/>
    <w:rsid w:val="007C1B26"/>
    <w:rsid w:val="007C1CDF"/>
    <w:rsid w:val="007C2DD8"/>
    <w:rsid w:val="007C4044"/>
    <w:rsid w:val="007C4EF2"/>
    <w:rsid w:val="007C5F00"/>
    <w:rsid w:val="007C7A8B"/>
    <w:rsid w:val="007D0879"/>
    <w:rsid w:val="007D377A"/>
    <w:rsid w:val="007D4E39"/>
    <w:rsid w:val="007D63B3"/>
    <w:rsid w:val="007D797F"/>
    <w:rsid w:val="007D7D4B"/>
    <w:rsid w:val="007E2EDA"/>
    <w:rsid w:val="007E354A"/>
    <w:rsid w:val="007E5BBD"/>
    <w:rsid w:val="007E69E1"/>
    <w:rsid w:val="007E6D88"/>
    <w:rsid w:val="007F1C2F"/>
    <w:rsid w:val="007F2268"/>
    <w:rsid w:val="007F2925"/>
    <w:rsid w:val="007F317C"/>
    <w:rsid w:val="007F3247"/>
    <w:rsid w:val="007F32B0"/>
    <w:rsid w:val="007F3AC9"/>
    <w:rsid w:val="007F4D55"/>
    <w:rsid w:val="007F5543"/>
    <w:rsid w:val="007F697E"/>
    <w:rsid w:val="00800341"/>
    <w:rsid w:val="00800BA7"/>
    <w:rsid w:val="00800FDD"/>
    <w:rsid w:val="00801A78"/>
    <w:rsid w:val="008026AB"/>
    <w:rsid w:val="008027FB"/>
    <w:rsid w:val="0080324F"/>
    <w:rsid w:val="00803D60"/>
    <w:rsid w:val="0080445E"/>
    <w:rsid w:val="00805937"/>
    <w:rsid w:val="00810788"/>
    <w:rsid w:val="00811A0D"/>
    <w:rsid w:val="00811DE5"/>
    <w:rsid w:val="008120E2"/>
    <w:rsid w:val="00812611"/>
    <w:rsid w:val="008132AF"/>
    <w:rsid w:val="00813A76"/>
    <w:rsid w:val="00814E11"/>
    <w:rsid w:val="0081693F"/>
    <w:rsid w:val="00817AC0"/>
    <w:rsid w:val="00822FE1"/>
    <w:rsid w:val="008249B9"/>
    <w:rsid w:val="008270D4"/>
    <w:rsid w:val="00827A03"/>
    <w:rsid w:val="00830363"/>
    <w:rsid w:val="00830BF0"/>
    <w:rsid w:val="00831FF3"/>
    <w:rsid w:val="008325C8"/>
    <w:rsid w:val="008329B1"/>
    <w:rsid w:val="008338F9"/>
    <w:rsid w:val="0083397C"/>
    <w:rsid w:val="008341AC"/>
    <w:rsid w:val="00834581"/>
    <w:rsid w:val="00834DB8"/>
    <w:rsid w:val="008351BA"/>
    <w:rsid w:val="0083647B"/>
    <w:rsid w:val="0083650C"/>
    <w:rsid w:val="00836BAA"/>
    <w:rsid w:val="00837F3E"/>
    <w:rsid w:val="00841CBF"/>
    <w:rsid w:val="00842703"/>
    <w:rsid w:val="00843EFC"/>
    <w:rsid w:val="00844B6E"/>
    <w:rsid w:val="00846985"/>
    <w:rsid w:val="00852581"/>
    <w:rsid w:val="00853BF8"/>
    <w:rsid w:val="008540D2"/>
    <w:rsid w:val="00854381"/>
    <w:rsid w:val="00854A69"/>
    <w:rsid w:val="008603D9"/>
    <w:rsid w:val="00862616"/>
    <w:rsid w:val="008659F6"/>
    <w:rsid w:val="008661E8"/>
    <w:rsid w:val="00867154"/>
    <w:rsid w:val="00871A06"/>
    <w:rsid w:val="0087201D"/>
    <w:rsid w:val="00877D40"/>
    <w:rsid w:val="00880EA8"/>
    <w:rsid w:val="00882173"/>
    <w:rsid w:val="00882383"/>
    <w:rsid w:val="008826B5"/>
    <w:rsid w:val="0088461F"/>
    <w:rsid w:val="008856BD"/>
    <w:rsid w:val="008864C4"/>
    <w:rsid w:val="00887810"/>
    <w:rsid w:val="0089285E"/>
    <w:rsid w:val="00895467"/>
    <w:rsid w:val="00895CB2"/>
    <w:rsid w:val="0089751C"/>
    <w:rsid w:val="008975BA"/>
    <w:rsid w:val="008A0110"/>
    <w:rsid w:val="008A014D"/>
    <w:rsid w:val="008A229F"/>
    <w:rsid w:val="008A23D8"/>
    <w:rsid w:val="008A369E"/>
    <w:rsid w:val="008A420E"/>
    <w:rsid w:val="008A62FC"/>
    <w:rsid w:val="008A6B5C"/>
    <w:rsid w:val="008B0FA6"/>
    <w:rsid w:val="008B1759"/>
    <w:rsid w:val="008B4CB9"/>
    <w:rsid w:val="008B4F80"/>
    <w:rsid w:val="008B568C"/>
    <w:rsid w:val="008B59CD"/>
    <w:rsid w:val="008B5A8A"/>
    <w:rsid w:val="008B5F49"/>
    <w:rsid w:val="008B716F"/>
    <w:rsid w:val="008B7759"/>
    <w:rsid w:val="008C1F79"/>
    <w:rsid w:val="008C509C"/>
    <w:rsid w:val="008D12F5"/>
    <w:rsid w:val="008D1D3A"/>
    <w:rsid w:val="008D23ED"/>
    <w:rsid w:val="008D2687"/>
    <w:rsid w:val="008D2D3C"/>
    <w:rsid w:val="008D447E"/>
    <w:rsid w:val="008E07E0"/>
    <w:rsid w:val="008E166E"/>
    <w:rsid w:val="008E1C0D"/>
    <w:rsid w:val="008E1D4E"/>
    <w:rsid w:val="008E2524"/>
    <w:rsid w:val="008E2FC5"/>
    <w:rsid w:val="008E497E"/>
    <w:rsid w:val="008E5063"/>
    <w:rsid w:val="008E6C64"/>
    <w:rsid w:val="008E7AAC"/>
    <w:rsid w:val="008F3D4B"/>
    <w:rsid w:val="008F4D08"/>
    <w:rsid w:val="008F6B38"/>
    <w:rsid w:val="008F6EFB"/>
    <w:rsid w:val="009007DF"/>
    <w:rsid w:val="00900C50"/>
    <w:rsid w:val="00901662"/>
    <w:rsid w:val="00901D2D"/>
    <w:rsid w:val="009021F6"/>
    <w:rsid w:val="00902C65"/>
    <w:rsid w:val="00902DEC"/>
    <w:rsid w:val="009046C4"/>
    <w:rsid w:val="00904F16"/>
    <w:rsid w:val="00905CD8"/>
    <w:rsid w:val="00907495"/>
    <w:rsid w:val="0091297C"/>
    <w:rsid w:val="009136EE"/>
    <w:rsid w:val="00915CA3"/>
    <w:rsid w:val="0091716E"/>
    <w:rsid w:val="009174B4"/>
    <w:rsid w:val="00917938"/>
    <w:rsid w:val="009207CF"/>
    <w:rsid w:val="00920B01"/>
    <w:rsid w:val="00921329"/>
    <w:rsid w:val="00923570"/>
    <w:rsid w:val="00924E18"/>
    <w:rsid w:val="009256DE"/>
    <w:rsid w:val="009272F6"/>
    <w:rsid w:val="00930403"/>
    <w:rsid w:val="00930F00"/>
    <w:rsid w:val="00930F72"/>
    <w:rsid w:val="0093130F"/>
    <w:rsid w:val="0093135F"/>
    <w:rsid w:val="009334B9"/>
    <w:rsid w:val="00933ADA"/>
    <w:rsid w:val="009348BE"/>
    <w:rsid w:val="0093690F"/>
    <w:rsid w:val="00936FB9"/>
    <w:rsid w:val="00937846"/>
    <w:rsid w:val="009435C5"/>
    <w:rsid w:val="0094363C"/>
    <w:rsid w:val="0094398B"/>
    <w:rsid w:val="00943BAF"/>
    <w:rsid w:val="00943CC8"/>
    <w:rsid w:val="00943EEA"/>
    <w:rsid w:val="00944513"/>
    <w:rsid w:val="009447E1"/>
    <w:rsid w:val="0095062A"/>
    <w:rsid w:val="009513A0"/>
    <w:rsid w:val="0095159A"/>
    <w:rsid w:val="0095160C"/>
    <w:rsid w:val="00951993"/>
    <w:rsid w:val="0095357A"/>
    <w:rsid w:val="009538D3"/>
    <w:rsid w:val="00953E7A"/>
    <w:rsid w:val="00954F24"/>
    <w:rsid w:val="00955300"/>
    <w:rsid w:val="00955312"/>
    <w:rsid w:val="00955783"/>
    <w:rsid w:val="00956399"/>
    <w:rsid w:val="00956A2E"/>
    <w:rsid w:val="00956ABC"/>
    <w:rsid w:val="00957529"/>
    <w:rsid w:val="009579E6"/>
    <w:rsid w:val="00957D05"/>
    <w:rsid w:val="009605F9"/>
    <w:rsid w:val="00960B88"/>
    <w:rsid w:val="00961151"/>
    <w:rsid w:val="0096133E"/>
    <w:rsid w:val="00963033"/>
    <w:rsid w:val="009673B3"/>
    <w:rsid w:val="00970873"/>
    <w:rsid w:val="0097097F"/>
    <w:rsid w:val="00971AEC"/>
    <w:rsid w:val="00971B52"/>
    <w:rsid w:val="00973B01"/>
    <w:rsid w:val="00973BCC"/>
    <w:rsid w:val="00974EAD"/>
    <w:rsid w:val="00975D0F"/>
    <w:rsid w:val="0097764D"/>
    <w:rsid w:val="00977EAC"/>
    <w:rsid w:val="00981F23"/>
    <w:rsid w:val="00982509"/>
    <w:rsid w:val="0098276B"/>
    <w:rsid w:val="00982D33"/>
    <w:rsid w:val="009840D5"/>
    <w:rsid w:val="00984964"/>
    <w:rsid w:val="00984E75"/>
    <w:rsid w:val="009906D1"/>
    <w:rsid w:val="009907C6"/>
    <w:rsid w:val="009909DB"/>
    <w:rsid w:val="00992743"/>
    <w:rsid w:val="00993A97"/>
    <w:rsid w:val="00994237"/>
    <w:rsid w:val="00996058"/>
    <w:rsid w:val="00996172"/>
    <w:rsid w:val="00996756"/>
    <w:rsid w:val="0099701E"/>
    <w:rsid w:val="00997501"/>
    <w:rsid w:val="009A06B9"/>
    <w:rsid w:val="009A06F0"/>
    <w:rsid w:val="009A1038"/>
    <w:rsid w:val="009A3BFD"/>
    <w:rsid w:val="009A3CB8"/>
    <w:rsid w:val="009A3FDD"/>
    <w:rsid w:val="009B10F4"/>
    <w:rsid w:val="009B17B1"/>
    <w:rsid w:val="009B1FF1"/>
    <w:rsid w:val="009B3061"/>
    <w:rsid w:val="009B4319"/>
    <w:rsid w:val="009B6151"/>
    <w:rsid w:val="009B6806"/>
    <w:rsid w:val="009B6A91"/>
    <w:rsid w:val="009B6DAC"/>
    <w:rsid w:val="009B7018"/>
    <w:rsid w:val="009B7093"/>
    <w:rsid w:val="009B75D5"/>
    <w:rsid w:val="009B7903"/>
    <w:rsid w:val="009C0392"/>
    <w:rsid w:val="009C0CF9"/>
    <w:rsid w:val="009C18FE"/>
    <w:rsid w:val="009C2561"/>
    <w:rsid w:val="009C3D48"/>
    <w:rsid w:val="009C4A22"/>
    <w:rsid w:val="009C4EE4"/>
    <w:rsid w:val="009C553F"/>
    <w:rsid w:val="009C75AC"/>
    <w:rsid w:val="009D140C"/>
    <w:rsid w:val="009D395F"/>
    <w:rsid w:val="009D562B"/>
    <w:rsid w:val="009D57D4"/>
    <w:rsid w:val="009D59F9"/>
    <w:rsid w:val="009D694F"/>
    <w:rsid w:val="009D6FB4"/>
    <w:rsid w:val="009D70DF"/>
    <w:rsid w:val="009E0AC9"/>
    <w:rsid w:val="009E1E46"/>
    <w:rsid w:val="009E2ACE"/>
    <w:rsid w:val="009E336A"/>
    <w:rsid w:val="009E3786"/>
    <w:rsid w:val="009E571C"/>
    <w:rsid w:val="009E6A70"/>
    <w:rsid w:val="009E7A89"/>
    <w:rsid w:val="009F0F5C"/>
    <w:rsid w:val="009F16EF"/>
    <w:rsid w:val="009F5A90"/>
    <w:rsid w:val="00A01329"/>
    <w:rsid w:val="00A0590D"/>
    <w:rsid w:val="00A05A59"/>
    <w:rsid w:val="00A06041"/>
    <w:rsid w:val="00A11429"/>
    <w:rsid w:val="00A1155D"/>
    <w:rsid w:val="00A12713"/>
    <w:rsid w:val="00A13AE8"/>
    <w:rsid w:val="00A15542"/>
    <w:rsid w:val="00A215D2"/>
    <w:rsid w:val="00A22B8E"/>
    <w:rsid w:val="00A22FAB"/>
    <w:rsid w:val="00A2337B"/>
    <w:rsid w:val="00A23715"/>
    <w:rsid w:val="00A251AD"/>
    <w:rsid w:val="00A261EE"/>
    <w:rsid w:val="00A26850"/>
    <w:rsid w:val="00A26DCB"/>
    <w:rsid w:val="00A279F6"/>
    <w:rsid w:val="00A30485"/>
    <w:rsid w:val="00A305F4"/>
    <w:rsid w:val="00A31FFE"/>
    <w:rsid w:val="00A32176"/>
    <w:rsid w:val="00A328A3"/>
    <w:rsid w:val="00A3358C"/>
    <w:rsid w:val="00A363D3"/>
    <w:rsid w:val="00A37B96"/>
    <w:rsid w:val="00A37C87"/>
    <w:rsid w:val="00A40F0F"/>
    <w:rsid w:val="00A43AE4"/>
    <w:rsid w:val="00A44A2B"/>
    <w:rsid w:val="00A451B9"/>
    <w:rsid w:val="00A4567B"/>
    <w:rsid w:val="00A46A38"/>
    <w:rsid w:val="00A471CB"/>
    <w:rsid w:val="00A5148A"/>
    <w:rsid w:val="00A51B9D"/>
    <w:rsid w:val="00A5349F"/>
    <w:rsid w:val="00A53B15"/>
    <w:rsid w:val="00A567BE"/>
    <w:rsid w:val="00A56AE4"/>
    <w:rsid w:val="00A57AD7"/>
    <w:rsid w:val="00A60636"/>
    <w:rsid w:val="00A612FF"/>
    <w:rsid w:val="00A62DCF"/>
    <w:rsid w:val="00A63A22"/>
    <w:rsid w:val="00A63DFD"/>
    <w:rsid w:val="00A6529D"/>
    <w:rsid w:val="00A660EE"/>
    <w:rsid w:val="00A6742E"/>
    <w:rsid w:val="00A72579"/>
    <w:rsid w:val="00A726DB"/>
    <w:rsid w:val="00A7374C"/>
    <w:rsid w:val="00A77784"/>
    <w:rsid w:val="00A802C6"/>
    <w:rsid w:val="00A80D1B"/>
    <w:rsid w:val="00A827F5"/>
    <w:rsid w:val="00A82FC9"/>
    <w:rsid w:val="00A84C14"/>
    <w:rsid w:val="00A84FB5"/>
    <w:rsid w:val="00A865BE"/>
    <w:rsid w:val="00A8769E"/>
    <w:rsid w:val="00A87EB0"/>
    <w:rsid w:val="00A90A22"/>
    <w:rsid w:val="00A90FAA"/>
    <w:rsid w:val="00A913A9"/>
    <w:rsid w:val="00A93D9E"/>
    <w:rsid w:val="00A94D63"/>
    <w:rsid w:val="00A95489"/>
    <w:rsid w:val="00AA14C3"/>
    <w:rsid w:val="00AA2DD1"/>
    <w:rsid w:val="00AA5285"/>
    <w:rsid w:val="00AB071C"/>
    <w:rsid w:val="00AB12B4"/>
    <w:rsid w:val="00AB1812"/>
    <w:rsid w:val="00AB1F38"/>
    <w:rsid w:val="00AB1FBA"/>
    <w:rsid w:val="00AB38CA"/>
    <w:rsid w:val="00AB4244"/>
    <w:rsid w:val="00AB427F"/>
    <w:rsid w:val="00AB4B0E"/>
    <w:rsid w:val="00AB4D89"/>
    <w:rsid w:val="00AB566E"/>
    <w:rsid w:val="00AB6C2F"/>
    <w:rsid w:val="00AB6D90"/>
    <w:rsid w:val="00AC0701"/>
    <w:rsid w:val="00AC13D0"/>
    <w:rsid w:val="00AC2D1E"/>
    <w:rsid w:val="00AC5AD1"/>
    <w:rsid w:val="00AC6A03"/>
    <w:rsid w:val="00AD0A60"/>
    <w:rsid w:val="00AD1CEE"/>
    <w:rsid w:val="00AD1DC7"/>
    <w:rsid w:val="00AD2890"/>
    <w:rsid w:val="00AD2C1D"/>
    <w:rsid w:val="00AD4766"/>
    <w:rsid w:val="00AD5130"/>
    <w:rsid w:val="00AD644D"/>
    <w:rsid w:val="00AD677E"/>
    <w:rsid w:val="00AD7347"/>
    <w:rsid w:val="00AE07AD"/>
    <w:rsid w:val="00AE08EA"/>
    <w:rsid w:val="00AE346B"/>
    <w:rsid w:val="00AE3C26"/>
    <w:rsid w:val="00AE3E18"/>
    <w:rsid w:val="00AE5160"/>
    <w:rsid w:val="00AF04D6"/>
    <w:rsid w:val="00AF2AE9"/>
    <w:rsid w:val="00AF4F74"/>
    <w:rsid w:val="00AF5BA4"/>
    <w:rsid w:val="00AF5C04"/>
    <w:rsid w:val="00AF5D67"/>
    <w:rsid w:val="00AF6041"/>
    <w:rsid w:val="00AF67A4"/>
    <w:rsid w:val="00AF68C7"/>
    <w:rsid w:val="00AF6E8E"/>
    <w:rsid w:val="00B00FE1"/>
    <w:rsid w:val="00B0125A"/>
    <w:rsid w:val="00B014FC"/>
    <w:rsid w:val="00B03BBA"/>
    <w:rsid w:val="00B03E0E"/>
    <w:rsid w:val="00B0741B"/>
    <w:rsid w:val="00B07608"/>
    <w:rsid w:val="00B124F7"/>
    <w:rsid w:val="00B12A67"/>
    <w:rsid w:val="00B12BF4"/>
    <w:rsid w:val="00B12F96"/>
    <w:rsid w:val="00B1337A"/>
    <w:rsid w:val="00B14088"/>
    <w:rsid w:val="00B1581E"/>
    <w:rsid w:val="00B16D93"/>
    <w:rsid w:val="00B173ED"/>
    <w:rsid w:val="00B203B3"/>
    <w:rsid w:val="00B20DDC"/>
    <w:rsid w:val="00B21C4A"/>
    <w:rsid w:val="00B240CE"/>
    <w:rsid w:val="00B24F0F"/>
    <w:rsid w:val="00B26EB9"/>
    <w:rsid w:val="00B30E89"/>
    <w:rsid w:val="00B324C1"/>
    <w:rsid w:val="00B33B82"/>
    <w:rsid w:val="00B33E5C"/>
    <w:rsid w:val="00B343A0"/>
    <w:rsid w:val="00B35804"/>
    <w:rsid w:val="00B358E9"/>
    <w:rsid w:val="00B369AB"/>
    <w:rsid w:val="00B37CA1"/>
    <w:rsid w:val="00B40491"/>
    <w:rsid w:val="00B41DE2"/>
    <w:rsid w:val="00B425F0"/>
    <w:rsid w:val="00B4338B"/>
    <w:rsid w:val="00B43C56"/>
    <w:rsid w:val="00B44666"/>
    <w:rsid w:val="00B4690F"/>
    <w:rsid w:val="00B477CD"/>
    <w:rsid w:val="00B479CB"/>
    <w:rsid w:val="00B52227"/>
    <w:rsid w:val="00B523AE"/>
    <w:rsid w:val="00B53CC8"/>
    <w:rsid w:val="00B55169"/>
    <w:rsid w:val="00B551CB"/>
    <w:rsid w:val="00B55617"/>
    <w:rsid w:val="00B57962"/>
    <w:rsid w:val="00B57E73"/>
    <w:rsid w:val="00B60105"/>
    <w:rsid w:val="00B6139D"/>
    <w:rsid w:val="00B63EC4"/>
    <w:rsid w:val="00B646E3"/>
    <w:rsid w:val="00B648B5"/>
    <w:rsid w:val="00B663B5"/>
    <w:rsid w:val="00B66F21"/>
    <w:rsid w:val="00B70C45"/>
    <w:rsid w:val="00B70F02"/>
    <w:rsid w:val="00B7112D"/>
    <w:rsid w:val="00B7180B"/>
    <w:rsid w:val="00B721C1"/>
    <w:rsid w:val="00B72534"/>
    <w:rsid w:val="00B72AC1"/>
    <w:rsid w:val="00B73520"/>
    <w:rsid w:val="00B737B3"/>
    <w:rsid w:val="00B73B88"/>
    <w:rsid w:val="00B74A90"/>
    <w:rsid w:val="00B7648E"/>
    <w:rsid w:val="00B76B1E"/>
    <w:rsid w:val="00B76C97"/>
    <w:rsid w:val="00B80F9E"/>
    <w:rsid w:val="00B818F8"/>
    <w:rsid w:val="00B82F32"/>
    <w:rsid w:val="00B83310"/>
    <w:rsid w:val="00B844BC"/>
    <w:rsid w:val="00B84FFC"/>
    <w:rsid w:val="00B85865"/>
    <w:rsid w:val="00B926B5"/>
    <w:rsid w:val="00B94EA8"/>
    <w:rsid w:val="00B95B41"/>
    <w:rsid w:val="00B96757"/>
    <w:rsid w:val="00B96EB0"/>
    <w:rsid w:val="00B971CF"/>
    <w:rsid w:val="00B97674"/>
    <w:rsid w:val="00B97EE2"/>
    <w:rsid w:val="00BA0D15"/>
    <w:rsid w:val="00BA0EC8"/>
    <w:rsid w:val="00BA2F43"/>
    <w:rsid w:val="00BA46FD"/>
    <w:rsid w:val="00BB1C06"/>
    <w:rsid w:val="00BB2BC3"/>
    <w:rsid w:val="00BB2F4D"/>
    <w:rsid w:val="00BB3100"/>
    <w:rsid w:val="00BB4850"/>
    <w:rsid w:val="00BB4EE1"/>
    <w:rsid w:val="00BB6F74"/>
    <w:rsid w:val="00BB70FE"/>
    <w:rsid w:val="00BC010C"/>
    <w:rsid w:val="00BC0F9D"/>
    <w:rsid w:val="00BC3D25"/>
    <w:rsid w:val="00BC41EB"/>
    <w:rsid w:val="00BC5849"/>
    <w:rsid w:val="00BC5DFE"/>
    <w:rsid w:val="00BC66DA"/>
    <w:rsid w:val="00BC6786"/>
    <w:rsid w:val="00BC6918"/>
    <w:rsid w:val="00BC79B2"/>
    <w:rsid w:val="00BD0794"/>
    <w:rsid w:val="00BD19F8"/>
    <w:rsid w:val="00BD2CF4"/>
    <w:rsid w:val="00BD3946"/>
    <w:rsid w:val="00BD59E7"/>
    <w:rsid w:val="00BD6C06"/>
    <w:rsid w:val="00BE03EE"/>
    <w:rsid w:val="00BE347C"/>
    <w:rsid w:val="00BE39CC"/>
    <w:rsid w:val="00BE4A35"/>
    <w:rsid w:val="00BE5A3A"/>
    <w:rsid w:val="00BE678B"/>
    <w:rsid w:val="00BE7307"/>
    <w:rsid w:val="00BF0007"/>
    <w:rsid w:val="00BF0657"/>
    <w:rsid w:val="00BF3B44"/>
    <w:rsid w:val="00BF50FB"/>
    <w:rsid w:val="00BF63CD"/>
    <w:rsid w:val="00BF6C75"/>
    <w:rsid w:val="00C00E1C"/>
    <w:rsid w:val="00C010FC"/>
    <w:rsid w:val="00C02461"/>
    <w:rsid w:val="00C03DC5"/>
    <w:rsid w:val="00C05A28"/>
    <w:rsid w:val="00C05C8C"/>
    <w:rsid w:val="00C06E4F"/>
    <w:rsid w:val="00C07702"/>
    <w:rsid w:val="00C10E29"/>
    <w:rsid w:val="00C11D48"/>
    <w:rsid w:val="00C129D2"/>
    <w:rsid w:val="00C142C4"/>
    <w:rsid w:val="00C169FB"/>
    <w:rsid w:val="00C21F9D"/>
    <w:rsid w:val="00C228E0"/>
    <w:rsid w:val="00C25126"/>
    <w:rsid w:val="00C258F5"/>
    <w:rsid w:val="00C2699E"/>
    <w:rsid w:val="00C27836"/>
    <w:rsid w:val="00C2787F"/>
    <w:rsid w:val="00C323D6"/>
    <w:rsid w:val="00C3337D"/>
    <w:rsid w:val="00C33558"/>
    <w:rsid w:val="00C34566"/>
    <w:rsid w:val="00C35723"/>
    <w:rsid w:val="00C364F6"/>
    <w:rsid w:val="00C376D8"/>
    <w:rsid w:val="00C377CE"/>
    <w:rsid w:val="00C40968"/>
    <w:rsid w:val="00C40B8F"/>
    <w:rsid w:val="00C45A24"/>
    <w:rsid w:val="00C45F68"/>
    <w:rsid w:val="00C46BD5"/>
    <w:rsid w:val="00C5100B"/>
    <w:rsid w:val="00C51C31"/>
    <w:rsid w:val="00C5318F"/>
    <w:rsid w:val="00C53D48"/>
    <w:rsid w:val="00C56186"/>
    <w:rsid w:val="00C561EC"/>
    <w:rsid w:val="00C60B1A"/>
    <w:rsid w:val="00C611E6"/>
    <w:rsid w:val="00C633F7"/>
    <w:rsid w:val="00C63A7A"/>
    <w:rsid w:val="00C64481"/>
    <w:rsid w:val="00C6465D"/>
    <w:rsid w:val="00C65348"/>
    <w:rsid w:val="00C66235"/>
    <w:rsid w:val="00C66821"/>
    <w:rsid w:val="00C66CAC"/>
    <w:rsid w:val="00C67202"/>
    <w:rsid w:val="00C67369"/>
    <w:rsid w:val="00C70BE8"/>
    <w:rsid w:val="00C72C1B"/>
    <w:rsid w:val="00C738A0"/>
    <w:rsid w:val="00C743FD"/>
    <w:rsid w:val="00C7523C"/>
    <w:rsid w:val="00C80153"/>
    <w:rsid w:val="00C81760"/>
    <w:rsid w:val="00C829C8"/>
    <w:rsid w:val="00C82C88"/>
    <w:rsid w:val="00C853D3"/>
    <w:rsid w:val="00C8745C"/>
    <w:rsid w:val="00C92CF0"/>
    <w:rsid w:val="00C92D93"/>
    <w:rsid w:val="00C93816"/>
    <w:rsid w:val="00C94BA8"/>
    <w:rsid w:val="00C9729F"/>
    <w:rsid w:val="00CA24B9"/>
    <w:rsid w:val="00CA2F1A"/>
    <w:rsid w:val="00CA3986"/>
    <w:rsid w:val="00CA3CBC"/>
    <w:rsid w:val="00CA451B"/>
    <w:rsid w:val="00CA5DBE"/>
    <w:rsid w:val="00CA681B"/>
    <w:rsid w:val="00CA7A9F"/>
    <w:rsid w:val="00CA7AFF"/>
    <w:rsid w:val="00CB16A8"/>
    <w:rsid w:val="00CB3BB7"/>
    <w:rsid w:val="00CB41C2"/>
    <w:rsid w:val="00CB48CF"/>
    <w:rsid w:val="00CB55EE"/>
    <w:rsid w:val="00CB5BAC"/>
    <w:rsid w:val="00CB658E"/>
    <w:rsid w:val="00CC1FF2"/>
    <w:rsid w:val="00CC21D9"/>
    <w:rsid w:val="00CC603B"/>
    <w:rsid w:val="00CC74BE"/>
    <w:rsid w:val="00CD064B"/>
    <w:rsid w:val="00CD0B4C"/>
    <w:rsid w:val="00CD0CB0"/>
    <w:rsid w:val="00CD6DE6"/>
    <w:rsid w:val="00CD78E0"/>
    <w:rsid w:val="00CE1C96"/>
    <w:rsid w:val="00CE399B"/>
    <w:rsid w:val="00CE3ADF"/>
    <w:rsid w:val="00CE6710"/>
    <w:rsid w:val="00CE690B"/>
    <w:rsid w:val="00CE6B23"/>
    <w:rsid w:val="00CE7CD6"/>
    <w:rsid w:val="00CE7D71"/>
    <w:rsid w:val="00CF0512"/>
    <w:rsid w:val="00CF37A0"/>
    <w:rsid w:val="00CF3CFE"/>
    <w:rsid w:val="00CF3DD3"/>
    <w:rsid w:val="00CF51D2"/>
    <w:rsid w:val="00CF64A7"/>
    <w:rsid w:val="00CF6E1D"/>
    <w:rsid w:val="00CF72B9"/>
    <w:rsid w:val="00CF7596"/>
    <w:rsid w:val="00D0218B"/>
    <w:rsid w:val="00D03049"/>
    <w:rsid w:val="00D0438D"/>
    <w:rsid w:val="00D04A84"/>
    <w:rsid w:val="00D04EBB"/>
    <w:rsid w:val="00D0547A"/>
    <w:rsid w:val="00D10102"/>
    <w:rsid w:val="00D1157E"/>
    <w:rsid w:val="00D11E69"/>
    <w:rsid w:val="00D13793"/>
    <w:rsid w:val="00D13E27"/>
    <w:rsid w:val="00D1455A"/>
    <w:rsid w:val="00D1475A"/>
    <w:rsid w:val="00D177FA"/>
    <w:rsid w:val="00D23559"/>
    <w:rsid w:val="00D247B2"/>
    <w:rsid w:val="00D26A3A"/>
    <w:rsid w:val="00D31E5C"/>
    <w:rsid w:val="00D32E7E"/>
    <w:rsid w:val="00D34315"/>
    <w:rsid w:val="00D34E3D"/>
    <w:rsid w:val="00D403F4"/>
    <w:rsid w:val="00D42211"/>
    <w:rsid w:val="00D42749"/>
    <w:rsid w:val="00D4299C"/>
    <w:rsid w:val="00D42B4C"/>
    <w:rsid w:val="00D43A78"/>
    <w:rsid w:val="00D44ED1"/>
    <w:rsid w:val="00D45172"/>
    <w:rsid w:val="00D46020"/>
    <w:rsid w:val="00D50BAB"/>
    <w:rsid w:val="00D51705"/>
    <w:rsid w:val="00D51F67"/>
    <w:rsid w:val="00D52CC2"/>
    <w:rsid w:val="00D55D01"/>
    <w:rsid w:val="00D60435"/>
    <w:rsid w:val="00D62F38"/>
    <w:rsid w:val="00D635A8"/>
    <w:rsid w:val="00D6568A"/>
    <w:rsid w:val="00D65AD3"/>
    <w:rsid w:val="00D66D36"/>
    <w:rsid w:val="00D67273"/>
    <w:rsid w:val="00D70C56"/>
    <w:rsid w:val="00D71D9E"/>
    <w:rsid w:val="00D7572B"/>
    <w:rsid w:val="00D7633D"/>
    <w:rsid w:val="00D7677D"/>
    <w:rsid w:val="00D76BB9"/>
    <w:rsid w:val="00D7753F"/>
    <w:rsid w:val="00D779BA"/>
    <w:rsid w:val="00D80F29"/>
    <w:rsid w:val="00D80F56"/>
    <w:rsid w:val="00D82DE2"/>
    <w:rsid w:val="00D83C6A"/>
    <w:rsid w:val="00D84362"/>
    <w:rsid w:val="00D8550C"/>
    <w:rsid w:val="00D85CA4"/>
    <w:rsid w:val="00D86843"/>
    <w:rsid w:val="00D868AD"/>
    <w:rsid w:val="00D87663"/>
    <w:rsid w:val="00D9642D"/>
    <w:rsid w:val="00DA1A86"/>
    <w:rsid w:val="00DA25BF"/>
    <w:rsid w:val="00DA5436"/>
    <w:rsid w:val="00DA5D28"/>
    <w:rsid w:val="00DA7021"/>
    <w:rsid w:val="00DA75C5"/>
    <w:rsid w:val="00DB02EC"/>
    <w:rsid w:val="00DB12D2"/>
    <w:rsid w:val="00DB28A6"/>
    <w:rsid w:val="00DB352B"/>
    <w:rsid w:val="00DB40C2"/>
    <w:rsid w:val="00DB41EA"/>
    <w:rsid w:val="00DB444F"/>
    <w:rsid w:val="00DB51A1"/>
    <w:rsid w:val="00DB75E9"/>
    <w:rsid w:val="00DB7CEB"/>
    <w:rsid w:val="00DC057F"/>
    <w:rsid w:val="00DC0584"/>
    <w:rsid w:val="00DC25E1"/>
    <w:rsid w:val="00DC315E"/>
    <w:rsid w:val="00DC52D1"/>
    <w:rsid w:val="00DD0AF8"/>
    <w:rsid w:val="00DD25AD"/>
    <w:rsid w:val="00DD279C"/>
    <w:rsid w:val="00DD2F44"/>
    <w:rsid w:val="00DD371A"/>
    <w:rsid w:val="00DD4B12"/>
    <w:rsid w:val="00DD4C4A"/>
    <w:rsid w:val="00DD4CCD"/>
    <w:rsid w:val="00DE1511"/>
    <w:rsid w:val="00DE283C"/>
    <w:rsid w:val="00DE34D9"/>
    <w:rsid w:val="00DE48FB"/>
    <w:rsid w:val="00DE4C05"/>
    <w:rsid w:val="00DE4E82"/>
    <w:rsid w:val="00DE788E"/>
    <w:rsid w:val="00DE7C3C"/>
    <w:rsid w:val="00DF05E6"/>
    <w:rsid w:val="00DF1F9D"/>
    <w:rsid w:val="00DF2DD2"/>
    <w:rsid w:val="00DF4829"/>
    <w:rsid w:val="00DF61C1"/>
    <w:rsid w:val="00DF66A6"/>
    <w:rsid w:val="00DF7C66"/>
    <w:rsid w:val="00E0006F"/>
    <w:rsid w:val="00E002FA"/>
    <w:rsid w:val="00E00732"/>
    <w:rsid w:val="00E00A5B"/>
    <w:rsid w:val="00E01E00"/>
    <w:rsid w:val="00E035E2"/>
    <w:rsid w:val="00E03D27"/>
    <w:rsid w:val="00E06ED3"/>
    <w:rsid w:val="00E07E76"/>
    <w:rsid w:val="00E104E5"/>
    <w:rsid w:val="00E10734"/>
    <w:rsid w:val="00E10B43"/>
    <w:rsid w:val="00E11975"/>
    <w:rsid w:val="00E12391"/>
    <w:rsid w:val="00E135B6"/>
    <w:rsid w:val="00E13C3B"/>
    <w:rsid w:val="00E14BCC"/>
    <w:rsid w:val="00E154A8"/>
    <w:rsid w:val="00E15959"/>
    <w:rsid w:val="00E159ED"/>
    <w:rsid w:val="00E20745"/>
    <w:rsid w:val="00E21F0A"/>
    <w:rsid w:val="00E2376C"/>
    <w:rsid w:val="00E23AB7"/>
    <w:rsid w:val="00E24580"/>
    <w:rsid w:val="00E24B16"/>
    <w:rsid w:val="00E269C6"/>
    <w:rsid w:val="00E2722C"/>
    <w:rsid w:val="00E27F16"/>
    <w:rsid w:val="00E30DC2"/>
    <w:rsid w:val="00E34FB9"/>
    <w:rsid w:val="00E359F2"/>
    <w:rsid w:val="00E35BC3"/>
    <w:rsid w:val="00E36E98"/>
    <w:rsid w:val="00E40888"/>
    <w:rsid w:val="00E42379"/>
    <w:rsid w:val="00E4280F"/>
    <w:rsid w:val="00E44B1F"/>
    <w:rsid w:val="00E45D90"/>
    <w:rsid w:val="00E4633B"/>
    <w:rsid w:val="00E4641E"/>
    <w:rsid w:val="00E464C1"/>
    <w:rsid w:val="00E475B8"/>
    <w:rsid w:val="00E53CB8"/>
    <w:rsid w:val="00E53FC9"/>
    <w:rsid w:val="00E54DE1"/>
    <w:rsid w:val="00E571C9"/>
    <w:rsid w:val="00E625D7"/>
    <w:rsid w:val="00E634C3"/>
    <w:rsid w:val="00E652E1"/>
    <w:rsid w:val="00E66D57"/>
    <w:rsid w:val="00E66F59"/>
    <w:rsid w:val="00E67524"/>
    <w:rsid w:val="00E67E33"/>
    <w:rsid w:val="00E7516D"/>
    <w:rsid w:val="00E8101F"/>
    <w:rsid w:val="00E81570"/>
    <w:rsid w:val="00E84ABA"/>
    <w:rsid w:val="00E874F0"/>
    <w:rsid w:val="00E9169A"/>
    <w:rsid w:val="00E92B5C"/>
    <w:rsid w:val="00E939CD"/>
    <w:rsid w:val="00E96D07"/>
    <w:rsid w:val="00E97945"/>
    <w:rsid w:val="00EA345C"/>
    <w:rsid w:val="00EA3874"/>
    <w:rsid w:val="00EA4EF2"/>
    <w:rsid w:val="00EA6008"/>
    <w:rsid w:val="00EA60A2"/>
    <w:rsid w:val="00EA72FD"/>
    <w:rsid w:val="00EA77A9"/>
    <w:rsid w:val="00EB3729"/>
    <w:rsid w:val="00EB47D2"/>
    <w:rsid w:val="00EB49E6"/>
    <w:rsid w:val="00EB6D68"/>
    <w:rsid w:val="00EB7856"/>
    <w:rsid w:val="00EC10CC"/>
    <w:rsid w:val="00EC1E8A"/>
    <w:rsid w:val="00EC49F6"/>
    <w:rsid w:val="00EC5F63"/>
    <w:rsid w:val="00EC7106"/>
    <w:rsid w:val="00ED0C97"/>
    <w:rsid w:val="00ED1B3A"/>
    <w:rsid w:val="00ED1C2E"/>
    <w:rsid w:val="00ED4BA5"/>
    <w:rsid w:val="00ED539B"/>
    <w:rsid w:val="00ED5AC7"/>
    <w:rsid w:val="00ED5D92"/>
    <w:rsid w:val="00ED7798"/>
    <w:rsid w:val="00EE2F0E"/>
    <w:rsid w:val="00EE2F87"/>
    <w:rsid w:val="00EE4B28"/>
    <w:rsid w:val="00EE52E4"/>
    <w:rsid w:val="00EE5377"/>
    <w:rsid w:val="00EE7854"/>
    <w:rsid w:val="00EE7899"/>
    <w:rsid w:val="00EF00C0"/>
    <w:rsid w:val="00EF0BCD"/>
    <w:rsid w:val="00EF0F90"/>
    <w:rsid w:val="00EF1962"/>
    <w:rsid w:val="00EF3995"/>
    <w:rsid w:val="00EF3ACF"/>
    <w:rsid w:val="00EF42AB"/>
    <w:rsid w:val="00EF7B15"/>
    <w:rsid w:val="00F00032"/>
    <w:rsid w:val="00F00D8E"/>
    <w:rsid w:val="00F017C9"/>
    <w:rsid w:val="00F03822"/>
    <w:rsid w:val="00F05479"/>
    <w:rsid w:val="00F061C3"/>
    <w:rsid w:val="00F1343E"/>
    <w:rsid w:val="00F13728"/>
    <w:rsid w:val="00F13740"/>
    <w:rsid w:val="00F15260"/>
    <w:rsid w:val="00F15A0A"/>
    <w:rsid w:val="00F16CE7"/>
    <w:rsid w:val="00F17833"/>
    <w:rsid w:val="00F21346"/>
    <w:rsid w:val="00F23FC2"/>
    <w:rsid w:val="00F2401D"/>
    <w:rsid w:val="00F248F0"/>
    <w:rsid w:val="00F25C87"/>
    <w:rsid w:val="00F26F24"/>
    <w:rsid w:val="00F27EC4"/>
    <w:rsid w:val="00F312EF"/>
    <w:rsid w:val="00F313DF"/>
    <w:rsid w:val="00F31CF2"/>
    <w:rsid w:val="00F32179"/>
    <w:rsid w:val="00F324DE"/>
    <w:rsid w:val="00F32665"/>
    <w:rsid w:val="00F34961"/>
    <w:rsid w:val="00F34B4B"/>
    <w:rsid w:val="00F34F14"/>
    <w:rsid w:val="00F3696D"/>
    <w:rsid w:val="00F37175"/>
    <w:rsid w:val="00F41838"/>
    <w:rsid w:val="00F41B51"/>
    <w:rsid w:val="00F41BB3"/>
    <w:rsid w:val="00F41CA9"/>
    <w:rsid w:val="00F43F27"/>
    <w:rsid w:val="00F47A0B"/>
    <w:rsid w:val="00F47DC5"/>
    <w:rsid w:val="00F50DC4"/>
    <w:rsid w:val="00F50E1B"/>
    <w:rsid w:val="00F51A4E"/>
    <w:rsid w:val="00F5238D"/>
    <w:rsid w:val="00F52399"/>
    <w:rsid w:val="00F52639"/>
    <w:rsid w:val="00F52A96"/>
    <w:rsid w:val="00F52B6B"/>
    <w:rsid w:val="00F52FB3"/>
    <w:rsid w:val="00F537FA"/>
    <w:rsid w:val="00F55503"/>
    <w:rsid w:val="00F56EC5"/>
    <w:rsid w:val="00F6062A"/>
    <w:rsid w:val="00F6355E"/>
    <w:rsid w:val="00F63B2D"/>
    <w:rsid w:val="00F646DE"/>
    <w:rsid w:val="00F64BA3"/>
    <w:rsid w:val="00F64DBA"/>
    <w:rsid w:val="00F6584D"/>
    <w:rsid w:val="00F65937"/>
    <w:rsid w:val="00F65AE7"/>
    <w:rsid w:val="00F720F4"/>
    <w:rsid w:val="00F7255D"/>
    <w:rsid w:val="00F72902"/>
    <w:rsid w:val="00F7317B"/>
    <w:rsid w:val="00F764DD"/>
    <w:rsid w:val="00F76974"/>
    <w:rsid w:val="00F773F8"/>
    <w:rsid w:val="00F7796E"/>
    <w:rsid w:val="00F813FF"/>
    <w:rsid w:val="00F83F99"/>
    <w:rsid w:val="00F8492F"/>
    <w:rsid w:val="00F856B1"/>
    <w:rsid w:val="00F85AA8"/>
    <w:rsid w:val="00F87070"/>
    <w:rsid w:val="00F87FFA"/>
    <w:rsid w:val="00F90469"/>
    <w:rsid w:val="00F90954"/>
    <w:rsid w:val="00F9157C"/>
    <w:rsid w:val="00F91CE6"/>
    <w:rsid w:val="00F9242E"/>
    <w:rsid w:val="00F92F8A"/>
    <w:rsid w:val="00F9379F"/>
    <w:rsid w:val="00F9481A"/>
    <w:rsid w:val="00F95715"/>
    <w:rsid w:val="00F9712A"/>
    <w:rsid w:val="00F97225"/>
    <w:rsid w:val="00F97238"/>
    <w:rsid w:val="00F975E5"/>
    <w:rsid w:val="00F97619"/>
    <w:rsid w:val="00F977B0"/>
    <w:rsid w:val="00FA2747"/>
    <w:rsid w:val="00FA29E4"/>
    <w:rsid w:val="00FA3C7C"/>
    <w:rsid w:val="00FA3D81"/>
    <w:rsid w:val="00FA41B9"/>
    <w:rsid w:val="00FA6395"/>
    <w:rsid w:val="00FB15E7"/>
    <w:rsid w:val="00FB4511"/>
    <w:rsid w:val="00FC1A2D"/>
    <w:rsid w:val="00FC2BA5"/>
    <w:rsid w:val="00FC30EC"/>
    <w:rsid w:val="00FC71B9"/>
    <w:rsid w:val="00FD01C8"/>
    <w:rsid w:val="00FD3A31"/>
    <w:rsid w:val="00FD4EA0"/>
    <w:rsid w:val="00FD54F2"/>
    <w:rsid w:val="00FD582C"/>
    <w:rsid w:val="00FD6619"/>
    <w:rsid w:val="00FD77AA"/>
    <w:rsid w:val="00FE0A12"/>
    <w:rsid w:val="00FE2429"/>
    <w:rsid w:val="00FE2D19"/>
    <w:rsid w:val="00FE6C05"/>
    <w:rsid w:val="00FE6E96"/>
    <w:rsid w:val="00FE747B"/>
    <w:rsid w:val="00FF4922"/>
    <w:rsid w:val="00FF520B"/>
    <w:rsid w:val="00FF5551"/>
    <w:rsid w:val="00FF687A"/>
    <w:rsid w:val="00FF6CC1"/>
    <w:rsid w:val="00FF7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0739CF4"/>
  <w15:docId w15:val="{3DC43A94-765B-4806-B8FD-FD6832A02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3B5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autoRedefine/>
    <w:rsid w:val="000A2965"/>
    <w:pPr>
      <w:ind w:right="828" w:firstLine="600"/>
      <w:jc w:val="both"/>
    </w:pPr>
    <w:rPr>
      <w:rFonts w:eastAsia="Cambria"/>
      <w:szCs w:val="25"/>
      <w:lang w:eastAsia="en-US"/>
    </w:rPr>
  </w:style>
  <w:style w:type="paragraph" w:customStyle="1" w:styleId="TNR12">
    <w:name w:val="TNR12"/>
    <w:aliases w:val="5"/>
    <w:basedOn w:val="Normalny"/>
    <w:autoRedefine/>
    <w:rsid w:val="00141058"/>
    <w:pPr>
      <w:ind w:firstLine="567"/>
      <w:jc w:val="both"/>
    </w:pPr>
    <w:rPr>
      <w:rFonts w:eastAsia="Cambria"/>
      <w:szCs w:val="25"/>
      <w:lang w:eastAsia="en-US"/>
    </w:rPr>
  </w:style>
  <w:style w:type="character" w:styleId="Hipercze">
    <w:name w:val="Hyperlink"/>
    <w:rsid w:val="00B203B3"/>
    <w:rPr>
      <w:rFonts w:cs="Times New Roman"/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B203B3"/>
    <w:pPr>
      <w:jc w:val="both"/>
    </w:pPr>
    <w:rPr>
      <w:color w:val="000000"/>
      <w:szCs w:val="20"/>
    </w:rPr>
  </w:style>
  <w:style w:type="character" w:customStyle="1" w:styleId="Tekstpodstawowy2Znak">
    <w:name w:val="Tekst podstawowy 2 Znak"/>
    <w:link w:val="Tekstpodstawowy2"/>
    <w:locked/>
    <w:rsid w:val="00B203B3"/>
    <w:rPr>
      <w:color w:val="000000"/>
      <w:sz w:val="24"/>
      <w:lang w:val="pl-PL" w:eastAsia="pl-PL" w:bidi="ar-SA"/>
    </w:rPr>
  </w:style>
  <w:style w:type="paragraph" w:styleId="Tekstdymka">
    <w:name w:val="Balloon Text"/>
    <w:basedOn w:val="Normalny"/>
    <w:semiHidden/>
    <w:rsid w:val="007A4DE1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7A4DE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A4DE1"/>
  </w:style>
  <w:style w:type="paragraph" w:styleId="Tekstprzypisudolnego">
    <w:name w:val="footnote text"/>
    <w:basedOn w:val="Normalny"/>
    <w:link w:val="TekstprzypisudolnegoZnak"/>
    <w:rsid w:val="0042556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2556E"/>
  </w:style>
  <w:style w:type="character" w:styleId="Odwoanieprzypisudolnego">
    <w:name w:val="footnote reference"/>
    <w:uiPriority w:val="99"/>
    <w:rsid w:val="0042556E"/>
    <w:rPr>
      <w:vertAlign w:val="superscript"/>
    </w:rPr>
  </w:style>
  <w:style w:type="paragraph" w:styleId="Podtytu">
    <w:name w:val="Subtitle"/>
    <w:basedOn w:val="Normalny"/>
    <w:next w:val="Normalny"/>
    <w:link w:val="PodtytuZnak"/>
    <w:qFormat/>
    <w:rsid w:val="00AA14C3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link w:val="Podtytu"/>
    <w:rsid w:val="00AA14C3"/>
    <w:rPr>
      <w:rFonts w:ascii="Cambria" w:eastAsia="Times New Roman" w:hAnsi="Cambria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rsid w:val="00165F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65FB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65FB7"/>
  </w:style>
  <w:style w:type="paragraph" w:styleId="Tematkomentarza">
    <w:name w:val="annotation subject"/>
    <w:basedOn w:val="Tekstkomentarza"/>
    <w:next w:val="Tekstkomentarza"/>
    <w:link w:val="TematkomentarzaZnak"/>
    <w:rsid w:val="00165F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165FB7"/>
    <w:rPr>
      <w:b/>
      <w:bCs/>
    </w:rPr>
  </w:style>
  <w:style w:type="character" w:styleId="Pogrubienie">
    <w:name w:val="Strong"/>
    <w:basedOn w:val="Domylnaczcionkaakapitu"/>
    <w:uiPriority w:val="22"/>
    <w:qFormat/>
    <w:rsid w:val="00096A61"/>
    <w:rPr>
      <w:b/>
      <w:bCs/>
    </w:rPr>
  </w:style>
  <w:style w:type="paragraph" w:styleId="Akapitzlist">
    <w:name w:val="List Paragraph"/>
    <w:basedOn w:val="Normalny"/>
    <w:uiPriority w:val="34"/>
    <w:qFormat/>
    <w:rsid w:val="00211966"/>
    <w:pPr>
      <w:ind w:left="720"/>
      <w:contextualSpacing/>
    </w:pPr>
  </w:style>
  <w:style w:type="paragraph" w:customStyle="1" w:styleId="OZNRODZAKTUtznustawalubrozporzdzenieiorganwydajcy">
    <w:name w:val="OZN_RODZ_AKTU – tzn. ustawa lub rozporządzenie i organ wydający"/>
    <w:next w:val="Normalny"/>
    <w:link w:val="OZNRODZAKTUtznustawalubrozporzdzenieiorganwydajcyZnak"/>
    <w:uiPriority w:val="1"/>
    <w:qFormat/>
    <w:rsid w:val="008B4CB9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</w:rPr>
  </w:style>
  <w:style w:type="character" w:customStyle="1" w:styleId="OZNRODZAKTUtznustawalubrozporzdzenieiorganwydajcyZnak">
    <w:name w:val="OZN_RODZ_AKTU – tzn. ustawa lub rozporządzenie i organ wydający Znak"/>
    <w:link w:val="OZNRODZAKTUtznustawalubrozporzdzenieiorganwydajcy"/>
    <w:uiPriority w:val="1"/>
    <w:rsid w:val="008B4CB9"/>
    <w:rPr>
      <w:rFonts w:ascii="Times" w:hAnsi="Times"/>
      <w:b/>
      <w:bCs/>
      <w:caps/>
      <w:spacing w:val="54"/>
      <w:kern w:val="24"/>
    </w:rPr>
  </w:style>
  <w:style w:type="paragraph" w:customStyle="1" w:styleId="ARTartustawynprozporzdzenia">
    <w:name w:val="ART(§) – art. ustawy (§ np. rozporządzenia)"/>
    <w:link w:val="ARTartustawynprozporzdzeniaZnak"/>
    <w:uiPriority w:val="11"/>
    <w:qFormat/>
    <w:rsid w:val="0052253A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hAnsi="Times" w:cs="Arial"/>
    </w:rPr>
  </w:style>
  <w:style w:type="character" w:customStyle="1" w:styleId="ARTartustawynprozporzdzeniaZnak">
    <w:name w:val="ART(§) – art. ustawy (§ np. rozporządzenia) Znak"/>
    <w:link w:val="ARTartustawynprozporzdzenia"/>
    <w:uiPriority w:val="11"/>
    <w:locked/>
    <w:rsid w:val="0052253A"/>
    <w:rPr>
      <w:rFonts w:ascii="Times" w:hAnsi="Times" w:cs="Arial"/>
    </w:rPr>
  </w:style>
  <w:style w:type="character" w:customStyle="1" w:styleId="Ppogrubienie">
    <w:name w:val="_P_ – pogrubienie"/>
    <w:basedOn w:val="Domylnaczcionkaakapitu"/>
    <w:uiPriority w:val="1"/>
    <w:qFormat/>
    <w:rsid w:val="00F248F0"/>
    <w:rPr>
      <w:b/>
    </w:rPr>
  </w:style>
  <w:style w:type="paragraph" w:styleId="Poprawka">
    <w:name w:val="Revision"/>
    <w:hidden/>
    <w:uiPriority w:val="99"/>
    <w:semiHidden/>
    <w:rsid w:val="00DF4829"/>
    <w:rPr>
      <w:sz w:val="24"/>
      <w:szCs w:val="24"/>
    </w:rPr>
  </w:style>
  <w:style w:type="paragraph" w:styleId="Nagwek">
    <w:name w:val="header"/>
    <w:basedOn w:val="Normalny"/>
    <w:link w:val="NagwekZnak"/>
    <w:unhideWhenUsed/>
    <w:rsid w:val="00DF48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F4829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unhideWhenUsed/>
    <w:rsid w:val="001D7DE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1D7DE7"/>
  </w:style>
  <w:style w:type="character" w:styleId="Odwoanieprzypisukocowego">
    <w:name w:val="endnote reference"/>
    <w:basedOn w:val="Domylnaczcionkaakapitu"/>
    <w:semiHidden/>
    <w:unhideWhenUsed/>
    <w:rsid w:val="001D7DE7"/>
    <w:rPr>
      <w:vertAlign w:val="superscript"/>
    </w:rPr>
  </w:style>
  <w:style w:type="paragraph" w:customStyle="1" w:styleId="PKTpunkt">
    <w:name w:val="PKT – punkt"/>
    <w:uiPriority w:val="13"/>
    <w:qFormat/>
    <w:rsid w:val="00B43C56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B43C56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eastAsiaTheme="minorEastAsia" w:hAnsi="Times" w:cs="Arial"/>
      <w:szCs w:val="20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C228E0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en-US"/>
    </w:rPr>
  </w:style>
  <w:style w:type="character" w:customStyle="1" w:styleId="Kkursywa">
    <w:name w:val="_K_ – kursywa"/>
    <w:basedOn w:val="Domylnaczcionkaakapitu"/>
    <w:uiPriority w:val="1"/>
    <w:qFormat/>
    <w:rsid w:val="00C228E0"/>
    <w:rPr>
      <w:i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C228E0"/>
    <w:pPr>
      <w:spacing w:before="0"/>
    </w:pPr>
    <w:rPr>
      <w:rFonts w:eastAsiaTheme="minorEastAsia"/>
      <w:bCs/>
      <w:sz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EE2F87"/>
    <w:rPr>
      <w:rFonts w:eastAsiaTheme="minorEastAsia"/>
      <w:bCs/>
      <w:sz w:val="24"/>
    </w:rPr>
  </w:style>
  <w:style w:type="paragraph" w:customStyle="1" w:styleId="LITlitera">
    <w:name w:val="LIT – litera"/>
    <w:basedOn w:val="PKTpunkt"/>
    <w:uiPriority w:val="14"/>
    <w:qFormat/>
    <w:rsid w:val="00EE2F87"/>
    <w:pPr>
      <w:ind w:left="986" w:hanging="476"/>
    </w:pPr>
  </w:style>
  <w:style w:type="paragraph" w:customStyle="1" w:styleId="Default">
    <w:name w:val="Default"/>
    <w:basedOn w:val="Normalny"/>
    <w:uiPriority w:val="99"/>
    <w:rsid w:val="00C40B8F"/>
    <w:pPr>
      <w:autoSpaceDE w:val="0"/>
      <w:autoSpaceDN w:val="0"/>
    </w:pPr>
    <w:rPr>
      <w:rFonts w:eastAsiaTheme="minorHAnsi"/>
      <w:color w:val="00000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C377CE"/>
    <w:pPr>
      <w:ind w:left="0" w:firstLine="0"/>
    </w:pPr>
  </w:style>
  <w:style w:type="paragraph" w:customStyle="1" w:styleId="ODNONIKtreodnonika">
    <w:name w:val="ODNOŚNIK – treść odnośnika"/>
    <w:uiPriority w:val="19"/>
    <w:qFormat/>
    <w:rsid w:val="00C377CE"/>
    <w:pPr>
      <w:ind w:left="284" w:hanging="284"/>
      <w:jc w:val="both"/>
    </w:pPr>
    <w:rPr>
      <w:rFonts w:eastAsiaTheme="minorEastAsia" w:cs="Arial"/>
    </w:rPr>
  </w:style>
  <w:style w:type="character" w:customStyle="1" w:styleId="IGindeksgrny">
    <w:name w:val="_IG_ – indeks górny"/>
    <w:basedOn w:val="Domylnaczcionkaakapitu"/>
    <w:uiPriority w:val="2"/>
    <w:qFormat/>
    <w:rsid w:val="00C377CE"/>
    <w:rPr>
      <w:b w:val="0"/>
      <w:i w:val="0"/>
      <w:vanish w:val="0"/>
      <w:spacing w:val="0"/>
      <w:vertAlign w:val="superscript"/>
    </w:rPr>
  </w:style>
  <w:style w:type="paragraph" w:customStyle="1" w:styleId="ZLITTIRwLITzmtirwlitliter">
    <w:name w:val="Z_LIT/TIR_w_LIT – zm. tir. w lit. literą"/>
    <w:basedOn w:val="Normalny"/>
    <w:uiPriority w:val="49"/>
    <w:qFormat/>
    <w:rsid w:val="00121A9E"/>
    <w:pPr>
      <w:spacing w:line="360" w:lineRule="auto"/>
      <w:ind w:left="1860" w:hanging="397"/>
      <w:jc w:val="both"/>
    </w:pPr>
    <w:rPr>
      <w:rFonts w:ascii="Times" w:eastAsiaTheme="minorEastAsia" w:hAnsi="Times" w:cs="Arial"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4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15418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0116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477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722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44723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42932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59655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0104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1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9834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6029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74414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21675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4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93055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8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19122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22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79671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64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86538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14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18277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43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6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6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5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4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65660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53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4015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48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55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278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5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63137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699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73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01990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83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94339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283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5063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7900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1924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0618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31164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784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144708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4233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79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78934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25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65780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00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88211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40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94952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84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1393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7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4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083314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8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32896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0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970815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355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752802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551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069027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17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188420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974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375033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672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924866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02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131440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521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4511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24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790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1030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48784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67275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7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426294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712849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5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185367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30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3495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28406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905958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mmbyg4ytiltqmfyc4njygaztmmrqh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B7A13A-8049-4299-9D9D-52C833F88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2551</Words>
  <Characters>15306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</vt:lpstr>
    </vt:vector>
  </TitlesOfParts>
  <Company>MF</Company>
  <LinksUpToDate>false</LinksUpToDate>
  <CharactersWithSpaces>17822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</dc:title>
  <dc:creator>Paszkowska Monika</dc:creator>
  <cp:lastModifiedBy>KGHM</cp:lastModifiedBy>
  <cp:revision>2</cp:revision>
  <cp:lastPrinted>2019-03-21T09:23:00Z</cp:lastPrinted>
  <dcterms:created xsi:type="dcterms:W3CDTF">2024-02-21T09:13:00Z</dcterms:created>
  <dcterms:modified xsi:type="dcterms:W3CDTF">2024-02-21T09:13:00Z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fd642cb-f5ac-4f9c-8f91-3377ed972e0d_Enabled">
    <vt:lpwstr>True</vt:lpwstr>
  </property>
  <property fmtid="{D5CDD505-2E9C-101B-9397-08002B2CF9AE}" pid="3" name="MSIP_Label_ffd642cb-f5ac-4f9c-8f91-3377ed972e0d_SiteId">
    <vt:lpwstr>29bb5b9c-200a-4906-89ef-c651c86ab301</vt:lpwstr>
  </property>
  <property fmtid="{D5CDD505-2E9C-101B-9397-08002B2CF9AE}" pid="4" name="MSIP_Label_ffd642cb-f5ac-4f9c-8f91-3377ed972e0d_Owner">
    <vt:lpwstr>Marietta.Jaworska@bgk.pl</vt:lpwstr>
  </property>
  <property fmtid="{D5CDD505-2E9C-101B-9397-08002B2CF9AE}" pid="5" name="MSIP_Label_ffd642cb-f5ac-4f9c-8f91-3377ed972e0d_SetDate">
    <vt:lpwstr>2019-03-14T11:38:13.6751728Z</vt:lpwstr>
  </property>
  <property fmtid="{D5CDD505-2E9C-101B-9397-08002B2CF9AE}" pid="6" name="MSIP_Label_ffd642cb-f5ac-4f9c-8f91-3377ed972e0d_Name">
    <vt:lpwstr>Wewnętrzne</vt:lpwstr>
  </property>
  <property fmtid="{D5CDD505-2E9C-101B-9397-08002B2CF9AE}" pid="7" name="MSIP_Label_ffd642cb-f5ac-4f9c-8f91-3377ed972e0d_Application">
    <vt:lpwstr>Microsoft Azure Information Protection</vt:lpwstr>
  </property>
  <property fmtid="{D5CDD505-2E9C-101B-9397-08002B2CF9AE}" pid="8" name="MSIP_Label_ffd642cb-f5ac-4f9c-8f91-3377ed972e0d_Extended_MSFT_Method">
    <vt:lpwstr>Manual</vt:lpwstr>
  </property>
  <property fmtid="{D5CDD505-2E9C-101B-9397-08002B2CF9AE}" pid="9" name="MSIP_Label_52a0fa98-7deb-4b97-a58b-3087d9cf6647_Enabled">
    <vt:lpwstr>true</vt:lpwstr>
  </property>
  <property fmtid="{D5CDD505-2E9C-101B-9397-08002B2CF9AE}" pid="10" name="MSIP_Label_52a0fa98-7deb-4b97-a58b-3087d9cf6647_SetDate">
    <vt:lpwstr>2022-09-08T08:12:47Z</vt:lpwstr>
  </property>
  <property fmtid="{D5CDD505-2E9C-101B-9397-08002B2CF9AE}" pid="11" name="MSIP_Label_52a0fa98-7deb-4b97-a58b-3087d9cf6647_Method">
    <vt:lpwstr>Privileged</vt:lpwstr>
  </property>
  <property fmtid="{D5CDD505-2E9C-101B-9397-08002B2CF9AE}" pid="12" name="MSIP_Label_52a0fa98-7deb-4b97-a58b-3087d9cf6647_Name">
    <vt:lpwstr>52a0fa98-7deb-4b97-a58b-3087d9cf6647</vt:lpwstr>
  </property>
  <property fmtid="{D5CDD505-2E9C-101B-9397-08002B2CF9AE}" pid="13" name="MSIP_Label_52a0fa98-7deb-4b97-a58b-3087d9cf6647_SiteId">
    <vt:lpwstr>29bb5b9c-200a-4906-89ef-c651c86ab301</vt:lpwstr>
  </property>
  <property fmtid="{D5CDD505-2E9C-101B-9397-08002B2CF9AE}" pid="14" name="MSIP_Label_52a0fa98-7deb-4b97-a58b-3087d9cf6647_ContentBits">
    <vt:lpwstr>0</vt:lpwstr>
  </property>
  <property fmtid="{D5CDD505-2E9C-101B-9397-08002B2CF9AE}" pid="15" name="MFCATEGORY">
    <vt:lpwstr>InformacjePubliczneInformacjeSektoraPublicznego</vt:lpwstr>
  </property>
  <property fmtid="{D5CDD505-2E9C-101B-9397-08002B2CF9AE}" pid="16" name="MFClassifiedBy">
    <vt:lpwstr>UxC4dwLulzfINJ8nQH+xvX5LNGipWa4BRSZhPgxsCvmI0ZfvKgT1YDiKa1lUnRweJvH0zGaQlf8drRONEqPt/w==</vt:lpwstr>
  </property>
  <property fmtid="{D5CDD505-2E9C-101B-9397-08002B2CF9AE}" pid="17" name="MFClassificationDate">
    <vt:lpwstr>2022-08-23T09:32:50.6823322+02:00</vt:lpwstr>
  </property>
  <property fmtid="{D5CDD505-2E9C-101B-9397-08002B2CF9AE}" pid="18" name="MFClassifiedBySID">
    <vt:lpwstr>UxC4dwLulzfINJ8nQH+xvX5LNGipWa4BRSZhPgxsCvm42mrIC/DSDv0ggS+FjUN/2v1BBotkLlY5aAiEhoi6uUSJt12u+OWfPGW68dr+BCArZ1nDy5YabPhnh20/IsoP</vt:lpwstr>
  </property>
  <property fmtid="{D5CDD505-2E9C-101B-9397-08002B2CF9AE}" pid="19" name="MFGRNItemId">
    <vt:lpwstr>GRN-1559eecd-eba6-471a-a013-b04ec9995022</vt:lpwstr>
  </property>
  <property fmtid="{D5CDD505-2E9C-101B-9397-08002B2CF9AE}" pid="20" name="MFHash">
    <vt:lpwstr>snpIqg6AwQ8vJqvYpmhBP3d86ucW0TGn4dPD5r47mrI=</vt:lpwstr>
  </property>
  <property fmtid="{D5CDD505-2E9C-101B-9397-08002B2CF9AE}" pid="21" name="DLPManualFileClassification">
    <vt:lpwstr>{2755b7d9-e53d-4779-a40c-03797dcf43b3}</vt:lpwstr>
  </property>
  <property fmtid="{D5CDD505-2E9C-101B-9397-08002B2CF9AE}" pid="22" name="MFRefresh">
    <vt:lpwstr>False</vt:lpwstr>
  </property>
</Properties>
</file>